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140335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300" w:right="280" w:hanging="3043"/>
        <w:spacing w:after="0" w:line="347" w:lineRule="auto"/>
        <w:tabs>
          <w:tab w:leader="none" w:pos="732" w:val="left"/>
        </w:tabs>
        <w:numPr>
          <w:ilvl w:val="0"/>
          <w:numId w:val="1"/>
        </w:numPr>
        <w:rPr>
          <w:rFonts w:ascii="Arial" w:cs="Arial" w:eastAsia="Arial" w:hAnsi="Arial"/>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Arial" w:cs="Arial" w:eastAsia="Arial" w:hAnsi="Arial"/>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5440" w:type="dxa"/>
            <w:vAlign w:val="bottom"/>
            <w:gridSpan w:val="3"/>
          </w:tcPr>
          <w:p>
            <w:pPr>
              <w:ind w:left="1960"/>
              <w:spacing w:after="0"/>
              <w:rPr>
                <w:sz w:val="20"/>
                <w:szCs w:val="20"/>
                <w:color w:val="auto"/>
              </w:rPr>
            </w:pPr>
            <w:r>
              <w:rPr>
                <w:rFonts w:ascii="Arial" w:cs="Arial" w:eastAsia="Arial" w:hAnsi="Arial"/>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6"/>
        </w:trPr>
        <w:tc>
          <w:tcPr>
            <w:tcW w:w="5440" w:type="dxa"/>
            <w:vAlign w:val="bottom"/>
            <w:gridSpan w:val="3"/>
          </w:tcPr>
          <w:p>
            <w:pPr>
              <w:jc w:val="center"/>
              <w:ind w:left="1781"/>
              <w:spacing w:after="0"/>
              <w:rPr>
                <w:sz w:val="20"/>
                <w:szCs w:val="20"/>
                <w:color w:val="auto"/>
              </w:rPr>
            </w:pPr>
            <w:r>
              <w:rPr>
                <w:rFonts w:ascii="Arial" w:cs="Arial" w:eastAsia="Arial" w:hAnsi="Arial"/>
                <w:sz w:val="25"/>
                <w:szCs w:val="25"/>
                <w:b w:val="1"/>
                <w:bCs w:val="1"/>
                <w:color w:val="auto"/>
                <w:w w:val="91"/>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81"/>
              <w:spacing w:after="0"/>
              <w:rPr>
                <w:sz w:val="20"/>
                <w:szCs w:val="20"/>
                <w:color w:val="auto"/>
              </w:rPr>
            </w:pPr>
            <w:r>
              <w:rPr>
                <w:rFonts w:ascii="Arial" w:cs="Arial" w:eastAsia="Arial" w:hAnsi="Arial"/>
                <w:sz w:val="14"/>
                <w:szCs w:val="14"/>
                <w:color w:val="auto"/>
                <w:w w:val="93"/>
              </w:rPr>
              <w:t>(Exact name of registrant as specified in its charter)</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544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right"/>
              <w:ind w:right="125"/>
              <w:spacing w:after="0"/>
              <w:rPr>
                <w:sz w:val="20"/>
                <w:szCs w:val="20"/>
                <w:color w:val="auto"/>
              </w:rPr>
            </w:pPr>
            <w:r>
              <w:rPr>
                <w:rFonts w:ascii="Arial" w:cs="Arial" w:eastAsia="Arial" w:hAnsi="Arial"/>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ind w:left="18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44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05"/>
        </w:trPr>
        <w:tc>
          <w:tcPr>
            <w:tcW w:w="544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7"/>
              </w:rPr>
              <w:t>555 Long Wharf Drive</w:t>
            </w:r>
          </w:p>
        </w:tc>
        <w:tc>
          <w:tcPr>
            <w:tcW w:w="136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440" w:type="dxa"/>
            <w:vAlign w:val="bottom"/>
            <w:gridSpan w:val="3"/>
          </w:tcPr>
          <w:p>
            <w:pPr>
              <w:jc w:val="center"/>
              <w:ind w:right="3140"/>
              <w:spacing w:after="0" w:line="153" w:lineRule="exact"/>
              <w:rPr>
                <w:sz w:val="20"/>
                <w:szCs w:val="20"/>
                <w:color w:val="auto"/>
              </w:rPr>
            </w:pPr>
            <w:r>
              <w:rPr>
                <w:rFonts w:ascii="Arial" w:cs="Arial" w:eastAsia="Arial" w:hAnsi="Arial"/>
                <w:sz w:val="14"/>
                <w:szCs w:val="14"/>
                <w:b w:val="1"/>
                <w:bCs w:val="1"/>
                <w:color w:val="auto"/>
                <w:w w:val="96"/>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right="3160"/>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09"/>
        </w:trPr>
        <w:tc>
          <w:tcPr>
            <w:tcW w:w="4920" w:type="dxa"/>
            <w:vAlign w:val="bottom"/>
            <w:gridSpan w:val="2"/>
          </w:tcPr>
          <w:p>
            <w:pPr>
              <w:jc w:val="center"/>
              <w:ind w:left="2301"/>
              <w:spacing w:after="0"/>
              <w:rPr>
                <w:sz w:val="20"/>
                <w:szCs w:val="20"/>
                <w:color w:val="auto"/>
              </w:rPr>
            </w:pPr>
            <w:r>
              <w:rPr>
                <w:rFonts w:ascii="Arial" w:cs="Arial" w:eastAsia="Arial" w:hAnsi="Arial"/>
                <w:sz w:val="14"/>
                <w:szCs w:val="14"/>
                <w:b w:val="1"/>
                <w:bCs w:val="1"/>
                <w:color w:val="auto"/>
                <w:w w:val="93"/>
              </w:rPr>
              <w:t>(475) 238-6837</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61"/>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140"/>
          </w:cols>
          <w:pgMar w:left="840" w:top="665"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Arial" w:cs="Arial" w:eastAsia="Arial" w:hAnsi="Arial"/>
          <w:sz w:val="12"/>
          <w:szCs w:val="12"/>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Nasdaq Capital Market</w:t>
      </w:r>
    </w:p>
    <w:p>
      <w:pPr>
        <w:spacing w:after="0" w:line="9" w:lineRule="exact"/>
        <w:rPr>
          <w:sz w:val="24"/>
          <w:szCs w:val="24"/>
          <w:color w:val="auto"/>
        </w:rPr>
      </w:pPr>
    </w:p>
    <w:p>
      <w:pPr>
        <w:sectPr>
          <w:pgSz w:w="11900" w:h="16838" w:orient="portrait"/>
          <w:cols w:equalWidth="0" w:num="3">
            <w:col w:w="3520" w:space="720"/>
            <w:col w:w="1920" w:space="720"/>
            <w:col w:w="3260"/>
          </w:cols>
          <w:pgMar w:left="840" w:top="665" w:right="91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140"/>
          </w:cols>
          <w:pgMar w:left="840" w:top="665" w:right="919" w:bottom="1440" w:gutter="0" w:footer="0" w:header="0"/>
          <w:type w:val="continuous"/>
        </w:sectPr>
      </w:pPr>
    </w:p>
    <w:p>
      <w:pPr>
        <w:spacing w:after="0" w:line="193"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right="3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5" w:right="919" w:bottom="1440" w:gutter="0" w:footer="0" w:header="0"/>
          <w:type w:val="continuous"/>
        </w:sectPr>
      </w:pPr>
    </w:p>
    <w:p>
      <w:pPr>
        <w:spacing w:after="0" w:line="16" w:lineRule="exact"/>
        <w:rPr>
          <w:sz w:val="24"/>
          <w:szCs w:val="24"/>
          <w:color w:val="auto"/>
        </w:rPr>
      </w:pPr>
    </w:p>
    <w:p>
      <w:pPr>
        <w:ind w:left="182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sectPr>
          <w:pgSz w:w="11900" w:h="16838" w:orient="portrait"/>
          <w:cols w:equalWidth="0" w:num="2">
            <w:col w:w="6380" w:space="720"/>
            <w:col w:w="3040"/>
          </w:cols>
          <w:pgMar w:left="840" w:top="665" w:right="919" w:bottom="1440" w:gutter="0" w:footer="0" w:header="0"/>
          <w:type w:val="continuous"/>
        </w:sectPr>
      </w:pPr>
    </w:p>
    <w:p>
      <w:pPr>
        <w:ind w:left="184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50" w:lineRule="exact"/>
        <w:rPr>
          <w:sz w:val="24"/>
          <w:szCs w:val="24"/>
          <w:color w:val="auto"/>
        </w:rPr>
      </w:pPr>
    </w:p>
    <w:p>
      <w:pPr>
        <w:sectPr>
          <w:pgSz w:w="11900" w:h="16838" w:orient="portrait"/>
          <w:cols w:equalWidth="0" w:num="2">
            <w:col w:w="6060" w:space="720"/>
            <w:col w:w="3360"/>
          </w:cols>
          <w:pgMar w:left="840" w:top="665" w:right="919" w:bottom="1440" w:gutter="0" w:footer="0" w:header="0"/>
          <w:type w:val="continuous"/>
        </w:sectPr>
      </w:pPr>
    </w:p>
    <w:p>
      <w:pPr>
        <w:ind w:left="678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10140"/>
          </w:cols>
          <w:pgMar w:left="840" w:top="665" w:right="919" w:bottom="1440" w:gutter="0" w:footer="0" w:header="0"/>
          <w:type w:val="continuous"/>
        </w:sectPr>
      </w:pPr>
    </w:p>
    <w:p>
      <w:pPr>
        <w:spacing w:after="0" w:line="110" w:lineRule="exact"/>
        <w:rPr>
          <w:sz w:val="24"/>
          <w:szCs w:val="24"/>
          <w:color w:val="auto"/>
        </w:rPr>
      </w:pPr>
    </w:p>
    <w:p>
      <w:pPr>
        <w:ind w:right="1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$0.001 par value per share, outstanding at May 5, 2021 was 24,631,989.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98425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5" w:right="9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20" w:type="dxa"/>
            <w:vAlign w:val="bottom"/>
            <w:gridSpan w:val="7"/>
          </w:tcPr>
          <w:p>
            <w:pPr>
              <w:jc w:val="center"/>
              <w:ind w:right="2280"/>
              <w:spacing w:after="0"/>
              <w:rPr>
                <w:sz w:val="20"/>
                <w:szCs w:val="20"/>
                <w:color w:val="auto"/>
              </w:rPr>
            </w:pPr>
            <w:r>
              <w:rPr>
                <w:rFonts w:ascii="Arial" w:cs="Arial" w:eastAsia="Arial" w:hAnsi="Arial"/>
                <w:sz w:val="18"/>
                <w:szCs w:val="18"/>
                <w:b w:val="1"/>
                <w:bCs w:val="1"/>
                <w:color w:val="auto"/>
                <w:w w:val="8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9"/>
            <w:vMerge w:val="restart"/>
          </w:tcPr>
          <w:p>
            <w:pPr>
              <w:jc w:val="center"/>
              <w:ind w:right="2000"/>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0" w:type="dxa"/>
            <w:vAlign w:val="bottom"/>
            <w:gridSpan w:val="9"/>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21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Forward Looking Statements</w:t>
              </w:r>
            </w:hyperlink>
          </w:p>
        </w:tc>
        <w:tc>
          <w:tcPr>
            <w:tcW w:w="524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Summary Risk Factors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  Financial Statements (Unaudited)</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Balance Sheets as of March 31, 2021 and December 31, 2020</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Statements of Operations for the three months ended March 31, 2021 and 2020</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gridSpan w:val="17"/>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Statements of Changes in Stockholders’ Equity for the three months ended March 31, 2021 and 2020</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EE"/>
              <w:bottom w:val="single" w:sz="8" w:color="0000EE"/>
            </w:tcBorders>
          </w:tcPr>
          <w:p>
            <w:pPr>
              <w:spacing w:after="0"/>
              <w:rPr>
                <w:sz w:val="17"/>
                <w:szCs w:val="17"/>
                <w:color w:val="auto"/>
              </w:rPr>
            </w:pPr>
          </w:p>
        </w:tc>
        <w:tc>
          <w:tcPr>
            <w:tcW w:w="57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Statements of Cash Flows for the three months ended March 31, 2021 and 2020</w:t>
              </w:r>
            </w:hyperlink>
          </w:p>
        </w:tc>
        <w:tc>
          <w:tcPr>
            <w:tcW w:w="1520" w:type="dxa"/>
            <w:vAlign w:val="bottom"/>
            <w:tcBorders>
              <w:top w:val="single" w:sz="8" w:color="0000EE"/>
            </w:tcBorders>
            <w:gridSpan w:val="2"/>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Financial Statements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  Quantitative and Qualitative Disclosures About Market Risk</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000" w:type="dxa"/>
            <w:vAlign w:val="bottom"/>
            <w:tcBorders>
              <w:left w:val="single" w:sz="8" w:color="0000EE"/>
            </w:tcBorders>
            <w:gridSpan w:val="6"/>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line="20" w:lineRule="exact"/>
              <w:rPr>
                <w:sz w:val="1"/>
                <w:szCs w:val="1"/>
                <w:color w:val="auto"/>
              </w:rPr>
            </w:pPr>
          </w:p>
        </w:tc>
      </w:tr>
      <w:tr>
        <w:trPr>
          <w:trHeight w:val="196"/>
        </w:trPr>
        <w:tc>
          <w:tcPr>
            <w:tcW w:w="800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gridSpan w:val="8"/>
          </w:tcPr>
          <w:p>
            <w:pPr>
              <w:jc w:val="center"/>
              <w:ind w:right="2180"/>
              <w:spacing w:after="0"/>
              <w:rPr>
                <w:sz w:val="20"/>
                <w:szCs w:val="20"/>
                <w:color w:val="auto"/>
              </w:rPr>
            </w:pPr>
            <w:r>
              <w:rPr>
                <w:rFonts w:ascii="Arial" w:cs="Arial" w:eastAsia="Arial" w:hAnsi="Arial"/>
                <w:sz w:val="18"/>
                <w:szCs w:val="18"/>
                <w:b w:val="1"/>
                <w:bCs w:val="1"/>
                <w:color w:val="auto"/>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0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2.  Unregistered Sales of Equity Securities and Use of Proceeds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3.  Defaults Upon Senior Securities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4.  Mine Safety Disclosures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5.</w:t>
              </w:r>
            </w:hyperlink>
          </w:p>
        </w:tc>
        <w:tc>
          <w:tcPr>
            <w:tcW w:w="7340" w:type="dxa"/>
            <w:vAlign w:val="bottom"/>
            <w:gridSpan w:val="1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6.</w:t>
              </w:r>
            </w:hyperlink>
          </w:p>
        </w:tc>
        <w:tc>
          <w:tcPr>
            <w:tcW w:w="7340" w:type="dxa"/>
            <w:vAlign w:val="bottom"/>
            <w:gridSpan w:val="1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74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81">
              <w:r>
                <w:rPr>
                  <w:rFonts w:ascii="Arial" w:cs="Arial" w:eastAsia="Arial" w:hAnsi="Arial"/>
                  <w:sz w:val="18"/>
                  <w:szCs w:val="18"/>
                  <w:color w:val="0000EE"/>
                  <w:w w:val="85"/>
                </w:rPr>
                <w:t>Signatures</w:t>
              </w:r>
            </w:hyperlink>
          </w:p>
        </w:tc>
        <w:tc>
          <w:tcPr>
            <w:tcW w:w="7240" w:type="dxa"/>
            <w:vAlign w:val="bottom"/>
            <w:gridSpan w:val="1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299" w:firstLine="324"/>
        <w:spacing w:after="0" w:line="239"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6" w:lineRule="exact"/>
        <w:rPr>
          <w:sz w:val="20"/>
          <w:szCs w:val="20"/>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BXCL501, BXCL701 and our other product candidates;</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ind w:left="1020" w:right="299"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ind w:left="1020" w:right="199"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ind w:left="1020" w:hanging="32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 for additional financing;</w:t>
      </w:r>
    </w:p>
    <w:p>
      <w:pPr>
        <w:spacing w:after="0" w:line="5" w:lineRule="exact"/>
        <w:rPr>
          <w:rFonts w:ascii="Arial" w:cs="Arial" w:eastAsia="Arial" w:hAnsi="Arial"/>
          <w:sz w:val="16"/>
          <w:szCs w:val="16"/>
          <w:color w:val="auto"/>
        </w:rPr>
      </w:pP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ind w:left="1020" w:hanging="322"/>
        <w:spacing w:after="0" w:line="21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including our preclinical studies and clinical trials: and</w:t>
      </w: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LLC.</w:t>
      </w:r>
    </w:p>
    <w:p>
      <w:pPr>
        <w:spacing w:after="0" w:line="142"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among other things, those listed under “Summary Risk Factors” Part II, Item 1A. “Risk Factors,” and Part I, Item 2. “Management’s Discussion and Analysis of Financial Condition and Results of Operations” and elsewhere in this Quarterly Report on Form 10-Q.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24" w:lineRule="exact"/>
        <w:rPr>
          <w:sz w:val="20"/>
          <w:szCs w:val="20"/>
          <w:color w:val="auto"/>
        </w:rPr>
      </w:pPr>
    </w:p>
    <w:p>
      <w:pPr>
        <w:ind w:left="60" w:right="299" w:firstLine="324"/>
        <w:spacing w:after="0" w:line="238"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50" w:lineRule="exact"/>
        <w:rPr>
          <w:sz w:val="20"/>
          <w:szCs w:val="20"/>
          <w:color w:val="auto"/>
        </w:rPr>
      </w:pPr>
    </w:p>
    <w:p>
      <w:pPr>
        <w:ind w:left="60" w:right="239" w:firstLine="324"/>
        <w:spacing w:after="0" w:line="246" w:lineRule="auto"/>
        <w:rPr>
          <w:sz w:val="20"/>
          <w:szCs w:val="20"/>
          <w:color w:val="auto"/>
        </w:rPr>
      </w:pPr>
      <w:r>
        <w:rPr>
          <w:rFonts w:ascii="Arial" w:cs="Arial" w:eastAsia="Arial" w:hAnsi="Arial"/>
          <w:sz w:val="17"/>
          <w:szCs w:val="17"/>
          <w:color w:val="auto"/>
        </w:rPr>
        <w:t>As used in this Quarterly Report on Form 10-Q, unless otherwise specified or the context otherwise requires, the terms “we,” “our,” “us,” the “Company” or “BTI” refer to BioXcel Therapeutics, Inc. and “BioXcel” or “Parent” refer to the Company’s parent company, BioXcel LLC and its predecessor, BioXcel Corporation. All brand names or trademarks appearing in this Quarterly Report on Form 10-Q are the property of their respective owners.</w:t>
      </w:r>
    </w:p>
    <w:p>
      <w:pPr>
        <w:spacing w:after="0" w:line="130" w:lineRule="exact"/>
        <w:rPr>
          <w:sz w:val="20"/>
          <w:szCs w:val="20"/>
          <w:color w:val="auto"/>
        </w:rPr>
      </w:pPr>
    </w:p>
    <w:p>
      <w:pPr>
        <w:ind w:left="60" w:right="339" w:firstLine="324"/>
        <w:spacing w:after="0" w:line="24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Investors sections of its website at www.bioxceltherapeutics.com. In addition, you may automatically receive email alerts and other information about the Company when you enroll your email address by visiting the “Email Alerts” option under the News / Events menu of the Investors section of ours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left="60" w:right="599" w:firstLine="324"/>
        <w:spacing w:after="0" w:line="311" w:lineRule="auto"/>
        <w:rPr>
          <w:sz w:val="20"/>
          <w:szCs w:val="20"/>
          <w:color w:val="auto"/>
        </w:rPr>
      </w:pPr>
      <w:r>
        <w:rPr>
          <w:rFonts w:ascii="Arial" w:cs="Arial" w:eastAsia="Arial" w:hAnsi="Arial"/>
          <w:sz w:val="16"/>
          <w:szCs w:val="16"/>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49" w:lineRule="exact"/>
        <w:rPr>
          <w:sz w:val="20"/>
          <w:szCs w:val="20"/>
          <w:color w:val="auto"/>
        </w:rPr>
      </w:pPr>
    </w:p>
    <w:p>
      <w:pPr>
        <w:ind w:left="700" w:right="19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rFonts w:ascii="Arial" w:cs="Arial" w:eastAsia="Arial" w:hAnsi="Arial"/>
          <w:sz w:val="18"/>
          <w:szCs w:val="18"/>
          <w:color w:val="auto"/>
        </w:rPr>
      </w:pPr>
    </w:p>
    <w:p>
      <w:pPr>
        <w:ind w:left="700" w:right="71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operating losses since inception and anticipate that we will continue to incur substantial operating losses for the foreseeable future and may never achieve or maintain profitability.</w:t>
      </w:r>
    </w:p>
    <w:p>
      <w:pPr>
        <w:spacing w:after="0" w:line="123" w:lineRule="exact"/>
        <w:rPr>
          <w:rFonts w:ascii="Arial" w:cs="Arial" w:eastAsia="Arial" w:hAnsi="Arial"/>
          <w:sz w:val="16"/>
          <w:szCs w:val="16"/>
          <w:color w:val="auto"/>
        </w:rPr>
      </w:pPr>
    </w:p>
    <w:p>
      <w:pPr>
        <w:ind w:left="700" w:right="59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and if we are unable to raise capital when needed, we could be forced to delay, reduce or eliminate our product development programs or commercialization efforts.</w:t>
      </w:r>
    </w:p>
    <w:p>
      <w:pPr>
        <w:spacing w:after="0" w:line="123" w:lineRule="exact"/>
        <w:rPr>
          <w:rFonts w:ascii="Arial" w:cs="Arial" w:eastAsia="Arial" w:hAnsi="Arial"/>
          <w:sz w:val="16"/>
          <w:szCs w:val="16"/>
          <w:color w:val="auto"/>
        </w:rPr>
      </w:pPr>
    </w:p>
    <w:p>
      <w:pPr>
        <w:ind w:left="700" w:hanging="326"/>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limited experience in drug discovery and drug development, and we have never had a drug approved.</w:t>
      </w:r>
    </w:p>
    <w:p>
      <w:pPr>
        <w:spacing w:after="0" w:line="248" w:lineRule="exact"/>
        <w:rPr>
          <w:rFonts w:ascii="Arial" w:cs="Arial" w:eastAsia="Arial" w:hAnsi="Arial"/>
          <w:sz w:val="16"/>
          <w:szCs w:val="16"/>
          <w:color w:val="auto"/>
        </w:rPr>
      </w:pPr>
    </w:p>
    <w:p>
      <w:pPr>
        <w:ind w:left="700" w:right="219" w:hanging="326"/>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6" w:lineRule="exact"/>
        <w:rPr>
          <w:rFonts w:ascii="Arial" w:cs="Arial" w:eastAsia="Arial" w:hAnsi="Arial"/>
          <w:sz w:val="18"/>
          <w:szCs w:val="18"/>
          <w:color w:val="auto"/>
        </w:rPr>
      </w:pPr>
    </w:p>
    <w:p>
      <w:pPr>
        <w:ind w:left="700" w:right="17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3"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3" w:lineRule="exact"/>
        <w:rPr>
          <w:rFonts w:ascii="Arial" w:cs="Arial" w:eastAsia="Arial" w:hAnsi="Arial"/>
          <w:sz w:val="18"/>
          <w:szCs w:val="18"/>
          <w:color w:val="auto"/>
        </w:rPr>
      </w:pPr>
    </w:p>
    <w:p>
      <w:pPr>
        <w:ind w:left="700" w:right="43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are expensive, time-consuming and difficult to design and implement, and involve an uncertain outcome.</w:t>
      </w:r>
    </w:p>
    <w:p>
      <w:pPr>
        <w:spacing w:after="0" w:line="170" w:lineRule="exact"/>
        <w:rPr>
          <w:rFonts w:ascii="Arial" w:cs="Arial" w:eastAsia="Arial" w:hAnsi="Arial"/>
          <w:sz w:val="18"/>
          <w:szCs w:val="18"/>
          <w:color w:val="auto"/>
        </w:rPr>
      </w:pPr>
    </w:p>
    <w:p>
      <w:pPr>
        <w:ind w:left="700" w:right="37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3" w:lineRule="exact"/>
        <w:rPr>
          <w:rFonts w:ascii="Arial" w:cs="Arial" w:eastAsia="Arial" w:hAnsi="Arial"/>
          <w:sz w:val="18"/>
          <w:szCs w:val="18"/>
          <w:color w:val="auto"/>
        </w:rPr>
      </w:pPr>
    </w:p>
    <w:p>
      <w:pPr>
        <w:ind w:left="700" w:right="43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BioXcel’s approach to the discovery and development of product candidates based on EvolverAI is novel and unproven, and we do not know whether we will be able to develop any products of commercial value.</w:t>
      </w:r>
    </w:p>
    <w:p>
      <w:pPr>
        <w:spacing w:after="0" w:line="123" w:lineRule="exact"/>
        <w:rPr>
          <w:rFonts w:ascii="Arial" w:cs="Arial" w:eastAsia="Arial" w:hAnsi="Arial"/>
          <w:sz w:val="16"/>
          <w:szCs w:val="16"/>
          <w:color w:val="auto"/>
        </w:rPr>
      </w:pPr>
    </w:p>
    <w:p>
      <w:pPr>
        <w:ind w:left="700" w:right="259" w:hanging="326"/>
        <w:spacing w:after="0" w:line="25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FDA approval (or clearance, or certification) of a companion diagnostic device, we will not be able to commercialize the product candidate and our ability to generate revenue will be materially impaired.</w:t>
      </w:r>
    </w:p>
    <w:p>
      <w:pPr>
        <w:spacing w:after="0" w:line="187" w:lineRule="exact"/>
        <w:rPr>
          <w:rFonts w:ascii="Arial" w:cs="Arial" w:eastAsia="Arial" w:hAnsi="Arial"/>
          <w:sz w:val="18"/>
          <w:szCs w:val="18"/>
          <w:color w:val="auto"/>
        </w:rPr>
      </w:pPr>
    </w:p>
    <w:p>
      <w:pPr>
        <w:ind w:left="700" w:right="45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pacing w:after="0" w:line="183" w:lineRule="exact"/>
        <w:rPr>
          <w:rFonts w:ascii="Arial" w:cs="Arial" w:eastAsia="Arial" w:hAnsi="Arial"/>
          <w:sz w:val="18"/>
          <w:szCs w:val="18"/>
          <w:color w:val="auto"/>
        </w:rPr>
      </w:pPr>
    </w:p>
    <w:p>
      <w:pPr>
        <w:ind w:left="700" w:right="51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products do not gain market acceptance, our business will suffer because we might not be able to fund future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064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59" w:hanging="326"/>
        <w:spacing w:after="0" w:line="34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we obtain regulatory approvals to commercialize BXCL501, BXCL701 or our other product candidates, our product candidates may not be accepted by physicians or the medical community in general.</w:t>
      </w:r>
    </w:p>
    <w:p>
      <w:pPr>
        <w:spacing w:after="0" w:line="123" w:lineRule="exact"/>
        <w:rPr>
          <w:rFonts w:ascii="Arial" w:cs="Arial" w:eastAsia="Arial" w:hAnsi="Arial"/>
          <w:sz w:val="16"/>
          <w:szCs w:val="16"/>
          <w:color w:val="auto"/>
        </w:rPr>
      </w:pPr>
    </w:p>
    <w:p>
      <w:pPr>
        <w:ind w:left="700" w:hanging="32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 to depend on BioXcel to provide us with certain services for our business.</w:t>
      </w:r>
    </w:p>
    <w:p>
      <w:pPr>
        <w:spacing w:after="0" w:line="225" w:lineRule="exact"/>
        <w:rPr>
          <w:rFonts w:ascii="Arial" w:cs="Arial" w:eastAsia="Arial" w:hAnsi="Arial"/>
          <w:sz w:val="18"/>
          <w:szCs w:val="18"/>
          <w:color w:val="auto"/>
        </w:rPr>
      </w:pPr>
    </w:p>
    <w:p>
      <w:pPr>
        <w:ind w:left="700" w:right="299" w:hanging="326"/>
        <w:spacing w:after="0" w:line="25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92" w:lineRule="exact"/>
        <w:rPr>
          <w:rFonts w:ascii="Arial" w:cs="Arial" w:eastAsia="Arial" w:hAnsi="Arial"/>
          <w:sz w:val="18"/>
          <w:szCs w:val="18"/>
          <w:color w:val="auto"/>
        </w:rPr>
      </w:pPr>
    </w:p>
    <w:p>
      <w:pPr>
        <w:ind w:left="700" w:right="139" w:hanging="32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find third party collaborators to assist or share in the costs of product development could materially harm our business, financial condition and results of operations.</w:t>
      </w:r>
    </w:p>
    <w:p>
      <w:pPr>
        <w:spacing w:after="0" w:line="170" w:lineRule="exact"/>
        <w:rPr>
          <w:rFonts w:ascii="Arial" w:cs="Arial" w:eastAsia="Arial" w:hAnsi="Arial"/>
          <w:sz w:val="18"/>
          <w:szCs w:val="18"/>
          <w:color w:val="auto"/>
        </w:rPr>
      </w:pPr>
    </w:p>
    <w:p>
      <w:pPr>
        <w:ind w:left="700" w:right="199" w:hanging="326"/>
        <w:spacing w:after="0" w:line="263"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1.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BALANCE SHEETS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r>
      <w:tr>
        <w:trPr>
          <w:trHeight w:val="142"/>
        </w:trPr>
        <w:tc>
          <w:tcPr>
            <w:tcW w:w="68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213,119</w:t>
            </w:r>
          </w:p>
        </w:tc>
      </w:tr>
      <w:tr>
        <w:trPr>
          <w:trHeight w:val="216"/>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r>
      <w:tr>
        <w:trPr>
          <w:trHeight w:val="209"/>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217,065</w:t>
            </w: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r>
      <w:tr>
        <w:trPr>
          <w:trHeight w:val="21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6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200,389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219,936</w:t>
            </w:r>
          </w:p>
        </w:tc>
      </w:tr>
      <w:tr>
        <w:trPr>
          <w:trHeight w:val="20"/>
        </w:trPr>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7,469</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Parent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09"/>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r>
      <w:tr>
        <w:trPr>
          <w:trHeight w:val="21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portion of operating lease liability</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r>
      <w:tr>
        <w:trPr>
          <w:trHeight w:val="210"/>
        </w:trPr>
        <w:tc>
          <w:tcPr>
            <w:tcW w:w="6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13,240</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2"/>
        </w:trPr>
        <w:tc>
          <w:tcPr>
            <w:tcW w:w="68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Common stock, $0.001 par value, 50,000 shares authorized; 24,631 and 24,417 shares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 and outstanding as of March 31, 2021 and December 31, 2020, respectively</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2"/>
        </w:trPr>
        <w:tc>
          <w:tcPr>
            <w:tcW w:w="6880" w:type="dxa"/>
            <w:vAlign w:val="bottom"/>
          </w:tcPr>
          <w:p>
            <w:pPr>
              <w:ind w:left="220"/>
              <w:spacing w:after="0" w:line="201" w:lineRule="exact"/>
              <w:rPr>
                <w:sz w:val="20"/>
                <w:szCs w:val="20"/>
                <w:color w:val="auto"/>
              </w:rPr>
            </w:pPr>
            <w:r>
              <w:rPr>
                <w:rFonts w:ascii="Arial" w:cs="Arial" w:eastAsia="Arial" w:hAnsi="Arial"/>
                <w:sz w:val="18"/>
                <w:szCs w:val="18"/>
                <w:color w:val="auto"/>
              </w:rPr>
              <w:t>Preferred stock, $0.001 par value, 10,000 shares authorized; no shares issued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outstanding as of March 31, 2021 and December 31, 2020, respectively</w:t>
            </w: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345,529</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(165,233)</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(138,857)</w:t>
            </w:r>
          </w:p>
        </w:tc>
      </w:tr>
      <w:tr>
        <w:trPr>
          <w:trHeight w:val="210"/>
        </w:trPr>
        <w:tc>
          <w:tcPr>
            <w:tcW w:w="6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206,696</w:t>
            </w:r>
          </w:p>
        </w:tc>
      </w:tr>
      <w:tr>
        <w:trPr>
          <w:trHeight w:val="209"/>
        </w:trPr>
        <w:tc>
          <w:tcPr>
            <w:tcW w:w="688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200,389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219,936</w:t>
            </w:r>
          </w:p>
        </w:tc>
      </w:tr>
      <w:tr>
        <w:trPr>
          <w:trHeight w:val="20"/>
        </w:trPr>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 attributable to common stockholders</w:t>
            </w:r>
          </w:p>
        </w:tc>
        <w:tc>
          <w:tcPr>
            <w:tcW w:w="5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240" w:type="dxa"/>
            <w:vAlign w:val="bottom"/>
            <w:vMerge w:val="continue"/>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94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Paid in</w:t>
            </w:r>
          </w:p>
        </w:tc>
        <w:tc>
          <w:tcPr>
            <w:tcW w:w="1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02"/>
        </w:trPr>
        <w:tc>
          <w:tcPr>
            <w:tcW w:w="4040" w:type="dxa"/>
            <w:vAlign w:val="bottom"/>
          </w:tcPr>
          <w:p>
            <w:pPr>
              <w:ind w:left="20"/>
              <w:spacing w:after="0" w:line="201" w:lineRule="exact"/>
              <w:rPr>
                <w:sz w:val="20"/>
                <w:szCs w:val="20"/>
                <w:color w:val="auto"/>
              </w:rPr>
            </w:pPr>
            <w:r>
              <w:rPr>
                <w:rFonts w:ascii="Arial" w:cs="Arial" w:eastAsia="Arial" w:hAnsi="Arial"/>
                <w:sz w:val="18"/>
                <w:szCs w:val="18"/>
                <w:color w:val="auto"/>
                <w:w w:val="97"/>
              </w:rPr>
              <w:t>Issuance of common stock, net of issuance costs of</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$4,789</w:t>
            </w:r>
          </w:p>
        </w:tc>
        <w:tc>
          <w:tcPr>
            <w:tcW w:w="780" w:type="dxa"/>
            <w:vAlign w:val="bottom"/>
          </w:tcPr>
          <w:p>
            <w:pPr>
              <w:jc w:val="right"/>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68,809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68,811</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Purchase and cancellation of shares from BioXcel</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(9,024)</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(14,911)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(14,911)</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$ 144,165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Paid in</w:t>
            </w:r>
          </w:p>
        </w:tc>
        <w:tc>
          <w:tcPr>
            <w:tcW w:w="1040" w:type="dxa"/>
            <w:vAlign w:val="bottom"/>
            <w:tcBorders>
              <w:bottom w:val="single" w:sz="8" w:color="CCEEFF"/>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24,417</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345,529</w:t>
            </w:r>
          </w:p>
        </w:tc>
        <w:tc>
          <w:tcPr>
            <w:tcW w:w="180" w:type="dxa"/>
            <w:vAlign w:val="bottom"/>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 (138,857)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206,696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(26,376)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(26,376)</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8"/>
                <w:szCs w:val="18"/>
                <w:color w:val="auto"/>
              </w:rPr>
              <w:t>Balance as of March 31,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$ 351,945</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(165,233)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186,737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19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STATEMENTS OF CASH FLOWS</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9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68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(26,376)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(14,911)</w:t>
            </w: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other assets and right of use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16"/>
        </w:trPr>
        <w:tc>
          <w:tcPr>
            <w:tcW w:w="6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Accounts payable, accrued expenses, lease liabilities and other liabilities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r>
      <w:tr>
        <w:trPr>
          <w:trHeight w:val="210"/>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w:t>
            </w:r>
          </w:p>
        </w:tc>
      </w:tr>
      <w:tr>
        <w:trPr>
          <w:trHeight w:val="216"/>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Purchases of equipment and leasehold improvements</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68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68,811</w:t>
            </w: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and cancellation of shares from BioXcel Corporation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r>
      <w:tr>
        <w:trPr>
          <w:trHeight w:val="216"/>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Exercise of stock options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59,826</w:t>
            </w:r>
          </w:p>
        </w:tc>
      </w:tr>
      <w:tr>
        <w:trPr>
          <w:trHeight w:val="216"/>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(19,104)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47,653</w:t>
            </w:r>
          </w:p>
        </w:tc>
      </w:tr>
      <w:tr>
        <w:trPr>
          <w:trHeight w:val="216"/>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the period</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213,119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32,426</w:t>
            </w:r>
          </w:p>
        </w:tc>
      </w:tr>
      <w:tr>
        <w:trPr>
          <w:trHeight w:val="21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the period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194,015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80,079</w:t>
            </w: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2"/>
        </w:trPr>
        <w:tc>
          <w:tcPr>
            <w:tcW w:w="68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Purchases of equipment and leasehold improvements in accounts payable and accrued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ind w:left="60" w:right="299" w:firstLine="324"/>
        <w:spacing w:after="0" w:line="271" w:lineRule="auto"/>
        <w:rPr>
          <w:sz w:val="20"/>
          <w:szCs w:val="20"/>
          <w:color w:val="auto"/>
        </w:rPr>
      </w:pPr>
      <w:r>
        <w:rPr>
          <w:rFonts w:ascii="Arial" w:cs="Arial" w:eastAsia="Arial" w:hAnsi="Arial"/>
          <w:sz w:val="17"/>
          <w:szCs w:val="17"/>
          <w:color w:val="auto"/>
        </w:rPr>
        <w:t>BioXcel Therapeutics, Inc. is a clinical stage biopharmaceutical company focused on drug development that utilizes artificial intelligence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proprietary, orally dissolving, thin film formulation of the adrenergic receptor agonist dexmedetomidine (“Dex”), for the treatment of agitation and opioid withdrawal symptoms, and BXCL701, an orally administered, systemic innate immune activator for the treatment of aggressive forms of prostate cancer and advanced solid tumors that are refractory or treatment naïve to checkpoint inhibitors.</w:t>
      </w:r>
    </w:p>
    <w:p>
      <w:pPr>
        <w:spacing w:after="0" w:line="178" w:lineRule="exact"/>
        <w:rPr>
          <w:sz w:val="20"/>
          <w:szCs w:val="20"/>
          <w:color w:val="auto"/>
        </w:rPr>
      </w:pPr>
    </w:p>
    <w:p>
      <w:pPr>
        <w:ind w:left="60" w:right="599" w:firstLine="324"/>
        <w:spacing w:after="0" w:line="263" w:lineRule="auto"/>
        <w:rPr>
          <w:sz w:val="20"/>
          <w:szCs w:val="20"/>
          <w:color w:val="auto"/>
        </w:rPr>
      </w:pPr>
      <w:r>
        <w:rPr>
          <w:rFonts w:ascii="Arial" w:cs="Arial" w:eastAsia="Arial" w:hAnsi="Arial"/>
          <w:sz w:val="18"/>
          <w:szCs w:val="18"/>
          <w:color w:val="auto"/>
        </w:rPr>
        <w:t>As used in these financial statements, unless otherwise specified or the context otherwise requires, the terms the “Company” or “BTI” refer to BioXcel Therapeutics, Inc., and “BioXcel” or “Parent” refer to BioXcel LLC and, its predecessor, BioXcel Corporation.</w:t>
      </w:r>
    </w:p>
    <w:p>
      <w:pPr>
        <w:spacing w:after="0" w:line="184" w:lineRule="exact"/>
        <w:rPr>
          <w:sz w:val="20"/>
          <w:szCs w:val="20"/>
          <w:color w:val="auto"/>
        </w:rPr>
      </w:pPr>
    </w:p>
    <w:p>
      <w:pPr>
        <w:ind w:left="60" w:right="759" w:firstLine="324"/>
        <w:spacing w:after="0" w:line="308" w:lineRule="auto"/>
        <w:rPr>
          <w:sz w:val="20"/>
          <w:szCs w:val="20"/>
          <w:color w:val="auto"/>
        </w:rPr>
      </w:pPr>
      <w:r>
        <w:rPr>
          <w:rFonts w:ascii="Arial" w:cs="Arial" w:eastAsia="Arial" w:hAnsi="Arial"/>
          <w:sz w:val="17"/>
          <w:szCs w:val="17"/>
          <w:color w:val="auto"/>
        </w:rPr>
        <w:t>The Company is a minority-owned subsidiary of BioXcel and was incorporated under the laws of the State of Delaware on March 29, 2017. The Company’s principal office is in New Haven, Connecticut.</w:t>
      </w:r>
    </w:p>
    <w:p>
      <w:pPr>
        <w:spacing w:after="0" w:line="146"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The Company incurred losses of $26,376 and $14,911 for the quarters ended March 31, 2021 and 2020, respectively. The Company had an accumulated deficit of $165,233 as of March 31, 2021. The Company has funded its operations primarily through the sale of equity securities.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left="60" w:right="219" w:firstLine="648"/>
        <w:spacing w:after="0" w:line="269" w:lineRule="auto"/>
        <w:rPr>
          <w:sz w:val="20"/>
          <w:szCs w:val="20"/>
          <w:color w:val="auto"/>
        </w:rPr>
      </w:pPr>
      <w:r>
        <w:rPr>
          <w:rFonts w:ascii="Arial" w:cs="Arial" w:eastAsia="Arial" w:hAnsi="Arial"/>
          <w:sz w:val="17"/>
          <w:szCs w:val="17"/>
          <w:color w:val="auto"/>
        </w:rPr>
        <w:t>In March 2020, the World Health Organization declared the outbreak of COVID-19, a novel strain of coronavirus, a global pandemic. This outbreak has caused and is continuing to cause major disruptions to businesses and financial markets worldwide. This may affect the Company’s operations and those of third parties on which the Company relies, including causing disruptions in the supply of the Company’s product candidates and the conduct of current and planned preclinical and clinical studies. The Company may need to limit its operations and may experience limitations in employee resources. There are risks that the COVID-19 pandemic may be more difficult to contain than currently anticipated in which case the risks described herein could increase significantly. The extent to which the COVID-19 pandemic impacts the Company’s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85" w:lineRule="exact"/>
        <w:rPr>
          <w:sz w:val="20"/>
          <w:szCs w:val="20"/>
          <w:color w:val="auto"/>
        </w:rPr>
      </w:pPr>
    </w:p>
    <w:p>
      <w:pPr>
        <w:ind w:left="60" w:right="219"/>
        <w:spacing w:after="0" w:line="271" w:lineRule="auto"/>
        <w:rPr>
          <w:sz w:val="20"/>
          <w:szCs w:val="20"/>
          <w:color w:val="auto"/>
        </w:rPr>
      </w:pPr>
      <w:r>
        <w:rPr>
          <w:rFonts w:ascii="Arial" w:cs="Arial" w:eastAsia="Arial" w:hAnsi="Arial"/>
          <w:sz w:val="17"/>
          <w:szCs w:val="17"/>
          <w:color w:val="auto"/>
        </w:rPr>
        <w:t>Additionally, while the potential economic impact brought by, and the duration of, the COVID-19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and clinical studies on a timely basis, or at all. The ultimate impact of COVID-19 is highly uncertain and subject to change. The Company does not yet know the full extent of potential delays or impacts on its business, financing, preclinical and clinical trial activities or the global economy as a whole. However, these effects could have a material, adverse impact on the Company’s liquidity, capital resources, operations and business and those of the third parties on which the Company relies.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left="60" w:right="179" w:firstLine="500"/>
        <w:spacing w:after="0" w:line="269" w:lineRule="auto"/>
        <w:rPr>
          <w:sz w:val="20"/>
          <w:szCs w:val="20"/>
          <w:color w:val="auto"/>
        </w:rPr>
      </w:pPr>
      <w:r>
        <w:rPr>
          <w:rFonts w:ascii="Arial" w:cs="Arial" w:eastAsia="Arial" w:hAnsi="Arial"/>
          <w:sz w:val="17"/>
          <w:szCs w:val="17"/>
          <w:color w:val="auto"/>
        </w:rPr>
        <w:t>The accompanying unaudited financial statements do not include all of the information and footnotes required by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2021, the results of its operations for the three months ended March 31, 2021 and 2020 and its cash flows for the three months ended March 31, 2021 and 2020, respectively. The results for the three months ended March 31, 2021 are not necessarily indicative of results to be expected for the year ending December 31, 2021, any other interim periods or any future year or period. The accompanying unaudited financial statements of the Company should be read in conjunction with the audited financial statements and notes as of and for the year ended December 31, 2020 included in the Company’s Annual Report on Form 10-K for the fiscal year ended December 31, 2020 filed with the Securities and Exchange Commission (the “SEC”) on March 12, 2021.</w:t>
      </w:r>
    </w:p>
    <w:p>
      <w:pPr>
        <w:spacing w:after="0" w:line="179" w:lineRule="exact"/>
        <w:rPr>
          <w:sz w:val="20"/>
          <w:szCs w:val="20"/>
          <w:color w:val="auto"/>
        </w:rPr>
      </w:pPr>
    </w:p>
    <w:p>
      <w:pPr>
        <w:ind w:left="60" w:right="139" w:firstLine="500"/>
        <w:spacing w:after="0" w:line="257"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amounts reported in the financial statements and notes thereto. The Company believes that its existing cash and cash equivalents will be sufficient to cover its cash flow requirements for at least the next twelve months from the issuance of these financial statements. However the Company’s future requirements may change and will depend on numerous factors.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The preparation of our financial statements requires us to make estimates, judgments and assumptions that may affect the reported amounts of assets, liabilities, equity and expenses. We base our estimates on historical experience and on various other assumptions that we believe are reasonable, the results of which form the basis for making judgments about the carrying values of assets, liabilities and equity and the amount of expenses.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As of March 31, 2021, cash equivalents were comprised primarily of money market funds. Cash and cash equivalents held at financial institutions may at times exceed federally insured amounts. We believe we mitigate such risk by investing in or through major financial institutions.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Property and equipment are recorded at cost and depreciated and amortized over the shorter of their remaining lease term or their estimated useful life on a straight-line basis as follows:</w:t>
      </w:r>
    </w:p>
    <w:p>
      <w:pPr>
        <w:spacing w:after="0" w:line="170"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Equipment</w:t>
            </w:r>
          </w:p>
        </w:tc>
        <w:tc>
          <w:tcPr>
            <w:tcW w:w="400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Furniture</w:t>
            </w:r>
          </w:p>
        </w:tc>
        <w:tc>
          <w:tcPr>
            <w:tcW w:w="400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00" w:type="dxa"/>
            <w:vAlign w:val="bottom"/>
          </w:tcPr>
          <w:p>
            <w:pPr>
              <w:jc w:val="right"/>
              <w:spacing w:after="0"/>
              <w:rPr>
                <w:sz w:val="20"/>
                <w:szCs w:val="20"/>
                <w:color w:val="auto"/>
              </w:rPr>
            </w:pPr>
            <w:r>
              <w:rPr>
                <w:rFonts w:ascii="Arial" w:cs="Arial" w:eastAsia="Arial" w:hAnsi="Arial"/>
                <w:sz w:val="18"/>
                <w:szCs w:val="18"/>
                <w:color w:val="auto"/>
              </w:rPr>
              <w:t>Lesser of life of improvement or lease term</w:t>
            </w:r>
          </w:p>
        </w:tc>
      </w:tr>
    </w:tbl>
    <w:p>
      <w:pPr>
        <w:spacing w:after="0" w:line="202" w:lineRule="exact"/>
        <w:rPr>
          <w:sz w:val="20"/>
          <w:szCs w:val="20"/>
          <w:color w:val="auto"/>
        </w:rPr>
      </w:pPr>
    </w:p>
    <w:p>
      <w:pPr>
        <w:jc w:val="both"/>
        <w:ind w:left="60" w:right="459" w:firstLine="324"/>
        <w:spacing w:after="0" w:line="311" w:lineRule="auto"/>
        <w:rPr>
          <w:sz w:val="20"/>
          <w:szCs w:val="20"/>
          <w:color w:val="auto"/>
        </w:rPr>
      </w:pPr>
      <w:r>
        <w:rPr>
          <w:rFonts w:ascii="Arial" w:cs="Arial" w:eastAsia="Arial" w:hAnsi="Arial"/>
          <w:sz w:val="16"/>
          <w:szCs w:val="16"/>
          <w:color w:val="auto"/>
        </w:rPr>
        <w:t>Expenditures for maintenance and repairs which do not improve or extend the useful lives of respective assets are expensed as incurred. When assets are sold or retired, the related cost and accumulated depreciation are removed from their respective accounts and any resulting gain or loss is include income (loss) from operations.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 xml:space="preserve">The Company follows the guidance provided by the Financial Accounting Standards Board (“FASB”) ASC Topic 360-10,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balance sheet.</w:t>
      </w:r>
    </w:p>
    <w:p>
      <w:pPr>
        <w:spacing w:after="0" w:line="170" w:lineRule="exact"/>
        <w:rPr>
          <w:sz w:val="20"/>
          <w:szCs w:val="20"/>
          <w:color w:val="auto"/>
        </w:rPr>
      </w:pPr>
    </w:p>
    <w:p>
      <w:pPr>
        <w:ind w:left="60" w:right="219" w:firstLine="324"/>
        <w:spacing w:after="0" w:line="270"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our lease did not provide an implicit rate, we used an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Our lease terms may include options to extend or terminate the lease when it is reasonably certain that we will exercise that option. Renewal options were not included in our calculation of the related asset and liability. Lease expense for lease payments is recognized on a straight-line basis over the lease term.</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The Company accounts for stock-based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which requires the measurement and recognition of compensation expense based on estimated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values for all share-based awards made to employees, directors, and non-employees, including stock options. The Company’s 2017 Equity Incentive Plan (the “2017 Plan”) became effective in August 2017. The Company’s 2020 Incentive Award Plan (the “2020 Plan”) became effective in May 2020. Following the effective date of the Company's 2020 Plan, the Company ceased granting awards under the 2017 Plan, however the terms and conditions of the 2017 Plan continue to govern any outstanding awards granted thereunder.</w:t>
      </w:r>
    </w:p>
    <w:p>
      <w:pPr>
        <w:spacing w:after="0" w:line="177"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8" w:lineRule="exact"/>
        <w:rPr>
          <w:sz w:val="20"/>
          <w:szCs w:val="20"/>
          <w:color w:val="auto"/>
        </w:rPr>
      </w:pPr>
    </w:p>
    <w:p>
      <w:pPr>
        <w:ind w:left="60" w:right="279" w:firstLine="324"/>
        <w:spacing w:after="0" w:line="254" w:lineRule="auto"/>
        <w:rPr>
          <w:sz w:val="20"/>
          <w:szCs w:val="20"/>
          <w:color w:val="auto"/>
        </w:rPr>
      </w:pPr>
      <w:r>
        <w:rPr>
          <w:rFonts w:ascii="Arial" w:cs="Arial" w:eastAsia="Arial" w:hAnsi="Arial"/>
          <w:sz w:val="18"/>
          <w:szCs w:val="18"/>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projected employee stock option exercise behaviors. The value of the award is recognized as an expense in the statement of operations over the requisite service period. The periodic expense is then determined based on the valuation of the options. The Company has elected to account for forfeitures as they occur, by reversing compensation cost when the award is forfeited.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the Company’s research and development activities. At the end of the reporting period, the Company compares payments made to third party service providers to the estimated progress toward completion of the research or development objectives. Depending on the timing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payments to the service providers and the progress that the Company estimates has been made as a result of the service provided, the Company may record net prepaid or accrued expense relating to these costs. Such estimates are subject to change as additional information becomes available. The Company expenses research and development costs as incurred.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Expenses Accrued Under Contractual Arrangements</w:t>
      </w:r>
    </w:p>
    <w:p>
      <w:pPr>
        <w:spacing w:after="0" w:line="229" w:lineRule="exact"/>
        <w:rPr>
          <w:sz w:val="20"/>
          <w:szCs w:val="20"/>
          <w:color w:val="auto"/>
        </w:rPr>
      </w:pPr>
    </w:p>
    <w:p>
      <w:pPr>
        <w:ind w:left="60" w:right="259" w:firstLine="324"/>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166"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We base our expenses related to clinical trials on our estimates of the services received and efforts expended pursuant to contracts with multiple research institutions and contract research organizations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we estimate the time period over which services will be performed and the level of effort to be expended in each period, which is based on an established protocol specific to each clinical trial.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left="60" w:right="699"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The Company applies the provisions of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for financial assets and liabilities measured on a recurring basis which requires disclosure that establishes a framework for measuring fair value.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ASC 820 requires that fair value measurements be classified and disclosed in one of three categories:</w:t>
      </w:r>
    </w:p>
    <w:p>
      <w:pPr>
        <w:spacing w:after="0" w:line="168"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factors, are corroborated by readily observable data from actively quoted markets for substantially the full term of the financial instrument.</w:t>
      </w:r>
    </w:p>
    <w:p>
      <w:pPr>
        <w:spacing w:after="0" w:line="170"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4"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4"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The carrying amounts of cash and accounts payable approximate fair value due to the short-term nature of these instruments.</w:t>
      </w:r>
    </w:p>
    <w:p>
      <w:pPr>
        <w:spacing w:after="0" w:line="170" w:lineRule="exact"/>
        <w:rPr>
          <w:sz w:val="20"/>
          <w:szCs w:val="20"/>
          <w:color w:val="auto"/>
        </w:rPr>
      </w:pPr>
    </w:p>
    <w:p>
      <w:pPr>
        <w:ind w:left="60" w:right="479" w:firstLine="324"/>
        <w:spacing w:after="0" w:line="311" w:lineRule="auto"/>
        <w:rPr>
          <w:sz w:val="20"/>
          <w:szCs w:val="20"/>
          <w:color w:val="auto"/>
        </w:rPr>
      </w:pPr>
      <w:r>
        <w:rPr>
          <w:rFonts w:ascii="Arial" w:cs="Arial" w:eastAsia="Arial" w:hAnsi="Arial"/>
          <w:sz w:val="16"/>
          <w:szCs w:val="16"/>
          <w:color w:val="auto"/>
        </w:rPr>
        <w:t>As of March 31, 2021 and December 31, 2020, the Company had $189,572 and $212,562, respectively, in money market accounts (included in cash and cash equivalents) which was valued based on Level 1 inputs. There were no transfers between levels within the hierarchy during the three months ended March 31, 2021 and 2020.</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Basic earnings (loss) per share (“EPS”) is calculated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left="60" w:right="239" w:firstLine="324"/>
        <w:spacing w:after="0" w:line="279" w:lineRule="auto"/>
        <w:rPr>
          <w:sz w:val="20"/>
          <w:szCs w:val="20"/>
          <w:color w:val="auto"/>
        </w:rPr>
      </w:pPr>
      <w:r>
        <w:rPr>
          <w:rFonts w:ascii="Arial" w:cs="Arial" w:eastAsia="Arial" w:hAnsi="Arial"/>
          <w:sz w:val="17"/>
          <w:szCs w:val="17"/>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our chief operating decision maker has made such decisions and assessed performance at the company level as one segment.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w:t>
      </w:r>
    </w:p>
    <w:p>
      <w:pPr>
        <w:spacing w:after="0" w:line="46" w:lineRule="exact"/>
        <w:rPr>
          <w:sz w:val="20"/>
          <w:szCs w:val="20"/>
          <w:color w:val="auto"/>
        </w:rPr>
      </w:pPr>
    </w:p>
    <w:p>
      <w:pPr>
        <w:ind w:left="60" w:right="259" w:hanging="10"/>
        <w:spacing w:after="0" w:line="267" w:lineRule="auto"/>
        <w:tabs>
          <w:tab w:leader="none" w:pos="34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and Derivatives and Hedging – Contracts in Entity’s Own Equity (Subtopic: 815-40): Accounting for Convertible Instruments and Contracts in an Entity’s Own Equity (“ASU 2020-06”). </w:t>
      </w:r>
      <w:r>
        <w:rPr>
          <w:rFonts w:ascii="Arial" w:cs="Arial" w:eastAsia="Arial" w:hAnsi="Arial"/>
          <w:sz w:val="17"/>
          <w:szCs w:val="17"/>
          <w:color w:val="auto"/>
        </w:rPr>
        <w:t>ASU No. 2020-06 simplifies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financial instruments with characteristics of liabilities and equity, including convertible instruments and contracts on an entity’s own equity. Key provisions include (i) the removal of separation models in ASC 470-20 for convertible instruments; (ii) expanded disclosures about the terms and features of convertible instruments; (iii) removed certain conditions for equity classification; and (iv) updated earnings per share calculation with respects to convertible instruments, share settlement presumption, down round features and the earnings per share denominator. ASU No. 2020-06 is effective for annual and interim reporting periods beginning after December 15, 2021, and the guidance is to be applied using the full or modified retrospective approach. Earlier adoption is permitted for annual and interim reporting periods beginning after December 15, 2020. The Company does not expect that the adoption of ASU No. 2020-06 will have a material impact on its financial statements.</w:t>
      </w:r>
    </w:p>
    <w:p>
      <w:pPr>
        <w:spacing w:after="0" w:line="186"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In December 2019, the FASB issued ASU No. 2019-12</w:t>
      </w:r>
      <w:r>
        <w:rPr>
          <w:rFonts w:ascii="Arial" w:cs="Arial" w:eastAsia="Arial" w:hAnsi="Arial"/>
          <w:sz w:val="16"/>
          <w:szCs w:val="16"/>
          <w:i w:val="1"/>
          <w:iCs w:val="1"/>
          <w:color w:val="auto"/>
        </w:rPr>
        <w:t>, Income Taxes (Topic 740)</w:t>
      </w:r>
      <w:r>
        <w:rPr>
          <w:rFonts w:ascii="Arial" w:cs="Arial" w:eastAsia="Arial" w:hAnsi="Arial"/>
          <w:sz w:val="16"/>
          <w:szCs w:val="16"/>
          <w:color w:val="auto"/>
        </w:rPr>
        <w:t xml:space="preserve"> which amends the existing guidance relating to the accounting for income taxes. ASU No. 2019-12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ASU No. 2019-12 is effective for interim and annual periods beginning after December 15, 2020.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Company adopted ASU No. 2019-12 effective January 1, 2021. The adoption of ASU No. 2019-12 did not have a material impact on the Company’s financial statements.</w:t>
      </w:r>
    </w:p>
    <w:p>
      <w:pPr>
        <w:spacing w:after="0" w:line="170"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350-40): Customer’s Accounting for Implementation Costs Incurred in a Cloud Computing Arrangement That Is a Service Contract</w:t>
      </w:r>
      <w:r>
        <w:rPr>
          <w:rFonts w:ascii="Arial" w:cs="Arial" w:eastAsia="Arial" w:hAnsi="Arial"/>
          <w:sz w:val="18"/>
          <w:szCs w:val="18"/>
          <w:color w:val="auto"/>
        </w:rPr>
        <w:t>. We adopted this standard effective January 1, 2020. ASU No. 2018-15 requires that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for cloud computing arrangements are capitalized and amortized over the term of associated hosted cloud computing arrangement service and that capitalized implementation costs are classified in prepaid expenses and other assets. ASO No. 2018-15 also provides classification guidance on these implementation costs as well as additional quantitative and qualitative disclosures. The adoption of ASU No. 2018-15 did not have an effect on the Company’s financial statements.</w:t>
      </w:r>
    </w:p>
    <w:p>
      <w:pPr>
        <w:spacing w:after="0" w:line="192" w:lineRule="exact"/>
        <w:rPr>
          <w:sz w:val="20"/>
          <w:szCs w:val="20"/>
          <w:color w:val="auto"/>
        </w:rPr>
      </w:pPr>
    </w:p>
    <w:p>
      <w:pPr>
        <w:ind w:left="60" w:right="299" w:firstLine="648"/>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and subsequent amendments to the initial guidance: ASU 2018-19, ASU 2019-04 and ASU 2019-05 (collectively, “Topic 326”). </w:t>
      </w:r>
      <w:r>
        <w:rPr>
          <w:rFonts w:ascii="Arial" w:cs="Arial" w:eastAsia="Arial" w:hAnsi="Arial"/>
          <w:sz w:val="16"/>
          <w:szCs w:val="16"/>
          <w:color w:val="auto"/>
        </w:rPr>
        <w:t>Topic 326 requires measurement and recognition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expected credit losses for financial assets held. Topic 326 was to be effective for reporting periods beginning after December 15, 2019, with early adoption permitted. In November 2019, the FASB issued ASU 2019-10,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 Credit Losses (Topic 326), Derivatives and Hedging (Topic 815), and Leases (Topic 842) Effective Dates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deferred the effective dates for the Company, until fiscal year 2023. The Company does not expect that the adoption of ASU No. 2016-13 will have a material impact on its financial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Financing Activities</w:t>
      </w:r>
    </w:p>
    <w:p>
      <w:pPr>
        <w:spacing w:after="0" w:line="229" w:lineRule="exact"/>
        <w:rPr>
          <w:sz w:val="20"/>
          <w:szCs w:val="20"/>
          <w:color w:val="auto"/>
        </w:rPr>
      </w:pPr>
    </w:p>
    <w:p>
      <w:pPr>
        <w:jc w:val="both"/>
        <w:ind w:left="60" w:right="439" w:firstLine="324"/>
        <w:spacing w:after="0" w:line="286" w:lineRule="auto"/>
        <w:rPr>
          <w:sz w:val="20"/>
          <w:szCs w:val="20"/>
          <w:color w:val="auto"/>
        </w:rPr>
      </w:pPr>
      <w:r>
        <w:rPr>
          <w:rFonts w:ascii="Arial" w:cs="Arial" w:eastAsia="Arial" w:hAnsi="Arial"/>
          <w:sz w:val="17"/>
          <w:szCs w:val="17"/>
          <w:color w:val="auto"/>
        </w:rPr>
        <w:t>In February 2020, the Company sold in a registered offering 2,300 shares of its common stock at a public offering price of $32.00 per share. The Company received proceeds of $68,811, net of issuance costs of $4,789. The Company used $9,024 of the proceeds to purchase and cancel 300 shares of common stock from BioXcel.</w:t>
      </w:r>
    </w:p>
    <w:p>
      <w:pPr>
        <w:spacing w:after="0" w:line="165"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In July 2020, the Company sold in a registered offering 4,000 shares of its common stock at a public offering price of $50.00. The Company received proceeds of approximately $186,974, net of issuance costs of $13,026. Under the terms of the Underwriting Agreement entered into by the Company in connection with the July 2020 offering, certain stockholders of the Company granted the underwriters an option exercisable for thirty days to purchase up to an additional 600 shares of common stock at the public offering price less underwriting discounts and commissions, which was not exercised. The Company intends to use the net proceeds of the offering to fund ongoing clinical trials, commercialization preparation and for general corporate purposes.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Transactions with BioXcel</w:t>
      </w:r>
    </w:p>
    <w:p>
      <w:pPr>
        <w:spacing w:after="0" w:line="229" w:lineRule="exact"/>
        <w:rPr>
          <w:sz w:val="20"/>
          <w:szCs w:val="20"/>
          <w:color w:val="auto"/>
        </w:rPr>
      </w:pPr>
    </w:p>
    <w:p>
      <w:pPr>
        <w:ind w:left="60" w:right="159" w:firstLine="324"/>
        <w:spacing w:after="0" w:line="283" w:lineRule="auto"/>
        <w:rPr>
          <w:sz w:val="20"/>
          <w:szCs w:val="20"/>
          <w:color w:val="auto"/>
        </w:rPr>
      </w:pPr>
      <w:r>
        <w:rPr>
          <w:rFonts w:ascii="Arial" w:cs="Arial" w:eastAsia="Arial" w:hAnsi="Arial"/>
          <w:sz w:val="16"/>
          <w:szCs w:val="16"/>
          <w:color w:val="auto"/>
        </w:rPr>
        <w:t>The Company has entered into the Amended and Restated Asset Contribution Agreement, pursuant to which BioXcel agreed to contribute BioXcel’s rights, title and interest in BXCL501, BXCL701, BXCL502 and BXCL702, and all of the assets and liabilities associated in consideration for (i) 9,480 shares of our common stock, (ii) $1,000 upon completion of an initial public offering, (iii) $500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proof of concept open label monotherapy or combination trial with Keytruda for the BXCL701 program and (v) a one-time payment of $5,000 within 60 days after the achievement of $50,000 in cumulative net sales of any product or combination of products resulting from the development and commercialization of any one of the Candidates or a product derived therefrom. Upon the completion of the Company’s IPO in March 2018, $1,000 was charged to Research and Development costs in connection with (ii) above and was paid on April 5, 2018. The Company paid $500 to BioXcel in connection with</w:t>
      </w:r>
    </w:p>
    <w:p>
      <w:pPr>
        <w:spacing w:after="0" w:line="4" w:lineRule="exact"/>
        <w:rPr>
          <w:sz w:val="20"/>
          <w:szCs w:val="20"/>
          <w:color w:val="auto"/>
        </w:rPr>
      </w:pPr>
    </w:p>
    <w:p>
      <w:pPr>
        <w:ind w:left="60" w:right="279" w:hanging="10"/>
        <w:spacing w:after="0" w:line="323" w:lineRule="auto"/>
        <w:tabs>
          <w:tab w:leader="none" w:pos="375" w:val="left"/>
        </w:tabs>
        <w:numPr>
          <w:ilvl w:val="0"/>
          <w:numId w:val="7"/>
        </w:numPr>
        <w:rPr>
          <w:rFonts w:ascii="Arial" w:cs="Arial" w:eastAsia="Arial" w:hAnsi="Arial"/>
          <w:sz w:val="16"/>
          <w:szCs w:val="16"/>
          <w:color w:val="auto"/>
        </w:rPr>
      </w:pPr>
      <w:r>
        <w:rPr>
          <w:rFonts w:ascii="Arial" w:cs="Arial" w:eastAsia="Arial" w:hAnsi="Arial"/>
          <w:sz w:val="16"/>
          <w:szCs w:val="16"/>
          <w:color w:val="auto"/>
        </w:rPr>
        <w:t>above in April 2019. In July 2019, the Company completed the first dosing of a patient in the combination trial of BXCL701 with Keytruda, and as a result the Company paid $500 to BioXcel in connection with (iv) above in July 2019.</w:t>
      </w:r>
    </w:p>
    <w:p>
      <w:pPr>
        <w:spacing w:after="0" w:line="138" w:lineRule="exact"/>
        <w:rPr>
          <w:sz w:val="20"/>
          <w:szCs w:val="20"/>
          <w:color w:val="auto"/>
        </w:rPr>
      </w:pPr>
    </w:p>
    <w:p>
      <w:pPr>
        <w:ind w:left="60" w:right="419" w:firstLine="324"/>
        <w:spacing w:after="0" w:line="342" w:lineRule="auto"/>
        <w:rPr>
          <w:sz w:val="20"/>
          <w:szCs w:val="20"/>
          <w:color w:val="auto"/>
        </w:rPr>
      </w:pPr>
      <w:r>
        <w:rPr>
          <w:rFonts w:ascii="Arial" w:cs="Arial" w:eastAsia="Arial" w:hAnsi="Arial"/>
          <w:sz w:val="16"/>
          <w:szCs w:val="16"/>
          <w:color w:val="auto"/>
        </w:rPr>
        <w:t>The Company entered into a Separation and Shared Services Agreement with BioXcel that took effect on June 30, 2017, as amended and restated, (the “Services Agreement”), pursuant to which services provided by BioXcel through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color w:val="auto"/>
        </w:rPr>
        <w:t>its subsidiaries in India and the United States will continue indefinitely, as agreed upon by the parties. These services are primarily for drug discovery, chemical, manufacturing and controls cost, and administrative support. Service charges recorded under this agreement were $369 and $397 for the three months ended March 31, 2021 and 2020, respectively.</w:t>
      </w:r>
    </w:p>
    <w:p>
      <w:pPr>
        <w:spacing w:after="0" w:line="149" w:lineRule="exact"/>
        <w:rPr>
          <w:sz w:val="20"/>
          <w:szCs w:val="20"/>
          <w:color w:val="auto"/>
        </w:rPr>
      </w:pPr>
    </w:p>
    <w:p>
      <w:pPr>
        <w:ind w:left="60" w:right="179" w:firstLine="324"/>
        <w:spacing w:after="0" w:line="253" w:lineRule="auto"/>
        <w:rPr>
          <w:sz w:val="20"/>
          <w:szCs w:val="20"/>
          <w:color w:val="auto"/>
        </w:rPr>
      </w:pPr>
      <w:r>
        <w:rPr>
          <w:rFonts w:ascii="Arial" w:cs="Arial" w:eastAsia="Arial" w:hAnsi="Arial"/>
          <w:sz w:val="18"/>
          <w:szCs w:val="18"/>
          <w:color w:val="auto"/>
        </w:rPr>
        <w:t>Under the Services Agreement, the Company has an option, exercisable until March 12, 2023, to enter into a collaborative services agreement with BioXcel pursuant to which BioXcel shall perform product identification and related services for us utilizing EvolverAI. As of March 31, 2021, this option has not been exercised. The parties are obligated to negotiate the collaborative services agreement in good faith and to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at least September 30, 2024.</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Earnings (Loss) Per Share</w:t>
      </w:r>
    </w:p>
    <w:p>
      <w:pPr>
        <w:spacing w:after="0" w:line="229"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Basic earnings (loss) per share (“EPS”) is calculated in accordance with ASC 260, “Earnings Per Share,”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 (in thousands, except per share amounts):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6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(numerator)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Weighted-average share, in thousands (denominator)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18,968</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r>
    </w:tbl>
    <w:p>
      <w:pPr>
        <w:spacing w:after="0" w:line="202" w:lineRule="exact"/>
        <w:rPr>
          <w:sz w:val="20"/>
          <w:szCs w:val="20"/>
          <w:color w:val="auto"/>
        </w:rPr>
      </w:pPr>
    </w:p>
    <w:p>
      <w:pPr>
        <w:ind w:left="60" w:right="319" w:firstLine="324"/>
        <w:spacing w:after="0" w:line="308" w:lineRule="auto"/>
        <w:rPr>
          <w:sz w:val="20"/>
          <w:szCs w:val="20"/>
          <w:color w:val="auto"/>
        </w:rPr>
      </w:pPr>
      <w:r>
        <w:rPr>
          <w:rFonts w:ascii="Arial" w:cs="Arial" w:eastAsia="Arial" w:hAnsi="Arial"/>
          <w:sz w:val="17"/>
          <w:szCs w:val="17"/>
          <w:color w:val="auto"/>
        </w:rPr>
        <w:t>Potentially dilutive securities outstanding consists solely of stock options. The Company had options outstanding to purchase 4,072 and 3,063 shares of common stock as of March 31, 2021 and 2020, respectively.</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Property and Equipment,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related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Furniture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09"/>
        </w:trPr>
        <w:tc>
          <w:tcPr>
            <w:tcW w:w="6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10"/>
        </w:trPr>
        <w:tc>
          <w:tcPr>
            <w:tcW w:w="6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expense was $65 and $47 for the three months ended March 31, 2021 and 2020,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130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December 31, 2020</w:t>
            </w:r>
          </w:p>
        </w:tc>
      </w:tr>
      <w:tr>
        <w:trPr>
          <w:trHeight w:val="142"/>
        </w:trPr>
        <w:tc>
          <w:tcPr>
            <w:tcW w:w="5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2,066</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expenses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697</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9"/>
        </w:trPr>
        <w:tc>
          <w:tcPr>
            <w:tcW w:w="57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7,469</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current liabilities as of March 31, 2021 consists of $275 for the current portion of operating lease liabilities.</w:t>
      </w: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Stock-Based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ind w:left="60" w:right="279" w:firstLine="324"/>
        <w:spacing w:after="0" w:line="286" w:lineRule="auto"/>
        <w:rPr>
          <w:sz w:val="20"/>
          <w:szCs w:val="20"/>
          <w:color w:val="auto"/>
        </w:rPr>
      </w:pPr>
      <w:r>
        <w:rPr>
          <w:rFonts w:ascii="Arial" w:cs="Arial" w:eastAsia="Arial" w:hAnsi="Arial"/>
          <w:sz w:val="17"/>
          <w:szCs w:val="17"/>
          <w:color w:val="auto"/>
        </w:rPr>
        <w:t>The Company’s 2017 Plan became effective in August 2017. Following the effective date of the Company's 2020 Plan (as defined below), the Company ceased granting awards under the 2017 Plan, however the terms and conditions of the 2017 Plan continue to govern any outstanding awards granted thereunder.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Incentive Award Plan</w:t>
      </w:r>
    </w:p>
    <w:p>
      <w:pPr>
        <w:spacing w:after="0" w:line="229"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The Company’s 2020 Plan was approved and became effective at the Company’s 2020 annual meeting of Shareholders on May 20, 2020 and unless, earlier terminated by the Board of Directors, will remain in effect until March 26, 2030. The 2020 Plan originally authorized for issuance the sum of (i) 911 shares of the Company’s common stock authorized for issuance and (ii) 233 shares of the Company’s common stock, which represents the number of shares that remained available for issuance under the 2017 Plan immediately prior to the approval of the 2020 Plan by the Company’s shareholders. Any shares of Common Stock under the 2017 Plan immediately prior to the approval of the 2020 Plan by the Company’s stockholders, that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is determined by the Board of Directors. On January 1, 2021, the shares available for issuance under the 2020 Plan increased by 977 shares.</w:t>
      </w:r>
    </w:p>
    <w:p>
      <w:pPr>
        <w:spacing w:after="0" w:line="184"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Options granted under the 2020 Plan have a term of ten years with the vesting schedule determined by the Board of Directors, which is generally four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March 31, 2021, there were 646 shares available to be granted under the 2020 Plan.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A summary of the status of the Company’s stock option activity for the three months ended March 31, 2021 is presented below (in thousands, except per share amounts):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60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Weighted Average</w:t>
            </w:r>
          </w:p>
        </w:tc>
      </w:tr>
      <w:tr>
        <w:trPr>
          <w:trHeight w:val="148"/>
        </w:trPr>
        <w:tc>
          <w:tcPr>
            <w:tcW w:w="57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6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Exercise</w:t>
            </w:r>
          </w:p>
        </w:tc>
      </w:tr>
      <w:tr>
        <w:trPr>
          <w:trHeight w:val="171"/>
        </w:trPr>
        <w:tc>
          <w:tcPr>
            <w:tcW w:w="57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160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Price per Share</w:t>
            </w: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43.01</w:t>
            </w: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w:t>
            </w: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09"/>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0"/>
        </w:trPr>
        <w:tc>
          <w:tcPr>
            <w:tcW w:w="5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as of March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bl>
    <w:p>
      <w:pPr>
        <w:spacing w:after="0" w:line="202"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As of March 31, 2021, the intrinsic value of options outstanding was $101,167. The intrinsic value for stock options is calculated based on the difference between the exercise prices of the underlying awards and the quoted stock price of the Company’s common stock as of the reporting date.</w:t>
      </w:r>
    </w:p>
    <w:p>
      <w:pPr>
        <w:spacing w:after="0" w:line="184"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total intrinsic value of stock options exercised for the three months ended March 31, 2021 and 2020 was $10,232 and $3,152, respectively.</w:t>
      </w:r>
    </w:p>
    <w:p>
      <w:pPr>
        <w:spacing w:after="0" w:line="170"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three months ended March 31, 2021 and 2020 was $33.24 and $11.97,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grant date fair value of options vested at March 31, 2021 was $2.34.</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remaining contractual life is 6.7 years for options exercisable.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The fair value of options granted during the three months ended March 31, 2021 and 2020 was estimated using the Black-Scholes option-pricing model with the following assumptions.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2"/>
              </w:rPr>
              <w:t>For the</w:t>
            </w:r>
          </w:p>
        </w:tc>
        <w:tc>
          <w:tcPr>
            <w:tcW w:w="660" w:type="dxa"/>
            <w:vAlign w:val="bottom"/>
          </w:tcPr>
          <w:p>
            <w:pPr>
              <w:spacing w:after="0"/>
              <w:rPr>
                <w:sz w:val="14"/>
                <w:szCs w:val="14"/>
                <w:color w:val="auto"/>
              </w:rPr>
            </w:pPr>
          </w:p>
        </w:tc>
        <w:tc>
          <w:tcPr>
            <w:tcW w:w="1200" w:type="dxa"/>
            <w:vAlign w:val="bottom"/>
            <w:gridSpan w:val="2"/>
          </w:tcPr>
          <w:p>
            <w:pPr>
              <w:jc w:val="center"/>
              <w:ind w:right="570"/>
              <w:spacing w:after="0"/>
              <w:rPr>
                <w:sz w:val="20"/>
                <w:szCs w:val="20"/>
                <w:color w:val="auto"/>
              </w:rPr>
            </w:pPr>
            <w:r>
              <w:rPr>
                <w:rFonts w:ascii="Arial" w:cs="Arial" w:eastAsia="Arial" w:hAnsi="Arial"/>
                <w:sz w:val="14"/>
                <w:szCs w:val="14"/>
                <w:b w:val="1"/>
                <w:bCs w:val="1"/>
                <w:color w:val="auto"/>
                <w:w w:val="96"/>
              </w:rPr>
              <w:t>For the</w:t>
            </w:r>
          </w:p>
        </w:tc>
      </w:tr>
      <w:tr>
        <w:trPr>
          <w:trHeight w:val="148"/>
        </w:trPr>
        <w:tc>
          <w:tcPr>
            <w:tcW w:w="5040" w:type="dxa"/>
            <w:vAlign w:val="bottom"/>
          </w:tcPr>
          <w:p>
            <w:pPr>
              <w:spacing w:after="0"/>
              <w:rPr>
                <w:sz w:val="12"/>
                <w:szCs w:val="12"/>
                <w:color w:val="auto"/>
              </w:rPr>
            </w:pPr>
          </w:p>
        </w:tc>
        <w:tc>
          <w:tcPr>
            <w:tcW w:w="19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5040" w:type="dxa"/>
            <w:vAlign w:val="bottom"/>
          </w:tcPr>
          <w:p>
            <w:pPr>
              <w:spacing w:after="0"/>
              <w:rPr>
                <w:sz w:val="14"/>
                <w:szCs w:val="14"/>
                <w:color w:val="auto"/>
              </w:rPr>
            </w:pPr>
          </w:p>
        </w:tc>
        <w:tc>
          <w:tcPr>
            <w:tcW w:w="1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March 31, 2021</w:t>
            </w: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March 31, 2020</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10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4"/>
              </w:rPr>
              <w:t>5.50 years -</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6.25 years</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96"/>
              </w:rPr>
              <w:t>6.25 years -</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6.25 years</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660" w:type="dxa"/>
            <w:vAlign w:val="bottom"/>
          </w:tcPr>
          <w:p>
            <w:pPr>
              <w:jc w:val="right"/>
              <w:spacing w:after="0"/>
              <w:rPr>
                <w:sz w:val="20"/>
                <w:szCs w:val="20"/>
                <w:color w:val="auto"/>
              </w:rPr>
            </w:pPr>
            <w:r>
              <w:rPr>
                <w:rFonts w:ascii="Arial" w:cs="Arial" w:eastAsia="Arial" w:hAnsi="Arial"/>
                <w:sz w:val="18"/>
                <w:szCs w:val="18"/>
                <w:color w:val="auto"/>
                <w:w w:val="90"/>
              </w:rPr>
              <w:t>95.00 %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- 98.00 %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7"/>
              </w:rPr>
              <w:t>79.02 %</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- 80.54 %</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interest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36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6"/>
              </w:rPr>
              <w:t>1.22 %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36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2.34 %</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Expected dividend</w:t>
            </w:r>
          </w:p>
        </w:tc>
        <w:tc>
          <w:tcPr>
            <w:tcW w:w="660" w:type="dxa"/>
            <w:vAlign w:val="bottom"/>
          </w:tcPr>
          <w:p>
            <w:pPr>
              <w:jc w:val="right"/>
              <w:spacing w:after="0"/>
              <w:rPr>
                <w:sz w:val="20"/>
                <w:szCs w:val="20"/>
                <w:color w:val="auto"/>
              </w:rPr>
            </w:pPr>
            <w:r>
              <w:rPr>
                <w:rFonts w:ascii="Arial" w:cs="Arial" w:eastAsia="Arial" w:hAnsi="Arial"/>
                <w:sz w:val="18"/>
                <w:szCs w:val="18"/>
                <w:color w:val="auto"/>
              </w:rPr>
              <w:t>0.0 %</w:t>
            </w:r>
          </w:p>
        </w:tc>
        <w:tc>
          <w:tcPr>
            <w:tcW w:w="36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0.0 %</w:t>
            </w:r>
          </w:p>
        </w:tc>
        <w:tc>
          <w:tcPr>
            <w:tcW w:w="36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60" w:right="239" w:firstLine="324"/>
        <w:spacing w:after="0" w:line="269" w:lineRule="auto"/>
        <w:rPr>
          <w:sz w:val="20"/>
          <w:szCs w:val="20"/>
          <w:color w:val="auto"/>
        </w:rPr>
      </w:pPr>
      <w:r>
        <w:rPr>
          <w:rFonts w:ascii="Arial" w:cs="Arial" w:eastAsia="Arial" w:hAnsi="Arial"/>
          <w:sz w:val="17"/>
          <w:szCs w:val="17"/>
          <w:color w:val="auto"/>
        </w:rPr>
        <w:t>Prior to the Company’s IPO, it did not have a history of market prices of its common stock and, as such, volatility was estimated using historical volatilities of similar public companies. In 2021, the Company began using a combination of the historical volatility of similar public companies and the limited historical information related to the Company’s common stock.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color w:val="auto"/>
        </w:rPr>
        <w:t>Unrecognized compensation expense related to unvested awards as of March 31, 2021 was $35,099 and will be recognized over the remaining vesting periods of the underlying awards. The weighted-average period over which such compensation is expected to be recognized is 1.9 years.</w:t>
      </w:r>
    </w:p>
    <w:p>
      <w:pPr>
        <w:spacing w:after="0" w:line="184"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Total stock-based compensation charges were approximately $5,565 and $776 for the three months ended March 31, 2021 and 2020, respectively. The Company charged $2,032 and $3,533 to research and development and general and administrative expense for the three months ended March 31, 2021, respectively. The Company charged $466 and $310 to research and development and general and administrative expense for the three months ended March 31, 2020,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Employee Stock Purchase Plan</w:t>
      </w:r>
    </w:p>
    <w:p>
      <w:pPr>
        <w:spacing w:after="0" w:line="229"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Company’s 2020 Employee Stock Purchase Plan (the “ESPP”) was also approved and became effective at the Company’s 2020 annual meeting of Shareholders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market value of a share on the first trading day or on the last trading day of the applicable offering period, whichever is lower. On January 1, 2021, the shares available for issuance under the 2020 ESPP increased by 244 shares. To date, no shares have been sold under the ESPP.</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Leases</w:t>
      </w:r>
    </w:p>
    <w:p>
      <w:pPr>
        <w:spacing w:after="0" w:line="202" w:lineRule="exact"/>
        <w:rPr>
          <w:sz w:val="20"/>
          <w:szCs w:val="20"/>
          <w:color w:val="auto"/>
        </w:rPr>
      </w:pPr>
    </w:p>
    <w:p>
      <w:pPr>
        <w:jc w:val="both"/>
        <w:ind w:left="60" w:right="339" w:firstLine="324"/>
        <w:spacing w:after="0" w:line="235" w:lineRule="auto"/>
        <w:rPr>
          <w:sz w:val="20"/>
          <w:szCs w:val="20"/>
          <w:color w:val="auto"/>
        </w:rPr>
      </w:pPr>
      <w:r>
        <w:rPr>
          <w:rFonts w:ascii="Arial" w:cs="Arial" w:eastAsia="Arial" w:hAnsi="Arial"/>
          <w:sz w:val="18"/>
          <w:szCs w:val="18"/>
          <w:color w:val="auto"/>
        </w:rPr>
        <w:t>In August 2018, the Company entered into an agreement to lease approximately 11,040 square feet of space on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the building located at 555 Long Wharf Drive, New Haven, Connecticut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which was effective February 22, 2019.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expires in February 2026.</w:t>
      </w:r>
    </w:p>
    <w:p>
      <w:pPr>
        <w:spacing w:after="0" w:line="76" w:lineRule="exact"/>
        <w:rPr>
          <w:sz w:val="20"/>
          <w:szCs w:val="20"/>
          <w:color w:val="auto"/>
        </w:rPr>
      </w:pPr>
    </w:p>
    <w:p>
      <w:pPr>
        <w:ind w:left="60" w:right="459" w:firstLine="324"/>
        <w:spacing w:after="0" w:line="238" w:lineRule="auto"/>
        <w:rPr>
          <w:sz w:val="20"/>
          <w:szCs w:val="20"/>
          <w:color w:val="auto"/>
        </w:rPr>
      </w:pPr>
      <w:r>
        <w:rPr>
          <w:rFonts w:ascii="Arial" w:cs="Arial" w:eastAsia="Arial" w:hAnsi="Arial"/>
          <w:sz w:val="16"/>
          <w:szCs w:val="16"/>
          <w:color w:val="auto"/>
        </w:rPr>
        <w:t>In August 2020, the Company entered into an amendment to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wherein the Company leased an additional 7,245 square feet of space on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of the building located at 555 Long Wharf Drive, New Haven, Connecticut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Amendment”).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Amendment expires in February 2026.</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future minimum annual lease payments under these operating leases as of March 31, 2021 are as follows: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 of lease liability</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operating lease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$275 as of March 31, 2021 is included in other current liabilities on the balance sheet.</w:t>
      </w:r>
    </w:p>
    <w:p>
      <w:pPr>
        <w:spacing w:after="0" w:line="143"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The Company recorded lease expense of $109 and $54 related to its operating lease right-of-use asset for the three months ended March 31, 2021 and 2020, respectively.</w:t>
      </w:r>
    </w:p>
    <w:p>
      <w:pPr>
        <w:spacing w:after="0" w:line="130"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Company has an option to renew the leases for one additional five-year term at 95% of the then-prevailing market rates but not less than the rental rate at the end of the initial lease term.</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left="60" w:right="199" w:firstLine="324"/>
        <w:spacing w:after="0" w:line="313" w:lineRule="auto"/>
        <w:rPr>
          <w:sz w:val="20"/>
          <w:szCs w:val="20"/>
          <w:color w:val="auto"/>
        </w:rPr>
      </w:pPr>
      <w:r>
        <w:rPr>
          <w:rFonts w:ascii="Arial" w:cs="Arial" w:eastAsia="Arial" w:hAnsi="Arial"/>
          <w:sz w:val="16"/>
          <w:szCs w:val="16"/>
          <w:color w:val="auto"/>
        </w:rPr>
        <w:t>From time to time, in the ordinary course of business, the Company may be subject to litigation and regulatory examinations as well as information gathering requests, inquiries and/or investigations. The Company is not currently subject to any matters where it believes there is a reasonable possibility that a material loss may be incurred. As of March 31, 2021, there were no matters which would have a material impact on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60" w:right="239" w:firstLine="324"/>
        <w:spacing w:after="0" w:line="28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appearing elsewhere in this Quarterly Report on Form 10-Q and the audited financial statements and related notes contained in our Annual Report on Form 10-K for the year ended December 31, 2020. Some of the information contained in this discussion and analysis or set forth elsewhere in this Quarterly Report, such as information with respect to our plans and strategy for our business and expectations related to the clinical development of our product candidates, includes forward-looking statements that involve risks and uncertainties. As a result of many factors, including those factors set forth in the “Summary Risk Factors” and “Risk Factors” sections of this Quarterly Report, our actual results could differ materially from the results described in, or implied by, the forward-looking statements contained in the following discussion and analysis. All dollar amounts in the below Management’s Discussion and Analysis of Financial Condition and Results of Operations are presented in U.S. dollars, and all dollar amounts are presented in thousands, unless otherwise noted or the context otherwise provides.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We are a clinical stage biopharmaceutical company utilizing artificial intelligence approaches to develop transformative medicines in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a substantial unmet medical need.</w:t>
      </w:r>
    </w:p>
    <w:p>
      <w:pPr>
        <w:spacing w:after="0" w:line="176" w:lineRule="exact"/>
        <w:rPr>
          <w:sz w:val="20"/>
          <w:szCs w:val="20"/>
          <w:color w:val="auto"/>
        </w:rPr>
      </w:pPr>
    </w:p>
    <w:p>
      <w:pPr>
        <w:ind w:left="60" w:right="219" w:firstLine="324"/>
        <w:spacing w:after="0" w:line="257" w:lineRule="auto"/>
        <w:rPr>
          <w:sz w:val="20"/>
          <w:szCs w:val="20"/>
          <w:color w:val="auto"/>
        </w:rPr>
      </w:pPr>
      <w:r>
        <w:rPr>
          <w:rFonts w:ascii="Arial" w:cs="Arial" w:eastAsia="Arial" w:hAnsi="Arial"/>
          <w:sz w:val="18"/>
          <w:szCs w:val="18"/>
          <w:color w:val="auto"/>
        </w:rPr>
        <w:t>Our two most advanced clinical development programs are BXCL501, an investigational proprietary, orally dissolving, thin film formulation of the adrenergic receptor agonist dexmedetomidine (“Dex”), for the treatment of agitation resulting from neuropsychiatric disorders, and BXCL701, an investigational orally administered systemic innate immune activator for the treatment of a rare form of prostate cancer and advanced solid tumors that are refractory or treatment naïve to checkpoint inhibitors.</w:t>
      </w:r>
    </w:p>
    <w:p>
      <w:pPr>
        <w:spacing w:after="0" w:line="188" w:lineRule="exact"/>
        <w:rPr>
          <w:sz w:val="20"/>
          <w:szCs w:val="20"/>
          <w:color w:val="auto"/>
        </w:rPr>
      </w:pPr>
    </w:p>
    <w:p>
      <w:pPr>
        <w:ind w:left="60" w:right="339" w:firstLine="324"/>
        <w:spacing w:after="0" w:line="293" w:lineRule="auto"/>
        <w:rPr>
          <w:sz w:val="20"/>
          <w:szCs w:val="20"/>
          <w:color w:val="auto"/>
        </w:rPr>
      </w:pPr>
      <w:r>
        <w:rPr>
          <w:rFonts w:ascii="Arial" w:cs="Arial" w:eastAsia="Arial" w:hAnsi="Arial"/>
          <w:sz w:val="16"/>
          <w:szCs w:val="16"/>
          <w:color w:val="auto"/>
        </w:rPr>
        <w:t>During the first quarter ended March 31, 2020, and continuing through March 31, 2021, the novel coronavirus disease, or COVID-19, was declared a pandemic and spread to multiple regions across the globe, including the United States and Europe. The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64"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Throughout 2020 and continuing in 2021, we took steps in line with guidance from the U.S. Centers for Disease Control and Prevention (“CDC”) and the State of Connecticut to protect the health and safety of our employees and the community. In particular, we implemented a work-from-home policy for all employees and have restricted on-site activities to certain chemical, manufacturing and control (“CMC”) and clinical trial activities. We continue to assess the impact of the COVID-19 pandemic to best mitigate risk and continue the operations of our business. Beginning late in the first quarter of 2021, and in line with State of Connecticut guidelines, we opened our office on a voluntary basis up to full capacity.</w:t>
      </w:r>
    </w:p>
    <w:p>
      <w:pPr>
        <w:spacing w:after="0" w:line="19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continue to work closely with our clinical sites to monitor the potential impact of the evolving COVID-19 pandemic. We remain committed to our clinical programs and development plans. Through March 31, 2021, we have not experienced any significant delays to our ongoing or planned clinical trials, except for challenges in accessing elderly care facilities and ICU settings; however, this could rapidly change.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Clinical Programs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summary of the status of our clinical development programs as of the date of this Quarterly Report 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142875</wp:posOffset>
            </wp:positionV>
            <wp:extent cx="5503545" cy="2948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035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BXCL501 Neuroscience Program</w:t>
      </w:r>
    </w:p>
    <w:p>
      <w:pPr>
        <w:spacing w:after="0" w:line="229"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BXCL501 is an investigational, proprietary, orally dissolving, thin film formulation of Dex, a selective alpha-2a receptor agonist, targeting symptoms from stress-related behaviors such as agitation and opioid withdrawal symptoms. BXCL501 is our most advanced neuroscience clinical program, currently being developed for the acute treatment of agitation related to schizophrenia, bipolar disorders, dementia, and delirium, as well as for the treatment of symptoms associated with opioid withdrawal. As a selective adrenergic agent with a sublingual or buccal route of administration, BXCL501 is designed to be easy to administer and has shown a rapid onset of action in multiple clinical trials, including clinical trials studying patients with schizophrenia, bipolar disorders, and dementia. We believe the results from these studies suggest that BXCL501 has the potential to generate a calming effect without producing excessive sedation. We believe that BXCL501 is highly differentiated from antipsychotics currently used as a standard of care for the treatment of agitation, which often produce unwanted side effects such as excessive sedation and extra-pyramidal motor effects. Managing patient agitation in neuropsychiatric and neurodegenerative disorders represents a significant challenge for physicians and caregivers. We believe that BXCL501 has the potential to address these challenges while providing an efficient treatment regimen for patients.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BXCL501 Clinical Trials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SERENITY I and SERENITY II</w:t>
      </w:r>
    </w:p>
    <w:p>
      <w:pPr>
        <w:spacing w:after="0" w:line="225"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In July 2020, we announced topline results from the SERENITY I and II pivotal trials, which showed that treatment with BXCL501 was well-tolerated and resulted in clinically meaningful reductions in agitation in schizophrenia and bipolar disorder I and II patients. In October 2020, we held a pre-New Drug Application (“NDA”) meeting with the U.S. Food and Drug Administration (“FDA”) to discuss the content and format of our anticipated NDA submission. The FDA also agreed to a rolling review of our NDA, allowing us to submit completed sections of the application early. In March 2021, we completed the rolling submission of our NDA to the FDA. The FDA has a 60-</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6" w:lineRule="auto"/>
        <w:rPr>
          <w:sz w:val="20"/>
          <w:szCs w:val="20"/>
          <w:color w:val="auto"/>
        </w:rPr>
      </w:pPr>
      <w:r>
        <w:rPr>
          <w:rFonts w:ascii="Arial" w:cs="Arial" w:eastAsia="Arial" w:hAnsi="Arial"/>
          <w:sz w:val="17"/>
          <w:szCs w:val="17"/>
          <w:color w:val="auto"/>
        </w:rPr>
        <w:t>day filing review period to determine whether the NDA is complete and acceptable for filing. We plan to submit a Marketing Authorization Application with the European Medicines Agency using SERENITY I and II data for the acute treatment of agitation associated with schizophrenia and bipolar disorders I and II in the second half of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TRANQUILITY</w:t>
      </w:r>
    </w:p>
    <w:p>
      <w:pPr>
        <w:spacing w:after="0" w:line="225"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In January 2021, we announced topline results from the TRANQUILITY trial, a phase 1b/2 randomized, placebo-controlled, adaptive ascending dose-finding study that enrolled 54 patients with agitation related to dementia. Patients received BXCL501 at either 30mcg (n=16), 60mcg (n=20), 90mcg (n=4) or placebo (n=14). Overall, BXCL501 was well tolerated and demonstrated statistically significant, clinically meaningful, rapid, and durable reductions in agitation with the 60 mcg dose as measured by multiple scales.</w:t>
      </w:r>
    </w:p>
    <w:p>
      <w:pPr>
        <w:spacing w:after="0" w:line="188"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trial’s primary objective was to evaluate safety and tolerability. During the study, BXCL501 was well-tolerated and no severe or serious adverse events were reported. The most common adverse event was somnolence characterized as either mild (55% for 60 mcg, 50% for 30 mcg and 7.1% for placebo) or moderate (5% for 60 mcg and 0% for both 30 mcg and placebo), followed by hypotension (10%, 0%, 0%), orthostatic hypotension (5%, 6.3%, 0%) and dizziness (5%, 6.3% and 0%). There were no reported cases of syncope or falls in any of the patients studied. Higher exposure levels of BXCL501 were observed in this elderly patient population compared to earlier trials.</w:t>
      </w:r>
    </w:p>
    <w:p>
      <w:pPr>
        <w:spacing w:after="0" w:line="164"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trial met its secondary efficacy endpoints with the 60 mcg dose compared to placebo in all three agitation scales: the Positive and Negative Syndrome Scale-Excitatory Component (“PEC”); the Pittsburg Agitation Scale (“PAS”), and the Modified Cohen -Mansfield Inventory (“Mod-CMAI”). Treatment with BXCL501 demonstrated statistically significant and clinically meaningful reductions in total scores at two hours post-dosing (PEC p=0.0011; PAS p&lt;0.0001; Mod-CMAI p&lt;0.001; PEC response rate = 70%), numerical separation from placebo in PEC total score as early as 30 minutes with statistically significant reductions on both PEC and PAS at 60 minutes lasting 8 hours after treatment.</w:t>
      </w:r>
    </w:p>
    <w:p>
      <w:pPr>
        <w:spacing w:after="0" w:line="164"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Additional statistically significant reductions with the 60 mcg dose compared to placebo at 2 hours post-dosing were observed with the Agitation and Calmness Scale (ACES p=0.0006) and Clinical Global Impression-Improvement Scale (CGI p&lt;0.0001, 90% responder rate).</w:t>
      </w:r>
    </w:p>
    <w:p>
      <w:pPr>
        <w:spacing w:after="0" w:line="184"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In March 2021, we announced that, following a routine quality control review of the Company’s TRANQUILITY study data, the Company discovered that two patients were mis-categorized within the 30 mcg cohort at the clinical site. After moving the two patients into their appropriate placebo and 30 mcg groups, the data from the 30 mcg cohort were re-analyzed, resulting in the 30 mcg dose crossing over to statistical significance at the two hour time point, as measured by PEC: p=0.0149; PAS: p=0.0195; and Mod-CMAI: p=0.0364.</w:t>
      </w:r>
    </w:p>
    <w:p>
      <w:pPr>
        <w:spacing w:after="0" w:line="176"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We announced that we initiated a 46 patient (1:1 randomization) multicenter, placebo-controlled TRANQUILITY expansion study investigating a 40 mcg dose cohort of BXCL501. PK/PD modeling of BXCL501 data from the TRANQUILITY trial was supportive of evaluating the efficacy of a 40 mcg dose. Recruitment in this study is progressing well. Results are expected to provide additional insights to support the Company’s clinical development strategy directed at all segments of the dementia market.</w:t>
      </w:r>
    </w:p>
    <w:p>
      <w:pPr>
        <w:spacing w:after="0" w:line="188"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With the positive results from TRANQUILITY, we have been advancing the BXCL501 dementia clinical program in close consultation with the FDA.</w:t>
      </w:r>
    </w:p>
    <w:p>
      <w:pPr>
        <w:spacing w:after="0" w:line="170"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In March 2021, we announced that we received FDA Breakthrough Therapy Designation for BXCL501 for the acute treatment of agitation associated with dementia. Breakthrough Therapy Designation is intended to expedite the development and review of investigational therapies that are designed to treat serious or life-threatening diseases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An end of Phase 2 meeting has been scheduled with the FDA for the second quarter of 2021, following which the Company plans to finalize study design, dosing, and endpoints for its pivotal Phase 3 dementia program, which is expected to begin in the second half of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RELEASE</w:t>
      </w:r>
    </w:p>
    <w:p>
      <w:pPr>
        <w:spacing w:after="0" w:line="225"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The RELEASE trial was a multicenter, randomized, double-blind, placebo-controlled, ascending dose Phase 1b/2 trial designed to evaluate the safety, pharmacokinetics, tolerability, and efficacy of escalating doses of BXCL501 versus placebo, following discontinuation of morphine maintenance in patients with opioid use disorder who are physically dependent on opioids. Throughout the 7-day treatment phase, BXCL501 was evaluated in sequential, ascending dose cohorts and patients received BXCL501 at either 30 mcg, 60 mcg, 90 mcg, 120 mcg, 180 mcg and 240 mcg or placebo, administered twice daily, approximately 12 hours apart.</w:t>
      </w:r>
    </w:p>
    <w:p>
      <w:pPr>
        <w:spacing w:after="0" w:line="192"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In March 2021, we announced RELEASE top line results. The trial’s primary objective was to evaluate safety and tolerability. BXCL501 was well tolerated, with no severe or serious adverse events reported across all doses evaluated.</w:t>
      </w:r>
    </w:p>
    <w:p>
      <w:pPr>
        <w:spacing w:after="0" w:line="124"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With respect to retention, a secondary endpoint, the study showed that patients in multiple dose cohorts treated with BXCL501 had numerical improvements in retention rates, a key goal of opioid withdrawal treatment, compared to placebo. The 120 mcg and 180 mcg dose groups showed 42% and 52% rates of retention at Day 6 of BXCL501 treatment, respectively, versus 24% for placebo, though these differences were not statistically significant. However, the results also showed that, of the 87% of patients who had fentanyl in their systems upon entry, greater than 50% remained fentanyl positive following the morphine stabilization phase of 5 days. Consequently, withdrawal symptoms were not equivalent across various dose cohorts, suggesting that morphine use did not normalize withdrawal symptoms in these patients. Efficacy measures, including assessment of patients’ symptoms of acute opioid withdrawal following the morphine maintenance phase with the Clinical Opiate Withdrawal Scale (“COWS”) and the Short Opiate Withdrawal Scale of Gossop (“SOWS-Gossop”) were secondary objectives of the trial. Improvements were not observed in SOWS-Gossop”) or COWS in the BXCL501 treatment arms compared to placebo. The Company believes that the high fentanyl prevalence and lack of normalization observed in study subjects could have confounded these results and made them difficult to interpret. Although improvements were not observed in efficacy measures, study showed numerical improvements in retention rates in multiple BXCL501 dose cohorts compared to placebo. For example, on day 6, the 120 mcg and 180 mcg dose groups showed 42% and 52% retention rates, respectively, versus 24% for placebo, though these differences were not statistically significant.</w:t>
      </w:r>
    </w:p>
    <w:p>
      <w:pPr>
        <w:spacing w:after="0" w:line="180"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We believe the favorable tolerability results observed in multiple dose regimens within RELEASE trial provides valuable insights that support investigation across additional indications and treatment settings.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PLACIDITY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Agitation associated with delirium is a serious condition that affects patients in many hospital settings: ICUs, surgical</w:t>
      </w:r>
    </w:p>
    <w:p>
      <w:pPr>
        <w:spacing w:after="0" w:line="46" w:lineRule="exact"/>
        <w:rPr>
          <w:sz w:val="20"/>
          <w:szCs w:val="20"/>
          <w:color w:val="auto"/>
        </w:rPr>
      </w:pPr>
    </w:p>
    <w:p>
      <w:pPr>
        <w:ind w:left="60" w:right="179" w:hanging="10"/>
        <w:spacing w:after="0" w:line="253"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wards, and emergency departments. Currently, there are no FDA-approved medications for delirium or agitation associated with delirium. We believe that the potential to address for the treatment of agitation associated with delirium could provide synergy with the medical and commercial infrastructure we are developing to support our first two proposed indications.</w:t>
      </w:r>
    </w:p>
    <w:p>
      <w:pPr>
        <w:spacing w:after="0" w:line="193"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In October 2020, we announced that we had received authorization to proceed under our IND Application from the FDA for treatment of patients with agitation associated with delirium in intensive care units, including patients with COVID-19. On February 25, 2021, we announced the initiation of the Phase 2 PLACIDITY trial of BXCL501.</w:t>
      </w:r>
    </w:p>
    <w:p>
      <w:pPr>
        <w:spacing w:after="0" w:line="149" w:lineRule="exact"/>
        <w:rPr>
          <w:sz w:val="20"/>
          <w:szCs w:val="20"/>
          <w:color w:val="auto"/>
        </w:rPr>
      </w:pPr>
    </w:p>
    <w:p>
      <w:pPr>
        <w:jc w:val="both"/>
        <w:ind w:left="60" w:right="559" w:firstLine="324"/>
        <w:spacing w:after="0" w:line="342" w:lineRule="auto"/>
        <w:rPr>
          <w:sz w:val="20"/>
          <w:szCs w:val="20"/>
          <w:color w:val="auto"/>
        </w:rPr>
      </w:pPr>
      <w:r>
        <w:rPr>
          <w:rFonts w:ascii="Arial" w:cs="Arial" w:eastAsia="Arial" w:hAnsi="Arial"/>
          <w:sz w:val="16"/>
          <w:szCs w:val="16"/>
          <w:color w:val="auto"/>
        </w:rPr>
        <w:t>PLACIDITY enrollment was voluntarily paused to assess challenges posed in opening relevant clinical sites and enrolling delirium patients in the ICU settings, including as a result of the burden COVID-19 has placed on the ICU.</w:t>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Opportunities</w:t>
      </w:r>
    </w:p>
    <w:p>
      <w:pPr>
        <w:spacing w:after="0" w:line="225" w:lineRule="exact"/>
        <w:rPr>
          <w:sz w:val="20"/>
          <w:szCs w:val="20"/>
          <w:color w:val="auto"/>
        </w:rPr>
      </w:pPr>
    </w:p>
    <w:p>
      <w:pPr>
        <w:jc w:val="both"/>
        <w:ind w:left="60" w:right="139" w:firstLine="405"/>
        <w:spacing w:after="0" w:line="259" w:lineRule="auto"/>
        <w:rPr>
          <w:sz w:val="20"/>
          <w:szCs w:val="20"/>
          <w:color w:val="auto"/>
        </w:rPr>
      </w:pPr>
      <w:r>
        <w:rPr>
          <w:rFonts w:ascii="Arial" w:cs="Arial" w:eastAsia="Arial" w:hAnsi="Arial"/>
          <w:sz w:val="18"/>
          <w:szCs w:val="18"/>
          <w:color w:val="auto"/>
        </w:rPr>
        <w:t>In December 2020, the VA Connecticut Healthcare System and the Yale University Medical School were awarded a grant by the U.S. Department of Defense’s Congressionally Directed Medical Research Programs to evaluate BXCL501 in patients suffering from post-traumatic stress disorder related to alcohol and substance abuse disorder. This will be the first time that we are investigating BXCL501 as a potential chronic treatment.</w:t>
      </w:r>
    </w:p>
    <w:p>
      <w:pPr>
        <w:spacing w:after="0" w:line="187"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We are also continuing our development of BXCL501, exploring this candidate as a potential treatment option for chronic agitation associated with dementia. In addition, we are also developing a single-use intramuscular injection formulation for patients with severe agitation (non-cooperative).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Neuropsychiatric /Neurodegenerative Indications</w:t>
      </w:r>
    </w:p>
    <w:p>
      <w:pPr>
        <w:spacing w:after="0" w:line="229"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Given the differentiated design of BXCL501 and its selective mechanism of action, we believe that BXCL501 has the potential for broad applicability across several indications where agitation is a symptom of a condition or underlying disease. There are additional neurological and psychiatric disorders where agitation is a symptom that requires treatment.</w:t>
      </w:r>
    </w:p>
    <w:p>
      <w:pPr>
        <w:spacing w:after="0" w:line="14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We are also exploring the potential of BXCL501 in Depression Related Agitation, Anxiety Disorders and Traumatic Brain Injury.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BXCL701 Immuno-Oncology Program</w:t>
      </w:r>
    </w:p>
    <w:p>
      <w:pPr>
        <w:spacing w:after="0" w:line="229"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BXCL701 is a potential first-in-class, oral, small-molecule immunomodulator designed to stimulate both the innate and acquired immune systems by inhibiting DPP 8/9. DPP 8/9 behave as "checkpoints" of the innate immune system. We believe that BXCL701, if successfully developed and approved, may establish a differentiated immuno-oncology platform by modulating multiple steps in the cancer immunity cycle and, when combined with other checkpoint inhibitors and/or immune activating agents, may be able to convert immuno-resistant tumors to immuno-sensitive tumors (“cold” to “hot” tumors).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BXCL701 Clinical Trials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BXCL701 is currently being evaluated in two combination therapy clinical trials:</w:t>
      </w:r>
    </w:p>
    <w:p>
      <w:pPr>
        <w:spacing w:after="0" w:line="225"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In April 2020, we announced the initiation of the Phase 2 efficacy portion of the Phase 1b/2 trial evaluating BXCL701 in combination with KEYTRUDA® (pembrolizumab, a PD-1 inhibitor) for Neuro Endocrine Prostate Cancer (“NEPC”). The Phase 1b safety assessment of BXCL701 identified a split dose totaling 0.6 mg per day as the recommended dose when used in combination with KEYTRUDA. In addition to the efficacy cohort in NEPC patients, in August 2020, we opened a separate cohort for castrate resistant prostate cancer (“CRPC”) patients who have failed taxane-based chemotherapy and up to two lines of second-generation androgen pathway blockers. The Phase 1b portion of this trial was presented at the Society for Immunotherapy of Cancer’s 35th Anniversary Annual Meeting in 2020, and an efficacy update was recently presented at the American Society of Clinical Oncology Genitourinary Symposium in February 2021. A more complete efficacy update from the trial is expected in mid-2021.</w:t>
      </w:r>
    </w:p>
    <w:p>
      <w:pPr>
        <w:spacing w:after="0" w:line="181"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The MD Anderson-led Phase 2 open-label basket trial is designed to evaluate the response rate of orally administered BXCL701, combined with KEYTRUDA, in two arms: Arm A is enrolling checkpoint naïve patients (where checkpoint therapy is indicated: “hot tumors”); and Arm B is enrolling patients who have progressed following checkpoint therapy alone. As of August 2020, the efficacy bar had been met for both arms, allowing the trial to advance to completion. Preliminary data were recently presented at the SITC’s, 35th Anniversary Annual Meeting. An efficacy update from the trial is expected in mid-2021.</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Immuno-oncology Indications</w:t>
      </w:r>
    </w:p>
    <w:p>
      <w:pPr>
        <w:spacing w:after="0" w:line="229"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In addition to CRPC and checkpoint inhibitor (“CPI”) refractory tumors, we plan to leverage our existing preclinical and clinical data to identify other cancer types with high unmet medical need that we believe would benefit from BXCL701’s novel potential mechanism of action. We are prioritizing indications where the immuno-suppressive microenvironment is driven by the potential molecular and cellular targets of BXCL701 and where the single agent activity of approved immune checkpoint inhibitors is limited. In January 2021, we announced that BXCL701 was awarded Orphan Drug Designation for the treatment of Soft Tissue Sarcoma.</w:t>
      </w:r>
    </w:p>
    <w:p>
      <w:pPr>
        <w:spacing w:after="0" w:line="192"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In addition, we believe BXCL701, if successfully developed and approved, may provide a platform for combination with immunotherapy modalities that go beyond the currently approved immune checkpoint agents that target the PD-1/PD-L1 axis. Following our proof-of-concept trials, we plan to conduct clinical trials covering a broad range of additional combinations with other immunotherapy agents, including:</w:t>
      </w:r>
    </w:p>
    <w:p>
      <w:pPr>
        <w:spacing w:after="0" w:line="187" w:lineRule="exact"/>
        <w:rPr>
          <w:sz w:val="20"/>
          <w:szCs w:val="20"/>
          <w:color w:val="auto"/>
        </w:rPr>
      </w:pP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immune checkpoint inhibitors (other than PD-1/PD-L1);</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cellular therapies (CAR-T and chimeric antigen receptor natural killer cells);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therapeutic vaccines;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ADCC driven monoclonal antibodies.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Neuroscience Program</w:t>
      </w:r>
    </w:p>
    <w:p>
      <w:pPr>
        <w:spacing w:after="0" w:line="225" w:lineRule="exact"/>
        <w:rPr>
          <w:sz w:val="20"/>
          <w:szCs w:val="20"/>
          <w:color w:val="auto"/>
        </w:rPr>
      </w:pPr>
    </w:p>
    <w:p>
      <w:pPr>
        <w:jc w:val="both"/>
        <w:ind w:left="60" w:right="739" w:firstLine="324"/>
        <w:spacing w:after="0" w:line="311" w:lineRule="auto"/>
        <w:rPr>
          <w:sz w:val="20"/>
          <w:szCs w:val="20"/>
          <w:color w:val="auto"/>
        </w:rPr>
      </w:pPr>
      <w:r>
        <w:rPr>
          <w:rFonts w:ascii="Arial" w:cs="Arial" w:eastAsia="Arial" w:hAnsi="Arial"/>
          <w:sz w:val="16"/>
          <w:szCs w:val="16"/>
          <w:color w:val="auto"/>
        </w:rPr>
        <w:t>We are targeting neuroscience disorders where there is a high unmet medical need, including those in which a requirement for symptom management is a priority (such as agitation and symptoms resulting from stress-related behaviors) as well for transformative care for monogenic rare central nervous system disorders.</w:t>
      </w:r>
    </w:p>
    <w:p>
      <w:pPr>
        <w:spacing w:after="0" w:line="149" w:lineRule="exact"/>
        <w:rPr>
          <w:sz w:val="20"/>
          <w:szCs w:val="20"/>
          <w:color w:val="auto"/>
        </w:rPr>
      </w:pPr>
    </w:p>
    <w:p>
      <w:pPr>
        <w:ind w:left="60" w:right="219" w:firstLine="324"/>
        <w:spacing w:after="0" w:line="254" w:lineRule="auto"/>
        <w:rPr>
          <w:sz w:val="20"/>
          <w:szCs w:val="20"/>
          <w:color w:val="auto"/>
        </w:rPr>
      </w:pPr>
      <w:r>
        <w:rPr>
          <w:rFonts w:ascii="Arial" w:cs="Arial" w:eastAsia="Arial" w:hAnsi="Arial"/>
          <w:sz w:val="18"/>
          <w:szCs w:val="18"/>
          <w:color w:val="auto"/>
        </w:rPr>
        <w:t>For symptomatic approaches, our neuroscience program is developing product candidates with a focus on treating symptoms for various neurological and psychiatric disorders. This entails re-innovating existing agents through formulation changes and deuteration. Additionally, the utilization of EvolverAI has identified several monogenic diseases with available animal models across rare neuroscience diseases. We utilize proprietary algorithms to identify associated mechanisms with existing pharmacology to test whether these agents can improve the disease profile in the animal model either through disease modification or symptomatic manner. The agents identified must be those that we believe are Phase 2 ready with a potential for a short, cost-effective development plan (four to five years to potential NDA submission).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ind w:left="60" w:right="339" w:firstLine="324"/>
        <w:spacing w:after="0" w:line="301" w:lineRule="auto"/>
        <w:rPr>
          <w:sz w:val="20"/>
          <w:szCs w:val="20"/>
          <w:color w:val="auto"/>
        </w:rPr>
      </w:pPr>
      <w:r>
        <w:rPr>
          <w:rFonts w:ascii="Arial" w:cs="Arial" w:eastAsia="Arial" w:hAnsi="Arial"/>
          <w:sz w:val="16"/>
          <w:szCs w:val="16"/>
          <w:color w:val="auto"/>
        </w:rPr>
        <w:t>Our immuno-oncology program is based on utilizing a comprehensive map of all known relationships that link immuno-evasion and immuno-activation pathways and targets with thousands of pharmacological agents and tumor indications. This comprehensive map has permitted us to select a potential pipeline of candidates based on our ability to alter the tumor micro-environment and the potential to address relevant unmet medical needs for various tumor types.</w:t>
      </w:r>
    </w:p>
    <w:p>
      <w:pPr>
        <w:spacing w:after="0" w:line="157" w:lineRule="exact"/>
        <w:rPr>
          <w:sz w:val="20"/>
          <w:szCs w:val="20"/>
          <w:color w:val="auto"/>
        </w:rPr>
      </w:pPr>
    </w:p>
    <w:p>
      <w:pPr>
        <w:ind w:left="60" w:right="539" w:firstLine="324"/>
        <w:spacing w:after="0" w:line="279" w:lineRule="auto"/>
        <w:rPr>
          <w:sz w:val="20"/>
          <w:szCs w:val="20"/>
          <w:color w:val="auto"/>
        </w:rPr>
      </w:pPr>
      <w:r>
        <w:rPr>
          <w:rFonts w:ascii="Arial" w:cs="Arial" w:eastAsia="Arial" w:hAnsi="Arial"/>
          <w:sz w:val="17"/>
          <w:szCs w:val="17"/>
          <w:color w:val="auto"/>
        </w:rPr>
        <w:t>Finally, we continually leverage the artificial intelligence platform owned by our parent to select and prioritize additional development opportunities to expand the current portfolio and broaden the addressable market for our lead programs through the identification of new indications. This includes exploring additional combination therapy approaches to expand BXCL701’s target indications beyond NEPC and pancreatic cancer.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We have recently strengthened our BXCL501 IP portfolio in Japan. Patent No. 6868698, directed to methods of treating agitation, was issued April 27, 2021 and will expire no earlier than 2037. Design Patent No. 1681960, directed to film design, was issued on March 8, 2021 and will expire no earlier than 2045.</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 All amounts are presented in thousands.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60" w:right="399" w:firstLine="324"/>
        <w:spacing w:after="0" w:line="272" w:lineRule="auto"/>
        <w:rPr>
          <w:sz w:val="20"/>
          <w:szCs w:val="20"/>
          <w:color w:val="auto"/>
        </w:rPr>
      </w:pPr>
      <w:r>
        <w:rPr>
          <w:rFonts w:ascii="Arial" w:cs="Arial" w:eastAsia="Arial" w:hAnsi="Arial"/>
          <w:sz w:val="17"/>
          <w:szCs w:val="17"/>
          <w:color w:val="auto"/>
        </w:rPr>
        <w:t>Our research and development expenses reflect costs incurred for the research and development of our clinical and pre-clinical product candidates. Research and development expense primarily consist of salary, benefits and non-cash stock-based compensation for our research and development personnel, costs incurred under agreements with contract research organizations (“CROs”) and sites that conduct our non-clinical studies and clinical trials, costs of outside consultants engaged in research and development activities, including their fees, stock-based compensation and travel expenses, the cost of acquiring, developing and manufacturing pre-clinical and clinical trial materials and lab supplies, and depreciation and other expenses.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expense research and development costs to operations as incurred.</w:t>
      </w:r>
    </w:p>
    <w:p>
      <w:pPr>
        <w:spacing w:after="0" w:line="225" w:lineRule="exact"/>
        <w:rPr>
          <w:sz w:val="20"/>
          <w:szCs w:val="20"/>
          <w:color w:val="auto"/>
        </w:rPr>
      </w:pPr>
    </w:p>
    <w:p>
      <w:pPr>
        <w:ind w:left="60" w:right="699" w:firstLine="324"/>
        <w:spacing w:after="0" w:line="277" w:lineRule="auto"/>
        <w:rPr>
          <w:sz w:val="20"/>
          <w:szCs w:val="20"/>
          <w:color w:val="auto"/>
        </w:rPr>
      </w:pPr>
      <w:r>
        <w:rPr>
          <w:rFonts w:ascii="Arial" w:cs="Arial" w:eastAsia="Arial" w:hAnsi="Arial"/>
          <w:sz w:val="18"/>
          <w:szCs w:val="18"/>
          <w:color w:val="auto"/>
        </w:rPr>
        <w:t>Our research and development costs by program for the three months ended March 31, 2021 and 2020 were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96"/>
        </w:trPr>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Direct external costs</w:t>
            </w:r>
          </w:p>
        </w:tc>
        <w:tc>
          <w:tcPr>
            <w:tcW w:w="2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BXCL501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BXCL701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BXCL502</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BXCL702</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 programs</w:t>
            </w:r>
          </w:p>
        </w:tc>
        <w:tc>
          <w:tcPr>
            <w:tcW w:w="2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8"/>
                <w:szCs w:val="18"/>
                <w:color w:val="auto"/>
              </w:rPr>
              <w:t>Total direct external costs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personnel costs</w:t>
            </w:r>
          </w:p>
        </w:tc>
        <w:tc>
          <w:tcPr>
            <w:tcW w:w="2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9"/>
        </w:trPr>
        <w:tc>
          <w:tcPr>
            <w:tcW w:w="3800" w:type="dxa"/>
            <w:vAlign w:val="bottom"/>
          </w:tcPr>
          <w:p>
            <w:pPr>
              <w:ind w:left="220"/>
              <w:spacing w:after="0"/>
              <w:rPr>
                <w:sz w:val="20"/>
                <w:szCs w:val="20"/>
                <w:color w:val="auto"/>
              </w:rPr>
            </w:pPr>
            <w:r>
              <w:rPr>
                <w:rFonts w:ascii="Arial" w:cs="Arial" w:eastAsia="Arial" w:hAnsi="Arial"/>
                <w:sz w:val="18"/>
                <w:szCs w:val="18"/>
                <w:color w:val="auto"/>
              </w:rPr>
              <w:t>Sub-total direct costs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 and overhead</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Research and development tax credit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20" w:type="dxa"/>
            <w:vAlign w:val="bottom"/>
            <w:vMerge w:val="restart"/>
          </w:tcPr>
          <w:p>
            <w:pPr>
              <w:jc w:val="right"/>
              <w:ind w:right="20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8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General and administrative expenses primarily consist of salaries, benefits and non-cash stock-based compensation for our executive and administrative personnel. General and administrative expenses also include legal expenses to pursue patent protection of our intellectual property, professional fees for audit and tax and insurance charges.</w:t>
      </w:r>
    </w:p>
    <w:p>
      <w:pPr>
        <w:spacing w:after="0" w:line="149" w:lineRule="exact"/>
        <w:rPr>
          <w:sz w:val="20"/>
          <w:szCs w:val="20"/>
          <w:color w:val="auto"/>
        </w:rPr>
      </w:pPr>
    </w:p>
    <w:p>
      <w:pPr>
        <w:ind w:left="60" w:right="299" w:firstLine="324"/>
        <w:spacing w:after="0" w:line="272" w:lineRule="auto"/>
        <w:rPr>
          <w:sz w:val="20"/>
          <w:szCs w:val="20"/>
          <w:color w:val="auto"/>
        </w:rPr>
      </w:pPr>
      <w:r>
        <w:rPr>
          <w:rFonts w:ascii="Arial" w:cs="Arial" w:eastAsia="Arial" w:hAnsi="Arial"/>
          <w:sz w:val="17"/>
          <w:szCs w:val="17"/>
          <w:color w:val="auto"/>
        </w:rPr>
        <w:t>We expect that our general and administrative expenses will increase to enable us to support our operations as we continue to expand our clinical programs. We also expect increased administrative costs resulting from our clinical trials and the potential commercialization of our product candidates. We believe that these increases will likely include increased costs for director and officer liability insurance, hiring additional personnel to support future market research and future product commercialization efforts and increased fees for outside consultants, attorneys and accountants. We may also incur increased costs to comply with corporate governance, internal controls, investor relations and disclosures and similar requirements applicable to public companies.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revenues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Research and development expenses for the three months ended March 31, 2021 and 2020 were $14,741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$12,371, respectively. Research and development expenses for the three months ended March 31, 2021 and 2020 were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comprised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4"/>
                <w:szCs w:val="14"/>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8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1,566</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(4,429)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 ("CMC")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Travel and other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14,741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12,371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hanging="32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of $2,370 for the three months ended March 31, 2021 is primarily attributable to:</w:t>
      </w:r>
    </w:p>
    <w:p>
      <w:pPr>
        <w:spacing w:after="0" w:line="225" w:lineRule="exact"/>
        <w:rPr>
          <w:rFonts w:ascii="Arial" w:cs="Arial" w:eastAsia="Arial" w:hAnsi="Arial"/>
          <w:sz w:val="18"/>
          <w:szCs w:val="18"/>
          <w:color w:val="auto"/>
        </w:rPr>
      </w:pPr>
    </w:p>
    <w:p>
      <w:pPr>
        <w:ind w:left="1020" w:right="399" w:hanging="322"/>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personnel and recruiting costs related to our efforts to enlarge our clinical team as we expanded our clinical programs and in preparation of the potential commercial launch of BXCL501 in the U.S.</w:t>
      </w:r>
    </w:p>
    <w:p>
      <w:pPr>
        <w:spacing w:after="0" w:line="123" w:lineRule="exact"/>
        <w:rPr>
          <w:rFonts w:ascii="Arial" w:cs="Arial" w:eastAsia="Arial" w:hAnsi="Arial"/>
          <w:sz w:val="16"/>
          <w:szCs w:val="16"/>
          <w:color w:val="auto"/>
        </w:rPr>
      </w:pPr>
    </w:p>
    <w:p>
      <w:pPr>
        <w:ind w:left="1020" w:right="379" w:hanging="322"/>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non-cash stock-based compensation resulting from the additional personnel hired and increased grant date fair values arising from higher market prices of the Company’s common stock.</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859" w:hanging="32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professional fees was primarily due to increased regulatory and consulting fees related to BXCL501.</w:t>
      </w:r>
    </w:p>
    <w:p>
      <w:pPr>
        <w:spacing w:after="0" w:line="170" w:lineRule="exact"/>
        <w:rPr>
          <w:rFonts w:ascii="Arial" w:cs="Arial" w:eastAsia="Arial" w:hAnsi="Arial"/>
          <w:sz w:val="18"/>
          <w:szCs w:val="18"/>
          <w:color w:val="auto"/>
        </w:rPr>
      </w:pPr>
    </w:p>
    <w:p>
      <w:pPr>
        <w:ind w:left="1020" w:right="619" w:hanging="322"/>
        <w:spacing w:after="0" w:line="308"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Decreased clinical trial expense primarily related to decreased costs related to our SERENITY I and II clinical trials, offset by increased costs related to our RELEASE clinical trial.</w:t>
      </w:r>
    </w:p>
    <w:p>
      <w:pPr>
        <w:spacing w:after="0" w:line="146" w:lineRule="exact"/>
        <w:rPr>
          <w:rFonts w:ascii="Arial" w:cs="Arial" w:eastAsia="Arial" w:hAnsi="Arial"/>
          <w:sz w:val="17"/>
          <w:szCs w:val="17"/>
          <w:color w:val="auto"/>
        </w:rPr>
      </w:pPr>
    </w:p>
    <w:p>
      <w:pPr>
        <w:ind w:left="1020" w:hanging="322"/>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CMC costs largely related to increased BXCL501 manufacturing, stability and storage costs.</w:t>
      </w:r>
    </w:p>
    <w:p>
      <w:pPr>
        <w:spacing w:after="0" w:line="237" w:lineRule="exact"/>
        <w:rPr>
          <w:sz w:val="20"/>
          <w:szCs w:val="20"/>
          <w:color w:val="auto"/>
        </w:rPr>
      </w:pPr>
    </w:p>
    <w:p>
      <w:pPr>
        <w:ind w:left="60" w:right="379" w:firstLine="324"/>
        <w:spacing w:after="0" w:line="301" w:lineRule="auto"/>
        <w:rPr>
          <w:sz w:val="20"/>
          <w:szCs w:val="20"/>
          <w:color w:val="auto"/>
        </w:rPr>
      </w:pPr>
      <w:r>
        <w:rPr>
          <w:rFonts w:ascii="Arial" w:cs="Arial" w:eastAsia="Arial" w:hAnsi="Arial"/>
          <w:sz w:val="16"/>
          <w:szCs w:val="16"/>
          <w:color w:val="auto"/>
        </w:rPr>
        <w:t>The State of Connecticut provides companies with the opportunity to exchange certain research and development credit carryforwards for cash in exchange for foregoing the carryforward of the research and development credit. The program provides for such exchange of the research and development credit at a rate of 65% of the annual research and development credit. The benefit for such exchange is recorded as a reduction of research and development expenses.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General and administrative expenses for the three months ended March 31, 2021 and 2020 were $11,638 and $2,625, respectively. General and administrative expenses for the three months ended March 31, 2021 and 2020 were comprised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860" w:type="dxa"/>
            <w:vAlign w:val="bottom"/>
            <w:gridSpan w:val="3"/>
            <w:vMerge w:val="restart"/>
          </w:tcPr>
          <w:p>
            <w:pPr>
              <w:jc w:val="right"/>
              <w:ind w:right="9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1,723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3,533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3,223</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1,040 %</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1,366</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1,995</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other costs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50"/>
        </w:trPr>
        <w:tc>
          <w:tcPr>
            <w:tcW w:w="556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11,638</w:t>
            </w:r>
          </w:p>
        </w:tc>
        <w:tc>
          <w:tcPr>
            <w:tcW w:w="16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$ 2,625</w:t>
            </w:r>
          </w:p>
        </w:tc>
        <w:tc>
          <w:tcPr>
            <w:tcW w:w="1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9,013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of $9,013 for the three months ended March 31, 2021 is primarily attributable to:</w:t>
      </w:r>
    </w:p>
    <w:p>
      <w:pPr>
        <w:spacing w:after="0" w:line="225" w:lineRule="exact"/>
        <w:rPr>
          <w:sz w:val="20"/>
          <w:szCs w:val="20"/>
          <w:color w:val="auto"/>
        </w:rPr>
      </w:pPr>
    </w:p>
    <w:p>
      <w:pPr>
        <w:ind w:left="1020" w:right="259" w:hanging="32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personnel and recruiting costs due to our continuing efforts to expand our teams in preparation of the potential commercial launch of BXCL501 in the U.S.</w:t>
      </w:r>
    </w:p>
    <w:p>
      <w:pPr>
        <w:spacing w:after="0" w:line="170" w:lineRule="exact"/>
        <w:rPr>
          <w:rFonts w:ascii="Arial" w:cs="Arial" w:eastAsia="Arial" w:hAnsi="Arial"/>
          <w:sz w:val="18"/>
          <w:szCs w:val="18"/>
          <w:color w:val="auto"/>
        </w:rPr>
      </w:pPr>
    </w:p>
    <w:p>
      <w:pPr>
        <w:ind w:left="1020" w:right="279" w:hanging="322"/>
        <w:spacing w:after="0" w:line="308"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non-cash stock-based compensation as result of the additional personnel and increased grant date fair values arising from higher market prices of the Company’s common stock.</w:t>
      </w:r>
    </w:p>
    <w:p>
      <w:pPr>
        <w:spacing w:after="0" w:line="146" w:lineRule="exact"/>
        <w:rPr>
          <w:rFonts w:ascii="Arial" w:cs="Arial" w:eastAsia="Arial" w:hAnsi="Arial"/>
          <w:sz w:val="17"/>
          <w:szCs w:val="17"/>
          <w:color w:val="auto"/>
        </w:rPr>
      </w:pPr>
    </w:p>
    <w:p>
      <w:pPr>
        <w:jc w:val="both"/>
        <w:ind w:left="1020" w:right="579" w:hanging="322"/>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professional fees due to the expanding growth of our operations and was primarily related to increased corporate legal fees and increased consulting costs related to our preparation for the potential commercial launch of BXCL501 in the U.S.</w:t>
      </w:r>
    </w:p>
    <w:p>
      <w:pPr>
        <w:spacing w:after="0" w:line="183" w:lineRule="exact"/>
        <w:rPr>
          <w:rFonts w:ascii="Arial" w:cs="Arial" w:eastAsia="Arial" w:hAnsi="Arial"/>
          <w:sz w:val="18"/>
          <w:szCs w:val="18"/>
          <w:color w:val="auto"/>
        </w:rPr>
      </w:pPr>
    </w:p>
    <w:p>
      <w:pPr>
        <w:ind w:left="1020" w:right="259" w:hanging="32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marketing related fees primarily related to market research and planning related to our BXCL501 “Boiling Point” educational campaign.</w:t>
      </w:r>
    </w:p>
    <w:p>
      <w:pPr>
        <w:spacing w:after="0" w:line="170" w:lineRule="exact"/>
        <w:rPr>
          <w:rFonts w:ascii="Arial" w:cs="Arial" w:eastAsia="Arial" w:hAnsi="Arial"/>
          <w:sz w:val="18"/>
          <w:szCs w:val="18"/>
          <w:color w:val="auto"/>
        </w:rPr>
      </w:pPr>
    </w:p>
    <w:p>
      <w:pPr>
        <w:ind w:left="1020" w:right="799" w:hanging="32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commercial related fees primarily costs related to our efforts related to preparation for the potential commercial launch of BXCL501 in the U.S.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insurance costs primarily related to an increase in Director and Officer liability premiums.</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As of March 31, 2021, we had cash and cash equivalents of $194,015, working capital of $184,459 and stockholders’ equity of $186,737. We incurred losses of approximately $26,376 and $14,911 for the three months ended March 31, 2021 and 2020.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believe that our existing cash and cash equivalents as of March 31, 2021 will enable us to fund our operating expenses and capital expenditure requirements for at least one year from the date of this Quarterly Report on Form 10-Q.</w:t>
      </w:r>
    </w:p>
    <w:p>
      <w:pPr>
        <w:spacing w:after="0" w:line="177" w:lineRule="exact"/>
        <w:rPr>
          <w:sz w:val="20"/>
          <w:szCs w:val="20"/>
          <w:color w:val="auto"/>
        </w:rPr>
      </w:pPr>
    </w:p>
    <w:p>
      <w:pPr>
        <w:ind w:left="60" w:right="259" w:firstLine="324"/>
        <w:spacing w:after="0" w:line="287" w:lineRule="auto"/>
        <w:rPr>
          <w:sz w:val="20"/>
          <w:szCs w:val="20"/>
          <w:color w:val="auto"/>
        </w:rPr>
      </w:pPr>
      <w:r>
        <w:rPr>
          <w:rFonts w:ascii="Arial" w:cs="Arial" w:eastAsia="Arial" w:hAnsi="Arial"/>
          <w:sz w:val="16"/>
          <w:szCs w:val="16"/>
          <w:color w:val="auto"/>
        </w:rPr>
        <w:t>We may obtain additional financing through sales of the Company’s equity securities, entering into strategic partnership arrangements and/or short-term borrowings from banks, stockholders or other related parties, if needed, or a combination of any of the foregoing. There are no assurances that we will be successful in obtaining an adequate level of financing as and when needed to finance our operations on terms acceptable to us or at all, particularly in light of the economic downturn and ongoing uncertainty related to the COVID-19 pandemic. If we are unable to secure adequate additional funding as and when needed, we may have to significantly delay, scale back or discontinue the development and commercialization of one or more product candidates. In addition, the magnitude and duration of the COVID-19 pandemic and its impact on our liquidity and future funding requirements is uncertain as of the filing date of this Quarterly Report on Form 10-Q, as the pandemic continues to evolve globally. See “Risk Factors—The outbreak of COVID-19, or other pandemic, epidemic or outbreak of an infectious disease may materially and adversely impact our business, including our preclinical studies and clinical trials.” in Item 1A. of this Quarterly Report on Form 10-Q for a further discussion of the potential impact of the COVID-19 pandemic on our business.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We have focused our efforts on raising capital and building the products in our pipeline. Since our inception, our operations have been financed primarily by our Parent, BioXcel, and from proceeds from the sale of equity securities. Through March 31, 2021, we have received approximately $353,337 in aggregate gross proceeds from stock issuances including our initial public offering, private placements of our common stock, and registered offerings of our common stock and an Open Market Sale Agreement (“ATM Program”). We have not yet established an ongoing source of revenue sufficient to cover our operating costs and will need to do so in future periods.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February 2020, we sold in a registered offering 2,300 shares of our common stock at a public offering price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$32.00 per share for gross proceeds of $73,600 less underwriting discounts and commissions. We received net proceeds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approximately $68,811.</w:t>
      </w:r>
    </w:p>
    <w:p>
      <w:pPr>
        <w:spacing w:after="0" w:line="211"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In July 2020, we sold in a registered offering 4,000 shares of our common stock at a public offering price of $50.00 per share for gross proceeds of $200,000 less underwriting discounts and commissions. We received net proceeds of approximately $186,974.</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continue"/>
          </w:tcPr>
          <w:p>
            <w:pPr>
              <w:spacing w:after="0"/>
              <w:rPr>
                <w:sz w:val="12"/>
                <w:szCs w:val="12"/>
                <w:color w:val="auto"/>
              </w:rPr>
            </w:pPr>
          </w:p>
        </w:tc>
        <w:tc>
          <w:tcPr>
            <w:tcW w:w="90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in) in thousands:</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  (19,640)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   (12,157)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900" w:type="dxa"/>
            <w:vAlign w:val="bottom"/>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Net cash used in operating activities for the three months ended March 31, 2021 was $19,640, which was primarily attributable to our net loss of $26,376, partially offset by $5,565 in non-cash stock-based compensation, a $403 increase in accounts payable, accrued expense and other liabilities, and a $703 decrease in prepaid expense and other assets.</w:t>
      </w:r>
    </w:p>
    <w:p>
      <w:pPr>
        <w:spacing w:after="0" w:line="149"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Net cash used in operating activities for the three months ended March 31, 2020 was $12,157, which primarily attributable to our net loss of $14,911 and a $1,838 increase in prepaid expenses and other assets, partially offset by $776 in stock-based compensation and a $3,769 increase in accounts payable, accrued expenses and other liabilities.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219" w:firstLine="324"/>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2021 was $316 and was attributable to the purchase of property and equipment.</w:t>
      </w:r>
    </w:p>
    <w:p>
      <w:pPr>
        <w:spacing w:after="0" w:line="170"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2020 was $16 and was attributable to the purchase of property and equipment.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2021 was $852 and was attributable to proceeds received from the exercise of stock options.</w:t>
      </w:r>
    </w:p>
    <w:p>
      <w:pPr>
        <w:spacing w:after="0" w:line="130" w:lineRule="exact"/>
        <w:rPr>
          <w:sz w:val="20"/>
          <w:szCs w:val="20"/>
          <w:color w:val="auto"/>
        </w:rPr>
      </w:pPr>
    </w:p>
    <w:p>
      <w:pPr>
        <w:jc w:val="both"/>
        <w:ind w:left="60" w:right="239" w:firstLine="324"/>
        <w:spacing w:after="0" w:line="279" w:lineRule="auto"/>
        <w:rPr>
          <w:sz w:val="20"/>
          <w:szCs w:val="20"/>
          <w:color w:val="auto"/>
        </w:rPr>
      </w:pPr>
      <w:r>
        <w:rPr>
          <w:rFonts w:ascii="Arial" w:cs="Arial" w:eastAsia="Arial" w:hAnsi="Arial"/>
          <w:sz w:val="17"/>
          <w:szCs w:val="17"/>
          <w:color w:val="auto"/>
        </w:rPr>
        <w:t>Net cash provided by financing activities for the three months ended March 31, 2020 was $59,826 and was primarily attributable to $68,811 in net proceeds from the issuance of common stock in our February 2020 public offering and $39 in proceeds received from the exercise of stock options. This amount was partially offset by $9,024 used for the purchase and cancellation of 300,000 shares of common stock owned by BioXcel.</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189" w:lineRule="exact"/>
        <w:rPr>
          <w:sz w:val="20"/>
          <w:szCs w:val="20"/>
          <w:color w:val="auto"/>
        </w:rPr>
      </w:pPr>
    </w:p>
    <w:p>
      <w:pPr>
        <w:ind w:left="60" w:right="459" w:firstLine="324"/>
        <w:spacing w:after="0" w:line="273" w:lineRule="auto"/>
        <w:rPr>
          <w:sz w:val="20"/>
          <w:szCs w:val="20"/>
          <w:color w:val="auto"/>
        </w:rPr>
      </w:pPr>
      <w:r>
        <w:rPr>
          <w:rFonts w:ascii="Arial" w:cs="Arial" w:eastAsia="Arial" w:hAnsi="Arial"/>
          <w:sz w:val="17"/>
          <w:szCs w:val="17"/>
          <w:color w:val="auto"/>
        </w:rPr>
        <w:t>We expect to continue to incur significant and increasing operating losses at least for the next several years as we expand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37" w:lineRule="exact"/>
        <w:rPr>
          <w:sz w:val="20"/>
          <w:szCs w:val="20"/>
          <w:color w:val="auto"/>
        </w:rPr>
      </w:pPr>
    </w:p>
    <w:p>
      <w:pPr>
        <w:jc w:val="both"/>
        <w:ind w:left="60" w:right="25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30" w:lineRule="exact"/>
        <w:rPr>
          <w:sz w:val="20"/>
          <w:szCs w:val="20"/>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clinical development of BXCL501 and BXCL701;</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acquire, license, develop and commercialize additional product candidates;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9" w:lineRule="exact"/>
        <w:rPr>
          <w:rFonts w:ascii="Arial" w:cs="Arial" w:eastAsia="Arial" w:hAnsi="Arial"/>
          <w:sz w:val="18"/>
          <w:szCs w:val="18"/>
          <w:color w:val="auto"/>
        </w:rPr>
      </w:pPr>
    </w:p>
    <w:p>
      <w:pPr>
        <w:ind w:left="700" w:right="379" w:hanging="326"/>
        <w:spacing w:after="0" w:line="250"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9" w:lineRule="exact"/>
        <w:rPr>
          <w:rFonts w:ascii="Arial" w:cs="Arial" w:eastAsia="Arial" w:hAnsi="Arial"/>
          <w:sz w:val="18"/>
          <w:szCs w:val="18"/>
          <w:color w:val="auto"/>
        </w:rPr>
      </w:pPr>
    </w:p>
    <w:p>
      <w:pPr>
        <w:ind w:left="700" w:right="739" w:hanging="326"/>
        <w:spacing w:after="0" w:line="281"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 w:lineRule="exact"/>
        <w:rPr>
          <w:rFonts w:ascii="Arial" w:cs="Arial" w:eastAsia="Arial" w:hAnsi="Arial"/>
          <w:sz w:val="16"/>
          <w:szCs w:val="16"/>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We believe that our existing cash and cash equivalents as of March 31, 2021 will be sufficient to enable us to fund operating expenses and capital expenditure requirements for at least the next 12 months from the date of the issuance of the financial statements included in this Quarterly Report on Form 10-Q . We expect that we will need to obtain substantial additional funding in order to fund our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March 31, 2021, we did not have any off-balance sheet arrangements as defined under SEC rules.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There have been no material changes to our contractual obligations as disclosed in our Annual Report on Form 10-K for the fiscal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Our critical accounting policies and estimates are described in "Management's Discussion and Analysis of Financial Condition and Results of Operations—Critical Accounting Policies " in our Annual Report on Form 10-K for the fiscal year ended December 31, 2020. We have reviewed and determined that those critical accounting policies and estimates remain our critical accounting policies and estimates as of and for the three months ended March 31, 2021. No changes were made to our critical accounting policies during the period presented.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elsewhere in this Quarterly Report.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As of March 31, 2021, we had $194,015 cash and cash equivalents. Our 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is primarily held in U.S. Government money market funds. We do not participate in any foreign currency hedging activities and we do not have any other derivative financial instruments. We did not recognize any significant exchange rate losses during the three months ended March 31, 2021 and 2020, respectively.</w:t>
      </w:r>
    </w:p>
    <w:p>
      <w:pPr>
        <w:spacing w:after="0" w:line="171" w:lineRule="exact"/>
        <w:rPr>
          <w:sz w:val="20"/>
          <w:szCs w:val="20"/>
          <w:color w:val="auto"/>
        </w:rPr>
      </w:pPr>
    </w:p>
    <w:p>
      <w:pPr>
        <w:jc w:val="both"/>
        <w:ind w:left="60" w:right="219" w:firstLine="324"/>
        <w:spacing w:after="0" w:line="279"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71" w:lineRule="exact"/>
        <w:rPr>
          <w:sz w:val="20"/>
          <w:szCs w:val="20"/>
          <w:color w:val="auto"/>
        </w:rPr>
      </w:pPr>
    </w:p>
    <w:p>
      <w:pPr>
        <w:ind w:left="60" w:right="279" w:firstLine="324"/>
        <w:spacing w:after="0" w:line="311" w:lineRule="auto"/>
        <w:rPr>
          <w:sz w:val="20"/>
          <w:szCs w:val="20"/>
          <w:color w:val="auto"/>
        </w:rPr>
      </w:pPr>
      <w:r>
        <w:rPr>
          <w:rFonts w:ascii="Arial" w:cs="Arial" w:eastAsia="Arial" w:hAnsi="Arial"/>
          <w:sz w:val="16"/>
          <w:szCs w:val="16"/>
          <w:i w:val="1"/>
          <w:iCs w:val="1"/>
          <w:color w:val="auto"/>
        </w:rPr>
        <w:t>Capital Market Risk</w:t>
      </w:r>
      <w:r>
        <w:rPr>
          <w:rFonts w:ascii="Arial" w:cs="Arial" w:eastAsia="Arial" w:hAnsi="Arial"/>
          <w:sz w:val="16"/>
          <w:szCs w:val="16"/>
          <w:color w:val="auto"/>
        </w:rPr>
        <w:t>. We currently have no product revenues and depend on funds raised through other sources. One</w:t>
      </w:r>
      <w:r>
        <w:rPr>
          <w:rFonts w:ascii="Arial" w:cs="Arial" w:eastAsia="Arial" w:hAnsi="Arial"/>
          <w:sz w:val="16"/>
          <w:szCs w:val="16"/>
          <w:i w:val="1"/>
          <w:iCs w:val="1"/>
          <w:color w:val="auto"/>
        </w:rPr>
        <w:t xml:space="preserve"> </w:t>
      </w:r>
      <w:r>
        <w:rPr>
          <w:rFonts w:ascii="Arial" w:cs="Arial" w:eastAsia="Arial" w:hAnsi="Arial"/>
          <w:sz w:val="16"/>
          <w:szCs w:val="16"/>
          <w:color w:val="auto"/>
        </w:rPr>
        <w:t>source of funding is through future debt or equity offerings. Our ability to raise funds in this manner depends upon, among other things, capital market forces affecting our stock price, and on the state of the capital markets generally.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4"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as of March 31, 2021,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379" w:firstLine="648"/>
        <w:spacing w:after="0" w:line="263" w:lineRule="auto"/>
        <w:rPr>
          <w:sz w:val="20"/>
          <w:szCs w:val="20"/>
          <w:color w:val="auto"/>
        </w:rPr>
      </w:pPr>
      <w:r>
        <w:rPr>
          <w:rFonts w:ascii="Arial" w:cs="Arial" w:eastAsia="Arial" w:hAnsi="Arial"/>
          <w:sz w:val="18"/>
          <w:szCs w:val="18"/>
          <w:color w:val="auto"/>
        </w:rPr>
        <w:t>There were no other changes in our internal control over financial reporting (as defined in Rules 13a-15(f) and 15d-15(f) under the Exchange Act) during the three months ended March 31, 2021 that have materially affected, or are reasonably likely to materially affect, our internal control over financial reporting.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as well as general economic and business risks and the other information in this Quarterly Report on Form 10-Q and our Annual Report on Form 10-K for the fiscal year ended December 31, 2020.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left="60" w:right="279" w:firstLine="324"/>
        <w:spacing w:after="0" w:line="254" w:lineRule="auto"/>
        <w:rPr>
          <w:sz w:val="20"/>
          <w:szCs w:val="20"/>
          <w:color w:val="auto"/>
        </w:rPr>
      </w:pPr>
      <w:r>
        <w:rPr>
          <w:rFonts w:ascii="Arial" w:cs="Arial" w:eastAsia="Arial" w:hAnsi="Arial"/>
          <w:sz w:val="18"/>
          <w:szCs w:val="18"/>
          <w:color w:val="auto"/>
        </w:rPr>
        <w:t>We were incorporated in March 2017 and our operations to date have been largely focused on staffing our company, raising capital and advancing the development of, our product candidates, including conducting clinical and preclinical studies. We have not yet demonstrated an ability to successfully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95" w:lineRule="exact"/>
        <w:rPr>
          <w:sz w:val="20"/>
          <w:szCs w:val="20"/>
          <w:color w:val="auto"/>
        </w:rPr>
      </w:pPr>
    </w:p>
    <w:p>
      <w:pPr>
        <w:ind w:left="60" w:right="479" w:firstLine="324"/>
        <w:spacing w:after="0" w:line="342"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will need to eventually transition from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79"/>
        <w:spacing w:after="0" w:line="342" w:lineRule="auto"/>
        <w:rPr>
          <w:sz w:val="20"/>
          <w:szCs w:val="20"/>
          <w:color w:val="auto"/>
        </w:rPr>
      </w:pPr>
      <w:r>
        <w:rPr>
          <w:rFonts w:ascii="Arial" w:cs="Arial" w:eastAsia="Arial" w:hAnsi="Arial"/>
          <w:sz w:val="16"/>
          <w:szCs w:val="16"/>
          <w:color w:val="auto"/>
        </w:rPr>
        <w:t>company with a research and development focus to a company capable of undertaking commercial activities. We may encounter unforeseen expenses, difficulties, complications and delays, and may not be successful in such a transition.</w:t>
      </w:r>
    </w:p>
    <w:p>
      <w:pPr>
        <w:spacing w:after="0" w:line="124"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6"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Since our inception, we have incurred significant operating losses. Our net loss was $26.4 million and $14.9 million for the three months ended March 31, 2021 and 2020 respectively. As of March 31, 2021, we had stockholders’ equity of $186.7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65" w:lineRule="exact"/>
        <w:rPr>
          <w:sz w:val="20"/>
          <w:szCs w:val="20"/>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1020" w:right="61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spacing w:after="0" w:line="170" w:lineRule="exact"/>
        <w:rPr>
          <w:rFonts w:ascii="Arial" w:cs="Arial" w:eastAsia="Arial" w:hAnsi="Arial"/>
          <w:sz w:val="18"/>
          <w:szCs w:val="18"/>
          <w:color w:val="auto"/>
        </w:rPr>
      </w:pPr>
    </w:p>
    <w:p>
      <w:pPr>
        <w:ind w:left="1020" w:right="61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1020" w:right="19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170" w:lineRule="exact"/>
        <w:rPr>
          <w:rFonts w:ascii="Arial" w:cs="Arial" w:eastAsia="Arial" w:hAnsi="Arial"/>
          <w:sz w:val="18"/>
          <w:szCs w:val="18"/>
          <w:color w:val="auto"/>
        </w:rPr>
      </w:pPr>
    </w:p>
    <w:p>
      <w:pPr>
        <w:ind w:left="1020" w:right="87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64"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4"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firstLine="324"/>
        <w:spacing w:after="0" w:line="286" w:lineRule="auto"/>
        <w:rPr>
          <w:sz w:val="20"/>
          <w:szCs w:val="20"/>
          <w:color w:val="auto"/>
        </w:rPr>
      </w:pPr>
      <w:r>
        <w:rPr>
          <w:rFonts w:ascii="Arial" w:cs="Arial" w:eastAsia="Arial" w:hAnsi="Arial"/>
          <w:sz w:val="17"/>
          <w:szCs w:val="17"/>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65"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We anticipate that our expenses will increase substantially if and as we continue to develop and conduct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68"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expect that our cash and cash equivalents as of March 31, 2021 will be sufficient to fund our ongoing research and development efforts and commercialization preparation for at least twelve months from the date of the issuance of the financial statements included in this Quarterly Report on Form 10-Q.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prior equity offerings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Additionally, market volatility resulting from the COVID-19 pandemic or other factors could also adversely impact our ability to access capital as and when needed. Our failure to raise capital as and when needed would have a negative impact on our financial condition and our ability to pursue our business strategy.</w:t>
      </w:r>
    </w:p>
    <w:p>
      <w:pPr>
        <w:spacing w:after="0" w:line="171" w:lineRule="exact"/>
        <w:rPr>
          <w:sz w:val="20"/>
          <w:szCs w:val="20"/>
          <w:color w:val="auto"/>
        </w:rPr>
      </w:pPr>
    </w:p>
    <w:p>
      <w:pPr>
        <w:ind w:left="60" w:right="399" w:firstLine="324"/>
        <w:spacing w:after="0" w:line="296" w:lineRule="auto"/>
        <w:rPr>
          <w:sz w:val="20"/>
          <w:szCs w:val="20"/>
          <w:color w:val="auto"/>
        </w:rPr>
      </w:pPr>
      <w:r>
        <w:rPr>
          <w:rFonts w:ascii="Arial" w:cs="Arial" w:eastAsia="Arial" w:hAnsi="Arial"/>
          <w:sz w:val="16"/>
          <w:szCs w:val="16"/>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61" w:lineRule="exact"/>
        <w:rPr>
          <w:sz w:val="20"/>
          <w:szCs w:val="20"/>
          <w:color w:val="auto"/>
        </w:rPr>
      </w:pPr>
    </w:p>
    <w:p>
      <w:pPr>
        <w:ind w:left="1020" w:right="199" w:hanging="322"/>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62" w:lineRule="exact"/>
        <w:rPr>
          <w:rFonts w:ascii="Arial" w:cs="Arial" w:eastAsia="Arial" w:hAnsi="Arial"/>
          <w:sz w:val="18"/>
          <w:szCs w:val="18"/>
          <w:color w:val="auto"/>
        </w:rPr>
      </w:pPr>
    </w:p>
    <w:p>
      <w:pPr>
        <w:ind w:left="1020" w:right="719" w:hanging="322"/>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117" w:lineRule="exact"/>
        <w:rPr>
          <w:rFonts w:ascii="Arial" w:cs="Arial" w:eastAsia="Arial" w:hAnsi="Arial"/>
          <w:sz w:val="18"/>
          <w:szCs w:val="18"/>
          <w:color w:val="auto"/>
        </w:rPr>
      </w:pPr>
    </w:p>
    <w:p>
      <w:pPr>
        <w:ind w:left="1020" w:right="139" w:hanging="322"/>
        <w:spacing w:after="0" w:line="286"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57" w:lineRule="exact"/>
        <w:rPr>
          <w:rFonts w:ascii="Arial" w:cs="Arial" w:eastAsia="Arial" w:hAnsi="Arial"/>
          <w:sz w:val="17"/>
          <w:szCs w:val="17"/>
          <w:color w:val="auto"/>
        </w:rPr>
      </w:pPr>
    </w:p>
    <w:p>
      <w:pPr>
        <w:ind w:left="1020" w:right="159" w:hanging="322"/>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establish a commercial infrastructure;</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219" w:hanging="32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physician acceptance or medical society recommendations that may affect commercial efforts;</w:t>
      </w:r>
    </w:p>
    <w:p>
      <w:pPr>
        <w:spacing w:after="0" w:line="140" w:lineRule="exact"/>
        <w:rPr>
          <w:rFonts w:ascii="Arial" w:cs="Arial" w:eastAsia="Arial" w:hAnsi="Arial"/>
          <w:sz w:val="16"/>
          <w:szCs w:val="16"/>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have limited experience in drug discovery and drug development, and we have never had a drug approved.</w:t>
      </w:r>
    </w:p>
    <w:p>
      <w:pPr>
        <w:spacing w:after="0" w:line="248"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66" w:lineRule="exact"/>
        <w:rPr>
          <w:sz w:val="20"/>
          <w:szCs w:val="20"/>
          <w:color w:val="auto"/>
        </w:rPr>
      </w:pPr>
    </w:p>
    <w:p>
      <w:pPr>
        <w:ind w:left="60" w:right="419"/>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8"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1020" w:right="779" w:hanging="32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an IND application by the FDA authorizing us to conduct clinical trials of our product candidates in the United States;</w:t>
      </w:r>
    </w:p>
    <w:p>
      <w:pPr>
        <w:spacing w:after="0" w:line="62" w:lineRule="exact"/>
        <w:rPr>
          <w:rFonts w:ascii="Arial" w:cs="Arial" w:eastAsia="Arial" w:hAnsi="Arial"/>
          <w:sz w:val="18"/>
          <w:szCs w:val="18"/>
          <w:color w:val="auto"/>
        </w:rPr>
      </w:pPr>
    </w:p>
    <w:p>
      <w:pPr>
        <w:ind w:left="1020" w:right="199" w:hanging="32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spacing w:after="0" w:line="62" w:lineRule="exact"/>
        <w:rPr>
          <w:rFonts w:ascii="Arial" w:cs="Arial" w:eastAsia="Arial" w:hAnsi="Arial"/>
          <w:sz w:val="18"/>
          <w:szCs w:val="18"/>
          <w:color w:val="auto"/>
        </w:rPr>
      </w:pPr>
    </w:p>
    <w:p>
      <w:pPr>
        <w:ind w:left="1020" w:right="819" w:hanging="32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117" w:lineRule="exact"/>
        <w:rPr>
          <w:rFonts w:ascii="Arial" w:cs="Arial" w:eastAsia="Arial" w:hAnsi="Arial"/>
          <w:sz w:val="18"/>
          <w:szCs w:val="18"/>
          <w:color w:val="auto"/>
        </w:rPr>
      </w:pPr>
    </w:p>
    <w:p>
      <w:pPr>
        <w:ind w:left="1020" w:right="639" w:hanging="32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of any required post-marketing clinical trials or other commitments to applicable regulatory authorities;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117" w:lineRule="exact"/>
        <w:rPr>
          <w:rFonts w:ascii="Arial" w:cs="Arial" w:eastAsia="Arial" w:hAnsi="Arial"/>
          <w:sz w:val="18"/>
          <w:szCs w:val="18"/>
          <w:color w:val="auto"/>
        </w:rPr>
      </w:pPr>
    </w:p>
    <w:p>
      <w:pPr>
        <w:ind w:left="1020" w:right="799" w:hanging="32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959" w:hanging="32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spacing w:after="0" w:line="62" w:lineRule="exact"/>
        <w:rPr>
          <w:rFonts w:ascii="Arial" w:cs="Arial" w:eastAsia="Arial" w:hAnsi="Arial"/>
          <w:sz w:val="18"/>
          <w:szCs w:val="18"/>
          <w:color w:val="auto"/>
        </w:rPr>
      </w:pPr>
    </w:p>
    <w:p>
      <w:pPr>
        <w:ind w:left="1020" w:right="159" w:hanging="32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17"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178"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For example, on March 3, 2021, we provided further top line data regarding our TRANQUILITY study based on our ongoing analysis.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2"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8"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8"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4"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20" w:right="139" w:hanging="32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62" w:lineRule="exact"/>
        <w:rPr>
          <w:rFonts w:ascii="Arial" w:cs="Arial" w:eastAsia="Arial" w:hAnsi="Arial"/>
          <w:sz w:val="18"/>
          <w:szCs w:val="18"/>
          <w:color w:val="auto"/>
        </w:rPr>
      </w:pPr>
    </w:p>
    <w:p>
      <w:pPr>
        <w:ind w:left="1020" w:right="179" w:hanging="32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right="839" w:hanging="32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20" w:right="539" w:hanging="32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259" w:hanging="322"/>
        <w:spacing w:after="0" w:line="25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pacing w:after="0" w:line="79" w:lineRule="exact"/>
        <w:rPr>
          <w:rFonts w:ascii="Arial" w:cs="Arial" w:eastAsia="Arial" w:hAnsi="Arial"/>
          <w:sz w:val="18"/>
          <w:szCs w:val="18"/>
          <w:color w:val="auto"/>
        </w:rPr>
      </w:pPr>
    </w:p>
    <w:p>
      <w:pPr>
        <w:ind w:left="1020" w:right="399" w:hanging="322"/>
        <w:spacing w:after="0" w:line="342"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020" w:right="999" w:hanging="322"/>
        <w:spacing w:after="0" w:line="30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38"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2"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color w:val="auto"/>
        </w:rPr>
        <w:t>commercialization of that product candidate or may restrict its distribution. Any of the foregoing scenarios could materially harm the commercial prospects for our product candidates.</w:t>
      </w:r>
    </w:p>
    <w:p>
      <w:pPr>
        <w:spacing w:after="0" w:line="170" w:lineRule="exact"/>
        <w:rPr>
          <w:sz w:val="20"/>
          <w:szCs w:val="20"/>
          <w:color w:val="auto"/>
        </w:rPr>
      </w:pPr>
    </w:p>
    <w:p>
      <w:pPr>
        <w:ind w:left="60" w:right="199" w:firstLine="324"/>
        <w:spacing w:after="0" w:line="253" w:lineRule="auto"/>
        <w:rPr>
          <w:sz w:val="20"/>
          <w:szCs w:val="20"/>
          <w:color w:val="auto"/>
        </w:rPr>
      </w:pPr>
      <w:r>
        <w:rPr>
          <w:rFonts w:ascii="Arial" w:cs="Arial" w:eastAsia="Arial" w:hAnsi="Arial"/>
          <w:sz w:val="18"/>
          <w:szCs w:val="18"/>
          <w:color w:val="auto"/>
        </w:rPr>
        <w:t>We have not previously submitted an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96"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61"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involve an uncertain outcome.</w:t>
      </w:r>
    </w:p>
    <w:p>
      <w:pPr>
        <w:spacing w:after="0" w:line="170"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78" w:lineRule="exact"/>
        <w:rPr>
          <w:sz w:val="20"/>
          <w:szCs w:val="20"/>
          <w:color w:val="auto"/>
        </w:rPr>
      </w:pPr>
    </w:p>
    <w:p>
      <w:pPr>
        <w:ind w:left="1020" w:right="25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62" w:lineRule="exact"/>
        <w:rPr>
          <w:rFonts w:ascii="Arial" w:cs="Arial" w:eastAsia="Arial" w:hAnsi="Arial"/>
          <w:sz w:val="18"/>
          <w:szCs w:val="18"/>
          <w:color w:val="auto"/>
        </w:rPr>
      </w:pPr>
    </w:p>
    <w:p>
      <w:pPr>
        <w:ind w:left="1020" w:right="51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consensus with regulatory authorities on trial designs;</w:t>
      </w:r>
    </w:p>
    <w:p>
      <w:pPr>
        <w:spacing w:after="0" w:line="62" w:lineRule="exact"/>
        <w:rPr>
          <w:rFonts w:ascii="Arial" w:cs="Arial" w:eastAsia="Arial" w:hAnsi="Arial"/>
          <w:sz w:val="18"/>
          <w:szCs w:val="18"/>
          <w:color w:val="auto"/>
        </w:rPr>
      </w:pPr>
    </w:p>
    <w:p>
      <w:pPr>
        <w:jc w:val="both"/>
        <w:ind w:left="1020" w:right="519" w:hanging="322"/>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healthcare resources to combat epidemics, such as the COVID-19 pandemic;</w:t>
      </w:r>
    </w:p>
    <w:p>
      <w:pPr>
        <w:spacing w:after="0" w:line="117"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 or independent ethics committee, or IEC, approval at any sites outside the United States;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dependence on the needs and timing of third party collaborators;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43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spacing w:after="0" w:line="62" w:lineRule="exact"/>
        <w:rPr>
          <w:rFonts w:ascii="Arial" w:cs="Arial" w:eastAsia="Arial" w:hAnsi="Arial"/>
          <w:sz w:val="18"/>
          <w:szCs w:val="18"/>
          <w:color w:val="auto"/>
        </w:rPr>
      </w:pPr>
    </w:p>
    <w:p>
      <w:pPr>
        <w:ind w:left="1020" w:right="29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serious adverse events in trials of the same class of agents conducted by other companies or institutions;</w:t>
      </w:r>
    </w:p>
    <w:p>
      <w:pPr>
        <w:spacing w:after="0" w:line="62" w:lineRule="exact"/>
        <w:rPr>
          <w:rFonts w:ascii="Arial" w:cs="Arial" w:eastAsia="Arial" w:hAnsi="Arial"/>
          <w:sz w:val="18"/>
          <w:szCs w:val="18"/>
          <w:color w:val="auto"/>
        </w:rPr>
      </w:pPr>
    </w:p>
    <w:p>
      <w:pPr>
        <w:ind w:left="1020" w:right="63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20" w:right="63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62" w:lineRule="exact"/>
        <w:rPr>
          <w:rFonts w:ascii="Arial" w:cs="Arial" w:eastAsia="Arial" w:hAnsi="Arial"/>
          <w:sz w:val="18"/>
          <w:szCs w:val="18"/>
          <w:color w:val="auto"/>
        </w:rPr>
      </w:pPr>
    </w:p>
    <w:p>
      <w:pPr>
        <w:ind w:left="1020" w:right="179" w:hanging="322"/>
        <w:spacing w:after="0" w:line="279"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63" w:lineRule="exact"/>
        <w:rPr>
          <w:rFonts w:ascii="Arial" w:cs="Arial" w:eastAsia="Arial" w:hAnsi="Arial"/>
          <w:sz w:val="17"/>
          <w:szCs w:val="17"/>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17" w:lineRule="exact"/>
        <w:rPr>
          <w:rFonts w:ascii="Arial" w:cs="Arial" w:eastAsia="Arial" w:hAnsi="Arial"/>
          <w:sz w:val="18"/>
          <w:szCs w:val="18"/>
          <w:color w:val="auto"/>
        </w:rPr>
      </w:pPr>
    </w:p>
    <w:p>
      <w:pPr>
        <w:ind w:left="1020" w:right="319" w:hanging="322"/>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 or</w:t>
      </w:r>
    </w:p>
    <w:p>
      <w:pPr>
        <w:spacing w:after="0" w:line="75" w:lineRule="exact"/>
        <w:rPr>
          <w:rFonts w:ascii="Arial" w:cs="Arial" w:eastAsia="Arial" w:hAnsi="Arial"/>
          <w:sz w:val="18"/>
          <w:szCs w:val="18"/>
          <w:color w:val="auto"/>
        </w:rPr>
      </w:pPr>
    </w:p>
    <w:p>
      <w:pPr>
        <w:ind w:left="1020" w:right="279" w:hanging="322"/>
        <w:spacing w:after="0" w:line="25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96"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For example, in April 2021, PLACIDITY enrollment was voluntarily paused to assess challenges posed in opening relevant clinical sites and enrolling delirium patients in the ICU settings, including as a result of the burden COVID-19 has placed on the ICU. 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IRBs (or IECs)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06"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6"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4"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may be impacted by governmental restrictions and diversion of healthcare resources resulting from the COVID-19 pandemic.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71"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or halt clinical trials and could result in a more restrictive label or the delay or denial of regulatory approval by the FDA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or other comparable foreign authorities. The clinical evaluation of BXCL501, BXCL701 and our other product candidates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patients is still in the early stages and it is possible that there may be side effects associated with their use. Results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trials could reveal a high and unacceptable severity and prevalence of these or other side effects. For example, in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Phase 2 clinical trial for the treatment of emergent Neuroendocrine Prostate Cancer, one patient experienced acidosis with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fatal outcome. Although the clinical investigator could not determine that the fatality was related to treatment with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BXCL701, it is possible that BXCL701 could be tied to unacceptable side effects in the future. In such an event, we,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FDA, the IRBs (or IECs) at the institutions in which our studies are conducted, or the DSMB could suspend or terminate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clinical trials or the FDA or comparable foreign regulatory authorities could order us to cease clinical trials or deny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approval of our product candidates for any or all targeted indications. For example, the FDA placed Point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Therapeutics, Inc.’s IND for BXCL701 on clinical hold following an increase in observed mortality in patients receiving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BXCL701 in a Phase 3 trial in patients with non-small cell lung cancer. Though we believe that this result was caused by,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among other things, an imbalance in the disease severity of patients enrolled in the active arm of the clinical trial, there 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 guarantee that excess mortality will not be observed in future clinical studies. Treatment-related side effects could also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affect patient recruitment or the ability of enrolled patients to complete the clinical trial or result in potential product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liability claims. In addition, these side effects may not be appropriately recognized or managed by the treating medical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staff. We expect to have to train medical personnel using our product candidates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311" w:lineRule="auto"/>
        <w:rPr>
          <w:sz w:val="20"/>
          <w:szCs w:val="20"/>
          <w:color w:val="auto"/>
        </w:rPr>
      </w:pPr>
      <w:r>
        <w:rPr>
          <w:rFonts w:ascii="Arial" w:cs="Arial" w:eastAsia="Arial" w:hAnsi="Arial"/>
          <w:sz w:val="16"/>
          <w:szCs w:val="16"/>
          <w:color w:val="auto"/>
        </w:rPr>
        <w:t>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49"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4" w:lineRule="exact"/>
        <w:rPr>
          <w:sz w:val="20"/>
          <w:szCs w:val="20"/>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128" w:lineRule="exact"/>
        <w:rPr>
          <w:rFonts w:ascii="Arial" w:cs="Arial" w:eastAsia="Arial" w:hAnsi="Arial"/>
          <w:sz w:val="17"/>
          <w:szCs w:val="17"/>
          <w:color w:val="auto"/>
        </w:rPr>
      </w:pPr>
    </w:p>
    <w:p>
      <w:pPr>
        <w:ind w:left="1020" w:right="619" w:hanging="32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20" w:right="719" w:hanging="32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62" w:lineRule="exact"/>
        <w:rPr>
          <w:rFonts w:ascii="Arial" w:cs="Arial" w:eastAsia="Arial" w:hAnsi="Arial"/>
          <w:sz w:val="18"/>
          <w:szCs w:val="18"/>
          <w:color w:val="auto"/>
        </w:rPr>
      </w:pPr>
    </w:p>
    <w:p>
      <w:pPr>
        <w:ind w:left="1020" w:right="899" w:hanging="322"/>
        <w:spacing w:after="0" w:line="308"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required to implement Risk Evaluation and Mitigation Strategies, or REMS, or create a medication guide outlining the risks of such side effects for distribution to patients;</w:t>
      </w:r>
    </w:p>
    <w:p>
      <w:pPr>
        <w:spacing w:after="0" w:line="38" w:lineRule="exact"/>
        <w:rPr>
          <w:rFonts w:ascii="Arial" w:cs="Arial" w:eastAsia="Arial" w:hAnsi="Arial"/>
          <w:sz w:val="17"/>
          <w:szCs w:val="17"/>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84"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46"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left="60" w:right="459" w:firstLine="324"/>
        <w:spacing w:after="0" w:line="342" w:lineRule="auto"/>
        <w:rPr>
          <w:sz w:val="20"/>
          <w:szCs w:val="20"/>
          <w:color w:val="auto"/>
        </w:rPr>
      </w:pPr>
      <w:r>
        <w:rPr>
          <w:rFonts w:ascii="Arial" w:cs="Arial" w:eastAsia="Arial" w:hAnsi="Arial"/>
          <w:sz w:val="16"/>
          <w:szCs w:val="16"/>
          <w:color w:val="auto"/>
        </w:rPr>
        <w:t>Any drug discovery that we are conducting using EvolverAI may not be successful in identifying compounds that have commercial value or therapeutic utility. EvolverAI may initially show promise in identifying potential product</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candidates, yet fail to yield viable product candidates for clinical development or commercialization for a number of reasons, including:</w:t>
      </w:r>
    </w:p>
    <w:p>
      <w:pPr>
        <w:spacing w:after="0" w:line="170" w:lineRule="exact"/>
        <w:rPr>
          <w:sz w:val="20"/>
          <w:szCs w:val="20"/>
          <w:color w:val="auto"/>
        </w:rPr>
      </w:pPr>
    </w:p>
    <w:p>
      <w:pPr>
        <w:ind w:left="1020" w:right="199" w:hanging="322"/>
        <w:spacing w:after="0" w:line="275"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68" w:lineRule="exact"/>
        <w:rPr>
          <w:rFonts w:ascii="Arial" w:cs="Arial" w:eastAsia="Arial" w:hAnsi="Arial"/>
          <w:sz w:val="17"/>
          <w:szCs w:val="17"/>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117" w:lineRule="exact"/>
        <w:rPr>
          <w:rFonts w:ascii="Arial" w:cs="Arial" w:eastAsia="Arial" w:hAnsi="Arial"/>
          <w:sz w:val="18"/>
          <w:szCs w:val="18"/>
          <w:color w:val="auto"/>
        </w:rPr>
      </w:pPr>
    </w:p>
    <w:p>
      <w:pPr>
        <w:ind w:left="1020" w:right="819" w:hanging="322"/>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75" w:lineRule="exact"/>
        <w:rPr>
          <w:rFonts w:ascii="Arial" w:cs="Arial" w:eastAsia="Arial" w:hAnsi="Arial"/>
          <w:sz w:val="18"/>
          <w:szCs w:val="18"/>
          <w:color w:val="auto"/>
        </w:rPr>
      </w:pPr>
    </w:p>
    <w:p>
      <w:pPr>
        <w:ind w:left="1020" w:right="27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117"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b w:val="1"/>
          <w:bCs w:val="1"/>
          <w:i w:val="1"/>
          <w:iCs w:val="1"/>
          <w:color w:val="auto"/>
        </w:rPr>
        <w:t>We have obtained Fast Track Designation for BXCL501 for the treatment of acute agitation,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87"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have obtained Fast Track designation for BXCL501 for the treatment of acute agitation, and we may seek Fast Track designation for other indications for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88" w:lineRule="exact"/>
        <w:rPr>
          <w:sz w:val="20"/>
          <w:szCs w:val="20"/>
          <w:color w:val="auto"/>
        </w:rPr>
      </w:pPr>
    </w:p>
    <w:p>
      <w:pPr>
        <w:ind w:left="60" w:right="259" w:firstLine="324"/>
        <w:spacing w:after="0" w:line="291" w:lineRule="auto"/>
        <w:rPr>
          <w:sz w:val="20"/>
          <w:szCs w:val="20"/>
          <w:color w:val="auto"/>
        </w:rPr>
      </w:pPr>
      <w:r>
        <w:rPr>
          <w:rFonts w:ascii="Arial" w:cs="Arial" w:eastAsia="Arial" w:hAnsi="Arial"/>
          <w:sz w:val="16"/>
          <w:szCs w:val="16"/>
          <w:color w:val="auto"/>
        </w:rPr>
        <w:t>We intend to seek FDA approval through the 505(b)(2) regulatory pathway for certain of our product candidates, including BXCL501. The Hatch-Waxman Act added Section 505(b)(2) to the Federal Food, Drug and Cosmetic Act, or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color w:val="auto"/>
        </w:rPr>
        <w:t>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66" w:lineRule="exact"/>
        <w:rPr>
          <w:sz w:val="20"/>
          <w:szCs w:val="20"/>
          <w:color w:val="auto"/>
        </w:rPr>
      </w:pPr>
    </w:p>
    <w:p>
      <w:pPr>
        <w:ind w:left="60" w:right="259"/>
        <w:spacing w:after="0" w:line="327" w:lineRule="auto"/>
        <w:rPr>
          <w:sz w:val="20"/>
          <w:szCs w:val="20"/>
          <w:color w:val="auto"/>
        </w:rPr>
      </w:pPr>
      <w:r>
        <w:rPr>
          <w:rFonts w:ascii="Arial" w:cs="Arial" w:eastAsia="Arial" w:hAnsi="Arial"/>
          <w:sz w:val="15"/>
          <w:szCs w:val="15"/>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Arial" w:cs="Arial" w:eastAsia="Arial" w:hAnsi="Arial"/>
          <w:sz w:val="15"/>
          <w:szCs w:val="15"/>
          <w:color w:val="auto"/>
        </w:rPr>
        <w:t>.</w:t>
      </w:r>
    </w:p>
    <w:p>
      <w:pPr>
        <w:spacing w:after="0" w:line="14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We may decide to collaborate with patient diagnostic companies during our clinical trial enrollment process for BXCL701 to help identify patients with tumor gene alterations that we believe may be most likely to respond to our product candidates. If a satisfactory companion diagnostic is not commercially available, we may be required to create or obtain one that would be subject to regulatory approval requirements. The process of obtaining or creating such diagnostic is time consuming and costly.</w:t>
      </w:r>
    </w:p>
    <w:p>
      <w:pPr>
        <w:spacing w:after="0" w:line="192"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92"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If the FDA or a comparable foreign regulatory authority requires approval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66" w:lineRule="exact"/>
        <w:rPr>
          <w:sz w:val="20"/>
          <w:szCs w:val="20"/>
          <w:color w:val="auto"/>
        </w:rPr>
      </w:pPr>
    </w:p>
    <w:p>
      <w:pPr>
        <w:ind w:left="60" w:right="199" w:firstLine="324"/>
        <w:spacing w:after="0" w:line="270" w:lineRule="auto"/>
        <w:rPr>
          <w:sz w:val="20"/>
          <w:szCs w:val="20"/>
          <w:color w:val="auto"/>
        </w:rPr>
      </w:pPr>
      <w:r>
        <w:rPr>
          <w:rFonts w:ascii="Arial" w:cs="Arial" w:eastAsia="Arial" w:hAnsi="Arial"/>
          <w:sz w:val="17"/>
          <w:szCs w:val="17"/>
          <w:color w:val="auto"/>
        </w:rPr>
        <w:t>Approval, clearance or certification of companion diagnostics may be subject to further legislative or regulatory reforms notably in the EU. On May 25, 2017, the new In Vitro Medical Devices Regulation (2017/746 or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will, however, only become applicable in May 2022.</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regulation of companion diagnostics will be subject to further requirements as of the entry into force of the IVDR which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authorities or the EMA.</w:t>
      </w:r>
    </w:p>
    <w:p>
      <w:pPr>
        <w:spacing w:after="0" w:line="185"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These modifications may make it more difficult and costly for us to obtain regulatory clearances or approvals for our companion diagnostics or to manufacture, market or distribute our products after clearance or approval is obtained.</w:t>
      </w:r>
    </w:p>
    <w:p>
      <w:pPr>
        <w:spacing w:after="0" w:line="124" w:lineRule="exact"/>
        <w:rPr>
          <w:sz w:val="20"/>
          <w:szCs w:val="20"/>
          <w:color w:val="auto"/>
        </w:rPr>
      </w:pPr>
    </w:p>
    <w:p>
      <w:pPr>
        <w:ind w:left="60" w:right="339" w:firstLine="45"/>
        <w:spacing w:after="0" w:line="263" w:lineRule="auto"/>
        <w:rPr>
          <w:sz w:val="20"/>
          <w:szCs w:val="20"/>
          <w:color w:val="auto"/>
        </w:rPr>
      </w:pPr>
      <w:r>
        <w:rPr>
          <w:rFonts w:ascii="Arial" w:cs="Arial" w:eastAsia="Arial" w:hAnsi="Arial"/>
          <w:sz w:val="18"/>
          <w:szCs w:val="18"/>
          <w:b w:val="1"/>
          <w:bCs w:val="1"/>
          <w:i w:val="1"/>
          <w:iCs w:val="1"/>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pacing w:after="0" w:line="184" w:lineRule="exact"/>
        <w:rPr>
          <w:sz w:val="20"/>
          <w:szCs w:val="20"/>
          <w:color w:val="auto"/>
        </w:rPr>
      </w:pPr>
    </w:p>
    <w:p>
      <w:pPr>
        <w:ind w:left="60" w:right="339" w:firstLine="324"/>
        <w:spacing w:after="0" w:line="290"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cGMP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w:t>
      </w:r>
    </w:p>
    <w:p>
      <w:pPr>
        <w:spacing w:after="0" w:line="165" w:lineRule="exact"/>
        <w:rPr>
          <w:sz w:val="20"/>
          <w:szCs w:val="20"/>
          <w:color w:val="auto"/>
        </w:rPr>
      </w:pPr>
    </w:p>
    <w:p>
      <w:pPr>
        <w:ind w:left="60" w:right="219" w:firstLine="324"/>
        <w:spacing w:after="0" w:line="271"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candidate may be marketed or to the conditions of approval, including a requirement to implement a REMS. If any of our product candidates receives marketing approval, the accompanying label may limit the approved indicated use of the product candidate, which could limit sales of the product candidate. The FDA may also impose requirements for costly post-marketing studies or clinical trials and surveillance to monitor the safety or efficacy of a product. Violations of the Federal Food, Drug, and Cosmetic Act, or FDCA, relating to the promotion of prescription drugs may lead to FDA enforcement actions and investigations alleging violations of federal and state healthcare fraud and abuse laws, as well as state consumer protection laws.</w:t>
      </w:r>
    </w:p>
    <w:p>
      <w:pPr>
        <w:spacing w:after="0" w:line="178"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84" w:lineRule="exact"/>
        <w:rPr>
          <w:sz w:val="20"/>
          <w:szCs w:val="20"/>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Further, the FDA’s policies may change, and additional government regulations may be enacted that could impose extensive and ongoing regulatory requirements and obligations on any product candidate for which we obtain marketing approval. For instance, the EU has adopted Regulation (EU) No 536/2014 (Clinical Trials Regulation, or CTR) in April 2014, which is expected to come into application in 2022. The CTR will be directly applicable in all the EU member states, repealing the current Clinical Trials Directive. Conduct of all clinical trials performed in the European Union will continue to be bound by currently applicable provisions until the new CTR becomes applicable. The extent to which ongoing clinical trials will be governed by the CTR will depend on when the CTR becomes applicable and on the duration of the individual clinical trial. If a clinical trial continues for more than three years from the day on which the CTR becomes applicable the CTR will at that time begin to apply to the clinical trial. The CTR harmonizes the assessment and supervision processes for clinical trials throughout the EU via a Clinical Trials Information System, which will notably contain a centralized EU portal and database.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4"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We also cannot predict the likelihood, nature or extent of government regulation that may arise from future legislation or administrative action, either in the United States or abroad.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orders will be implemented, or whether they will be rescinded and replaced under the Biden administration. The policies and priorities of the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68"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U.S. federal government (and other foreign governments)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7" w:lineRule="exact"/>
        <w:rPr>
          <w:sz w:val="20"/>
          <w:szCs w:val="20"/>
          <w:color w:val="auto"/>
        </w:rPr>
      </w:pPr>
    </w:p>
    <w:p>
      <w:pPr>
        <w:ind w:left="60" w:right="279" w:firstLine="324"/>
        <w:spacing w:after="0" w:line="26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2" w:lineRule="exact"/>
        <w:rPr>
          <w:sz w:val="20"/>
          <w:szCs w:val="20"/>
          <w:color w:val="auto"/>
        </w:rPr>
      </w:pPr>
    </w:p>
    <w:p>
      <w:pPr>
        <w:jc w:val="both"/>
        <w:ind w:left="60" w:right="159" w:firstLine="324"/>
        <w:spacing w:after="0" w:line="284"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w:t>
      </w:r>
    </w:p>
    <w:p>
      <w:pPr>
        <w:spacing w:after="0" w:line="4" w:lineRule="exact"/>
        <w:rPr>
          <w:sz w:val="20"/>
          <w:szCs w:val="20"/>
          <w:color w:val="auto"/>
        </w:rPr>
      </w:pPr>
    </w:p>
    <w:p>
      <w:pPr>
        <w:ind w:left="60" w:right="159" w:firstLine="45"/>
        <w:spacing w:after="0" w:line="268" w:lineRule="auto"/>
        <w:rPr>
          <w:sz w:val="20"/>
          <w:szCs w:val="20"/>
          <w:color w:val="auto"/>
        </w:rPr>
      </w:pPr>
      <w:r>
        <w:rPr>
          <w:rFonts w:ascii="Arial" w:cs="Arial" w:eastAsia="Arial" w:hAnsi="Arial"/>
          <w:sz w:val="17"/>
          <w:szCs w:val="17"/>
          <w:color w:val="auto"/>
        </w:rPr>
        <w:t>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9"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77"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161"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or the UK, the United Kingdom withdrew from the European Union, or Brexit, on January 31, 2020 and entered into a transition period during which it was essentially treated as a member state of the EU and the regulatory regime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4" w:lineRule="auto"/>
        <w:rPr>
          <w:sz w:val="20"/>
          <w:szCs w:val="20"/>
          <w:color w:val="auto"/>
        </w:rPr>
      </w:pPr>
      <w:r>
        <w:rPr>
          <w:rFonts w:ascii="Arial" w:cs="Arial" w:eastAsia="Arial" w:hAnsi="Arial"/>
          <w:sz w:val="16"/>
          <w:szCs w:val="16"/>
          <w:color w:val="auto"/>
        </w:rPr>
        <w:t>remained the same across the United Kingdom and the European Union. Since January 1, 2021, the United Kingdom operates under a distinct regulatory regime. EU pharmaceutical laws now only apply to the UK in respect of Northern Ireland (as laid out in the Protocol on Ireland and Northern Ireland, including but not limited to marketing authorization applications). EU laws which have been transposed into UK law through secondary legislation continue to be applicable as “retained EU law”. As there is no general power to amend this “retained EU law” the UK government has introduced a new Medicines and Medical Devices Bill which seeks to address regulatory gaps through implementing regulations and delegated powers covering the fields of human medicines, clinical trials of human medicines, veterinary medicines and medical devices. The purpose of the bill is to enable the existing UK regulatory frameworks to be updated. Although regulatory authorities in the UK have indicated in the bill that new UK rules will closely align with EU laws, detailed proposals are yet to be published. The bill has not been formally enacted and had its final reading in the House of Lords on January 21, 2021. As the House of Lords proposed amendments to the draft legislation, the bill will go back to the other house of parliament for debate. There is no set time period for consideration of amendments and the bill will only proceed to be enacted as law once the draft bill has been agreed by both houses and royal assent has been obtained. The draft bill currently contemplates that the provisions will come into effect immediately upon enactment or otherwise within two months thereafter, with the exception of certain provisions on enforcement and disclosure, which are subject to further regulation Significant political and economic uncertainty therefore remains about how much the relationship between the UK and EU will differ as a result of the UK’s withdrawal.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396"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4"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These laws include:</w:t>
      </w:r>
    </w:p>
    <w:p>
      <w:pPr>
        <w:spacing w:after="0" w:line="187" w:lineRule="exact"/>
        <w:rPr>
          <w:sz w:val="20"/>
          <w:szCs w:val="20"/>
          <w:color w:val="auto"/>
        </w:rPr>
      </w:pPr>
    </w:p>
    <w:p>
      <w:pPr>
        <w:ind w:left="1020" w:right="159" w:hanging="322"/>
        <w:spacing w:after="0" w:line="25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92" w:lineRule="exact"/>
        <w:rPr>
          <w:rFonts w:ascii="Arial" w:cs="Arial" w:eastAsia="Arial" w:hAnsi="Arial"/>
          <w:sz w:val="18"/>
          <w:szCs w:val="18"/>
          <w:color w:val="auto"/>
        </w:rPr>
      </w:pPr>
    </w:p>
    <w:p>
      <w:pPr>
        <w:ind w:left="1020" w:right="159" w:hanging="322"/>
        <w:spacing w:after="0" w:line="289"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66" w:lineRule="exact"/>
        <w:rPr>
          <w:rFonts w:ascii="Arial" w:cs="Arial" w:eastAsia="Arial" w:hAnsi="Arial"/>
          <w:sz w:val="16"/>
          <w:szCs w:val="16"/>
          <w:color w:val="auto"/>
        </w:rPr>
      </w:pPr>
    </w:p>
    <w:p>
      <w:pPr>
        <w:ind w:left="1020" w:right="399" w:hanging="322"/>
        <w:spacing w:after="0" w:line="296"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or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does not need to have actual knowledge of these statutes or specific intent to violate them to have committed</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violation;</w:t>
      </w:r>
    </w:p>
    <w:p>
      <w:pPr>
        <w:spacing w:after="0" w:line="210" w:lineRule="exact"/>
        <w:rPr>
          <w:sz w:val="20"/>
          <w:szCs w:val="20"/>
          <w:color w:val="auto"/>
        </w:rPr>
      </w:pPr>
    </w:p>
    <w:p>
      <w:pPr>
        <w:ind w:left="1020" w:right="179" w:hanging="322"/>
        <w:spacing w:after="0" w:line="301"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57" w:lineRule="exact"/>
        <w:rPr>
          <w:rFonts w:ascii="Arial" w:cs="Arial" w:eastAsia="Arial" w:hAnsi="Arial"/>
          <w:sz w:val="16"/>
          <w:szCs w:val="16"/>
          <w:color w:val="auto"/>
        </w:rPr>
      </w:pPr>
    </w:p>
    <w:p>
      <w:pPr>
        <w:ind w:left="1020" w:right="239" w:hanging="32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ind w:left="1020" w:right="159" w:hanging="322"/>
        <w:spacing w:after="0" w:line="273"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certain manufacturers of drugs, devices, biologics, and medical supplies to report annually to the Centers for Medicare &amp; Medicaid Services, or CMS, information related to payments and other transfers of value to physicians (defined to include doctors, dentists, optometrists, podiatrists and chiropractors), certain other healthcare providers starting in 2022, and teaching hospitals, and ownership and investment interests held by physicians and other healthcare providers and their immediate family members;</w:t>
      </w:r>
    </w:p>
    <w:p>
      <w:pPr>
        <w:spacing w:after="0" w:line="177" w:lineRule="exact"/>
        <w:rPr>
          <w:rFonts w:ascii="Arial" w:cs="Arial" w:eastAsia="Arial" w:hAnsi="Arial"/>
          <w:sz w:val="17"/>
          <w:szCs w:val="17"/>
          <w:color w:val="auto"/>
        </w:rPr>
      </w:pPr>
    </w:p>
    <w:p>
      <w:pPr>
        <w:ind w:left="1020" w:right="279" w:hanging="322"/>
        <w:spacing w:after="0" w:line="271"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 and;</w:t>
      </w:r>
    </w:p>
    <w:p>
      <w:pPr>
        <w:spacing w:after="0" w:line="178" w:lineRule="exact"/>
        <w:rPr>
          <w:rFonts w:ascii="Arial" w:cs="Arial" w:eastAsia="Arial" w:hAnsi="Arial"/>
          <w:sz w:val="17"/>
          <w:szCs w:val="17"/>
          <w:color w:val="auto"/>
        </w:rPr>
      </w:pPr>
    </w:p>
    <w:p>
      <w:pPr>
        <w:ind w:left="1020" w:right="319" w:hanging="32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additional reporting obligations and oversight if we become subject to a corporate integrity agreement or other agreement to resolve allegations of non-compliance with these laws, and imprisonment, any of which could adversely affect our ability to market our products and adversely impact our financial results.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020" w:hanging="32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117" w:lineRule="exact"/>
        <w:rPr>
          <w:rFonts w:ascii="Arial" w:cs="Arial" w:eastAsia="Arial" w:hAnsi="Arial"/>
          <w:sz w:val="18"/>
          <w:szCs w:val="18"/>
          <w:color w:val="auto"/>
        </w:rPr>
      </w:pPr>
    </w:p>
    <w:p>
      <w:pPr>
        <w:ind w:left="1020" w:right="279" w:hanging="322"/>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17"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4"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b w:val="1"/>
          <w:bCs w:val="1"/>
          <w:i w:val="1"/>
          <w:iCs w:val="1"/>
          <w:color w:val="auto"/>
        </w:rPr>
        <w:t>We have been granted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76" w:lineRule="exact"/>
        <w:rPr>
          <w:sz w:val="20"/>
          <w:szCs w:val="20"/>
          <w:color w:val="auto"/>
        </w:rPr>
      </w:pPr>
    </w:p>
    <w:p>
      <w:pPr>
        <w:ind w:left="60" w:right="179" w:firstLine="324"/>
        <w:spacing w:after="0" w:line="285"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at the end of the fifth year, it is established that a drug no longer meets the criteria for orphan drug designation or if the drug is sufficiently profitable so that market exclusivity is no longer justified. 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indications or for our other product candidates. There can be no assurances that we will be able to obtain such designations.</w:t>
      </w:r>
    </w:p>
    <w:p>
      <w:pPr>
        <w:spacing w:after="0" w:line="171"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0" w:lineRule="auto"/>
        <w:rPr>
          <w:sz w:val="20"/>
          <w:szCs w:val="20"/>
          <w:color w:val="auto"/>
        </w:rPr>
      </w:pPr>
      <w:r>
        <w:rPr>
          <w:rFonts w:ascii="Arial" w:cs="Arial" w:eastAsia="Arial" w:hAnsi="Arial"/>
          <w:sz w:val="17"/>
          <w:szCs w:val="17"/>
          <w:color w:val="auto"/>
        </w:rPr>
        <w:t>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181"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left="60" w:right="299"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77"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77"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87" w:lineRule="exact"/>
        <w:rPr>
          <w:sz w:val="20"/>
          <w:szCs w:val="20"/>
          <w:color w:val="auto"/>
        </w:rPr>
      </w:pPr>
    </w:p>
    <w:p>
      <w:pPr>
        <w:ind w:left="60" w:right="299" w:firstLine="324"/>
        <w:spacing w:after="0" w:line="296"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approval for or commercializing drugs before we do, which would have an adverse impact on our business and results of operations.</w:t>
      </w:r>
    </w:p>
    <w:p>
      <w:pPr>
        <w:spacing w:after="0" w:line="170"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4"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6" w:lineRule="exact"/>
        <w:rPr>
          <w:sz w:val="20"/>
          <w:szCs w:val="20"/>
          <w:color w:val="auto"/>
        </w:rPr>
      </w:pPr>
    </w:p>
    <w:p>
      <w:pPr>
        <w:ind w:left="1020" w:right="819" w:hanging="322"/>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62" w:lineRule="exact"/>
        <w:rPr>
          <w:rFonts w:ascii="Arial" w:cs="Arial" w:eastAsia="Arial" w:hAnsi="Arial"/>
          <w:sz w:val="18"/>
          <w:szCs w:val="18"/>
          <w:color w:val="auto"/>
        </w:rPr>
      </w:pPr>
    </w:p>
    <w:p>
      <w:pPr>
        <w:ind w:left="1020" w:right="959" w:hanging="322"/>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BXCL501, BXCL701 and our other product candidates;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clinical indication(s) for which BXCL501, BXCL701 and our other product candidates are approved;</w:t>
      </w:r>
    </w:p>
    <w:p>
      <w:pPr>
        <w:spacing w:after="0" w:line="128" w:lineRule="exact"/>
        <w:rPr>
          <w:rFonts w:ascii="Arial" w:cs="Arial" w:eastAsia="Arial" w:hAnsi="Arial"/>
          <w:sz w:val="17"/>
          <w:szCs w:val="17"/>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117" w:lineRule="exact"/>
        <w:rPr>
          <w:rFonts w:ascii="Arial" w:cs="Arial" w:eastAsia="Arial" w:hAnsi="Arial"/>
          <w:sz w:val="18"/>
          <w:szCs w:val="18"/>
          <w:color w:val="auto"/>
        </w:rPr>
      </w:pPr>
    </w:p>
    <w:p>
      <w:pPr>
        <w:ind w:left="1020" w:right="1199" w:hanging="322"/>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62"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88"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81" w:lineRule="exact"/>
        <w:rPr>
          <w:sz w:val="20"/>
          <w:szCs w:val="20"/>
          <w:color w:val="auto"/>
        </w:rPr>
      </w:pPr>
    </w:p>
    <w:p>
      <w:pPr>
        <w:ind w:left="60" w:right="379" w:firstLine="324"/>
        <w:spacing w:after="0" w:line="311" w:lineRule="auto"/>
        <w:rPr>
          <w:sz w:val="20"/>
          <w:szCs w:val="20"/>
          <w:color w:val="auto"/>
        </w:rPr>
      </w:pPr>
      <w:r>
        <w:rPr>
          <w:rFonts w:ascii="Arial" w:cs="Arial" w:eastAsia="Arial" w:hAnsi="Arial"/>
          <w:sz w:val="16"/>
          <w:szCs w:val="16"/>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4"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8" w:lineRule="exact"/>
        <w:rPr>
          <w:sz w:val="20"/>
          <w:szCs w:val="20"/>
          <w:color w:val="auto"/>
        </w:rPr>
      </w:pPr>
    </w:p>
    <w:p>
      <w:pPr>
        <w:ind w:left="60" w:right="179"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ACA, has substantially changed the way healthcare is financed by both government health plans and private insurers, and significantly impacts the pharmaceutical industry. The ACA contained a number of provisions that are expected to impact our business and operations in ways that may negatively affect our potential revenues in the future. For example, the ACA imposed a non-deductible excise tax on pharmaceutical manufacturers or importers that sell branded prescription drugs to government programs which we believe will increase the cost of our products. In addition, as part of the ACA’s provisions closing a funding gap that existed in the Medicare Part D prescription drug program, manufacturers are now required to provide a discount on branded prescription drugs equal to 70% of the government-negotiated price,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significant changes to the 340B drug discount program including expansion of the list of eligible covered entities that may purchase drugs under the program. At the same time, the expansion in eligibility for health insurance benefits created under ACA is expected to increase the number of patients with insurance coverage who may receive our products.</w:t>
      </w:r>
    </w:p>
    <w:p>
      <w:pPr>
        <w:spacing w:after="0" w:line="182"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For example, the Tax Cuts and Jobs Act, or the Tax Act, was enacted, which, among other things, removed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U.S. Supreme Court is currently reviewing the case, although it is unclear how the Supreme Court will rule. It is also unclear how other efforts, if any, to challenge, repeal or replace the ACA will impact the law, or our business or financial condition.</w:t>
      </w:r>
    </w:p>
    <w:p>
      <w:pPr>
        <w:spacing w:after="0" w:line="168" w:lineRule="exact"/>
        <w:rPr>
          <w:sz w:val="20"/>
          <w:szCs w:val="20"/>
          <w:color w:val="auto"/>
        </w:rPr>
      </w:pPr>
    </w:p>
    <w:p>
      <w:pPr>
        <w:ind w:left="60" w:right="399" w:firstLine="324"/>
        <w:spacing w:after="0" w:line="30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 the Budget Control Act of 2011, which resulted in aggregate reductions of Medicare payments to providers of 2% per fiscal year, which went into effect on April 1, 2013 and, due to subsequent legislative amendments to the statute, will remain in effect through 2030, with the exception of a temporary suspension from May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1, 2020 through March 31, 2021, unless additional Congressional action is taken, as well as the American Taxpayer Relief Act of 2012, which, among other things, further reduced Medicare payments to several types of providers, including hospitals, and increased the statute of limitations period for the government to recover overpayments to providers from three to five years.</w:t>
      </w:r>
    </w:p>
    <w:p>
      <w:pPr>
        <w:spacing w:after="0" w:line="187" w:lineRule="exact"/>
        <w:rPr>
          <w:sz w:val="20"/>
          <w:szCs w:val="20"/>
          <w:color w:val="auto"/>
        </w:rPr>
      </w:pPr>
    </w:p>
    <w:p>
      <w:pPr>
        <w:ind w:left="60" w:right="259" w:firstLine="324"/>
        <w:spacing w:after="0" w:line="290" w:lineRule="auto"/>
        <w:rPr>
          <w:sz w:val="20"/>
          <w:szCs w:val="20"/>
          <w:color w:val="auto"/>
        </w:rPr>
      </w:pPr>
      <w:r>
        <w:rPr>
          <w:rFonts w:ascii="Arial" w:cs="Arial" w:eastAsia="Arial" w:hAnsi="Arial"/>
          <w:sz w:val="16"/>
          <w:szCs w:val="16"/>
          <w:color w:val="auto"/>
        </w:rPr>
        <w:t>Recently, there has also been heightened government scrutiny over the manner in which manufacturers set prices for their marketed products, which has resulted in several Congressional inquiries and proposed and enacted legislation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Furthermore, there has been increased interest by third party payors and governmental authorities in reference pricing systems and publication of discounts and list prices.</w:t>
      </w:r>
    </w:p>
    <w:p>
      <w:pPr>
        <w:spacing w:after="0" w:line="165" w:lineRule="exact"/>
        <w:rPr>
          <w:sz w:val="20"/>
          <w:szCs w:val="20"/>
          <w:color w:val="auto"/>
        </w:rPr>
      </w:pPr>
    </w:p>
    <w:p>
      <w:pPr>
        <w:ind w:left="60" w:right="219" w:firstLine="324"/>
        <w:spacing w:after="0" w:line="254"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BioXcel LLC</w:t>
      </w:r>
    </w:p>
    <w:p>
      <w:pPr>
        <w:spacing w:after="0" w:line="229"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24" w:lineRule="exact"/>
        <w:rPr>
          <w:sz w:val="20"/>
          <w:szCs w:val="20"/>
          <w:color w:val="auto"/>
        </w:rPr>
      </w:pPr>
    </w:p>
    <w:p>
      <w:pPr>
        <w:ind w:left="60" w:right="479" w:firstLine="324"/>
        <w:spacing w:after="0" w:line="259" w:lineRule="auto"/>
        <w:rPr>
          <w:sz w:val="20"/>
          <w:szCs w:val="20"/>
          <w:color w:val="auto"/>
        </w:rPr>
      </w:pPr>
      <w:r>
        <w:rPr>
          <w:rFonts w:ascii="Arial" w:cs="Arial" w:eastAsia="Arial" w:hAnsi="Arial"/>
          <w:sz w:val="18"/>
          <w:szCs w:val="18"/>
          <w:color w:val="auto"/>
        </w:rPr>
        <w:t>As of March 31, 2021, BioXcel owned approximately 37.0% of the economic interest and voting power of our outstanding common stock. Even though BioXcel controls less than a majority of the voting power of our outstanding common stock, it may influence the outcome of such corporate actions so long as it owns a significant portion of our common stock.</w:t>
      </w:r>
    </w:p>
    <w:p>
      <w:pPr>
        <w:spacing w:after="0" w:line="187"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84"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auto"/>
        </w:rPr>
        <w:t>The commercial terms of the Separation and Shared Services Agreement with BioXcel, as amended and restated, or the Services Agreement, and the Amended and Restated Asset Contribution Agreement, or the Contribution Agreement, that we have entered into with BioXcel have not been negotiated on behalf of BioXcel by persons consisting solely of disinterested BioXcel directors.</w:t>
      </w:r>
    </w:p>
    <w:p>
      <w:pPr>
        <w:spacing w:after="0" w:line="187" w:lineRule="exact"/>
        <w:rPr>
          <w:sz w:val="20"/>
          <w:szCs w:val="20"/>
          <w:color w:val="auto"/>
        </w:rPr>
      </w:pPr>
    </w:p>
    <w:p>
      <w:pPr>
        <w:ind w:left="60" w:right="199" w:firstLine="324"/>
        <w:spacing w:after="0" w:line="288" w:lineRule="auto"/>
        <w:rPr>
          <w:sz w:val="20"/>
          <w:szCs w:val="20"/>
          <w:color w:val="auto"/>
        </w:rPr>
      </w:pPr>
      <w:r>
        <w:rPr>
          <w:rFonts w:ascii="Arial" w:cs="Arial" w:eastAsia="Arial" w:hAnsi="Arial"/>
          <w:sz w:val="16"/>
          <w:szCs w:val="16"/>
          <w:color w:val="auto"/>
        </w:rPr>
        <w:t>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left="60" w:right="159" w:firstLine="324"/>
        <w:spacing w:after="0" w:line="284" w:lineRule="auto"/>
        <w:rPr>
          <w:sz w:val="20"/>
          <w:szCs w:val="20"/>
          <w:color w:val="auto"/>
        </w:rPr>
      </w:pPr>
      <w:r>
        <w:rPr>
          <w:rFonts w:ascii="Arial" w:cs="Arial" w:eastAsia="Arial" w:hAnsi="Arial"/>
          <w:sz w:val="16"/>
          <w:szCs w:val="16"/>
          <w:color w:val="auto"/>
        </w:rPr>
        <w:t>We rely, in part, on BioXcel and access to EvolverAI, a research and development engine created and owned by BioXcel, to identify, research and develop potential product candidates in neuroscience and immuno-oncology. The Company has negotiated the Services Agreement with BioXcel pursuant to which BioXcel shall perform product identification and related services for us utilizing EvolverAI. Under the Services Agreement, the Company has an option, exercisable until March 12, 2023, to enter into a collaborative services agreement with BioXcel pursuant to which BioXcel shall perform product identification and related services for us utilizing EvolverAI. The parties are obligated to negotiate the collaborative services agreement in good faith and to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until at least September 30, 2024.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IPO.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we cannot control whether or not they devote sufficient time, skill and resources to our ongoing development programs. We also cannot ensure that BioXcel retains sufficient resources or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387"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The management of and beneficial ownership in BioXcel by our executive officers and our directors may create, or may create the appearance of, conflicts of interest.</w:t>
      </w:r>
    </w:p>
    <w:p>
      <w:pPr>
        <w:spacing w:after="0" w:line="170"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The management of and beneficial ownership in BioXcel by our executive officers and our directors may create, or may create the appearance of, conflicts of interest. For example, each of our Chief Executive Officer and a director on our Board, Vimal Mehta, Ph.D., and our Chief Digital Officer and a director on our Board, Krishnan Nandabalan, Ph.D., is a manager of BioXcel, as well as a director, officer and stockholder of BioXcel LLC, BioXcel’s parent company. Additionally, as of March 31, 2021, each of Dr. Mehta and Dr. Nandabalan, through their beneficial ownership of BioXcel, beneficially owned approximately 38.6% and 38.2%, respectively, of the Company. Management and ownership by our executive officers and directors in BioXcel,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with respect to our past and ongoing relationships could harm our business operations.</w:t>
      </w:r>
    </w:p>
    <w:p>
      <w:pPr>
        <w:spacing w:after="0" w:line="170"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170" w:lineRule="exact"/>
        <w:rPr>
          <w:sz w:val="20"/>
          <w:szCs w:val="20"/>
          <w:color w:val="auto"/>
        </w:rPr>
      </w:pPr>
    </w:p>
    <w:p>
      <w:pPr>
        <w:ind w:left="1020" w:right="739" w:hanging="322"/>
        <w:spacing w:after="0" w:line="342"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intellectual property, technology and business matters, including failure to make required technology transfers and failure to comply with non-compete provisions applicable to BioXcel and us;</w:t>
      </w:r>
    </w:p>
    <w:p>
      <w:pPr>
        <w:spacing w:after="0" w:line="15" w:lineRule="exact"/>
        <w:rPr>
          <w:rFonts w:ascii="Arial" w:cs="Arial" w:eastAsia="Arial" w:hAnsi="Arial"/>
          <w:sz w:val="16"/>
          <w:szCs w:val="16"/>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117"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87"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BioXcel may experience challenges with the acquisition, development, enhancement or deployment of technology necessary for EvolverAI.</w:t>
      </w:r>
    </w:p>
    <w:p>
      <w:pPr>
        <w:spacing w:after="0" w:line="170"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 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92"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Drug manufacturing facilities are subject to inspection before the FDA will issue an approval to market a new drug product, and all of the manufacturers that we intend to use must adhere to the cGMP regulations prescribed by the FDA.</w:t>
      </w:r>
    </w:p>
    <w:p>
      <w:pPr>
        <w:spacing w:after="0" w:line="168" w:lineRule="exact"/>
        <w:rPr>
          <w:sz w:val="20"/>
          <w:szCs w:val="20"/>
          <w:color w:val="auto"/>
        </w:rPr>
      </w:pPr>
    </w:p>
    <w:p>
      <w:pPr>
        <w:ind w:left="60" w:right="319" w:firstLine="324"/>
        <w:spacing w:after="0" w:line="269"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85" w:lineRule="exact"/>
        <w:rPr>
          <w:sz w:val="20"/>
          <w:szCs w:val="20"/>
          <w:color w:val="auto"/>
        </w:rPr>
      </w:pPr>
    </w:p>
    <w:p>
      <w:pPr>
        <w:ind w:left="60" w:right="179" w:firstLine="324"/>
        <w:spacing w:after="0" w:line="285"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may be affected, which could disrupt their activities and, as a result, we could face difficulty sourcing key components necessary to produce supply of our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65"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6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left="60" w:right="359" w:firstLine="324"/>
        <w:spacing w:after="0" w:line="255" w:lineRule="auto"/>
        <w:rPr>
          <w:sz w:val="20"/>
          <w:szCs w:val="20"/>
          <w:color w:val="auto"/>
        </w:rPr>
      </w:pPr>
      <w:r>
        <w:rPr>
          <w:rFonts w:ascii="Arial" w:cs="Arial" w:eastAsia="Arial" w:hAnsi="Arial"/>
          <w:sz w:val="18"/>
          <w:szCs w:val="18"/>
          <w:color w:val="auto"/>
        </w:rPr>
        <w:t>Our strategy for the development and commercialization of our proprietary product candidates may include the formation of collaborative arrangements with third parties. We are a party to several collaboration agreements (research and clinical).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92" w:lineRule="exact"/>
        <w:rPr>
          <w:sz w:val="20"/>
          <w:szCs w:val="20"/>
          <w:color w:val="auto"/>
        </w:rPr>
      </w:pPr>
    </w:p>
    <w:p>
      <w:pPr>
        <w:ind w:left="1020" w:hanging="32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117"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78"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9" w:lineRule="exact"/>
        <w:rPr>
          <w:sz w:val="20"/>
          <w:szCs w:val="20"/>
          <w:color w:val="auto"/>
        </w:rPr>
      </w:pPr>
    </w:p>
    <w:p>
      <w:pPr>
        <w:jc w:val="both"/>
        <w:ind w:left="60" w:right="15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579"/>
        <w:spacing w:after="0" w:line="323" w:lineRule="auto"/>
        <w:rPr>
          <w:sz w:val="20"/>
          <w:szCs w:val="20"/>
          <w:color w:val="auto"/>
        </w:rPr>
      </w:pPr>
      <w:r>
        <w:rPr>
          <w:rFonts w:ascii="Arial" w:cs="Arial" w:eastAsia="Arial" w:hAnsi="Arial"/>
          <w:sz w:val="16"/>
          <w:szCs w:val="16"/>
          <w:color w:val="auto"/>
        </w:rPr>
        <w:t>Nevertheless, we are responsible for ensuring that each of our studies is conducted in accordance with the applicable protocol, legal, regulatory and scientific standards, and our reliance on the CROs does not relieve us of</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our regulatory responsibilities. We and our CROs are required to comply with GCPs, which are regulations and guidelines enforced by the FDA, the Competent Authorities of the member states of the European Economic Area, or EEA and comparable foreign regulatory authorities for all of our products in clinical development.</w:t>
      </w:r>
    </w:p>
    <w:p>
      <w:pPr>
        <w:spacing w:after="0" w:line="165"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The outbreak of the novel coronavirus disease, COVID-19, or other pandemic, epidemic or outbreak of an infectious disease may materially and adversely impact our business, including our preclinical studies and clinical trials.</w:t>
      </w:r>
    </w:p>
    <w:p>
      <w:pPr>
        <w:spacing w:after="0" w:line="100" w:lineRule="exact"/>
        <w:rPr>
          <w:sz w:val="20"/>
          <w:szCs w:val="20"/>
          <w:color w:val="auto"/>
        </w:rPr>
      </w:pPr>
    </w:p>
    <w:p>
      <w:pPr>
        <w:ind w:left="60" w:right="279" w:firstLine="324"/>
        <w:spacing w:after="0" w:line="288" w:lineRule="auto"/>
        <w:rPr>
          <w:sz w:val="20"/>
          <w:szCs w:val="20"/>
          <w:color w:val="auto"/>
        </w:rPr>
      </w:pPr>
      <w:r>
        <w:rPr>
          <w:rFonts w:ascii="Arial" w:cs="Arial" w:eastAsia="Arial" w:hAnsi="Arial"/>
          <w:sz w:val="16"/>
          <w:szCs w:val="16"/>
          <w:color w:val="auto"/>
        </w:rPr>
        <w:t>In 2020, the novel coronavirus disease, COVID-19, was declared a pandemic and spread across the globe, including throughout the United States and Europe.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We have also implemented protocols as required under the State of Connecticut’s Reopen program and have limited travel. We have taken steps to protect our workforce and have instituted strict work rules to protect our employees. Beginning late in the first quarter of 2021, and in line with State of Connecticut guidelines, we opened our office on a voluntary basis up to full capacity. Certain of our employees continue to work remotely and, to date, our remote working arrangements have not significantly affected our ability to maintain critical business operations.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324"/>
        <w:spacing w:after="0" w:line="342" w:lineRule="auto"/>
        <w:rPr>
          <w:sz w:val="20"/>
          <w:szCs w:val="20"/>
          <w:color w:val="auto"/>
        </w:rPr>
      </w:pPr>
      <w:r>
        <w:rPr>
          <w:rFonts w:ascii="Arial" w:cs="Arial" w:eastAsia="Arial" w:hAnsi="Arial"/>
          <w:sz w:val="16"/>
          <w:szCs w:val="16"/>
          <w:color w:val="auto"/>
        </w:rPr>
        <w:t>As a result of the COVID-19 pandemic or other pandemics, epidemics or outbreaks of infectious disease, we may experience disruptions that could severely impact our business, preclinical studies and clinical trials, including:</w:t>
      </w:r>
    </w:p>
    <w:p>
      <w:pPr>
        <w:spacing w:after="0" w:line="124" w:lineRule="exact"/>
        <w:rPr>
          <w:sz w:val="20"/>
          <w:szCs w:val="20"/>
          <w:color w:val="auto"/>
        </w:rPr>
      </w:pPr>
    </w:p>
    <w:p>
      <w:pPr>
        <w:ind w:left="1020" w:hanging="32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20" w:right="419" w:hanging="32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62" w:lineRule="exact"/>
        <w:rPr>
          <w:rFonts w:ascii="Arial" w:cs="Arial" w:eastAsia="Arial" w:hAnsi="Arial"/>
          <w:sz w:val="18"/>
          <w:szCs w:val="18"/>
          <w:color w:val="auto"/>
        </w:rPr>
      </w:pPr>
    </w:p>
    <w:p>
      <w:pPr>
        <w:ind w:left="1020" w:right="539" w:hanging="322"/>
        <w:spacing w:after="0" w:line="342"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diversion of healthcare resources away from the conduct of clinical trials, including the diversion of hospitals serving as our clinical trial sites and hospital staff supporting the conduct of our clinical trials;</w:t>
      </w:r>
    </w:p>
    <w:p>
      <w:pPr>
        <w:spacing w:after="0" w:line="15" w:lineRule="exact"/>
        <w:rPr>
          <w:rFonts w:ascii="Arial" w:cs="Arial" w:eastAsia="Arial" w:hAnsi="Arial"/>
          <w:sz w:val="16"/>
          <w:szCs w:val="16"/>
          <w:color w:val="auto"/>
        </w:rPr>
      </w:pPr>
    </w:p>
    <w:p>
      <w:pPr>
        <w:ind w:left="1020" w:right="259" w:hanging="322"/>
        <w:spacing w:after="0" w:line="259"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8" w:lineRule="exact"/>
        <w:rPr>
          <w:rFonts w:ascii="Arial" w:cs="Arial" w:eastAsia="Arial" w:hAnsi="Arial"/>
          <w:sz w:val="18"/>
          <w:szCs w:val="18"/>
          <w:color w:val="auto"/>
        </w:rPr>
      </w:pPr>
    </w:p>
    <w:p>
      <w:pPr>
        <w:ind w:left="1020" w:right="179" w:hanging="32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62" w:lineRule="exact"/>
        <w:rPr>
          <w:rFonts w:ascii="Arial" w:cs="Arial" w:eastAsia="Arial" w:hAnsi="Arial"/>
          <w:sz w:val="18"/>
          <w:szCs w:val="18"/>
          <w:color w:val="auto"/>
        </w:rPr>
      </w:pPr>
    </w:p>
    <w:p>
      <w:pPr>
        <w:ind w:left="1020" w:right="359" w:hanging="322"/>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75" w:lineRule="exact"/>
        <w:rPr>
          <w:rFonts w:ascii="Arial" w:cs="Arial" w:eastAsia="Arial" w:hAnsi="Arial"/>
          <w:sz w:val="18"/>
          <w:szCs w:val="18"/>
          <w:color w:val="auto"/>
        </w:rPr>
      </w:pPr>
    </w:p>
    <w:p>
      <w:pPr>
        <w:ind w:left="1020" w:right="379" w:hanging="32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spacing w:after="0" w:line="62" w:lineRule="exact"/>
        <w:rPr>
          <w:rFonts w:ascii="Arial" w:cs="Arial" w:eastAsia="Arial" w:hAnsi="Arial"/>
          <w:sz w:val="18"/>
          <w:szCs w:val="18"/>
          <w:color w:val="auto"/>
        </w:rPr>
      </w:pPr>
    </w:p>
    <w:p>
      <w:pPr>
        <w:jc w:val="both"/>
        <w:ind w:left="1020" w:right="199" w:hanging="322"/>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1020" w:right="759" w:hanging="322"/>
        <w:spacing w:after="0" w:line="308"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strains on our business continuity plans, cybersecurity risks, and inability of certain employees to perform their work remotely; and</w:t>
      </w:r>
    </w:p>
    <w:p>
      <w:pPr>
        <w:spacing w:after="0" w:line="38" w:lineRule="exact"/>
        <w:rPr>
          <w:rFonts w:ascii="Arial" w:cs="Arial" w:eastAsia="Arial" w:hAnsi="Arial"/>
          <w:sz w:val="17"/>
          <w:szCs w:val="17"/>
          <w:color w:val="auto"/>
        </w:rPr>
      </w:pPr>
    </w:p>
    <w:p>
      <w:pPr>
        <w:ind w:left="1020" w:hanging="32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333"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rate of infection, the duration of the pandemic and subsequent waves of infection, travel restrictions and social distancing in the United States and other countries, business closures or business disruptions, the availability and effectiveness of any vaccines and the effectiveness of actions taken in the United States and other countries to contain and treat the disease.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168"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In addition to our employees, we have access to certain of BioXcel’s employees and resources through the various agreements we have entered into with BioXcel. We have been expanding our management team to include an operational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020" w:right="299" w:hanging="322"/>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62" w:lineRule="exact"/>
        <w:rPr>
          <w:rFonts w:ascii="Arial" w:cs="Arial" w:eastAsia="Arial" w:hAnsi="Arial"/>
          <w:sz w:val="18"/>
          <w:szCs w:val="18"/>
          <w:color w:val="auto"/>
        </w:rPr>
      </w:pPr>
    </w:p>
    <w:p>
      <w:pPr>
        <w:ind w:left="1020" w:right="739" w:hanging="322"/>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62" w:lineRule="exact"/>
        <w:rPr>
          <w:rFonts w:ascii="Arial" w:cs="Arial" w:eastAsia="Arial" w:hAnsi="Arial"/>
          <w:sz w:val="18"/>
          <w:szCs w:val="18"/>
          <w:color w:val="auto"/>
        </w:rPr>
      </w:pPr>
    </w:p>
    <w:p>
      <w:pPr>
        <w:ind w:left="1020" w:right="859" w:hanging="322"/>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117"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6"/>
          <w:szCs w:val="16"/>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1"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24" w:lineRule="exact"/>
        <w:rPr>
          <w:sz w:val="20"/>
          <w:szCs w:val="20"/>
          <w:color w:val="auto"/>
        </w:rPr>
      </w:pPr>
    </w:p>
    <w:p>
      <w:pPr>
        <w:ind w:left="60" w:right="259" w:firstLine="324"/>
        <w:spacing w:after="0" w:line="290" w:lineRule="auto"/>
        <w:rPr>
          <w:sz w:val="20"/>
          <w:szCs w:val="20"/>
          <w:color w:val="auto"/>
        </w:rPr>
      </w:pPr>
      <w:r>
        <w:rPr>
          <w:rFonts w:ascii="Arial" w:cs="Arial" w:eastAsia="Arial" w:hAnsi="Arial"/>
          <w:sz w:val="16"/>
          <w:szCs w:val="16"/>
          <w:color w:val="auto"/>
        </w:rPr>
        <w:t>Our success depends largely upon the continued services of our key executive officers, Vimal Mehta, our Chief Executive Officer, President and a member of our Board, as well as the other principal members of our management, scientific and clinical teams.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65"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with the pharma market is limited overall. In addition, many of the companies with which we compete for experienced personnel have greater resources than we have.</w:t>
      </w:r>
    </w:p>
    <w:p>
      <w:pPr>
        <w:spacing w:after="0" w:line="192"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We may acquire other companies or technologies, which could divert our management’s attention, result in dilution to our stockholders and otherwise disrupt our operations and adversely affect our operating results.</w:t>
      </w:r>
    </w:p>
    <w:p>
      <w:pPr>
        <w:spacing w:after="0" w:line="170"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17"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62" w:lineRule="exact"/>
        <w:rPr>
          <w:rFonts w:ascii="Arial" w:cs="Arial" w:eastAsia="Arial" w:hAnsi="Arial"/>
          <w:sz w:val="18"/>
          <w:szCs w:val="18"/>
          <w:color w:val="auto"/>
        </w:rPr>
      </w:pPr>
    </w:p>
    <w:p>
      <w:pPr>
        <w:ind w:left="1020" w:right="239" w:hanging="322"/>
        <w:spacing w:after="0" w:line="342"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5" w:lineRule="exact"/>
        <w:rPr>
          <w:rFonts w:ascii="Arial" w:cs="Arial" w:eastAsia="Arial" w:hAnsi="Arial"/>
          <w:sz w:val="16"/>
          <w:szCs w:val="16"/>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17" w:lineRule="exact"/>
        <w:rPr>
          <w:rFonts w:ascii="Arial" w:cs="Arial" w:eastAsia="Arial" w:hAnsi="Arial"/>
          <w:sz w:val="18"/>
          <w:szCs w:val="18"/>
          <w:color w:val="auto"/>
        </w:rPr>
      </w:pPr>
    </w:p>
    <w:p>
      <w:pPr>
        <w:ind w:left="1020" w:right="279" w:hanging="32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333" w:lineRule="exact"/>
        <w:rPr>
          <w:sz w:val="20"/>
          <w:szCs w:val="20"/>
          <w:color w:val="auto"/>
        </w:rPr>
      </w:pPr>
    </w:p>
    <w:p>
      <w:pPr>
        <w:ind w:left="60" w:right="639" w:firstLine="324"/>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4"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87"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74" w:lineRule="exact"/>
        <w:rPr>
          <w:sz w:val="20"/>
          <w:szCs w:val="20"/>
          <w:color w:val="auto"/>
        </w:rPr>
      </w:pPr>
    </w:p>
    <w:p>
      <w:pPr>
        <w:ind w:left="60" w:right="239"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2"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b w:val="1"/>
          <w:bCs w:val="1"/>
          <w:i w:val="1"/>
          <w:iCs w:val="1"/>
          <w:color w:val="auto"/>
        </w:rPr>
        <w:t>Data breaches or cyber-attacks could disrupt our business operations and information technology systems, adversely impact our financial results or result in the loss or exposure of confidential or sensitive product candidate, clinical trial, employee or Company information.</w:t>
      </w:r>
    </w:p>
    <w:p>
      <w:pPr>
        <w:spacing w:after="0" w:line="184"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Our information technology systems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could occur through a variety of methods such as cyber-attacks or cyber-intrusions over the Internet, malware, computer viruses, email spoofing, attachments to e-mails, persons inside our organization,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For example, in September 2020, we were the victim of an email-based wire fraud that involved two electronic communications impersonating one of our vendors, resulting in our sending wires totaling $1.9 million to accounts controlled by the impersonator. We use our information technology systems to protect confidential or sensitive product candidate, clinical trial, employee and Company information. Any attack on such systems that results in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pacing w:after="0" w:line="180" w:lineRule="exact"/>
        <w:rPr>
          <w:sz w:val="20"/>
          <w:szCs w:val="20"/>
          <w:color w:val="auto"/>
        </w:rPr>
      </w:pPr>
    </w:p>
    <w:p>
      <w:pPr>
        <w:ind w:left="60" w:right="399" w:firstLine="324"/>
        <w:spacing w:after="0" w:line="311" w:lineRule="auto"/>
        <w:rPr>
          <w:sz w:val="20"/>
          <w:szCs w:val="20"/>
          <w:color w:val="auto"/>
        </w:rPr>
      </w:pPr>
      <w:r>
        <w:rPr>
          <w:rFonts w:ascii="Arial" w:cs="Arial" w:eastAsia="Arial" w:hAnsi="Arial"/>
          <w:sz w:val="16"/>
          <w:szCs w:val="16"/>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spacing w:after="0" w:line="177" w:lineRule="exact"/>
        <w:rPr>
          <w:sz w:val="20"/>
          <w:szCs w:val="20"/>
          <w:color w:val="auto"/>
        </w:rPr>
      </w:pPr>
    </w:p>
    <w:p>
      <w:pPr>
        <w:ind w:left="60" w:right="35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73" w:lineRule="exact"/>
        <w:rPr>
          <w:sz w:val="20"/>
          <w:szCs w:val="20"/>
          <w:color w:val="auto"/>
        </w:rPr>
      </w:pPr>
    </w:p>
    <w:p>
      <w:pPr>
        <w:ind w:left="60" w:right="199" w:firstLine="324"/>
        <w:spacing w:after="0" w:line="268"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artificial intelligence and machine learning may be subject to laws and evolving regulations regarding the use of artificial intelligence/machine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82"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387"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6" w:lineRule="auto"/>
        <w:rPr>
          <w:sz w:val="20"/>
          <w:szCs w:val="20"/>
          <w:color w:val="auto"/>
        </w:rPr>
      </w:pPr>
      <w:r>
        <w:rPr>
          <w:rFonts w:ascii="Arial" w:cs="Arial" w:eastAsia="Arial" w:hAnsi="Arial"/>
          <w:sz w:val="16"/>
          <w:szCs w:val="16"/>
          <w:color w:val="auto"/>
        </w:rPr>
        <w:t>For example, in 2016, the EU and United States agreed to a transfer framework for data transferred from the EU to the United States, called the Privacy Shield, but the Privacy Shield was invalidated in July 2020 by the Court of Justice of the European Union. Further, from January 1, 2021, companies have to comply with the GDPR and also the United Kingdom GDPR, or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costs and increase our overall risk exposure.</w:t>
      </w:r>
    </w:p>
    <w:p>
      <w:pPr>
        <w:spacing w:after="0" w:line="174"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9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020" w:hanging="32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1020" w:right="159" w:hanging="32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1020" w:right="179" w:hanging="32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62" w:lineRule="exact"/>
        <w:rPr>
          <w:rFonts w:ascii="Arial" w:cs="Arial" w:eastAsia="Arial" w:hAnsi="Arial"/>
          <w:sz w:val="18"/>
          <w:szCs w:val="18"/>
          <w:color w:val="auto"/>
        </w:rPr>
      </w:pPr>
    </w:p>
    <w:p>
      <w:pPr>
        <w:ind w:left="1020" w:right="399" w:hanging="32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17" w:lineRule="exact"/>
        <w:rPr>
          <w:sz w:val="20"/>
          <w:szCs w:val="20"/>
          <w:color w:val="auto"/>
        </w:rPr>
      </w:pPr>
    </w:p>
    <w:p>
      <w:pPr>
        <w:ind w:left="60" w:right="439" w:firstLine="324"/>
        <w:spacing w:after="0" w:line="273" w:lineRule="auto"/>
        <w:rPr>
          <w:sz w:val="20"/>
          <w:szCs w:val="20"/>
          <w:color w:val="auto"/>
        </w:rPr>
      </w:pPr>
      <w:r>
        <w:rPr>
          <w:rFonts w:ascii="Arial" w:cs="Arial" w:eastAsia="Arial" w:hAnsi="Arial"/>
          <w:sz w:val="17"/>
          <w:szCs w:val="17"/>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78"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and research and development credits to offset future taxable income may be subject to certain limitations.</w:t>
      </w:r>
    </w:p>
    <w:p>
      <w:pPr>
        <w:spacing w:after="0" w:line="170" w:lineRule="exact"/>
        <w:rPr>
          <w:sz w:val="20"/>
          <w:szCs w:val="20"/>
          <w:color w:val="auto"/>
        </w:rPr>
      </w:pPr>
    </w:p>
    <w:p>
      <w:pPr>
        <w:ind w:left="60" w:right="199" w:firstLine="324"/>
        <w:spacing w:after="0" w:line="285" w:lineRule="auto"/>
        <w:rPr>
          <w:sz w:val="20"/>
          <w:szCs w:val="20"/>
          <w:color w:val="auto"/>
        </w:rPr>
      </w:pPr>
      <w:r>
        <w:rPr>
          <w:rFonts w:ascii="Arial" w:cs="Arial" w:eastAsia="Arial" w:hAnsi="Arial"/>
          <w:sz w:val="16"/>
          <w:szCs w:val="16"/>
          <w:color w:val="auto"/>
        </w:rPr>
        <w:t>As of December 31, 2020, we had federal operating loss carryforwards, or NOLs, of approximately $40.7 million. Our NOLs arising before January 1, 2018 are subject to expiration and will begin to expire in 2037. As of December 31, 2020, we also had federal and state research and development and other tax credit carryforwards, or credits of approximately $5.0 million available to reduce future tax liabilities. The federal and state credits expire at various dates through 2037. These NOLs and credits could expire unused and be unavailable to offset future taxable income or income tax liabilities. In addition, in general, under Sections 382 and 383 of the Internal Revenue Code of 1986, as amended, or the Code, a corporation that undergoes an "ownership change" is subject to limitations on its ability to utilize its pre-change NOLs or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three-year period. Future changes in our stock ownership, including as a result of February 2020 offering of common stock, many of which are outside of our control, could result in an ownership change. Our NOLs or credits may also be impaired under state law. Accordingly, even if we attain profitability, we may not be able to utilize a material portion of our NOLs or credits. Furthermore, under the Tax Cuts and Jobs Act of 2017 and modified by the CARES Act signed on March 27, 2020, although the treatment of NOLs arising on or before December 31, 2017 has generally not changed, NOLs arising on or after January 1, 2018 and beyond may only be used to offset 80% of taxable income for tax years beginning after December 31, 2020. This change may require us to pay federal income taxes in future years despite generating a loss for federal income tax purposes in prior years.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60" w:right="53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4"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 and patent applications pending in the United States and in certain foreign jurisdictions. Patents issue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 As of April 30, 2021, we had five allowed or issued foreign patents that are relevant to our BXCL701 program and one issued U.S. patent and one allowed foreign patent that is relevant to our BXCL501 program. 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68" w:lineRule="exact"/>
        <w:rPr>
          <w:sz w:val="20"/>
          <w:szCs w:val="20"/>
          <w:color w:val="auto"/>
        </w:rPr>
      </w:pPr>
    </w:p>
    <w:p>
      <w:pPr>
        <w:ind w:left="60" w:right="379" w:firstLine="324"/>
        <w:spacing w:after="0" w:line="311" w:lineRule="auto"/>
        <w:rPr>
          <w:sz w:val="20"/>
          <w:szCs w:val="20"/>
          <w:color w:val="auto"/>
        </w:rPr>
      </w:pPr>
      <w:r>
        <w:rPr>
          <w:rFonts w:ascii="Arial" w:cs="Arial" w:eastAsia="Arial" w:hAnsi="Arial"/>
          <w:sz w:val="16"/>
          <w:szCs w:val="16"/>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76"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20" w:right="139" w:hanging="322"/>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pending patent applications;</w:t>
      </w:r>
    </w:p>
    <w:p>
      <w:pPr>
        <w:spacing w:after="0" w:line="128" w:lineRule="exact"/>
        <w:rPr>
          <w:rFonts w:ascii="Arial" w:cs="Arial" w:eastAsia="Arial" w:hAnsi="Arial"/>
          <w:sz w:val="17"/>
          <w:szCs w:val="17"/>
          <w:color w:val="auto"/>
        </w:rPr>
      </w:pPr>
    </w:p>
    <w:p>
      <w:pPr>
        <w:ind w:left="1020" w:hanging="32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117" w:lineRule="exact"/>
        <w:rPr>
          <w:rFonts w:ascii="Arial" w:cs="Arial" w:eastAsia="Arial" w:hAnsi="Arial"/>
          <w:sz w:val="18"/>
          <w:szCs w:val="18"/>
          <w:color w:val="auto"/>
        </w:rPr>
      </w:pPr>
    </w:p>
    <w:p>
      <w:pPr>
        <w:ind w:left="1020" w:right="399" w:hanging="322"/>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46" w:lineRule="exact"/>
        <w:rPr>
          <w:rFonts w:ascii="Arial" w:cs="Arial" w:eastAsia="Arial" w:hAnsi="Arial"/>
          <w:sz w:val="16"/>
          <w:szCs w:val="16"/>
          <w:color w:val="auto"/>
        </w:rPr>
      </w:pPr>
    </w:p>
    <w:p>
      <w:pPr>
        <w:ind w:left="1020" w:hanging="32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 Patent and Trademark Office, or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4" w:lineRule="exact"/>
        <w:rPr>
          <w:sz w:val="20"/>
          <w:szCs w:val="20"/>
          <w:color w:val="auto"/>
        </w:rPr>
      </w:pPr>
    </w:p>
    <w:p>
      <w:pPr>
        <w:ind w:left="60" w:right="239" w:firstLine="324"/>
        <w:spacing w:after="0" w:line="270" w:lineRule="auto"/>
        <w:rPr>
          <w:sz w:val="20"/>
          <w:szCs w:val="20"/>
          <w:color w:val="auto"/>
        </w:rPr>
      </w:pPr>
      <w:r>
        <w:rPr>
          <w:rFonts w:ascii="Arial" w:cs="Arial" w:eastAsia="Arial" w:hAnsi="Arial"/>
          <w:sz w:val="17"/>
          <w:szCs w:val="17"/>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020" w:hanging="32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right="279" w:hanging="32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117" w:lineRule="exact"/>
        <w:rPr>
          <w:rFonts w:ascii="Arial" w:cs="Arial" w:eastAsia="Arial" w:hAnsi="Arial"/>
          <w:sz w:val="18"/>
          <w:szCs w:val="18"/>
          <w:color w:val="auto"/>
        </w:rPr>
      </w:pPr>
    </w:p>
    <w:p>
      <w:pPr>
        <w:ind w:left="1020" w:right="379" w:hanging="322"/>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75" w:lineRule="exact"/>
        <w:rPr>
          <w:rFonts w:ascii="Arial" w:cs="Arial" w:eastAsia="Arial" w:hAnsi="Arial"/>
          <w:sz w:val="18"/>
          <w:szCs w:val="18"/>
          <w:color w:val="auto"/>
        </w:rPr>
      </w:pPr>
    </w:p>
    <w:p>
      <w:pPr>
        <w:ind w:left="1020" w:right="139" w:hanging="32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62"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76"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46" w:lineRule="exact"/>
        <w:rPr>
          <w:sz w:val="20"/>
          <w:szCs w:val="20"/>
          <w:color w:val="auto"/>
        </w:rPr>
      </w:pPr>
    </w:p>
    <w:p>
      <w:pPr>
        <w:ind w:left="60" w:right="179" w:firstLine="324"/>
        <w:spacing w:after="0" w:line="285" w:lineRule="auto"/>
        <w:rPr>
          <w:sz w:val="20"/>
          <w:szCs w:val="20"/>
          <w:color w:val="auto"/>
        </w:rPr>
      </w:pPr>
      <w:r>
        <w:rPr>
          <w:rFonts w:ascii="Arial" w:cs="Arial" w:eastAsia="Arial" w:hAnsi="Arial"/>
          <w:sz w:val="16"/>
          <w:szCs w:val="16"/>
          <w:color w:val="auto"/>
        </w:rPr>
        <w:t>Our product candidates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w:t>
      </w:r>
    </w:p>
    <w:p>
      <w:pPr>
        <w:spacing w:after="0" w:line="2" w:lineRule="exact"/>
        <w:rPr>
          <w:sz w:val="20"/>
          <w:szCs w:val="20"/>
          <w:color w:val="auto"/>
        </w:rPr>
      </w:pPr>
    </w:p>
    <w:p>
      <w:pPr>
        <w:ind w:left="60" w:right="159" w:hanging="10"/>
        <w:spacing w:after="0" w:line="252"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92"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6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65"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4"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79" w:lineRule="exact"/>
        <w:rPr>
          <w:sz w:val="20"/>
          <w:szCs w:val="20"/>
          <w:color w:val="auto"/>
        </w:rPr>
      </w:pPr>
    </w:p>
    <w:p>
      <w:pPr>
        <w:ind w:left="60" w:right="105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020" w:hanging="322"/>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some patent applications in the United States may be maintained in secrecy until the patents are issued;</w:t>
      </w:r>
    </w:p>
    <w:p>
      <w:pPr>
        <w:spacing w:after="0" w:line="128" w:lineRule="exact"/>
        <w:rPr>
          <w:rFonts w:ascii="Arial" w:cs="Arial" w:eastAsia="Arial" w:hAnsi="Arial"/>
          <w:sz w:val="17"/>
          <w:szCs w:val="17"/>
          <w:color w:val="auto"/>
        </w:rPr>
      </w:pPr>
    </w:p>
    <w:p>
      <w:pPr>
        <w:ind w:left="1020" w:right="439" w:hanging="322"/>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17" w:lineRule="exact"/>
        <w:rPr>
          <w:sz w:val="20"/>
          <w:szCs w:val="20"/>
          <w:color w:val="auto"/>
        </w:rPr>
      </w:pPr>
    </w:p>
    <w:p>
      <w:pPr>
        <w:ind w:left="60" w:right="179" w:firstLine="324"/>
        <w:spacing w:after="0" w:line="290"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laws that permit secrecy of patent applications and may be entitled to priority over our applications in such jurisdictions.</w:t>
      </w:r>
    </w:p>
    <w:p>
      <w:pPr>
        <w:spacing w:after="0" w:line="248"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7"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81"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95"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and BXCL701, when looking at our patents’ ability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1"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If we do not prevail in enforcing our intellectual property rights in this type of litigation, we may be subject to:</w:t>
      </w:r>
    </w:p>
    <w:p>
      <w:pPr>
        <w:spacing w:after="0" w:line="187" w:lineRule="exact"/>
        <w:rPr>
          <w:sz w:val="20"/>
          <w:szCs w:val="20"/>
          <w:color w:val="auto"/>
        </w:rPr>
      </w:pPr>
    </w:p>
    <w:p>
      <w:pPr>
        <w:ind w:left="1020" w:hanging="32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117" w:lineRule="exact"/>
        <w:rPr>
          <w:rFonts w:ascii="Arial" w:cs="Arial" w:eastAsia="Arial" w:hAnsi="Arial"/>
          <w:sz w:val="18"/>
          <w:szCs w:val="18"/>
          <w:color w:val="auto"/>
        </w:rPr>
      </w:pPr>
    </w:p>
    <w:p>
      <w:pPr>
        <w:ind w:left="1020" w:right="599" w:hanging="322"/>
        <w:spacing w:after="0" w:line="342"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facing additional competition that may have a significant adverse effect on our product pricing, market share, business operations, financial condition, and the commercial viability of our products; and</w:t>
      </w:r>
    </w:p>
    <w:p>
      <w:pPr>
        <w:spacing w:after="0" w:line="15" w:lineRule="exact"/>
        <w:rPr>
          <w:rFonts w:ascii="Arial" w:cs="Arial" w:eastAsia="Arial" w:hAnsi="Arial"/>
          <w:sz w:val="16"/>
          <w:szCs w:val="16"/>
          <w:color w:val="auto"/>
        </w:rPr>
      </w:pPr>
    </w:p>
    <w:p>
      <w:pPr>
        <w:ind w:left="1020" w:right="619" w:hanging="322"/>
        <w:spacing w:after="0" w:line="286"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57"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4"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Changes to patent law, including the Leahy-Smith America Invents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61"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1020" w:hanging="32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speculative trading in and short sales of our stock, as well as trading phenomena such as the “short squeeze”;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29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spacing w:after="0" w:line="62" w:lineRule="exact"/>
        <w:rPr>
          <w:rFonts w:ascii="Arial" w:cs="Arial" w:eastAsia="Arial" w:hAnsi="Arial"/>
          <w:sz w:val="18"/>
          <w:szCs w:val="18"/>
          <w:color w:val="auto"/>
        </w:rPr>
      </w:pPr>
    </w:p>
    <w:p>
      <w:pPr>
        <w:ind w:left="1020" w:right="47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spacing w:after="0" w:line="62" w:lineRule="exact"/>
        <w:rPr>
          <w:rFonts w:ascii="Arial" w:cs="Arial" w:eastAsia="Arial" w:hAnsi="Arial"/>
          <w:sz w:val="18"/>
          <w:szCs w:val="18"/>
          <w:color w:val="auto"/>
        </w:rPr>
      </w:pPr>
    </w:p>
    <w:p>
      <w:pPr>
        <w:ind w:left="1020" w:right="499" w:hanging="322"/>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75"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140" w:lineRule="exact"/>
        <w:rPr>
          <w:rFonts w:ascii="Arial" w:cs="Arial" w:eastAsia="Arial" w:hAnsi="Arial"/>
          <w:sz w:val="16"/>
          <w:szCs w:val="16"/>
          <w:color w:val="auto"/>
        </w:rPr>
      </w:pPr>
    </w:p>
    <w:p>
      <w:pPr>
        <w:ind w:left="1020" w:right="33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117"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spacing w:after="0" w:line="62" w:lineRule="exact"/>
        <w:rPr>
          <w:rFonts w:ascii="Arial" w:cs="Arial" w:eastAsia="Arial" w:hAnsi="Arial"/>
          <w:sz w:val="18"/>
          <w:szCs w:val="18"/>
          <w:color w:val="auto"/>
        </w:rPr>
      </w:pPr>
    </w:p>
    <w:p>
      <w:pPr>
        <w:ind w:left="1020" w:right="57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117" w:lineRule="exact"/>
        <w:rPr>
          <w:rFonts w:ascii="Arial" w:cs="Arial" w:eastAsia="Arial" w:hAnsi="Arial"/>
          <w:sz w:val="18"/>
          <w:szCs w:val="18"/>
          <w:color w:val="auto"/>
        </w:rPr>
      </w:pPr>
    </w:p>
    <w:p>
      <w:pPr>
        <w:ind w:left="1020" w:right="47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competition from existing technologies and products or new technologies and products that may emerge;</w:t>
      </w:r>
    </w:p>
    <w:p>
      <w:pPr>
        <w:spacing w:after="0" w:line="140" w:lineRule="exact"/>
        <w:rPr>
          <w:rFonts w:ascii="Arial" w:cs="Arial" w:eastAsia="Arial" w:hAnsi="Arial"/>
          <w:sz w:val="16"/>
          <w:szCs w:val="16"/>
          <w:color w:val="auto"/>
        </w:rPr>
      </w:pPr>
    </w:p>
    <w:p>
      <w:pPr>
        <w:ind w:left="1020" w:right="99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spacing w:after="0" w:line="62" w:lineRule="exact"/>
        <w:rPr>
          <w:rFonts w:ascii="Arial" w:cs="Arial" w:eastAsia="Arial" w:hAnsi="Arial"/>
          <w:sz w:val="18"/>
          <w:szCs w:val="18"/>
          <w:color w:val="auto"/>
        </w:rPr>
      </w:pPr>
    </w:p>
    <w:p>
      <w:pPr>
        <w:ind w:left="1020" w:right="33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117" w:lineRule="exact"/>
        <w:rPr>
          <w:rFonts w:ascii="Arial" w:cs="Arial" w:eastAsia="Arial" w:hAnsi="Arial"/>
          <w:sz w:val="18"/>
          <w:szCs w:val="18"/>
          <w:color w:val="auto"/>
        </w:rPr>
      </w:pPr>
    </w:p>
    <w:p>
      <w:pPr>
        <w:ind w:left="1020" w:right="319" w:hanging="32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128" w:lineRule="exact"/>
        <w:rPr>
          <w:rFonts w:ascii="Arial" w:cs="Arial" w:eastAsia="Arial" w:hAnsi="Arial"/>
          <w:sz w:val="17"/>
          <w:szCs w:val="17"/>
          <w:color w:val="auto"/>
        </w:rPr>
      </w:pPr>
    </w:p>
    <w:p>
      <w:pPr>
        <w:ind w:left="1020" w:hanging="32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117"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7"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70" w:lineRule="exact"/>
        <w:rPr>
          <w:sz w:val="20"/>
          <w:szCs w:val="20"/>
          <w:color w:val="auto"/>
        </w:rPr>
      </w:pPr>
    </w:p>
    <w:p>
      <w:pPr>
        <w:ind w:left="60" w:right="399" w:firstLine="324"/>
        <w:spacing w:after="0" w:line="273" w:lineRule="auto"/>
        <w:rPr>
          <w:sz w:val="20"/>
          <w:szCs w:val="20"/>
          <w:color w:val="auto"/>
        </w:rPr>
      </w:pPr>
      <w:r>
        <w:rPr>
          <w:rFonts w:ascii="Arial" w:cs="Arial" w:eastAsia="Arial" w:hAnsi="Arial"/>
          <w:sz w:val="17"/>
          <w:szCs w:val="17"/>
          <w:color w:val="auto"/>
        </w:rPr>
        <w:t>As of March 31, 2021, our directors, executive officers and BioXcel, and their respective affiliates, beneficially owned approximately 45%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78" w:lineRule="exact"/>
        <w:rPr>
          <w:sz w:val="20"/>
          <w:szCs w:val="20"/>
          <w:color w:val="auto"/>
        </w:rPr>
      </w:pPr>
    </w:p>
    <w:p>
      <w:pPr>
        <w:ind w:left="1020" w:hanging="32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140"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left="60" w:right="679" w:firstLine="324"/>
        <w:spacing w:after="0" w:line="286"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65"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or the 1940 Act, applicable restrictions could make it impractical for us to continue our business as contemplated and could have a material adverse effect on our business, financial condition and results of operations.</w:t>
      </w:r>
    </w:p>
    <w:p>
      <w:pPr>
        <w:spacing w:after="0" w:line="149" w:lineRule="exact"/>
        <w:rPr>
          <w:sz w:val="20"/>
          <w:szCs w:val="20"/>
          <w:color w:val="auto"/>
        </w:rPr>
      </w:pPr>
    </w:p>
    <w:p>
      <w:pPr>
        <w:ind w:left="60" w:right="279" w:firstLine="324"/>
        <w:spacing w:after="0" w:line="272"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77" w:lineRule="exact"/>
        <w:rPr>
          <w:sz w:val="20"/>
          <w:szCs w:val="20"/>
          <w:color w:val="auto"/>
        </w:rPr>
      </w:pPr>
    </w:p>
    <w:p>
      <w:pPr>
        <w:ind w:left="60" w:right="33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84" w:lineRule="exact"/>
        <w:rPr>
          <w:sz w:val="20"/>
          <w:szCs w:val="20"/>
          <w:color w:val="auto"/>
        </w:rPr>
      </w:pPr>
    </w:p>
    <w:p>
      <w:pPr>
        <w:ind w:left="60" w:right="139" w:firstLine="324"/>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w:t>
      </w:r>
    </w:p>
    <w:p>
      <w:pPr>
        <w:spacing w:after="0" w:line="182"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We are also a smaller reporting company, and we will remain a smaller reporting company until, as of fiscal year end, we determine that either (1) our annual revenues are at least $100 million and our voting and non-voting common stock held by non-affiliates is more than $250 million measured on the last business day of our most recent second fiscal quarter or (2) our voting and non-voting common stock held by non-affiliates is more than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81"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7" w:lineRule="exact"/>
        <w:rPr>
          <w:sz w:val="20"/>
          <w:szCs w:val="20"/>
          <w:color w:val="auto"/>
        </w:rPr>
      </w:pPr>
    </w:p>
    <w:p>
      <w:pPr>
        <w:ind w:left="60" w:right="939"/>
        <w:spacing w:after="0" w:line="342" w:lineRule="auto"/>
        <w:rPr>
          <w:sz w:val="20"/>
          <w:szCs w:val="20"/>
          <w:color w:val="auto"/>
        </w:rPr>
      </w:pPr>
      <w:r>
        <w:rPr>
          <w:rFonts w:ascii="Arial" w:cs="Arial" w:eastAsia="Arial" w:hAnsi="Arial"/>
          <w:sz w:val="16"/>
          <w:szCs w:val="16"/>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24"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91" w:lineRule="auto"/>
        <w:rPr>
          <w:sz w:val="20"/>
          <w:szCs w:val="20"/>
          <w:color w:val="auto"/>
        </w:rPr>
      </w:pPr>
      <w:r>
        <w:rPr>
          <w:rFonts w:ascii="Arial" w:cs="Arial" w:eastAsia="Arial" w:hAnsi="Arial"/>
          <w:sz w:val="16"/>
          <w:szCs w:val="16"/>
          <w:color w:val="auto"/>
        </w:rPr>
        <w:t>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66" w:lineRule="exact"/>
        <w:rPr>
          <w:sz w:val="20"/>
          <w:szCs w:val="20"/>
          <w:color w:val="auto"/>
        </w:rPr>
      </w:pPr>
    </w:p>
    <w:p>
      <w:pPr>
        <w:ind w:left="60" w:right="439" w:firstLine="324"/>
        <w:spacing w:after="0" w:line="296" w:lineRule="auto"/>
        <w:rPr>
          <w:sz w:val="20"/>
          <w:szCs w:val="20"/>
          <w:color w:val="auto"/>
        </w:rPr>
      </w:pPr>
      <w:r>
        <w:rPr>
          <w:rFonts w:ascii="Arial" w:cs="Arial" w:eastAsia="Arial" w:hAnsi="Arial"/>
          <w:sz w:val="16"/>
          <w:szCs w:val="16"/>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61" w:lineRule="exact"/>
        <w:rPr>
          <w:sz w:val="20"/>
          <w:szCs w:val="20"/>
          <w:color w:val="auto"/>
        </w:rPr>
      </w:pPr>
    </w:p>
    <w:p>
      <w:pPr>
        <w:ind w:left="1020" w:hanging="32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117" w:lineRule="exact"/>
        <w:rPr>
          <w:rFonts w:ascii="Arial" w:cs="Arial" w:eastAsia="Arial" w:hAnsi="Arial"/>
          <w:sz w:val="18"/>
          <w:szCs w:val="18"/>
          <w:color w:val="auto"/>
        </w:rPr>
      </w:pPr>
    </w:p>
    <w:p>
      <w:pPr>
        <w:ind w:left="1020" w:right="759" w:hanging="322"/>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62" w:lineRule="exact"/>
        <w:rPr>
          <w:rFonts w:ascii="Arial" w:cs="Arial" w:eastAsia="Arial" w:hAnsi="Arial"/>
          <w:sz w:val="18"/>
          <w:szCs w:val="18"/>
          <w:color w:val="auto"/>
        </w:rPr>
      </w:pPr>
    </w:p>
    <w:p>
      <w:pPr>
        <w:ind w:left="1020" w:right="339" w:hanging="322"/>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6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is required to devote substantial time to compliance matters.</w:t>
      </w:r>
    </w:p>
    <w:p>
      <w:pPr>
        <w:spacing w:after="0" w:line="170" w:lineRule="exact"/>
        <w:rPr>
          <w:sz w:val="20"/>
          <w:szCs w:val="20"/>
          <w:color w:val="auto"/>
        </w:rPr>
      </w:pPr>
    </w:p>
    <w:p>
      <w:pPr>
        <w:ind w:left="60" w:right="179" w:firstLine="324"/>
        <w:spacing w:after="0" w:line="285" w:lineRule="auto"/>
        <w:rPr>
          <w:sz w:val="20"/>
          <w:szCs w:val="20"/>
          <w:color w:val="auto"/>
        </w:rPr>
      </w:pPr>
      <w:r>
        <w:rPr>
          <w:rFonts w:ascii="Arial" w:cs="Arial" w:eastAsia="Arial" w:hAnsi="Arial"/>
          <w:sz w:val="16"/>
          <w:szCs w:val="16"/>
          <w:color w:val="auto"/>
        </w:rPr>
        <w:t>As a publicly traded company we have incurred significant additional legal, accounting and other expenses that we did not incur as a privately held subsidiary of BioXcel. The obligations of being a public company in the United States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70"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Legislation in various countries around the world with regard to cybersecurity, privacy and data protection is rapidly expanding and creating a complex compliance environment. We are subject to many privacy and data protection laws and regulations in the U.S. and around the world, some of which place restrictions on our ability to process personal data across our business. In particular, the General Data Protection Regulation, or GDPR, which became effective in May 2018, has caused more stringent data protection requirements in the European Union. The GDPR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7" w:lineRule="auto"/>
        <w:rPr>
          <w:sz w:val="20"/>
          <w:szCs w:val="20"/>
          <w:color w:val="auto"/>
        </w:rPr>
      </w:pPr>
      <w:r>
        <w:rPr>
          <w:rFonts w:ascii="Arial" w:cs="Arial" w:eastAsia="Arial" w:hAnsi="Arial"/>
          <w:sz w:val="16"/>
          <w:szCs w:val="16"/>
          <w:color w:val="auto"/>
        </w:rPr>
        <w:t>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how their personal information is to be used; imposes limitations on retention of personal data; introduces mandatory data breach notification requirements; and sets higher standards for data controllers to demonstrate that they have obtained valid consent for certain data processing activities. To the extent we collect data from individuals in the European Union, we will be subject to the supervision of local data protection authorities in those E.U. jurisdictions where we are established or otherwise subject to the GDPR. Certain breaches of the GDPR requirements could result in substantial fines, which can be up to four percent of worldwide revenue or 20 million Euros, whichever is greater. In addition to the foregoing, a breach of the GDPR could result in regulatory investigations, reputational damage, orders to cease/change our use of data, enforcement notices, as well potential civil claims including class action type litigation where individuals suffered harm.</w:t>
      </w:r>
    </w:p>
    <w:p>
      <w:pPr>
        <w:spacing w:after="0" w:line="17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left="60" w:right="299" w:firstLine="324"/>
        <w:spacing w:after="0" w:line="290"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3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51"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9" w:lineRule="exact"/>
        <w:rPr>
          <w:sz w:val="20"/>
          <w:szCs w:val="20"/>
          <w:color w:val="auto"/>
        </w:rPr>
      </w:pPr>
    </w:p>
    <w:p>
      <w:pPr>
        <w:ind w:left="60" w:right="219" w:firstLine="324"/>
        <w:spacing w:after="0" w:line="269" w:lineRule="auto"/>
        <w:rPr>
          <w:sz w:val="20"/>
          <w:szCs w:val="20"/>
          <w:color w:val="auto"/>
        </w:rPr>
      </w:pPr>
      <w:r>
        <w:rPr>
          <w:rFonts w:ascii="Arial" w:cs="Arial" w:eastAsia="Arial" w:hAnsi="Arial"/>
          <w:sz w:val="17"/>
          <w:szCs w:val="17"/>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If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82" w:lineRule="exact"/>
        <w:rPr>
          <w:sz w:val="20"/>
          <w:szCs w:val="20"/>
          <w:color w:val="auto"/>
        </w:rPr>
      </w:pPr>
    </w:p>
    <w:p>
      <w:pPr>
        <w:ind w:left="60" w:right="599" w:firstLine="324"/>
        <w:spacing w:after="0" w:line="342" w:lineRule="auto"/>
        <w:rPr>
          <w:sz w:val="20"/>
          <w:szCs w:val="20"/>
          <w:color w:val="auto"/>
        </w:rPr>
      </w:pPr>
      <w:r>
        <w:rPr>
          <w:rFonts w:ascii="Arial" w:cs="Arial" w:eastAsia="Arial" w:hAnsi="Arial"/>
          <w:sz w:val="16"/>
          <w:szCs w:val="16"/>
          <w:color w:val="auto"/>
        </w:rPr>
        <w:t>During the quarter ended September 30, 2020, we experienced an email-based wire fraud that resulted in the misappropriation of certain funds. As a result of the foregoing, we identified a material weakness due to our internal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96" w:lineRule="auto"/>
        <w:rPr>
          <w:sz w:val="20"/>
          <w:szCs w:val="20"/>
          <w:color w:val="auto"/>
        </w:rPr>
      </w:pPr>
      <w:r>
        <w:rPr>
          <w:rFonts w:ascii="Arial" w:cs="Arial" w:eastAsia="Arial" w:hAnsi="Arial"/>
          <w:sz w:val="16"/>
          <w:szCs w:val="16"/>
          <w:color w:val="auto"/>
        </w:rPr>
        <w:t>controls having not been adequately designed to prevent or timely detect unauthorized cash disbursements. If we are unable to remediate any such material weakness, if we are unable to implement and maintain effective internal control over financial reporting and effective disclosure controls and procedures, or if we fail to satisfy other requirements as a public company, including the requirements of Section 404 of the Sarbanes-Oxley Act, we may be unable to accurately report our financial results or report them within the timeframes required by the SEC.</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jc w:val="both"/>
        <w:ind w:left="60" w:right="159" w:firstLine="324"/>
        <w:spacing w:after="0" w:line="296"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We urge our stockholders to consult with their legal and tax advisors with respect to any such legislation and the potential tax consequences of investing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jc w:val="right"/>
              <w:ind w:right="99"/>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8"/>
        </w:trPr>
        <w:tc>
          <w:tcPr>
            <w:tcW w:w="84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3180" w:type="dxa"/>
            <w:vAlign w:val="bottom"/>
            <w:gridSpan w:val="7"/>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240" w:type="dxa"/>
            <w:vAlign w:val="bottom"/>
          </w:tcPr>
          <w:p>
            <w:pPr>
              <w:spacing w:after="0"/>
              <w:rPr>
                <w:sz w:val="14"/>
                <w:szCs w:val="14"/>
                <w:color w:val="auto"/>
              </w:rPr>
            </w:pPr>
          </w:p>
        </w:tc>
        <w:tc>
          <w:tcPr>
            <w:tcW w:w="3180" w:type="dxa"/>
            <w:vAlign w:val="bottom"/>
            <w:gridSpan w:val="7"/>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385"/>
        </w:trPr>
        <w:tc>
          <w:tcPr>
            <w:tcW w:w="76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3740" w:type="dxa"/>
            <w:vAlign w:val="bottom"/>
            <w:tcBorders>
              <w:top w:val="single" w:sz="8" w:color="auto"/>
              <w:bottom w:val="single" w:sz="8" w:color="0000EE"/>
            </w:tcBorders>
            <w:gridSpan w:val="4"/>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Amended and Restated Certificate of Incorporation.</w:t>
              </w:r>
            </w:hyperlink>
          </w:p>
        </w:tc>
        <w:tc>
          <w:tcPr>
            <w:tcW w:w="680" w:type="dxa"/>
            <w:vAlign w:val="bottom"/>
            <w:tcBorders>
              <w:top w:val="single" w:sz="8" w:color="auto"/>
            </w:tcBorders>
            <w:gridSpan w:val="4"/>
          </w:tcPr>
          <w:p>
            <w:pPr>
              <w:spacing w:after="0"/>
              <w:rPr>
                <w:sz w:val="24"/>
                <w:szCs w:val="2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3000" w:type="dxa"/>
            <w:vAlign w:val="bottom"/>
            <w:tcBorders>
              <w:top w:val="single" w:sz="8" w:color="auto"/>
            </w:tcBorders>
            <w:gridSpan w:val="3"/>
          </w:tcPr>
          <w:p>
            <w:pPr>
              <w:jc w:val="right"/>
              <w:ind w:right="699"/>
              <w:spacing w:after="0"/>
              <w:rPr>
                <w:sz w:val="20"/>
                <w:szCs w:val="20"/>
                <w:color w:val="auto"/>
              </w:rPr>
            </w:pPr>
            <w:r>
              <w:rPr>
                <w:rFonts w:ascii="Arial" w:cs="Arial" w:eastAsia="Arial" w:hAnsi="Arial"/>
                <w:sz w:val="18"/>
                <w:szCs w:val="18"/>
                <w:color w:val="auto"/>
              </w:rPr>
              <w:t>001-38410  3.1   3/13/2018</w:t>
            </w:r>
          </w:p>
        </w:tc>
        <w:tc>
          <w:tcPr>
            <w:tcW w:w="0" w:type="dxa"/>
            <w:vAlign w:val="bottom"/>
          </w:tcPr>
          <w:p>
            <w:pPr>
              <w:spacing w:after="0"/>
              <w:rPr>
                <w:sz w:val="1"/>
                <w:szCs w:val="1"/>
                <w:color w:val="auto"/>
              </w:rPr>
            </w:pPr>
          </w:p>
        </w:tc>
      </w:tr>
      <w:tr>
        <w:trPr>
          <w:trHeight w:val="412"/>
        </w:trPr>
        <w:tc>
          <w:tcPr>
            <w:tcW w:w="760" w:type="dxa"/>
            <w:vAlign w:val="bottom"/>
          </w:tcPr>
          <w:p>
            <w:pPr>
              <w:jc w:val="right"/>
              <w:ind w:right="136"/>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300" w:type="dxa"/>
            <w:vAlign w:val="bottom"/>
            <w:tcBorders>
              <w:bottom w:val="single" w:sz="8" w:color="0000EE"/>
            </w:tcBorders>
            <w:gridSpan w:val="2"/>
          </w:tcPr>
          <w:p>
            <w:pPr>
              <w:spacing w:after="0"/>
              <w:rPr>
                <w:rFonts w:ascii="Arial" w:cs="Arial" w:eastAsia="Arial" w:hAnsi="Arial"/>
                <w:sz w:val="18"/>
                <w:szCs w:val="18"/>
                <w:color w:val="0000EE"/>
                <w:w w:val="88"/>
              </w:rPr>
            </w:pPr>
            <w:hyperlink r:id="rId95">
              <w:r>
                <w:rPr>
                  <w:rFonts w:ascii="Arial" w:cs="Arial" w:eastAsia="Arial" w:hAnsi="Arial"/>
                  <w:sz w:val="18"/>
                  <w:szCs w:val="18"/>
                  <w:color w:val="0000EE"/>
                  <w:w w:val="88"/>
                </w:rPr>
                <w:t>Amended and Restated Bylaws.</w:t>
              </w:r>
            </w:hyperlink>
          </w:p>
        </w:tc>
        <w:tc>
          <w:tcPr>
            <w:tcW w:w="2120" w:type="dxa"/>
            <w:vAlign w:val="bottom"/>
            <w:gridSpan w:val="6"/>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60" w:type="dxa"/>
            <w:vAlign w:val="bottom"/>
          </w:tcPr>
          <w:p>
            <w:pPr>
              <w:jc w:val="right"/>
              <w:ind w:right="699"/>
              <w:spacing w:after="0"/>
              <w:rPr>
                <w:sz w:val="20"/>
                <w:szCs w:val="20"/>
                <w:color w:val="auto"/>
              </w:rPr>
            </w:pPr>
            <w:r>
              <w:rPr>
                <w:rFonts w:ascii="Arial" w:cs="Arial" w:eastAsia="Arial" w:hAnsi="Arial"/>
                <w:sz w:val="18"/>
                <w:szCs w:val="18"/>
                <w:color w:val="auto"/>
                <w:w w:val="94"/>
              </w:rPr>
              <w:t>3/13/2018</w:t>
            </w:r>
          </w:p>
        </w:tc>
        <w:tc>
          <w:tcPr>
            <w:tcW w:w="0" w:type="dxa"/>
            <w:vAlign w:val="bottom"/>
          </w:tcPr>
          <w:p>
            <w:pPr>
              <w:spacing w:after="0"/>
              <w:rPr>
                <w:sz w:val="1"/>
                <w:szCs w:val="1"/>
                <w:color w:val="auto"/>
              </w:rPr>
            </w:pPr>
          </w:p>
        </w:tc>
      </w:tr>
      <w:tr>
        <w:trPr>
          <w:trHeight w:val="412"/>
        </w:trPr>
        <w:tc>
          <w:tcPr>
            <w:tcW w:w="760" w:type="dxa"/>
            <w:vAlign w:val="bottom"/>
          </w:tcPr>
          <w:p>
            <w:pPr>
              <w:jc w:val="right"/>
              <w:ind w:right="136"/>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3740" w:type="dxa"/>
            <w:vAlign w:val="bottom"/>
            <w:tcBorders>
              <w:bottom w:val="single" w:sz="8" w:color="0000EE"/>
            </w:tcBorders>
            <w:gridSpan w:val="4"/>
          </w:tcPr>
          <w:p>
            <w:pPr>
              <w:spacing w:after="0"/>
              <w:rPr>
                <w:rFonts w:ascii="Arial" w:cs="Arial" w:eastAsia="Arial" w:hAnsi="Arial"/>
                <w:sz w:val="18"/>
                <w:szCs w:val="18"/>
                <w:color w:val="0000EE"/>
                <w:w w:val="89"/>
              </w:rPr>
            </w:pPr>
            <w:hyperlink r:id="rId96">
              <w:r>
                <w:rPr>
                  <w:rFonts w:ascii="Arial" w:cs="Arial" w:eastAsia="Arial" w:hAnsi="Arial"/>
                  <w:sz w:val="18"/>
                  <w:szCs w:val="18"/>
                  <w:color w:val="0000EE"/>
                  <w:w w:val="89"/>
                </w:rPr>
                <w:t>First Amendment to Second Amended and Restated</w:t>
              </w:r>
            </w:hyperlink>
          </w:p>
        </w:tc>
        <w:tc>
          <w:tcPr>
            <w:tcW w:w="680" w:type="dxa"/>
            <w:vAlign w:val="bottom"/>
            <w:gridSpan w:val="4"/>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560" w:type="dxa"/>
            <w:vAlign w:val="bottom"/>
          </w:tcPr>
          <w:p>
            <w:pPr>
              <w:jc w:val="right"/>
              <w:ind w:right="699"/>
              <w:spacing w:after="0"/>
              <w:rPr>
                <w:sz w:val="20"/>
                <w:szCs w:val="20"/>
                <w:color w:val="auto"/>
              </w:rPr>
            </w:pPr>
            <w:r>
              <w:rPr>
                <w:rFonts w:ascii="Arial" w:cs="Arial" w:eastAsia="Arial" w:hAnsi="Arial"/>
                <w:sz w:val="18"/>
                <w:szCs w:val="18"/>
                <w:color w:val="auto"/>
                <w:w w:val="94"/>
              </w:rPr>
              <w:t>3/12/2021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20" w:type="dxa"/>
            <w:vAlign w:val="bottom"/>
            <w:gridSpan w:val="8"/>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Separation and Shared Services Agreement, dated March 3,</w:t>
              </w:r>
            </w:hyperlink>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2021, by and between BioXcel LLC and BioXcel</w:t>
              </w:r>
            </w:hyperlink>
          </w:p>
        </w:tc>
        <w:tc>
          <w:tcPr>
            <w:tcW w:w="720" w:type="dxa"/>
            <w:vAlign w:val="bottom"/>
            <w:tcBorders>
              <w:top w:val="single" w:sz="8" w:color="0000EE"/>
            </w:tcBorders>
            <w:gridSpan w:val="4"/>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20" w:type="dxa"/>
            <w:vAlign w:val="bottom"/>
            <w:gridSpan w:val="8"/>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Therapeutics Inc.</w:t>
              </w:r>
            </w:hyperlink>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10.2†</w:t>
            </w:r>
          </w:p>
        </w:tc>
        <w:tc>
          <w:tcPr>
            <w:tcW w:w="4420" w:type="dxa"/>
            <w:vAlign w:val="bottom"/>
            <w:gridSpan w:val="8"/>
          </w:tcPr>
          <w:p>
            <w:pPr>
              <w:spacing w:after="0"/>
              <w:rPr>
                <w:rFonts w:ascii="Arial" w:cs="Arial" w:eastAsia="Arial" w:hAnsi="Arial"/>
                <w:sz w:val="18"/>
                <w:szCs w:val="18"/>
                <w:color w:val="0000EE"/>
                <w:w w:val="99"/>
              </w:rPr>
            </w:pPr>
            <w:hyperlink r:id="rId97">
              <w:r>
                <w:rPr>
                  <w:rFonts w:ascii="Arial" w:cs="Arial" w:eastAsia="Arial" w:hAnsi="Arial"/>
                  <w:sz w:val="18"/>
                  <w:szCs w:val="18"/>
                  <w:color w:val="0000EE"/>
                  <w:w w:val="99"/>
                </w:rPr>
                <w:t>Employment Agreement between Javier Rodriguez and</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560" w:type="dxa"/>
            <w:vAlign w:val="bottom"/>
          </w:tcPr>
          <w:p>
            <w:pPr>
              <w:jc w:val="right"/>
              <w:ind w:right="699"/>
              <w:spacing w:after="0"/>
              <w:rPr>
                <w:sz w:val="20"/>
                <w:szCs w:val="20"/>
                <w:color w:val="auto"/>
              </w:rPr>
            </w:pPr>
            <w:r>
              <w:rPr>
                <w:rFonts w:ascii="Arial" w:cs="Arial" w:eastAsia="Arial" w:hAnsi="Arial"/>
                <w:sz w:val="18"/>
                <w:szCs w:val="18"/>
                <w:color w:val="auto"/>
                <w:w w:val="94"/>
              </w:rPr>
              <w:t>3/12/2021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tcBorders>
              <w:top w:val="single" w:sz="8" w:color="0000EE"/>
            </w:tcBorders>
            <w:gridSpan w:val="6"/>
          </w:tcPr>
          <w:p>
            <w:pPr>
              <w:spacing w:after="0" w:line="196"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BioXcel Therapeutics, Inc., dated February 15, 2021.</w:t>
              </w:r>
            </w:hyperlink>
          </w:p>
        </w:tc>
        <w:tc>
          <w:tcPr>
            <w:tcW w:w="4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 w:lineRule="exact"/>
        <w:rPr>
          <w:sz w:val="20"/>
          <w:szCs w:val="20"/>
          <w:color w:val="auto"/>
        </w:rPr>
      </w:pPr>
    </w:p>
    <w:p>
      <w:pPr>
        <w:ind w:left="880" w:right="2400" w:hanging="609"/>
        <w:spacing w:after="0" w:line="259"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82">
        <w:r>
          <w:rPr>
            <w:rFonts w:ascii="Arial" w:cs="Arial" w:eastAsia="Arial" w:hAnsi="Arial"/>
            <w:sz w:val="18"/>
            <w:szCs w:val="18"/>
            <w:u w:val="single" w:color="auto"/>
            <w:color w:val="0000EE"/>
          </w:rPr>
          <w:t>Certification of Principal Executive Officer Pursuant to Rules</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13a-14(a) and 15d-14(a) under the Securities Exchange Act of</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1934, as Adopted Pursuant to Section 302 of the Sarbanes-</w:t>
        </w:r>
      </w:hyperlink>
      <w:hyperlink w:anchor="page82">
        <w:r>
          <w:rPr>
            <w:rFonts w:ascii="Arial" w:cs="Arial" w:eastAsia="Arial" w:hAnsi="Arial"/>
            <w:sz w:val="18"/>
            <w:szCs w:val="18"/>
            <w:u w:val="single" w:color="auto"/>
            <w:color w:val="0000EE"/>
          </w:rPr>
          <w:t>Oxley Act of 2002.</w:t>
        </w:r>
      </w:hyperlink>
    </w:p>
    <w:p>
      <w:pPr>
        <w:spacing w:after="0" w:line="187" w:lineRule="exact"/>
        <w:rPr>
          <w:rFonts w:ascii="Arial" w:cs="Arial" w:eastAsia="Arial" w:hAnsi="Arial"/>
          <w:sz w:val="18"/>
          <w:szCs w:val="18"/>
          <w:u w:val="single" w:color="auto"/>
          <w:color w:val="0000EE"/>
        </w:rPr>
      </w:pPr>
    </w:p>
    <w:p>
      <w:pPr>
        <w:ind w:left="880" w:right="2400" w:hanging="609"/>
        <w:spacing w:after="0" w:line="259"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83">
        <w:r>
          <w:rPr>
            <w:rFonts w:ascii="Arial" w:cs="Arial" w:eastAsia="Arial" w:hAnsi="Arial"/>
            <w:sz w:val="18"/>
            <w:szCs w:val="18"/>
            <w:u w:val="single" w:color="auto"/>
            <w:color w:val="0000EE"/>
          </w:rPr>
          <w:t>Certification of Principal Financial Officer Pursuant to Rules</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13a-14(a) and 15d-14(a) under the Securities Exchange Act of</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1934, as Adopted Pursuant to Section 302 of the Sarbanes-</w:t>
        </w:r>
      </w:hyperlink>
      <w:hyperlink w:anchor="page83">
        <w:r>
          <w:rPr>
            <w:rFonts w:ascii="Arial" w:cs="Arial" w:eastAsia="Arial" w:hAnsi="Arial"/>
            <w:sz w:val="18"/>
            <w:szCs w:val="18"/>
            <w:u w:val="single" w:color="auto"/>
            <w:color w:val="0000EE"/>
          </w:rPr>
          <w:t>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32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w:t>
      </w:r>
    </w:p>
    <w:p>
      <w:pPr>
        <w:spacing w:after="0" w:line="535" w:lineRule="exact"/>
        <w:rPr>
          <w:rFonts w:ascii="Arial" w:cs="Arial" w:eastAsia="Arial" w:hAnsi="Arial"/>
          <w:sz w:val="18"/>
          <w:szCs w:val="18"/>
          <w:u w:val="single" w:color="auto"/>
          <w:color w:val="0000EE"/>
        </w:rPr>
      </w:pPr>
    </w:p>
    <w:p>
      <w:pPr>
        <w:sectPr>
          <w:pgSz w:w="11900" w:h="16838" w:orient="portrait"/>
          <w:cols w:equalWidth="0" w:num="2">
            <w:col w:w="7760" w:space="720"/>
            <w:col w:w="539"/>
          </w:cols>
          <w:pgMar w:left="1440" w:top="517" w:right="1440" w:bottom="1440" w:gutter="0" w:footer="0" w:header="0"/>
          <w:type w:val="continuous"/>
        </w:sectPr>
      </w:pPr>
    </w:p>
    <w:tbl>
      <w:tblPr>
        <w:tblLayout w:type="fixed"/>
        <w:tblInd w:w="80" w:type="dxa"/>
        <w:tblCellMar>
          <w:top w:w="0" w:type="dxa"/>
          <w:left w:w="0" w:type="dxa"/>
          <w:bottom w:w="0" w:type="dxa"/>
          <w:right w:w="0" w:type="dxa"/>
        </w:tblCellMar>
      </w:tblPr>
      <w:tr>
        <w:trPr>
          <w:trHeight w:val="207"/>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1"/>
              </w:rPr>
              <w:t>32.1</w:t>
            </w:r>
          </w:p>
        </w:tc>
        <w:tc>
          <w:tcPr>
            <w:tcW w:w="6020" w:type="dxa"/>
            <w:vAlign w:val="bottom"/>
            <w:gridSpan w:val="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Certification of Principal Executive Officer Pursuant to 18</w:t>
              </w:r>
            </w:hyperlink>
          </w:p>
        </w:tc>
        <w:tc>
          <w:tcPr>
            <w:tcW w:w="1700" w:type="dxa"/>
            <w:vAlign w:val="bottom"/>
            <w:vMerge w:val="restart"/>
          </w:tcPr>
          <w:p>
            <w:pPr>
              <w:jc w:val="center"/>
              <w:ind w:left="1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020" w:type="dxa"/>
            <w:vAlign w:val="bottom"/>
            <w:gridSpan w:val="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U.S.C. Section 1350, as Adopted Pursuant to Section 906 of</w:t>
              </w:r>
            </w:hyperlink>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the Sarbanes-Oxley Act of 2002.</w:t>
              </w:r>
            </w:hyperlink>
          </w:p>
        </w:tc>
        <w:tc>
          <w:tcPr>
            <w:tcW w:w="1940" w:type="dxa"/>
            <w:vAlign w:val="bottom"/>
            <w:tcBorders>
              <w:top w:val="single" w:sz="8" w:color="0000EE"/>
            </w:tcBorders>
            <w:gridSpan w:val="2"/>
          </w:tcPr>
          <w:p>
            <w:pPr>
              <w:spacing w:after="0"/>
              <w:rPr>
                <w:sz w:val="17"/>
                <w:szCs w:val="17"/>
                <w:color w:val="auto"/>
              </w:rPr>
            </w:pPr>
          </w:p>
        </w:tc>
        <w:tc>
          <w:tcPr>
            <w:tcW w:w="1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1"/>
              </w:rPr>
              <w:t>32.2</w:t>
            </w:r>
          </w:p>
        </w:tc>
        <w:tc>
          <w:tcPr>
            <w:tcW w:w="42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Certification of Principal Financial Officer Pursuant to 18</w:t>
              </w:r>
            </w:hyperlink>
          </w:p>
        </w:tc>
        <w:tc>
          <w:tcPr>
            <w:tcW w:w="1820" w:type="dxa"/>
            <w:vAlign w:val="bottom"/>
            <w:gridSpan w:val="2"/>
          </w:tcPr>
          <w:p>
            <w:pPr>
              <w:spacing w:after="0"/>
              <w:rPr>
                <w:sz w:val="24"/>
                <w:szCs w:val="24"/>
                <w:color w:val="auto"/>
              </w:rPr>
            </w:pPr>
          </w:p>
        </w:tc>
        <w:tc>
          <w:tcPr>
            <w:tcW w:w="1700" w:type="dxa"/>
            <w:vAlign w:val="bottom"/>
            <w:vMerge w:val="restart"/>
          </w:tcPr>
          <w:p>
            <w:pPr>
              <w:jc w:val="center"/>
              <w:ind w:left="1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20" w:type="dxa"/>
            <w:vAlign w:val="bottom"/>
            <w:gridSpan w:val="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U.S.C. Section 1350, as Adopted Pursuant to Section 906 of</w:t>
              </w:r>
            </w:hyperlink>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the Sarbanes-Oxley Act of 2002.</w:t>
              </w:r>
            </w:hyperlink>
          </w:p>
        </w:tc>
        <w:tc>
          <w:tcPr>
            <w:tcW w:w="1960" w:type="dxa"/>
            <w:vAlign w:val="bottom"/>
            <w:tcBorders>
              <w:top w:val="single" w:sz="8" w:color="0000EE"/>
            </w:tcBorders>
            <w:gridSpan w:val="3"/>
          </w:tcPr>
          <w:p>
            <w:pPr>
              <w:spacing w:after="0"/>
              <w:rPr>
                <w:sz w:val="17"/>
                <w:szCs w:val="17"/>
                <w:color w:val="auto"/>
              </w:rPr>
            </w:pPr>
          </w:p>
        </w:tc>
        <w:tc>
          <w:tcPr>
            <w:tcW w:w="1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2"/>
              </w:rPr>
              <w:t>101.INS</w:t>
            </w:r>
          </w:p>
        </w:tc>
        <w:tc>
          <w:tcPr>
            <w:tcW w:w="602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1700" w:type="dxa"/>
            <w:vAlign w:val="bottom"/>
          </w:tcPr>
          <w:p>
            <w:pPr>
              <w:jc w:val="center"/>
              <w:ind w:left="1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101.SCH</w:t>
            </w:r>
          </w:p>
        </w:tc>
        <w:tc>
          <w:tcPr>
            <w:tcW w:w="60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tcPr>
          <w:p>
            <w:pPr>
              <w:jc w:val="center"/>
              <w:ind w:left="1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7"/>
              </w:rPr>
              <w:t>101.CAL</w:t>
            </w:r>
          </w:p>
        </w:tc>
        <w:tc>
          <w:tcPr>
            <w:tcW w:w="60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tcPr>
          <w:p>
            <w:pPr>
              <w:jc w:val="center"/>
              <w:ind w:left="1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2"/>
              </w:rPr>
              <w:t>101.DEF</w:t>
            </w:r>
          </w:p>
        </w:tc>
        <w:tc>
          <w:tcPr>
            <w:tcW w:w="60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700" w:type="dxa"/>
            <w:vAlign w:val="bottom"/>
          </w:tcPr>
          <w:p>
            <w:pPr>
              <w:jc w:val="center"/>
              <w:ind w:left="1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8"/>
              </w:rPr>
              <w:t>101.LAB</w:t>
            </w:r>
          </w:p>
        </w:tc>
        <w:tc>
          <w:tcPr>
            <w:tcW w:w="60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tcPr>
          <w:p>
            <w:pPr>
              <w:jc w:val="center"/>
              <w:ind w:left="1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101.PRE</w:t>
            </w:r>
          </w:p>
        </w:tc>
        <w:tc>
          <w:tcPr>
            <w:tcW w:w="60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tcPr>
          <w:p>
            <w:pPr>
              <w:jc w:val="center"/>
              <w:ind w:left="1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05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22" w:lineRule="exact"/>
        <w:rPr>
          <w:sz w:val="20"/>
          <w:szCs w:val="20"/>
          <w:color w:val="auto"/>
        </w:rPr>
      </w:pPr>
    </w:p>
    <w:p>
      <w:pPr>
        <w:ind w:left="380" w:hanging="330"/>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380" w:hanging="330"/>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4380"/>
        <w:spacing w:after="0"/>
        <w:rPr>
          <w:rFonts w:ascii="Arial" w:cs="Arial" w:eastAsia="Arial" w:hAnsi="Arial"/>
          <w:sz w:val="18"/>
          <w:szCs w:val="18"/>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2940" w:type="dxa"/>
            <w:vAlign w:val="bottom"/>
          </w:tcPr>
          <w:p>
            <w:pPr>
              <w:ind w:left="20"/>
              <w:spacing w:after="0"/>
              <w:rPr>
                <w:sz w:val="20"/>
                <w:szCs w:val="20"/>
                <w:color w:val="auto"/>
              </w:rPr>
            </w:pPr>
            <w:r>
              <w:rPr>
                <w:rFonts w:ascii="Arial" w:cs="Arial" w:eastAsia="Arial" w:hAnsi="Arial"/>
                <w:sz w:val="18"/>
                <w:szCs w:val="18"/>
                <w:color w:val="auto"/>
              </w:rPr>
              <w:t>Dated: May 10, 2021</w:t>
            </w:r>
          </w:p>
        </w:tc>
        <w:tc>
          <w:tcPr>
            <w:tcW w:w="148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2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2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2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2940" w:type="dxa"/>
            <w:vAlign w:val="bottom"/>
          </w:tcPr>
          <w:p>
            <w:pPr>
              <w:ind w:left="20"/>
              <w:spacing w:after="0"/>
              <w:rPr>
                <w:sz w:val="20"/>
                <w:szCs w:val="20"/>
                <w:color w:val="auto"/>
              </w:rPr>
            </w:pPr>
            <w:r>
              <w:rPr>
                <w:rFonts w:ascii="Arial" w:cs="Arial" w:eastAsia="Arial" w:hAnsi="Arial"/>
                <w:sz w:val="18"/>
                <w:szCs w:val="18"/>
                <w:color w:val="auto"/>
              </w:rPr>
              <w:t>Dated: May 10, 2021</w:t>
            </w:r>
          </w:p>
        </w:tc>
        <w:tc>
          <w:tcPr>
            <w:tcW w:w="148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2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2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r>
      <w:tr>
        <w:trPr>
          <w:trHeight w:val="230"/>
        </w:trPr>
        <w:tc>
          <w:tcPr>
            <w:tcW w:w="2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864"/>
        </w:trPr>
        <w:tc>
          <w:tcPr>
            <w:tcW w:w="2940" w:type="dxa"/>
            <w:vAlign w:val="bottom"/>
          </w:tcPr>
          <w:p>
            <w:pPr>
              <w:spacing w:after="0"/>
              <w:rPr>
                <w:sz w:val="24"/>
                <w:szCs w:val="24"/>
                <w:color w:val="auto"/>
              </w:rPr>
            </w:pPr>
          </w:p>
        </w:tc>
        <w:tc>
          <w:tcPr>
            <w:tcW w:w="5900" w:type="dxa"/>
            <w:vAlign w:val="bottom"/>
            <w:gridSpan w:val="2"/>
          </w:tcPr>
          <w:p>
            <w:pPr>
              <w:jc w:val="right"/>
              <w:ind w:right="4230"/>
              <w:spacing w:after="0"/>
              <w:rPr>
                <w:sz w:val="20"/>
                <w:szCs w:val="20"/>
                <w:color w:val="auto"/>
              </w:rPr>
            </w:pPr>
            <w:r>
              <w:rPr>
                <w:rFonts w:ascii="Arial" w:cs="Arial" w:eastAsia="Arial" w:hAnsi="Arial"/>
                <w:sz w:val="18"/>
                <w:szCs w:val="18"/>
                <w:color w:val="auto"/>
              </w:rPr>
              <w:t>81</w:t>
            </w:r>
          </w:p>
        </w:tc>
      </w:tr>
      <w:tr>
        <w:trPr>
          <w:trHeight w:val="547"/>
        </w:trPr>
        <w:tc>
          <w:tcPr>
            <w:tcW w:w="29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1" w:name="page82"/>
    <w:bookmarkEnd w:id="81"/>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333" w:lineRule="exact"/>
        <w:rPr>
          <w:sz w:val="20"/>
          <w:szCs w:val="20"/>
          <w:color w:val="auto"/>
        </w:rPr>
      </w:pPr>
    </w:p>
    <w:p>
      <w:pPr>
        <w:ind w:left="540" w:right="459" w:hanging="331"/>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2021 of BioXcel Therapeutics, Inc.;</w:t>
      </w:r>
    </w:p>
    <w:p>
      <w:pPr>
        <w:spacing w:after="0" w:line="156"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020" w:right="239" w:hanging="325"/>
        <w:spacing w:after="0" w:line="259" w:lineRule="auto"/>
        <w:tabs>
          <w:tab w:leader="none" w:pos="1506"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020" w:right="239" w:hanging="325"/>
        <w:spacing w:after="0" w:line="259" w:lineRule="auto"/>
        <w:tabs>
          <w:tab w:leader="none" w:pos="1506"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020" w:right="399" w:hanging="325"/>
        <w:spacing w:after="0" w:line="263" w:lineRule="auto"/>
        <w:tabs>
          <w:tab w:leader="none" w:pos="1506"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020" w:right="239" w:hanging="325"/>
        <w:spacing w:after="0" w:line="259" w:lineRule="auto"/>
        <w:tabs>
          <w:tab w:leader="none" w:pos="1506"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020" w:right="519" w:hanging="325"/>
        <w:spacing w:after="0" w:line="263" w:lineRule="auto"/>
        <w:tabs>
          <w:tab w:leader="none" w:pos="150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right="739" w:hanging="325"/>
        <w:spacing w:after="0" w:line="277" w:lineRule="auto"/>
        <w:tabs>
          <w:tab w:leader="none" w:pos="150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Date: May 10, 2021</w:t>
            </w:r>
          </w:p>
        </w:tc>
        <w:tc>
          <w:tcPr>
            <w:tcW w:w="5720" w:type="dxa"/>
            <w:vAlign w:val="bottom"/>
            <w:gridSpan w:val="2"/>
          </w:tcPr>
          <w:p>
            <w:pPr>
              <w:ind w:left="142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2" w:name="page83"/>
    <w:bookmarkEnd w:id="82"/>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333" w:lineRule="exact"/>
        <w:rPr>
          <w:sz w:val="20"/>
          <w:szCs w:val="20"/>
          <w:color w:val="auto"/>
        </w:rPr>
      </w:pPr>
    </w:p>
    <w:p>
      <w:pPr>
        <w:ind w:left="540" w:right="459" w:hanging="331"/>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2021 of BioXcel Therapeutics, Inc.;</w:t>
      </w:r>
    </w:p>
    <w:p>
      <w:pPr>
        <w:spacing w:after="0" w:line="156"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Date: May 10, 2021</w:t>
            </w:r>
          </w:p>
        </w:tc>
        <w:tc>
          <w:tcPr>
            <w:tcW w:w="5720" w:type="dxa"/>
            <w:vAlign w:val="bottom"/>
            <w:gridSpan w:val="2"/>
          </w:tcPr>
          <w:p>
            <w:pPr>
              <w:ind w:left="142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49"/>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3" w:name="page84"/>
    <w:bookmarkEnd w:id="83"/>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2" w:lineRule="exact"/>
        <w:rPr>
          <w:sz w:val="20"/>
          <w:szCs w:val="20"/>
          <w:color w:val="auto"/>
        </w:rPr>
      </w:pPr>
    </w:p>
    <w:p>
      <w:pPr>
        <w:ind w:left="200" w:right="3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March 31, 2021,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020" w:right="919" w:hanging="325"/>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56" w:lineRule="exact"/>
        <w:rPr>
          <w:rFonts w:ascii="Arial" w:cs="Arial" w:eastAsia="Arial" w:hAnsi="Arial"/>
          <w:sz w:val="18"/>
          <w:szCs w:val="18"/>
          <w:color w:val="auto"/>
        </w:rPr>
      </w:pPr>
    </w:p>
    <w:p>
      <w:pPr>
        <w:ind w:left="1020" w:right="359" w:hanging="325"/>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Date: May 10, 2021</w:t>
            </w:r>
          </w:p>
        </w:tc>
        <w:tc>
          <w:tcPr>
            <w:tcW w:w="5820" w:type="dxa"/>
            <w:vAlign w:val="bottom"/>
            <w:gridSpan w:val="2"/>
          </w:tcPr>
          <w:p>
            <w:pPr>
              <w:ind w:left="13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4" w:name="page85"/>
    <w:bookmarkEnd w:id="84"/>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2" w:lineRule="exact"/>
        <w:rPr>
          <w:sz w:val="20"/>
          <w:szCs w:val="20"/>
          <w:color w:val="auto"/>
        </w:rPr>
      </w:pPr>
    </w:p>
    <w:p>
      <w:pPr>
        <w:ind w:left="200" w:right="3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March 31, 2021,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020" w:right="919" w:hanging="325"/>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56" w:lineRule="exact"/>
        <w:rPr>
          <w:rFonts w:ascii="Arial" w:cs="Arial" w:eastAsia="Arial" w:hAnsi="Arial"/>
          <w:sz w:val="18"/>
          <w:szCs w:val="18"/>
          <w:color w:val="auto"/>
        </w:rPr>
      </w:pPr>
    </w:p>
    <w:p>
      <w:pPr>
        <w:ind w:left="1020" w:right="359" w:hanging="325"/>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Date: May 10, 2021</w:t>
            </w:r>
          </w:p>
        </w:tc>
        <w:tc>
          <w:tcPr>
            <w:tcW w:w="5720" w:type="dxa"/>
            <w:vAlign w:val="bottom"/>
            <w:gridSpan w:val="2"/>
          </w:tcPr>
          <w:p>
            <w:pPr>
              <w:ind w:left="142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20"/>
    </w:lvl>
  </w:abstractNum>
  <w:abstractNum w:abstractNumId="6">
    <w:nsid w:val="3A95F874"/>
    <w:multiLevelType w:val="hybridMultilevel"/>
    <w:lvl w:ilvl="0">
      <w:lvlJc w:val="left"/>
      <w:lvlText w:val="(%1)"/>
      <w:numFmt w:val="lowerRoman"/>
      <w:start w:val="3"/>
    </w:lvl>
  </w:abstractNum>
  <w:abstractNum w:abstractNumId="7">
    <w:nsid w:val="8138641"/>
    <w:multiLevelType w:val="hybridMultilevel"/>
    <w:lvl w:ilvl="0">
      <w:lvlJc w:val="left"/>
      <w:lvlText w:val="&amp;"/>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2"/>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94" Type="http://schemas.openxmlformats.org/officeDocument/2006/relationships/hyperlink" Target="https://www.sec.gov/Archives/edgar/data/1720893/000110465918016770/a18-8090_1ex3d1.htm" TargetMode="External"/><Relationship Id="rId95" Type="http://schemas.openxmlformats.org/officeDocument/2006/relationships/hyperlink" Target="https://www.sec.gov/Archives/edgar/data/1720893/000110465918016770/a18-8090_1ex3d2.htm" TargetMode="External"/><Relationship Id="rId96" Type="http://schemas.openxmlformats.org/officeDocument/2006/relationships/hyperlink" Target="https://www.sec.gov/Archives/edgar/data/1720893/000155837021002916/btai-20201231ex1034633bc.htm" TargetMode="External"/><Relationship Id="rId97" Type="http://schemas.openxmlformats.org/officeDocument/2006/relationships/hyperlink" Target="https://www.sec.gov/Archives/edgar/data/1720893/000155837021002916/btai-20201231ex101943a8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2021-05-10T15:18:46Z</dcterms:created>
  <dcterms:modified xsi:type="dcterms:W3CDTF">2021-05-10T15:18:46Z</dcterms:modified>
</cp:coreProperties>
</file>