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428677d2_8k.htm"/>
      <w:bookmarkStart w:id="1" w:name="kstm2428677d2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2_edei--DocumentType_c20241121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November 21, 2024</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4"/>
      <w:bookmarkEnd w:id="4"/>
      <w:r>
        <w:rPr>
          <w:rFonts w:ascii="Times New Roman;Times;Serif" w:hAnsi="Times New Roman;Times;Serif"/>
          <w:b/>
          <w:i w:val="false"/>
          <w:caps w:val="false"/>
          <w:smallCaps w:val="false"/>
          <w:sz w:val="36"/>
        </w:rPr>
        <w:t>BioXcel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6240" w:type="dxa"/>
        <w:jc w:val="left"/>
        <w:tblInd w:w="0" w:type="dxa"/>
        <w:tblLayout w:type="fixed"/>
        <w:tblCellMar>
          <w:top w:w="0" w:type="dxa"/>
          <w:left w:w="0" w:type="dxa"/>
          <w:bottom w:w="0" w:type="dxa"/>
          <w:right w:w="0" w:type="dxa"/>
        </w:tblCellMar>
      </w:tblPr>
      <w:tblGrid>
        <w:gridCol w:w="2375"/>
        <w:gridCol w:w="60"/>
        <w:gridCol w:w="2210"/>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D_edei--EntityFileNumber_c20241121"/>
            <w:bookmarkEnd w:id="6"/>
            <w:r>
              <w:rPr>
                <w:rFonts w:ascii="Times New Roman;Times;Serif" w:hAnsi="Times New Roman;Times;Serif"/>
                <w:b/>
                <w:sz w:val="20"/>
              </w:rPr>
              <w:t>001-38410</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82-1386754</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555 Long Wharf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New Haven, </w:t>
      </w:r>
      <w:bookmarkStart w:id="10" w:name="xdx_907_edei--EntityAddressStateOrProvin"/>
      <w:bookmarkEnd w:id="10"/>
      <w:r>
        <w:rPr>
          <w:rFonts w:ascii="Times New Roman;Times;Serif" w:hAnsi="Times New Roman;Times;Serif"/>
          <w:b/>
          <w:i w:val="false"/>
          <w:caps w:val="false"/>
          <w:smallCaps w:val="false"/>
          <w:sz w:val="20"/>
        </w:rPr>
        <w:t>CT</w:t>
      </w:r>
      <w:r>
        <w:rPr>
          <w:rFonts w:ascii="Times New Roman;Times;Serif" w:hAnsi="Times New Roman;Times;Serif"/>
          <w:b w:val="false"/>
          <w:i w:val="false"/>
          <w:caps w:val="false"/>
          <w:smallCaps w:val="false"/>
          <w:sz w:val="20"/>
        </w:rPr>
        <w:t xml:space="preserve"> </w:t>
      </w:r>
      <w:bookmarkStart w:id="11" w:name="xdx_903_edei--EntityAddressPostalZipCode"/>
      <w:bookmarkEnd w:id="11"/>
      <w:r>
        <w:rPr>
          <w:rFonts w:ascii="Times New Roman;Times;Serif" w:hAnsi="Times New Roman;Times;Serif"/>
          <w:b/>
          <w:i w:val="false"/>
          <w:caps w:val="false"/>
          <w:smallCaps w:val="false"/>
          <w:sz w:val="20"/>
        </w:rPr>
        <w:t>06511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B_edei--CityAreaCode_c20241121__20"/>
      <w:bookmarkEnd w:id="12"/>
      <w:r>
        <w:rPr>
          <w:rFonts w:ascii="Times New Roman;Times;Serif" w:hAnsi="Times New Roman;Times;Serif"/>
          <w:b/>
          <w:i w:val="false"/>
          <w:caps w:val="false"/>
          <w:smallCaps w:val="false"/>
          <w:sz w:val="20"/>
        </w:rPr>
        <w:t xml:space="preserve">475) </w:t>
      </w:r>
      <w:bookmarkStart w:id="13" w:name="xdx_907_edei--LocalPhoneNumber_c20241121"/>
      <w:bookmarkEnd w:id="13"/>
      <w:r>
        <w:rPr>
          <w:rFonts w:ascii="Times New Roman;Times;Serif" w:hAnsi="Times New Roman;Times;Serif"/>
          <w:b/>
          <w:i w:val="false"/>
          <w:caps w:val="false"/>
          <w:smallCaps w:val="false"/>
          <w:sz w:val="20"/>
        </w:rPr>
        <w:t>238-6837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9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8_edei--SolicitingMaterial_c202411"/>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E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90" w:type="dxa"/>
        <w:jc w:val="left"/>
        <w:tblInd w:w="0" w:type="dxa"/>
        <w:tblLayout w:type="fixed"/>
        <w:tblCellMar>
          <w:top w:w="0" w:type="dxa"/>
          <w:left w:w="0" w:type="dxa"/>
          <w:bottom w:w="28" w:type="dxa"/>
          <w:right w:w="0" w:type="dxa"/>
        </w:tblCellMar>
      </w:tblPr>
      <w:tblGrid>
        <w:gridCol w:w="2750"/>
        <w:gridCol w:w="60"/>
        <w:gridCol w:w="1610"/>
        <w:gridCol w:w="60"/>
        <w:gridCol w:w="28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810" w:type="dxa"/>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Name of each exchange on which</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F_edei--Security12bTitle_c20241121"/>
            <w:bookmarkEnd w:id="18"/>
            <w:r>
              <w:rPr>
                <w:rFonts w:ascii="Times New Roman;Times;Serif" w:hAnsi="Times New Roman;Times;Serif"/>
                <w:sz w:val="20"/>
              </w:rPr>
              <w:t>Common Stock, par value $0.001</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7_edei--TradingSymbol_c20241121__2"/>
            <w:bookmarkEnd w:id="19"/>
            <w:r>
              <w:rPr>
                <w:rFonts w:ascii="Times New Roman;Times;Serif" w:hAnsi="Times New Roman;Times;Serif"/>
                <w:sz w:val="20"/>
              </w:rPr>
              <w:t>BTAI</w:t>
            </w:r>
          </w:p>
        </w:tc>
        <w:tc>
          <w:tcPr>
            <w:tcW w:w="60" w:type="dxa"/>
            <w:tcBorders/>
            <w:tcMar>
              <w:bottom w:w="0" w:type="dxa"/>
            </w:tcMar>
            <w:vAlign w:val="center"/>
          </w:tcPr>
          <w:p>
            <w:pPr>
              <w:pStyle w:val="TableContents"/>
              <w:bidi w:val="0"/>
              <w:spacing w:before="0" w:after="283"/>
              <w:jc w:val="center"/>
              <w:rPr/>
            </w:pPr>
            <w:r>
              <w:rPr/>
              <w:t> </w:t>
            </w:r>
          </w:p>
        </w:tc>
        <w:tc>
          <w:tcPr>
            <w:tcW w:w="2810" w:type="dxa"/>
            <w:tcBorders/>
            <w:tcMar>
              <w:bottom w:w="0" w:type="dxa"/>
            </w:tcMar>
            <w:vAlign w:val="center"/>
          </w:tcPr>
          <w:p>
            <w:pPr>
              <w:pStyle w:val="TableContents"/>
              <w:bidi w:val="0"/>
              <w:spacing w:before="0" w:after="283"/>
              <w:jc w:val="center"/>
              <w:rPr/>
            </w:pPr>
            <w:r>
              <w:rPr>
                <w:rFonts w:ascii="Times New Roman;Times;Serif" w:hAnsi="Times New Roman;Times;Serif"/>
                <w:sz w:val="20"/>
              </w:rPr>
              <w:t xml:space="preserve">The </w:t>
            </w:r>
            <w:bookmarkStart w:id="20" w:name="xdx_900_edei--SecurityExchangeName_c2024"/>
            <w:bookmarkEnd w:id="20"/>
            <w:r>
              <w:rPr>
                <w:rFonts w:ascii="Times New Roman;Times;Serif" w:hAnsi="Times New Roman;Times;Serif"/>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4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Fifth Amendment to Credit Agreement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BioXcel Therapeutics, Inc. (the “Company”) entered into the Fifth Amendment to Credit Agreement and Guaranty and First Amendment to Fourth Amendment to Credit Agreement and Guaranty (the “Fifth Amendment”), which amended the Credit Agreement and Guaranty, dated April 19, 2022, by and among the Company, as the borrower, certain subsidiaries of the Company from time to time party thereto as subsidiary guarantors, the lenders party thereto (the “Lenders”), and Oaktree Fund Administration LLC (“OFA”) as administrative agent (as amended by the Waiver and First Amendment to Credit Agreement and Guaranty, dated as of November 13, 2023, the Second Amendment to Credit Agreement and Guaranty and Termination of Revenue Interest Financing Agreement, dated as of December 5, 2023, the Third Amendment to Credit Agreement, dated as of February 12, 2024, and the Fourth Amendment to Credit Agreement and Guaranty, dated as of March 20, 2024 (the “Fourth Amendment”), the “Existing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Fifth Amendment, the Lenders agreed to, among other things, (i) waive the Credit Agreement’s covenant that the report and opinion the Company will receive from its independent registered public accounting firm with respect to the financial statements for the year ending December 31, 2024 will not contain a “going concern” or similar qualification, (ii) permanently waive the Credit Agreement’s minimum revenue covenant, and (iii) waive the Fourth Amendment’s requirement that the Company raise, after the effective date of the Fourth Amendment and on or before November 30, 2024, at least $50.0 million in gross cash proceeds from the issuance of its common stock, warrants, and/or pre-funded warrants, and/or in cash and/or non-cash consideration from newly entered-into partnering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Fifth Amendment includes a new capital raising covenant requiring that the Company receive (A) after the effective date of the Fifth Amendment and on or prior to November 27, 2024, at least $7.0 million in gross cash proceeds from the issuance of the Company’s common stock, warrants and/or pre-funded warrants (“Raise 1”), (B) after the effective date of the Fifth Amendment and on or before March 15, 2025 (provided that the Company will use its commercially reasonable efforts to satisfy the requirement by February 15, 2025), at least $18.0 million in net cash proceeds (including the proceeds of Raise 1) from (i) the issuance of the Company’s common stock, warrants and/or pre-funded warrants, (ii) non-refundable cash consideration from partnering transactions entered into after the effective date of the Fifth Amendment (so long as such partnering transactions would not require the Company or any of its subsidiaries to make any cash investments in connection with the partnering transactions and no such cash investments are made), (iii) the issuance of the Company’s subordinated debt (subject to terms set forth in the Fifth Amendment), and/or (iv) asset sales permitted pursuant to the Credit Agreement or consented to by the Lenders (such capital raise, “Raise 2”), and (C) after the effective date of the Fifth Amendment and on or prior to the earlier of (x) August 15, 2025 and (y) the date that is 30 days after the final data readout of the SERENITY At-Home Phase 3 trial, at least $29.0 million in net cash proceeds (including the proceeds from Raise 1 and Raise 2) from the same permitted capital raising activities listed in the preceding clause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Fifth Amendment and the required capital raises described in the preceding paragraph, the Lenders agreed to modify the Credit Agreement’s minimum liquidity covenant to require minimum cash liquidity of $7.5 million (instead of $25.0 million) from and after the closing of Raise 1 until March 30, 2025. On March 31, 2025, the minimum liquidity amount will increase to $10.0 million, and on September 30, 2025, the minimum liquidity amount will further increase to $15.0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Fifth Amendment, on or prior to December 31, 2024, the Company is required to make a one-time amortization payment of $2.5 million principal amount, together with accrued and unpaid interest and a portion of the prepayment fee and other fees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Fifth Amendment also modifies the interest rate of the loans provided under the Credit Agreement from a floating rate of Term SOFR plus 7.50% per annum, to a fixed rate of 13% per annum, retroactive to and effective as of September 30, 2024. For the quarterly payment dates </w:t>
      </w:r>
      <w:r>
        <w:rPr>
          <w:rFonts w:ascii="Times New Roman;Times;Serif" w:hAnsi="Times New Roman;Times;Serif"/>
          <w:b w:val="false"/>
          <w:i w:val="false"/>
          <w:caps w:val="false"/>
          <w:smallCaps w:val="false"/>
          <w:color w:val="212121"/>
          <w:sz w:val="20"/>
        </w:rPr>
        <w:t>ending December 31, 2024, March 31, 2025, and June 30, 2025, t</w:t>
      </w:r>
      <w:r>
        <w:rPr>
          <w:rFonts w:ascii="Times New Roman;Times;Serif" w:hAnsi="Times New Roman;Times;Serif"/>
          <w:b w:val="false"/>
          <w:i w:val="false"/>
          <w:caps w:val="false"/>
          <w:smallCaps w:val="false"/>
          <w:sz w:val="20"/>
        </w:rPr>
        <w:t>he Company will have the ability to make interest payments of up to 10% per annum “in-kind” by capitalizing and adding such interest to the outstanding principal amount of the loans under the Credit Agreement</w:t>
      </w:r>
      <w:r>
        <w:rPr>
          <w:rFonts w:ascii="Times New Roman;Times;Serif" w:hAnsi="Times New Roman;Times;Serif"/>
          <w:b w:val="false"/>
          <w:i w:val="false"/>
          <w:caps w:val="false"/>
          <w:smallCaps w:val="false"/>
          <w:color w:val="212121"/>
          <w:sz w:val="20"/>
        </w:rPr>
        <w:t>.</w:t>
      </w:r>
      <w:r>
        <w:rPr>
          <w:rFonts w:ascii="Times New Roman;Times;Serif" w:hAnsi="Times New Roman;Times;Serif"/>
          <w:b w:val="false"/>
          <w:i w:val="false"/>
          <w:caps w:val="false"/>
          <w:smallCaps w:val="false"/>
          <w:sz w:val="20"/>
        </w:rPr>
        <w:t xml:space="preserve"> In addition, pursuant to the Fifth Amendment, the Company will be required to make quarterly amortization payments equal to 5.0% of the principal amount of funded loans, together with applicable prepayment fees, beginning on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On the effective date of the Fifth Amendment and as a condition to effectiveness thereof, the Company’s wholly owned subsidiaries OnkosXcel Therapeutics, LLC and OnkosXcel Employee Holdings, LLC (collectively, “OnkosXcel”), which previously provided unsecured guarantees of the Company’s obligations under the Credit Agreement, granted security interests in substantially all of their assets to support such obligations.</w:t>
      </w:r>
    </w:p>
    <w:p>
      <w:pPr>
        <w:pStyle w:val="TextBody"/>
        <w:bidi w:val="0"/>
        <w:spacing w:before="0" w:after="0"/>
        <w:ind w:left="0" w:right="0" w:hanging="0"/>
        <w:jc w:val="both"/>
        <w:rPr>
          <w:caps w:val="false"/>
          <w:smallCaps w:val="false"/>
          <w:color w:val="212121"/>
        </w:rPr>
      </w:pPr>
      <w:r>
        <w:rPr>
          <w:caps w:val="false"/>
          <w:smallCaps w:val="false"/>
          <w:color w:val="212121"/>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The Fifth Amendment amends the negative covenants under the Credit Agreement to remove flexibility the Company and its subsidiaries previously had thereunder to undertake various transactions, including, without limitation, with respect to potential dispositions of OnkosXcel or out-licenses by OnkosXcel of its intellectual property.</w:t>
      </w:r>
    </w:p>
    <w:p>
      <w:pPr>
        <w:pStyle w:val="TextBody"/>
        <w:bidi w:val="0"/>
        <w:spacing w:before="0" w:after="0"/>
        <w:ind w:left="0" w:right="0" w:hanging="0"/>
        <w:jc w:val="both"/>
        <w:rPr>
          <w:caps w:val="false"/>
          <w:smallCaps w:val="false"/>
          <w:color w:val="212121"/>
        </w:rPr>
      </w:pPr>
      <w:r>
        <w:rPr>
          <w:caps w:val="false"/>
          <w:smallCaps w:val="false"/>
          <w:color w:val="212121"/>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Pursuant to the Fifth Amendment, the Company committed to appoint a new independent board director (subject to customary background checks, applicable law, confirmation of independence and Nasdaq rules), and to provide the independent director with various privileges and committee memberships on the board of directors of the Company (including the appointment of such director on committee to be formed to focus on capital raising and evaluate strategic options). The Company also agreed to engage an investment banker reasonably acceptable to OFA and the Lenders to assist the Company and its board of directors with evaluating and exploring strategic options.</w:t>
      </w:r>
    </w:p>
    <w:p>
      <w:pPr>
        <w:pStyle w:val="TextBody"/>
        <w:bidi w:val="0"/>
        <w:spacing w:before="0" w:after="0"/>
        <w:ind w:left="0" w:right="0" w:hanging="0"/>
        <w:jc w:val="both"/>
        <w:rPr>
          <w:caps w:val="false"/>
          <w:smallCaps w:val="false"/>
          <w:color w:val="212121"/>
        </w:rPr>
      </w:pPr>
      <w:r>
        <w:rPr>
          <w:caps w:val="false"/>
          <w:smallCaps w:val="false"/>
          <w:color w:val="212121"/>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The Company also agreed to covenants requiring that the Company’s cash expenditures be monitored by the Lenders according to a board-approved budget provided to the Lenders prior to the signing of the Fifth Amendment, which cash budget will be updated on a bi-weekly basis going forward. The Company will not be permitted to make disbursements for any two-week period in excess of 115% of the aggregate budgeted amount of disbursements for the applicable period. Finally, pursuant to the Fifth Amendment, the Company is restricted from paying cash bonuses its employees or executives during the fiscal years 2024 and 2025 without OFA’s consent or increasing the cash compensation for fiscal year 2025 for certain senior officers of the Company from their compensation for fiscal year 2024.</w:t>
      </w:r>
    </w:p>
    <w:p>
      <w:pPr>
        <w:pStyle w:val="TextBody"/>
        <w:bidi w:val="0"/>
        <w:spacing w:before="0" w:after="0"/>
        <w:ind w:left="0" w:right="0" w:hanging="0"/>
        <w:jc w:val="both"/>
        <w:rPr>
          <w:caps w:val="false"/>
          <w:smallCaps w:val="false"/>
          <w:color w:val="212121"/>
        </w:rPr>
      </w:pPr>
      <w:r>
        <w:rPr>
          <w:caps w:val="false"/>
          <w:smallCaps w:val="false"/>
          <w:color w:val="212121"/>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The foregoing summary of the Fifth Amendment is qualified in its entirety by the complete text of such agreement, a copy of which is filed hereto as Exhibits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12121"/>
          <w:sz w:val="20"/>
        </w:rPr>
      </w:pPr>
      <w:r>
        <w:rPr>
          <w:rFonts w:ascii="Times New Roman;Times;Serif" w:hAnsi="Times New Roman;Times;Serif"/>
          <w:b/>
          <w:i w:val="false"/>
          <w:caps w:val="false"/>
          <w:smallCaps w:val="false"/>
          <w:color w:val="212121"/>
          <w:sz w:val="20"/>
        </w:rPr>
        <w:t>Company Warrants and Registration Rights Agreement</w:t>
      </w:r>
    </w:p>
    <w:p>
      <w:pPr>
        <w:pStyle w:val="TextBody"/>
        <w:bidi w:val="0"/>
        <w:spacing w:before="0" w:after="0"/>
        <w:ind w:left="0" w:right="0" w:hanging="0"/>
        <w:jc w:val="both"/>
        <w:rPr>
          <w:caps w:val="false"/>
          <w:smallCaps w:val="false"/>
          <w:color w:val="212121"/>
        </w:rPr>
      </w:pPr>
      <w:r>
        <w:rPr>
          <w:caps w:val="false"/>
          <w:smallCaps w:val="false"/>
          <w:color w:val="212121"/>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In connection with the closing of the Fifth Amendment, the Company agreed to, substantially concurrently with the closing of Raise 1, grant new warrants to the Lenders to purchase an aggregate of 5.0 million shares of common stock on the closing date of the Fifth Amendment, at an exercise price of $0.01 per share (the “New Warrants”). The New Warrants will expire on the seventh anniversary of their issuance.</w:t>
      </w:r>
    </w:p>
    <w:p>
      <w:pPr>
        <w:pStyle w:val="TextBody"/>
        <w:bidi w:val="0"/>
        <w:spacing w:before="0" w:after="0"/>
        <w:ind w:left="0" w:right="0" w:hanging="0"/>
        <w:jc w:val="both"/>
        <w:rPr>
          <w:caps w:val="false"/>
          <w:smallCaps w:val="false"/>
          <w:color w:val="212121"/>
        </w:rPr>
      </w:pPr>
      <w:r>
        <w:rPr>
          <w:caps w:val="false"/>
          <w:smallCaps w:val="false"/>
          <w:color w:val="212121"/>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In addition, the Company agreed to, substantially concurrently with the closing of Raise 1, amend and restate all warrants to purchase stock of the Company issued to the Lenders prior to the effective date of the Fifth Amendment, to revise the exercise price thereunder to an exercise price equal to the lower of (i) the price per share of the common stock of the Company issued in Raise 1 and (ii) arithmetic average of the volume-weighted average price of the Company’s common stock on the Nasdaq Capital Market during the 30 trading days preceding Raise 1 (such existing warrants, as amended and restated, the “Original Warrants”). The Original Warrants provide the Lenders with the right to purchase a total of 448,150 shares of common stock of the Company.</w:t>
      </w:r>
    </w:p>
    <w:p>
      <w:pPr>
        <w:pStyle w:val="TextBody"/>
        <w:bidi w:val="0"/>
        <w:spacing w:before="0" w:after="0"/>
        <w:ind w:left="0" w:right="0" w:hanging="0"/>
        <w:jc w:val="both"/>
        <w:rPr>
          <w:caps w:val="false"/>
          <w:smallCaps w:val="false"/>
          <w:color w:val="212121"/>
        </w:rPr>
      </w:pPr>
      <w:r>
        <w:rPr>
          <w:caps w:val="false"/>
          <w:smallCaps w:val="false"/>
          <w:color w:val="212121"/>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On the date of issuance of the New Warrants, the Company agreed to amend and restate its Second Amended and Restated Registration Rights Agreement with the Lenders, dated March 20, 2024. Pursuant to such amendment and restatement (the “Third Amended and Restated Registration Rights Agreement”), the Company will agree to register the shares of common stock issuable under the New Warrants, in addition to all Original Warrants, for resale.</w:t>
      </w:r>
    </w:p>
    <w:p>
      <w:pPr>
        <w:pStyle w:val="TextBody"/>
        <w:bidi w:val="0"/>
        <w:spacing w:before="0" w:after="0"/>
        <w:ind w:left="0" w:right="0" w:hanging="0"/>
        <w:jc w:val="both"/>
        <w:rPr>
          <w:caps w:val="false"/>
          <w:smallCaps w:val="false"/>
          <w:color w:val="212121"/>
        </w:rPr>
      </w:pPr>
      <w:r>
        <w:rPr>
          <w:caps w:val="false"/>
          <w:smallCaps w:val="false"/>
          <w:color w:val="212121"/>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212121"/>
        </w:rPr>
      </w:pPr>
      <w:r>
        <w:rPr>
          <w:caps w:val="false"/>
          <w:smallCaps w:val="false"/>
          <w:color w:val="212121"/>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The foregoing summary of the New Warrants and the Third Amended and Restated Registration Rights Agreement are qualified in their entirety by the complete text of such agreements, copies of which are filed hereto as Exhibits 4.1 and 4.2, respectively.</w:t>
      </w:r>
    </w:p>
    <w:p>
      <w:pPr>
        <w:pStyle w:val="TextBody"/>
        <w:bidi w:val="0"/>
        <w:spacing w:before="0" w:after="0"/>
        <w:ind w:left="0" w:right="0" w:hanging="0"/>
        <w:jc w:val="both"/>
        <w:rPr>
          <w:caps w:val="false"/>
          <w:smallCaps w:val="false"/>
          <w:color w:val="212121"/>
        </w:rPr>
      </w:pPr>
      <w:r>
        <w:rPr>
          <w:caps w:val="false"/>
          <w:smallCaps w:val="false"/>
          <w:color w:val="212121"/>
        </w:rPr>
        <w:t> </w:t>
      </w:r>
    </w:p>
    <w:tbl>
      <w:tblPr>
        <w:tblW w:w="4923" w:type="dxa"/>
        <w:jc w:val="left"/>
        <w:tblInd w:w="0" w:type="dxa"/>
        <w:tblLayout w:type="fixed"/>
        <w:tblCellMar>
          <w:top w:w="0" w:type="dxa"/>
          <w:left w:w="0" w:type="dxa"/>
          <w:bottom w:w="0" w:type="dxa"/>
          <w:right w:w="0" w:type="dxa"/>
        </w:tblCellMar>
      </w:tblPr>
      <w:tblGrid>
        <w:gridCol w:w="38"/>
        <w:gridCol w:w="86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b/>
                <w:sz w:val="20"/>
              </w:rPr>
            </w:pPr>
            <w:r>
              <w:rPr>
                <w:b/>
                <w:sz w:val="20"/>
              </w:rPr>
              <w:t>Item 3.02.</w:t>
            </w:r>
          </w:p>
        </w:tc>
        <w:tc>
          <w:tcPr>
            <w:tcW w:w="4025" w:type="dxa"/>
            <w:tcBorders/>
            <w:vAlign w:val="center"/>
          </w:tcPr>
          <w:p>
            <w:pPr>
              <w:pStyle w:val="TableContents"/>
              <w:bidi w:val="0"/>
              <w:spacing w:before="0" w:after="283"/>
              <w:jc w:val="both"/>
              <w:rPr>
                <w:b/>
              </w:rPr>
            </w:pPr>
            <w:r>
              <w:rPr>
                <w:b/>
              </w:rPr>
              <w:t>Unregistered Sales of Equity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1.01 above regarding the issuance of the New Warrants is incorporated by reference under this Item 3.02. The New Warrants were issued, and the New Warrant Shares will be issued (if at all), in reliance upon an exemption from the registration requirements of the Securities Act of 1933, as amended (the “Securities Act”), contained in Section 4(a)(2) of the Securities Act. The Lenders have represented that they are acquiring the securities for investment only and not with a view towards, or for resale in connection with, the public sale or distribution thereof, and appropriate legends have been or will be affixed to the securities.</w:t>
      </w:r>
    </w:p>
    <w:p>
      <w:pPr>
        <w:pStyle w:val="TextBody"/>
        <w:bidi w:val="0"/>
        <w:spacing w:before="0" w:after="0"/>
        <w:ind w:left="0" w:right="0" w:hanging="0"/>
        <w:jc w:val="both"/>
        <w:rPr>
          <w:caps w:val="false"/>
          <w:smallCaps w:val="false"/>
          <w:color w:val="212121"/>
        </w:rPr>
      </w:pPr>
      <w:r>
        <w:rPr>
          <w:caps w:val="false"/>
          <w:smallCaps w:val="false"/>
          <w:color w:val="212121"/>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Board of Directors (the “Board”) of the Company increased the size of the Board from six to seven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Board appointed David Mack to the Board, effective as of November 21, 2024. Mr. Mack will serve as a Class I director for a term expiring at the Company’s annual meeting of stockholders to be held in 2025 and until his successor is duly elected and qualified or his earlier death, disqualification, resignation or removal. In connection with his appointment, Mr. Mack was also appointed to the Compensation Committee, effective with his commencement of service, as well as the newly formed Capital Raising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Mack, 54, has more than 25 years of experience as a lawyer, director, and investor. He has extensive experience in leading transactions as well as deep knowledge of complex restructuring and litigation. He has previously served (or serves) on the boards of TerraForm Global, Inc. (NSDQ: GLBL), Speedcast International Limited (ASX: SDA) and Intelsat S.A., among others. He started his career in Sydney as a lawyer with Mallesons Stephen Jaques and then worked for Linklaters LLP in London. In 2000, he moved to the US, where he worked at Simpson Thacher &amp; Bartlett, LLP followed by Perry Capital LLC. He has a BA and an LLB (Hons) from the University of Sydney.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Mr. Mack is qualified to serve as a member of the Board because of his extensive experience working on strategic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Mack is eligible to participate in the Company’s Non-Employee Director Compensation Program, which provides for annual compensation in the form of cash and equity-based awards. In addition, pursuant to the terms of the Offer Letter, Mr. Mack shall receive (i)  a cash payment of $90,000, paid in monthly installments of $15,000 on the last date of each month for six months beginning November 30, 2024, with such cash amount to be accelerated in full if Mr. Mack resigns or is removed from the Board any time after four months from the effective date of his appointment, and (ii) a grant of RSUs under the Company’s 2020 Incentive Award Plan for an aggregate of 325,077 shares of the Company’s common stock underlying the RSUs. The RSUs vest in twelve equal installments on the last date of each month beginning on November 30, 2024. Following his service as a member of the Board for 12 months, he will receive compensation in accordance with the Company’s Non-Employee Director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Mack is expected to enter into the Company’s standard indemnification agreement for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1.01 above regarding the Fifth Amendment is incorporated by reference under this Item 5.02.</w:t>
      </w:r>
    </w:p>
    <w:p>
      <w:pPr>
        <w:pStyle w:val="TextBody"/>
        <w:bidi w:val="0"/>
        <w:spacing w:before="0" w:after="0"/>
        <w:ind w:left="0" w:right="0" w:hanging="0"/>
        <w:jc w:val="both"/>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81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rPr>
            </w:pPr>
            <w:r>
              <w:rPr>
                <w:b/>
                <w:sz w:val="20"/>
              </w:rPr>
              <w:t>Item 8.01</w:t>
            </w:r>
          </w:p>
        </w:tc>
        <w:tc>
          <w:tcPr>
            <w:tcW w:w="1445" w:type="dxa"/>
            <w:tcBorders/>
            <w:vAlign w:val="center"/>
          </w:tcPr>
          <w:p>
            <w:pPr>
              <w:pStyle w:val="TableContents"/>
              <w:bidi w:val="0"/>
              <w:spacing w:before="0" w:after="283"/>
              <w:jc w:val="both"/>
              <w:rPr>
                <w:b/>
              </w:rPr>
            </w:pPr>
            <w:r>
              <w:rPr>
                <w:b/>
              </w:rPr>
              <w:t>Other Events.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 Updates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announced that it had received an issue notification from the USPTO for U.S. Patent Application No. 18/600,431, from which U.S. Patent No. 12,138,247 (the “’431 Patent”) was issued on November 12, 2024. The ‘431 Patent claims a method of treating agitation using an oromucosal formulation of dexmedetomidine. The ‘431 Patent has an expiration date of January 12, 2043, subject to PTA, PTE and terminal disclaimers.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18, 2024, the ‘431 Patent has been accepted for listing in the FDA Approved Drug Products with Therapeutic Equivalence Evaluations (commonly known as the “Orange Book”). The ‘431 Patent is the Company’s the 13th Orange Book-listed patent.</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2"/>
        <w:gridCol w:w="9493"/>
      </w:tblGrid>
      <w:tr>
        <w:trPr/>
        <w:tc>
          <w:tcPr>
            <w:tcW w:w="712"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 No.</w:t>
            </w:r>
          </w:p>
        </w:tc>
        <w:tc>
          <w:tcPr>
            <w:tcW w:w="9493"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712" w:type="dxa"/>
            <w:tcBorders/>
            <w:vAlign w:val="center"/>
          </w:tcPr>
          <w:p>
            <w:pPr>
              <w:pStyle w:val="TableContents"/>
              <w:bidi w:val="0"/>
              <w:spacing w:before="0" w:after="283"/>
              <w:jc w:val="left"/>
              <w:rPr/>
            </w:pPr>
            <w:r>
              <w:rPr/>
              <w:t> </w:t>
            </w:r>
          </w:p>
        </w:tc>
        <w:tc>
          <w:tcPr>
            <w:tcW w:w="9493" w:type="dxa"/>
            <w:tcBorders/>
            <w:vAlign w:val="center"/>
          </w:tcPr>
          <w:p>
            <w:pPr>
              <w:pStyle w:val="TableContents"/>
              <w:bidi w:val="0"/>
              <w:spacing w:before="0" w:after="283"/>
              <w:jc w:val="left"/>
              <w:rPr/>
            </w:pPr>
            <w:r>
              <w:rPr/>
              <w:t> </w:t>
            </w:r>
          </w:p>
        </w:tc>
      </w:tr>
      <w:tr>
        <w:trPr/>
        <w:tc>
          <w:tcPr>
            <w:tcW w:w="712" w:type="dxa"/>
            <w:tcBorders/>
            <w:vAlign w:val="center"/>
          </w:tcPr>
          <w:p>
            <w:pPr>
              <w:pStyle w:val="TableContents"/>
              <w:bidi w:val="0"/>
              <w:spacing w:before="0" w:after="283"/>
              <w:jc w:val="left"/>
              <w:rPr/>
            </w:pPr>
            <w:hyperlink w:anchor="tm2428677d2_ex4-1.htm">
              <w:r>
                <w:rPr>
                  <w:rStyle w:val="InternetLink"/>
                  <w:rFonts w:ascii="Times New Roman;Times;Serif" w:hAnsi="Times New Roman;Times;Serif"/>
                  <w:sz w:val="20"/>
                </w:rPr>
                <w:t>4.1</w:t>
              </w:r>
            </w:hyperlink>
          </w:p>
        </w:tc>
        <w:tc>
          <w:tcPr>
            <w:tcW w:w="9493" w:type="dxa"/>
            <w:tcBorders/>
            <w:vAlign w:val="center"/>
          </w:tcPr>
          <w:p>
            <w:pPr>
              <w:pStyle w:val="TableContents"/>
              <w:bidi w:val="0"/>
              <w:spacing w:before="0" w:after="283"/>
              <w:jc w:val="left"/>
              <w:rPr/>
            </w:pPr>
            <w:hyperlink w:anchor="tm2428677d2_ex4-1.htm">
              <w:r>
                <w:rPr>
                  <w:rStyle w:val="InternetLink"/>
                  <w:rFonts w:ascii="Times New Roman;Times;Serif" w:hAnsi="Times New Roman;Times;Serif"/>
                  <w:sz w:val="20"/>
                </w:rPr>
                <w:t>Form of New Warrant</w:t>
              </w:r>
            </w:hyperlink>
          </w:p>
        </w:tc>
      </w:tr>
      <w:tr>
        <w:trPr/>
        <w:tc>
          <w:tcPr>
            <w:tcW w:w="712" w:type="dxa"/>
            <w:tcBorders/>
            <w:vAlign w:val="center"/>
          </w:tcPr>
          <w:p>
            <w:pPr>
              <w:pStyle w:val="TableContents"/>
              <w:bidi w:val="0"/>
              <w:spacing w:before="0" w:after="283"/>
              <w:jc w:val="left"/>
              <w:rPr/>
            </w:pPr>
            <w:r>
              <w:rPr/>
              <w:t> </w:t>
            </w:r>
          </w:p>
        </w:tc>
        <w:tc>
          <w:tcPr>
            <w:tcW w:w="9493" w:type="dxa"/>
            <w:tcBorders/>
            <w:vAlign w:val="center"/>
          </w:tcPr>
          <w:p>
            <w:pPr>
              <w:pStyle w:val="TableContents"/>
              <w:bidi w:val="0"/>
              <w:spacing w:before="0" w:after="283"/>
              <w:jc w:val="left"/>
              <w:rPr/>
            </w:pPr>
            <w:r>
              <w:rPr/>
              <w:t> </w:t>
            </w:r>
          </w:p>
        </w:tc>
      </w:tr>
      <w:tr>
        <w:trPr/>
        <w:tc>
          <w:tcPr>
            <w:tcW w:w="712" w:type="dxa"/>
            <w:tcBorders/>
            <w:vAlign w:val="center"/>
          </w:tcPr>
          <w:p>
            <w:pPr>
              <w:pStyle w:val="TableContents"/>
              <w:bidi w:val="0"/>
              <w:spacing w:before="0" w:after="283"/>
              <w:jc w:val="left"/>
              <w:rPr/>
            </w:pPr>
            <w:hyperlink w:anchor="tm2428677d2_ex4-2.htm">
              <w:r>
                <w:rPr>
                  <w:rStyle w:val="InternetLink"/>
                  <w:rFonts w:ascii="Times New Roman;Times;Serif" w:hAnsi="Times New Roman;Times;Serif"/>
                  <w:sz w:val="20"/>
                </w:rPr>
                <w:t>4.2</w:t>
              </w:r>
            </w:hyperlink>
          </w:p>
        </w:tc>
        <w:tc>
          <w:tcPr>
            <w:tcW w:w="9493" w:type="dxa"/>
            <w:tcBorders/>
            <w:vAlign w:val="center"/>
          </w:tcPr>
          <w:p>
            <w:pPr>
              <w:pStyle w:val="TableContents"/>
              <w:bidi w:val="0"/>
              <w:spacing w:before="0" w:after="283"/>
              <w:jc w:val="both"/>
              <w:rPr/>
            </w:pPr>
            <w:hyperlink w:anchor="tm2428677d2_ex4-2.htm">
              <w:r>
                <w:rPr>
                  <w:rStyle w:val="InternetLink"/>
                  <w:rFonts w:ascii="Times New Roman;Times;Serif" w:hAnsi="Times New Roman;Times;Serif"/>
                  <w:sz w:val="20"/>
                </w:rPr>
                <w:t>Form of Third Amended and Restated Registration Rights Agreement, among the Company and Oaktree-TCDRS Strategic Credit, LLC, Oaktree-Forrest Multi-Strategy, LLC, Oaktree-TBMR Strategic Credit Fund C, LLC, Oaktree-TBMR Strategic Credit Fund F, LLC, Oaktree-TBMR Strategic Credit Fund G, LLC, Oaktree-TSE 16 Strategic Credit, LLC, INPRS Strategic Credit Holdings, LLC, Oaktree Specialty Lending Corporation, Oaktree Strategic Credit Fund, Oaktree GCP Fund Delaware Holdings, L.P., Oaktree Diversified Income Fund Inc., Oaktree AZ Strategic Lending Fund, L.P., Oaktree LSL Fund Holdings EURRC S.a.r.l., Oaktree LSL Fund Delaware Holdings EURRC, L.P., and Q Boost Holding LLC.</w:t>
              </w:r>
            </w:hyperlink>
          </w:p>
        </w:tc>
      </w:tr>
      <w:tr>
        <w:trPr/>
        <w:tc>
          <w:tcPr>
            <w:tcW w:w="712" w:type="dxa"/>
            <w:tcBorders/>
            <w:vAlign w:val="center"/>
          </w:tcPr>
          <w:p>
            <w:pPr>
              <w:pStyle w:val="TableContents"/>
              <w:bidi w:val="0"/>
              <w:spacing w:before="0" w:after="283"/>
              <w:jc w:val="left"/>
              <w:rPr/>
            </w:pPr>
            <w:r>
              <w:rPr/>
              <w:t> </w:t>
            </w:r>
          </w:p>
        </w:tc>
        <w:tc>
          <w:tcPr>
            <w:tcW w:w="9493" w:type="dxa"/>
            <w:tcBorders/>
            <w:vAlign w:val="center"/>
          </w:tcPr>
          <w:p>
            <w:pPr>
              <w:pStyle w:val="TableContents"/>
              <w:bidi w:val="0"/>
              <w:spacing w:before="0" w:after="283"/>
              <w:jc w:val="left"/>
              <w:rPr/>
            </w:pPr>
            <w:r>
              <w:rPr/>
              <w:t> </w:t>
            </w:r>
          </w:p>
        </w:tc>
      </w:tr>
      <w:tr>
        <w:trPr/>
        <w:tc>
          <w:tcPr>
            <w:tcW w:w="712" w:type="dxa"/>
            <w:tcBorders/>
            <w:vAlign w:val="center"/>
          </w:tcPr>
          <w:p>
            <w:pPr>
              <w:pStyle w:val="TableContents"/>
              <w:bidi w:val="0"/>
              <w:spacing w:before="0" w:after="283"/>
              <w:jc w:val="left"/>
              <w:rPr/>
            </w:pPr>
            <w:hyperlink w:anchor="tm2428677d2_ex10-1.htm">
              <w:r>
                <w:rPr>
                  <w:rStyle w:val="InternetLink"/>
                  <w:rFonts w:ascii="Times New Roman;Times;Serif" w:hAnsi="Times New Roman;Times;Serif"/>
                  <w:sz w:val="20"/>
                </w:rPr>
                <w:t>10.1+</w:t>
              </w:r>
            </w:hyperlink>
          </w:p>
        </w:tc>
        <w:tc>
          <w:tcPr>
            <w:tcW w:w="9493" w:type="dxa"/>
            <w:tcBorders/>
            <w:vAlign w:val="center"/>
          </w:tcPr>
          <w:p>
            <w:pPr>
              <w:pStyle w:val="TableContents"/>
              <w:bidi w:val="0"/>
              <w:spacing w:before="0" w:after="283"/>
              <w:jc w:val="left"/>
              <w:rPr/>
            </w:pPr>
            <w:hyperlink w:anchor="tm2428677d2_ex10-1.htm">
              <w:r>
                <w:rPr>
                  <w:rStyle w:val="InternetLink"/>
                  <w:rFonts w:ascii="Times New Roman;Times;Serif" w:hAnsi="Times New Roman;Times;Serif"/>
                  <w:sz w:val="20"/>
                </w:rPr>
                <w:t>Fifth Amendment to Credit Agreement and Guaranty dated November 21, 2024.</w:t>
              </w:r>
            </w:hyperlink>
          </w:p>
        </w:tc>
      </w:tr>
      <w:tr>
        <w:trPr/>
        <w:tc>
          <w:tcPr>
            <w:tcW w:w="712" w:type="dxa"/>
            <w:tcBorders/>
            <w:vAlign w:val="center"/>
          </w:tcPr>
          <w:p>
            <w:pPr>
              <w:pStyle w:val="TableContents"/>
              <w:bidi w:val="0"/>
              <w:spacing w:before="0" w:after="283"/>
              <w:jc w:val="left"/>
              <w:rPr/>
            </w:pPr>
            <w:r>
              <w:rPr/>
              <w:t> </w:t>
            </w:r>
          </w:p>
        </w:tc>
        <w:tc>
          <w:tcPr>
            <w:tcW w:w="9493" w:type="dxa"/>
            <w:tcBorders/>
            <w:vAlign w:val="center"/>
          </w:tcPr>
          <w:p>
            <w:pPr>
              <w:pStyle w:val="TableContents"/>
              <w:bidi w:val="0"/>
              <w:spacing w:before="0" w:after="283"/>
              <w:jc w:val="left"/>
              <w:rPr/>
            </w:pPr>
            <w:r>
              <w:rPr/>
              <w:t> </w:t>
            </w:r>
          </w:p>
        </w:tc>
      </w:tr>
      <w:tr>
        <w:trPr/>
        <w:tc>
          <w:tcPr>
            <w:tcW w:w="7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4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annexes, schedules, and exhibits have been omitted pursuant to Item 601(a)(5)(b)(2) of Regulation S-K. The Company hereby agrees to furnish supplementally a copy of any omitted annex, schedule or exhibit to the SEC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2120"/>
        <w:gridCol w:w="2990"/>
      </w:tblGrid>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21, 2024</w:t>
            </w:r>
          </w:p>
        </w:tc>
        <w:tc>
          <w:tcPr>
            <w:tcW w:w="29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BIOXCEL THERAPEUTICS, INC.</w:t>
            </w:r>
          </w:p>
        </w:tc>
      </w:tr>
      <w:tr>
        <w:trPr/>
        <w:tc>
          <w:tcPr>
            <w:tcW w:w="2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29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Steinhart</w:t>
            </w:r>
          </w:p>
        </w:tc>
      </w:tr>
      <w:tr>
        <w:trPr/>
        <w:tc>
          <w:tcPr>
            <w:tcW w:w="2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Richard Steinhart</w:t>
            </w:r>
          </w:p>
        </w:tc>
      </w:tr>
      <w:tr>
        <w:trPr/>
        <w:tc>
          <w:tcPr>
            <w:tcW w:w="2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428677d2_ex4-1.htm"/>
      <w:bookmarkStart w:id="23" w:name="kstm2428677d2_ex41"/>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BIOXCEL THERAPEUTICS, INC. COMMON STOCK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NEITHER THIS WARRANT NOR THE SECURITIES ISSUABLE UPON ITS EXERCISE OR CONVERSION HAVE BEEN REGISTERED UNDER THE SECURITIES ACT OF 1933, AS AMENDED (THE “SECURITIES ACT”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OR ANY APPLICABLE STATE SECURITIES LAW AND MAY NOT BE TRANSFERRED EXCEPT (I) IN ACCORDANCE WITH THE SECURITIES ACT OR SUCH APPLICABLE STATE SECURITIES LAWS, PURSUANT TO REGISTRATION OR EXEMPTION THEREFROM, OR (II) WHERE, IN THE OPINION OF COUNSEL, REGISTRATION UNDER THE SECURITIES ACTS OR SUCH APPLICABLE STATE SECURITIES LAWS IS NOT REQUIRED IN CONNECTION WITH SUCH PROPOSED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 of shares</w:t>
      </w:r>
      <w:r>
        <w:rPr>
          <w:rFonts w:ascii="Times New Roman;Times;Serif" w:hAnsi="Times New Roman;Times;Serif"/>
          <w:b/>
          <w:i w:val="false"/>
          <w:caps w:val="false"/>
          <w:smallCaps w:val="false"/>
          <w:sz w:val="20"/>
        </w:rPr>
        <w:t>] Shares of Company Common Stock No. [</w:t>
      </w:r>
      <w:r>
        <w:rPr>
          <w:rFonts w:ascii="Times New Roman;Times;Serif" w:hAnsi="Times New Roman;Times;Serif"/>
          <w:b/>
          <w:i/>
          <w:caps w:val="false"/>
          <w:smallCaps w:val="false"/>
          <w:sz w:val="20"/>
        </w:rPr>
        <w:t>warrant #</w:t>
      </w:r>
      <w:r>
        <w:rPr>
          <w:rFonts w:ascii="Times New Roman;Times;Serif" w:hAnsi="Times New Roman;Times;Serif"/>
          <w:b/>
          <w:i w:val="false"/>
          <w:caps w:val="false"/>
          <w:smallCaps w:val="false"/>
          <w:sz w:val="20"/>
        </w:rPr>
        <w:t>]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is issued as of November 21, 2024, 2024 (the “</w:t>
      </w:r>
      <w:r>
        <w:rPr>
          <w:rFonts w:ascii="Times New Roman;Times;Serif" w:hAnsi="Times New Roman;Times;Serif"/>
          <w:b/>
          <w:i w:val="false"/>
          <w:caps w:val="false"/>
          <w:smallCaps w:val="false"/>
          <w:sz w:val="20"/>
        </w:rPr>
        <w:t>Initial Issuance Date</w:t>
      </w:r>
      <w:r>
        <w:rPr>
          <w:rFonts w:ascii="Times New Roman;Times;Serif" w:hAnsi="Times New Roman;Times;Serif"/>
          <w:b w:val="false"/>
          <w:i w:val="false"/>
          <w:caps w:val="false"/>
          <w:smallCaps w:val="false"/>
          <w:sz w:val="20"/>
        </w:rPr>
        <w:t>”), by BIOXCEL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 [</w:t>
      </w:r>
      <w:r>
        <w:rPr>
          <w:rFonts w:ascii="Times New Roman;Times;Serif" w:hAnsi="Times New Roman;Times;Serif"/>
          <w:b w:val="false"/>
          <w:i/>
          <w:caps w:val="false"/>
          <w:smallCaps w:val="false"/>
          <w:sz w:val="20"/>
        </w:rPr>
        <w:t>name of purchaser</w:t>
      </w:r>
      <w:r>
        <w:rPr>
          <w:rFonts w:ascii="Times New Roman;Times;Serif" w:hAnsi="Times New Roman;Times;Serif"/>
          <w:b w:val="false"/>
          <w:i w:val="false"/>
          <w:caps w:val="false"/>
          <w:smallCaps w:val="false"/>
          <w:sz w:val="20"/>
        </w:rPr>
        <w:t>], a [</w:t>
      </w:r>
      <w:r>
        <w:rPr>
          <w:rFonts w:ascii="Times New Roman;Times;Serif" w:hAnsi="Times New Roman;Times;Serif"/>
          <w:b w:val="false"/>
          <w:i/>
          <w:caps w:val="false"/>
          <w:smallCaps w:val="false"/>
          <w:sz w:val="20"/>
        </w:rPr>
        <w:t>jurisdiction of organization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entity type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and, together with any assignee(s) or transferee(s),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certain subsidiaries of the Company as guarantors, the Purchaser as lender and the other lenders party thereto are parties to that certain Credit Agreement and Guaranty, dated as of April 19, 2022, and amended as of November 13, 2023, December 5, 2023, February 12, 2024, March 20, 2024 and November 21, 2024 (as amended, restated, supplemented or otherwise modified from time to time,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pursuant to which the Company may borrow from Purchaser and the other lenders party thereto (collectively,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and the Lenders may loan to the Company, up to $202,319,447 from the date of the Credit Agreement through the Maturity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is issuing this Warrant to Purchaser as required by that Fifth Amendment to Credit Agreement and Guaranty and First Amendment to Fourth Amendment to Credit Agreement and Guaranty, dated as of November 21, 2024, by and among the Company, Purchaser and the other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are hereby acknowledged, the Company and Purchaser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 Unless otherwise defined herein, capitalized terms have the meanings set forth in the Credit Agreement (as in effect on the date hereof), however, the following terms when used herein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means, in connection with any Exercise of this Warrant pursuant to </w:t>
      </w:r>
      <w:r>
        <w:rPr>
          <w:rFonts w:ascii="Times New Roman;Times;Serif" w:hAnsi="Times New Roman;Times;Serif"/>
          <w:b/>
          <w:i w:val="false"/>
          <w:caps w:val="false"/>
          <w:smallCaps w:val="false"/>
          <w:sz w:val="20"/>
        </w:rPr>
        <w:t xml:space="preserve">Section 4 </w:t>
      </w:r>
      <w:r>
        <w:rPr>
          <w:rFonts w:ascii="Times New Roman;Times;Serif" w:hAnsi="Times New Roman;Times;Serif"/>
          <w:b w:val="false"/>
          <w:i w:val="false"/>
          <w:caps w:val="false"/>
          <w:smallCaps w:val="false"/>
          <w:sz w:val="20"/>
        </w:rPr>
        <w:t xml:space="preserve">(whether in whole or in part), an amount equal to the product of (i) the number of Underlying Shares in respect of which this Warrant is then being exercised pursuant to such </w:t>
      </w:r>
      <w:r>
        <w:rPr>
          <w:rFonts w:ascii="Times New Roman;Times;Serif" w:hAnsi="Times New Roman;Times;Serif"/>
          <w:b/>
          <w:i w:val="false"/>
          <w:caps w:val="false"/>
          <w:smallCaps w:val="false"/>
          <w:sz w:val="20"/>
        </w:rPr>
        <w:t>Section 4</w:t>
      </w:r>
      <w:r>
        <w:rPr>
          <w:rFonts w:ascii="Times New Roman;Times;Serif" w:hAnsi="Times New Roman;Times;Serif"/>
          <w:b w:val="false"/>
          <w:i w:val="false"/>
          <w:caps w:val="false"/>
          <w:smallCaps w:val="false"/>
          <w:sz w:val="20"/>
        </w:rPr>
        <w:t>, multiplied by (ii)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 - 1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xml:space="preserve">” means, with respect to any security or other property, the fair market value of such security or other property as determined by the independent members of the Board of Directors of the Company, acting in good faith. If the Holder objects in writing to the Board of Directors’ calculation of Fair Market Value within ten (10) days of receipt of written notice thereof and the Holder and the Company are unable to agree on Fair Market Value during the five (5) day period following the delivery of the Holder’s objection, the valuation dispute resolution procedure set forth in </w:t>
      </w:r>
      <w:r>
        <w:rPr>
          <w:rFonts w:ascii="Times New Roman;Times;Serif" w:hAnsi="Times New Roman;Times;Serif"/>
          <w:b/>
          <w:i w:val="false"/>
          <w:caps w:val="false"/>
          <w:smallCaps w:val="false"/>
          <w:sz w:val="20"/>
        </w:rPr>
        <w:t>Section 20</w:t>
      </w:r>
      <w:r>
        <w:rPr>
          <w:rFonts w:ascii="Times New Roman;Times;Serif" w:hAnsi="Times New Roman;Times;Serif"/>
          <w:b w:val="false"/>
          <w:i w:val="false"/>
          <w:caps w:val="false"/>
          <w:smallCaps w:val="false"/>
          <w:sz w:val="20"/>
        </w:rPr>
        <w:t xml:space="preserve"> hereof shall be invoked to determine Fair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Market Price</w:t>
      </w:r>
      <w:r>
        <w:rPr>
          <w:rFonts w:ascii="Times New Roman;Times;Serif" w:hAnsi="Times New Roman;Times;Serif"/>
          <w:b w:val="false"/>
          <w:i w:val="false"/>
          <w:caps w:val="false"/>
          <w:smallCaps w:val="false"/>
          <w:sz w:val="20"/>
        </w:rPr>
        <w:t>” means, with respect to a particular security, on any given day, the last reported sale price, regular way, or, in case no such reported sale takes place on such day, the average of the closing bid and asked prices, regular way, in either case on the principal national securities exchange on which the applicable securities are listed or admitted to trading, or if not listed or admitted to trading on any national securities exchange, the last quoted bid price in the over-the-counter market as reported by Pink Sheets LLC or similar organization. “Market Price” shall be determined without reference to after hours or extended hours trading. If such security is not listed and traded in a manner that the quotations referred to above are available for the period required hereunder, the Market Price per share of Company Common Stock shall be deemed to be the fair market value per share of such security as determined in good faith by the independent members of the Board of Directors in reliance upon an opinion of an accounting firm of nationally recognized standing retained by the Company for this purpose and reasonably acceptable to the Holder (or if there is more than one Holder, a majority in interest of Holders excluding any Holder that is an Affiliate of the Company). For the purposes of determining the Market Price of the Company Common Stock on the Trading Day preceding, on or following the occurrence of an event, (i) that Trading Day shall be deemed to commence immediately after the regular scheduled closing time of trading on the Trading Market on which the Company Common Stock is listed or, if trading is closed at an earlier time, such earlier time and (ii) that Trading Day shall end at the next regular scheduled closing time, or if trading is closed at an earlier time, such earlier time (for the avoidance of doubt, and as an example, if the Market Price is to be determined as of the last Trading Day preceding a specified event and the closing time of trading on a particular day is 4:00 p.m. and the specified event occurs at 5:00 p.m. on that day, the Market Price would be determined by reference to such 4:00 p.m. closing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the Company Common Stock is traded on a Trading Market or, if the Company Common Stock is not traded on a Trading Market, then on the principal securities exchange or securities market on which the Company Common Stock is then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means any market or exchange of The Nasdaq Stock Market LLC or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date, the price determined by the first of the following clauses that applies: (i) if the Company Common Stock is then listed or quoted on a Trading Market, the daily volume weighted average price of the Company Common Stock for such date (or the nearest preceding date) on the Trading Market on which the Company Common Stock is then listed or quoted as reported by Bloomberg L.P. (based on a Trading Day from 9:30 a.m. (New York City time) to 4:00 p.m. (New York City time)), (ii) if the Company Common Stock is not then listed on a Trading Market or quoted for trading on the OTC Bulletin Board and if prices for the Company Common Stock are then reported in the “Pink Sheets” published by OTC Markets Group Inc. (or a similar organization or agency succeeding to its functions of reporting prices), the most recent bid price per share of the Company Common Stock so reported or (iii) in all other cases, the fair market value of a share of Company Common Stock as determined by an independent nationally recognized investment banking, accounting or valuation firm selected in good faith by the Company and reasonably acceptable to the Holder,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 - 2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     </w:t>
      </w:r>
      <w:r>
        <w:rPr>
          <w:rFonts w:ascii="Times New Roman;Times;Serif" w:hAnsi="Times New Roman;Times;Serif"/>
          <w:b/>
          <w:i w:val="false"/>
          <w:caps w:val="false"/>
          <w:smallCaps w:val="false"/>
          <w:sz w:val="20"/>
          <w:u w:val="single"/>
        </w:rPr>
        <w:t>Issuance of Warrant; Term</w:t>
      </w:r>
      <w:r>
        <w:rPr>
          <w:rFonts w:ascii="Times New Roman;Times;Serif" w:hAnsi="Times New Roman;Times;Serif"/>
          <w:b w:val="false"/>
          <w:i w:val="false"/>
          <w:caps w:val="false"/>
          <w:smallCaps w:val="false"/>
          <w:sz w:val="20"/>
        </w:rPr>
        <w:t>. For good and valuable consideration, the receipt and sufficiency of which are hereby acknowledged, the Company hereby grants to Holder the right to purchase from the Company [</w:t>
      </w:r>
      <w:r>
        <w:rPr>
          <w:rFonts w:ascii="Times New Roman;Times;Serif" w:hAnsi="Times New Roman;Times;Serif"/>
          <w:b w:val="false"/>
          <w:i/>
          <w:caps w:val="false"/>
          <w:smallCaps w:val="false"/>
          <w:sz w:val="20"/>
        </w:rPr>
        <w:t># of shares</w:t>
      </w:r>
      <w:r>
        <w:rPr>
          <w:rFonts w:ascii="Times New Roman;Times;Serif" w:hAnsi="Times New Roman;Times;Serif"/>
          <w:b w:val="false"/>
          <w:i w:val="false"/>
          <w:caps w:val="false"/>
          <w:smallCaps w:val="false"/>
          <w:sz w:val="20"/>
        </w:rPr>
        <w:t>] fully paid and nonassessable shares of the Company’s voting common stock having a par value $0.001 per share (the “</w:t>
      </w:r>
      <w:r>
        <w:rPr>
          <w:rFonts w:ascii="Times New Roman;Times;Serif" w:hAnsi="Times New Roman;Times;Serif"/>
          <w:b/>
          <w:i w:val="false"/>
          <w:caps w:val="false"/>
          <w:smallCaps w:val="false"/>
          <w:sz w:val="20"/>
        </w:rPr>
        <w:t>Company Common Stock</w:t>
      </w:r>
      <w:r>
        <w:rPr>
          <w:rFonts w:ascii="Times New Roman;Times;Serif" w:hAnsi="Times New Roman;Times;Serif"/>
          <w:b w:val="false"/>
          <w:i w:val="false"/>
          <w:caps w:val="false"/>
          <w:smallCaps w:val="false"/>
          <w:sz w:val="20"/>
        </w:rPr>
        <w:t>”). The shares of Company Common Stock issuable upon exercise of this Warrant are hereinafter referred to as the “</w:t>
      </w:r>
      <w:r>
        <w:rPr>
          <w:rFonts w:ascii="Times New Roman;Times;Serif" w:hAnsi="Times New Roman;Times;Serif"/>
          <w:b/>
          <w:i w:val="false"/>
          <w:caps w:val="false"/>
          <w:smallCaps w:val="false"/>
          <w:sz w:val="20"/>
        </w:rPr>
        <w:t>Underlying Shares</w:t>
      </w:r>
      <w:r>
        <w:rPr>
          <w:rFonts w:ascii="Times New Roman;Times;Serif" w:hAnsi="Times New Roman;Times;Serif"/>
          <w:b w:val="false"/>
          <w:i w:val="false"/>
          <w:caps w:val="false"/>
          <w:smallCaps w:val="false"/>
          <w:sz w:val="20"/>
        </w:rPr>
        <w:t>.” This Warrant shall be exercisable at any time and from time to time, in whole or in part, during the period commencing on the date hereof and ending on November 21, 2031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     </w:t>
      </w:r>
      <w:r>
        <w:rPr>
          <w:rFonts w:ascii="Times New Roman;Times;Serif" w:hAnsi="Times New Roman;Times;Serif"/>
          <w:b/>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Company Common Stock for which each Underlying Share may be purchased pursuant to this Warrant shall be $0.01 (the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      </w:t>
      </w:r>
      <w:r>
        <w:rPr>
          <w:rFonts w:ascii="Times New Roman;Times;Serif" w:hAnsi="Times New Roman;Times;Serif"/>
          <w:b/>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This Warrant may be exercised by the Holder hereof as to all or any portion of the Underlying Shares, upon delivery of written notice to the Company, together with this original Warrant and (x) payment to the Company of the Aggregate Exercise Price or (y) instruction to the Company to withhold a number of the Underlying Shares then issuable upon exercise of this Warrant with an aggregate value (determined on the basis of the average Market Price per share for the Company Common Stock on the last five Trading Days for such stock ended immediately prior to the applicable Exercise Date, as defined below) equal to such Aggregate Exercise Price (collectively, the “</w:t>
      </w:r>
      <w:r>
        <w:rPr>
          <w:rFonts w:ascii="Times New Roman;Times;Serif" w:hAnsi="Times New Roman;Times;Serif"/>
          <w:b/>
          <w:i w:val="false"/>
          <w:caps w:val="false"/>
          <w:smallCaps w:val="false"/>
          <w:sz w:val="20"/>
        </w:rPr>
        <w:t>Exercise</w:t>
      </w:r>
      <w:r>
        <w:rPr>
          <w:rFonts w:ascii="Times New Roman;Times;Serif" w:hAnsi="Times New Roman;Times;Serif"/>
          <w:b w:val="false"/>
          <w:i w:val="false"/>
          <w:caps w:val="false"/>
          <w:smallCaps w:val="false"/>
          <w:sz w:val="20"/>
        </w:rPr>
        <w:t>”, with the date of an Exercise being an “</w:t>
      </w:r>
      <w:r>
        <w:rPr>
          <w:rFonts w:ascii="Times New Roman;Times;Serif" w:hAnsi="Times New Roman;Times;Serif"/>
          <w:b/>
          <w:i w:val="false"/>
          <w:caps w:val="false"/>
          <w:smallCaps w:val="false"/>
          <w:sz w:val="20"/>
        </w:rPr>
        <w:t>Exercise Date</w:t>
      </w:r>
      <w:r>
        <w:rPr>
          <w:rFonts w:ascii="Times New Roman;Times;Serif" w:hAnsi="Times New Roman;Times;Serif"/>
          <w:b w:val="false"/>
          <w:i w:val="false"/>
          <w:caps w:val="false"/>
          <w:smallCaps w:val="false"/>
          <w:sz w:val="20"/>
        </w:rPr>
        <w:t>”). The Exercise Price (if paid pursuant to clause (x) above) shall be payable by delivery by the Holder of a certified or official bank check payable to the order of the Company or wire transfer of immediately available funds to an account designated by the Company. This Warrant shall be deemed to have been so exercised as of the applicable Exercise Date, and the Holder shall be entitled to receive the Underlying Shares issuable upon such Exercise and be treated for all purposes as the holder of record of the Underlying Shares as of such date. Upon the Exercise of this Warrant, the Company shall, within two (2) Business Days of the applicable Exercise Date (the “</w:t>
      </w:r>
      <w:r>
        <w:rPr>
          <w:rFonts w:ascii="Times New Roman;Times;Serif" w:hAnsi="Times New Roman;Times;Serif"/>
          <w:b/>
          <w:i w:val="false"/>
          <w:caps w:val="false"/>
          <w:smallCaps w:val="false"/>
          <w:sz w:val="20"/>
        </w:rPr>
        <w:t>Underlying Share Delivery Date</w:t>
      </w:r>
      <w:r>
        <w:rPr>
          <w:rFonts w:ascii="Times New Roman;Times;Serif" w:hAnsi="Times New Roman;Times;Serif"/>
          <w:b w:val="false"/>
          <w:i w:val="false"/>
          <w:caps w:val="false"/>
          <w:smallCaps w:val="false"/>
          <w:sz w:val="20"/>
        </w:rPr>
        <w:t xml:space="preserve">”), execute and deliver to the Holder of this Warrant (a) a statement confirming the total number of Underlying Shares for which this Warrant is being exercised, and (b) (i) if the Underlying Shares are issued in certificate form, a certificate or certificates for the number of Underlying Shares issuable upon such Exercise, or (ii) if the Underlying Shares are issued in uncertificated form, a written confirmation evidencing the book-entry registration of such Underlying Shares in the Holder’s name;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Company fails to deliver to Holder such certificate or certificates (in the case of Underlying Shares issued in certificate form) or written confirmation (in the case of Underlying Shares issued in uncertificated form) by the Underlying Share Delivery Date, the Holder will have the right to rescind such Exercise. Any rescission by the Holder pursuant to this </w:t>
      </w:r>
      <w:r>
        <w:rPr>
          <w:rFonts w:ascii="Times New Roman;Times;Serif" w:hAnsi="Times New Roman;Times;Serif"/>
          <w:b/>
          <w:i w:val="false"/>
          <w:caps w:val="false"/>
          <w:smallCaps w:val="false"/>
          <w:sz w:val="20"/>
        </w:rPr>
        <w:t>Section 4(a)</w:t>
      </w:r>
      <w:r>
        <w:rPr>
          <w:rFonts w:ascii="Times New Roman;Times;Serif" w:hAnsi="Times New Roman;Times;Serif"/>
          <w:b w:val="false"/>
          <w:i w:val="false"/>
          <w:caps w:val="false"/>
          <w:smallCaps w:val="false"/>
          <w:sz w:val="20"/>
        </w:rPr>
        <w:t xml:space="preserve"> shall not affect any other remedies available to the Holder under applicable law or equity or pursuant to </w:t>
      </w:r>
      <w:r>
        <w:rPr>
          <w:rFonts w:ascii="Times New Roman;Times;Serif" w:hAnsi="Times New Roman;Times;Serif"/>
          <w:b/>
          <w:i w:val="false"/>
          <w:caps w:val="false"/>
          <w:smallCaps w:val="false"/>
          <w:sz w:val="20"/>
        </w:rPr>
        <w:t xml:space="preserve">Section 14 </w:t>
      </w:r>
      <w:r>
        <w:rPr>
          <w:rFonts w:ascii="Times New Roman;Times;Serif" w:hAnsi="Times New Roman;Times;Serif"/>
          <w:b w:val="false"/>
          <w:i w:val="false"/>
          <w:caps w:val="false"/>
          <w:smallCaps w:val="false"/>
          <w:sz w:val="20"/>
        </w:rPr>
        <w:t>hereof as a result of the Company’s failure to timely deliver the Underlying Shares. If this Warrant shall be exercised with respect to less than all of the Underlying Shares, the Company shall deliver a new Warrant covering the number of Underlying Shares in respect of which this Warrant shall not have been exercised, which new Warrant shall in all other respects be identical to this Warrant. The Company covenants and agrees that it will pay when due any and all state and federal issue taxes which may be payable in respect of the issuance of this Warrant or the issuance of any Underlying Shares upon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 - 3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In the event of any withholding of shares of Underlying Shares pursuant to </w:t>
      </w:r>
      <w:r>
        <w:rPr>
          <w:rFonts w:ascii="Times New Roman;Times;Serif" w:hAnsi="Times New Roman;Times;Serif"/>
          <w:b/>
          <w:i w:val="false"/>
          <w:caps w:val="false"/>
          <w:smallCaps w:val="false"/>
          <w:sz w:val="20"/>
        </w:rPr>
        <w:t>Section 4(a)(y) </w:t>
      </w:r>
      <w:r>
        <w:rPr>
          <w:rFonts w:ascii="Times New Roman;Times;Serif" w:hAnsi="Times New Roman;Times;Serif"/>
          <w:b w:val="false"/>
          <w:i w:val="false"/>
          <w:caps w:val="false"/>
          <w:smallCaps w:val="false"/>
          <w:sz w:val="20"/>
        </w:rPr>
        <w:t>above where the number of the Underlying Shares then issuable upon exercise of this Warrant with an aggregate value equal to the Aggregate Exercise Price is not a whole number, the number of the Underlying Shares withheld by the Company shall be rounded up to the nearest whole share, and the Company shall make a cash payment to the Holder (by delivery of a certified or official bank check or by wire transfer of immediately available funds) based on the incremental fraction of Underlying Shares being so withheld by the Company in an amount equal to the product of (x) such incremental fraction of Underlying Shares being so withheld or surrendered multiplied by (y) the value per share of Underlying Shares (determined on the basis of the average Market Price per share for the Company Common Stock on the last five Trading Days for such stock ended immediately prior to the applicable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Company shall not knowingly effect the exercise of this Warrant, and the Holder shall not have the right to exercise this Warrant to the extent that, after giving effect to such exercise, the Holder (together with such Person’s Affiliates) would beneficially own in excess of 9.99%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Company Common Stock outstanding immediately after giving effect to such exercise. For purposes of the foregoing sentence, the aggregate number of shares of Company Common Stock beneficially owned by such Person and its Affiliates shall include the number of shares of Company Common Stock issuable upon exercise of this Warrant with respect to which the determination of such sentence is being made, but shall exclude shares of Company Common Stock which would be issuable upon (i) exercise of the remaining, unexercised portion of this Warrant beneficially owned by such Person and its Affiliates and (ii) exercise or conversion of the unexercised or unconverted portion of any other securities of the Company beneficially owned by such Person and its Affiliates (including, without limitation, any convertible notes or convertible shares or warrants) subject to a limitation on conversion or exercise analogous to the limitation contained herein. Except as set forth in the preceding sentence, for purposes of this paragraph, beneficial ownership shall be calculated in accordance with Section 13(d) of the Exchange Act. For purposes of this Warrant, in determining the number of outstanding shares of Company Common Stock, a Holder of this Warrant may rely on the number of outstanding shares of Company Common Stock as reflected in the most recent of (1) the Company’s Form 10-K, Form 10-Q or other public filing with the Securities and Exchange Commission, as the case may be, (2) a more recent public announcement by the Company or (3) any other notice by the Company or its transfer agent setting forth the number of shares of Company Common Stock outstanding. Upon the written or oral request of a Holder, the Company shall, within five (5) Business Days, confirm to such Holder the number of shares of its Company Common Stock then outstanding. Furthermore, upon the written request of the Company, a Holder shall confirm to the Company its then current beneficial ownership with respect to the Company’s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 - 4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     </w:t>
      </w:r>
      <w:r>
        <w:rPr>
          <w:rFonts w:ascii="Times New Roman;Times;Serif" w:hAnsi="Times New Roman;Times;Serif"/>
          <w:b/>
          <w:i w:val="false"/>
          <w:caps w:val="false"/>
          <w:smallCaps w:val="false"/>
          <w:sz w:val="20"/>
          <w:u w:val="single"/>
        </w:rPr>
        <w:t>No Fractional Shares</w:t>
      </w:r>
      <w:r>
        <w:rPr>
          <w:rFonts w:ascii="Times New Roman;Times;Serif" w:hAnsi="Times New Roman;Times;Serif"/>
          <w:b w:val="false"/>
          <w:i w:val="false"/>
          <w:caps w:val="false"/>
          <w:smallCaps w:val="false"/>
          <w:sz w:val="20"/>
        </w:rPr>
        <w:t xml:space="preserve">. No fractional shares may be issued upon any exercise of this Warrant or as a consequence of any adjustment pursuant to </w:t>
      </w:r>
      <w:r>
        <w:rPr>
          <w:rFonts w:ascii="Times New Roman;Times;Serif" w:hAnsi="Times New Roman;Times;Serif"/>
          <w:b/>
          <w:i w:val="false"/>
          <w:caps w:val="false"/>
          <w:smallCaps w:val="false"/>
          <w:sz w:val="20"/>
        </w:rPr>
        <w:t>Section 7</w:t>
      </w:r>
      <w:r>
        <w:rPr>
          <w:rFonts w:ascii="Times New Roman;Times;Serif" w:hAnsi="Times New Roman;Times;Serif"/>
          <w:b w:val="false"/>
          <w:i w:val="false"/>
          <w:caps w:val="false"/>
          <w:smallCaps w:val="false"/>
          <w:sz w:val="20"/>
        </w:rPr>
        <w:t>, and any fractions shall be rounded upwards to the nearest whole number of shares. If upon any exercise or adjustment of this Warrant a fraction of a share results, the Company will pay to the Holder the cash value of any such fractional share, calculated on the basis of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     </w:t>
      </w:r>
      <w:r>
        <w:rPr>
          <w:rFonts w:ascii="Times New Roman;Times;Serif" w:hAnsi="Times New Roman;Times;Serif"/>
          <w:b/>
          <w:i w:val="false"/>
          <w:caps w:val="false"/>
          <w:smallCaps w:val="false"/>
          <w:sz w:val="20"/>
          <w:u w:val="single"/>
        </w:rPr>
        <w:t>Securities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Holder acknowledges that the Underlying Shares are being offered and sold by the Company in accordance with Regulation D under the Securities Act and that the Underlying Shares will constitute “restricted securities” as defined in Rule 144 under the Securities Act. Neither this Warrant nor the Underlying Shares have been registered under the Securities Act, or any state securities laws (“</w:t>
      </w:r>
      <w:r>
        <w:rPr>
          <w:rFonts w:ascii="Times New Roman;Times;Serif" w:hAnsi="Times New Roman;Times;Serif"/>
          <w:b/>
          <w:i w:val="false"/>
          <w:caps w:val="false"/>
          <w:smallCaps w:val="false"/>
          <w:sz w:val="20"/>
        </w:rPr>
        <w:t>Blue Sky Laws</w:t>
      </w:r>
      <w:r>
        <w:rPr>
          <w:rFonts w:ascii="Times New Roman;Times;Serif" w:hAnsi="Times New Roman;Times;Serif"/>
          <w:b w:val="false"/>
          <w:i w:val="false"/>
          <w:caps w:val="false"/>
          <w:smallCaps w:val="false"/>
          <w:sz w:val="20"/>
        </w:rPr>
        <w:t xml:space="preserve">”). This Warrant has been acquired for the Holder’s own account for investment purposes and not with a current view to distribution or resale and may not be sold or otherwise transferred (i) without an effective registration statement for such Warrant under the Securities Act and such applicable Blue Sky Laws, or (ii) unless Holder shall have delivered to the Company an opinion of counsel to the effect that the Warrant or such portion of the Warrant to be sold or transferred may be sold or transferred under an exemption from such registration;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conditions shall not apply to any transfer of this Warrant from Purchaser to (i) any Affiliate, managed fund or account of Oaktree Capital Management, L.P. or (ii) an Affiliate of Qatar Investment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Company covenants and agrees that all Underlying Shares will, upon issuance and payment therefor, be legally and validly issued and outstanding, free from all taxes, liens, charges and preemptive or similar rights, if any, with respect thereto or to the issuance thereof. The Company will take all such action as may be reasonably necessary or appropriate to assure that the Underlying Shares may be issued as provided herein without violating any applicable law or regulation, or any requirements of the Trading Market upon which the Company Common Stock may be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certificates representing the Underlying Shares will bear the following or similar legend, unless the Company determines otherwise in compliance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OR UNDER THE SECURITIES LAWS OF ANY STATE. THESE SECURITIES ARE SUBJECT TO RESTRICTIONS ON TRANSFERABILITY AND RESALE AND MAY NOT BE TRANSFERRED OR RESOLD EXCEPT AS PERMITTED UNDER THE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ACT AND ANY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 - 5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Anti-Dilution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If the Company shall at any time prior to the expiration of this Warrant (i) make a distribution or distributions on shares of Company Common Stock or any other equity or equity securities payable in additional shares of Company Common Stock or any other equity or equity securities or (ii) subdivide or reclassify the Company Common Stock (by stock split, recapitalization, or any other similar event) into a larger number of shares, then in each such case the number of shares issuable upon exercise of this Warrant shall be proportionately increased. If the Company shall at any time prior to the expiration of this Warrant combine or reclassify the Company Common Stock (by reverse stock split, recapitalization, combination of shares, or any other similar event) into a smaller number of shares, then in each such case the number of shares issuable upon exercise of this Warrant shall be proportionately decreased. Before taking any action which would result in an adjustment in the number of Underlying Shares for which this Warrant is exercisable,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If the Company shall at any time prior to the expiration of this Warrant (in each case, occurring after the date hereof) be a party to any merger, consolidation, exchange of shares of Company Common Stock, sale of a majority of the Company Common Stock, sale of all or substantially all of the assets of the Company, separation, reorganization, recapitalization, winding up or liquidation of the Company, or other similar event or transaction (each, a “</w:t>
      </w:r>
      <w:r>
        <w:rPr>
          <w:rFonts w:ascii="Times New Roman;Times;Serif" w:hAnsi="Times New Roman;Times;Serif"/>
          <w:b/>
          <w:i w:val="false"/>
          <w:caps w:val="false"/>
          <w:smallCaps w:val="false"/>
          <w:sz w:val="20"/>
        </w:rPr>
        <w:t>Fundamental Change</w:t>
      </w:r>
      <w:r>
        <w:rPr>
          <w:rFonts w:ascii="Times New Roman;Times;Serif" w:hAnsi="Times New Roman;Times;Serif"/>
          <w:b w:val="false"/>
          <w:i w:val="false"/>
          <w:caps w:val="false"/>
          <w:smallCaps w:val="false"/>
          <w:sz w:val="20"/>
        </w:rPr>
        <w:t>”), as a result of which shares of Company Common Stock shall be changed into the same or a different number or class or classes of securities of the Company or another entity, or the holders of shares of Company Common Stock are entitled to receive cash or other property, then, upon the Exercise of this Warrant by the Holder, such Holder shall receive, for the Aggregate Exercise Price as in effect immediately prior to such Fundamental Change (subject to all other adjustments under this Warrant), the aggregate number of shares or such other securities, cash or other property which such Holder would have received if this Warrant had been exercised immediately prior to such Fundamental Change (collectively, the “</w:t>
      </w:r>
      <w:r>
        <w:rPr>
          <w:rFonts w:ascii="Times New Roman;Times;Serif" w:hAnsi="Times New Roman;Times;Serif"/>
          <w:b/>
          <w:i w:val="false"/>
          <w:caps w:val="false"/>
          <w:smallCaps w:val="false"/>
          <w:sz w:val="20"/>
        </w:rPr>
        <w:t>Fundamental Change Receivable</w:t>
      </w:r>
      <w:r>
        <w:rPr>
          <w:rFonts w:ascii="Times New Roman;Times;Serif" w:hAnsi="Times New Roman;Times;Serif"/>
          <w:b w:val="false"/>
          <w:i w:val="false"/>
          <w:caps w:val="false"/>
          <w:smallCaps w:val="false"/>
          <w:sz w:val="20"/>
        </w:rPr>
        <w:t xml:space="preserve">”), which, upon the Holder’s election, may be received net of the Aggregate Exercise Price (for the avoidance of doubt, without payment by the Holder of any cash in an amount equal to the Exercise Price). In the case of any Fundamental Change, the successor or purchasing party of such merger, consolidation, exchange of shares of Company Common Stock, sale of all or substantially all of the assets of the Company or reorganization (if other than the Company) shall duly execute and deliver to the Holder a supplement to this Warrant acknowledging the Company and such party’s obligations under this </w:t>
      </w:r>
      <w:r>
        <w:rPr>
          <w:rFonts w:ascii="Times New Roman;Times;Serif" w:hAnsi="Times New Roman;Times;Serif"/>
          <w:b/>
          <w:i w:val="false"/>
          <w:caps w:val="false"/>
          <w:smallCaps w:val="false"/>
          <w:sz w:val="20"/>
        </w:rPr>
        <w:t>Section 7(b)</w:t>
      </w:r>
      <w:r>
        <w:rPr>
          <w:rFonts w:ascii="Times New Roman;Times;Serif" w:hAnsi="Times New Roman;Times;Serif"/>
          <w:b w:val="false"/>
          <w:i w:val="false"/>
          <w:caps w:val="false"/>
          <w:smallCaps w:val="false"/>
          <w:sz w:val="20"/>
        </w:rPr>
        <w:t>. The terms of this Warrant shall be applicable to the Fundamental Change Receivable due to the Holder upon the consummation of any such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If the Company, at any time while this Warrant is outstanding, shall otherwise distribute to all holders of Company Common Stock (and not to the Holder or Holders) evidences of its indebtedness or assets (including cash and cash dividends) or rights or warrants to subscribe for or purchase any security (for the avoidance of doubt, excluding in each such case any distribution for which adjustment is made under Section 7(a) or any Fundamental Change Receivable), then in each such case provision shall be made so that the Holder shall receive, simultaneously with the distribution to the holders of Company Common Stock, the kind and amount of evidences of indebtedness or assets or rights or warrants to subscribe for or purchase security that the Holder would have been entitled to receive had this Warrant been exercised in full into Underlying Shares on the date of such event, giving application to all adjustments called for during such period under this </w:t>
      </w:r>
      <w:r>
        <w:rPr>
          <w:rFonts w:ascii="Times New Roman;Times;Serif" w:hAnsi="Times New Roman;Times;Serif"/>
          <w:b/>
          <w:i w:val="false"/>
          <w:caps w:val="false"/>
          <w:smallCaps w:val="false"/>
          <w:sz w:val="20"/>
        </w:rPr>
        <w:t xml:space="preserve">Section 7 </w:t>
      </w:r>
      <w:r>
        <w:rPr>
          <w:rFonts w:ascii="Times New Roman;Times;Serif" w:hAnsi="Times New Roman;Times;Serif"/>
          <w:b w:val="false"/>
          <w:i w:val="false"/>
          <w:caps w:val="false"/>
          <w:smallCaps w:val="false"/>
          <w:sz w:val="20"/>
        </w:rPr>
        <w:t>with respect to the rights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 - 6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Not less than five (5) days prior to the record date or effective date, as the case may be, of any event which requires or might require an adjustment or readjustment pursuant to </w:t>
      </w:r>
      <w:r>
        <w:rPr>
          <w:rFonts w:ascii="Times New Roman;Times;Serif" w:hAnsi="Times New Roman;Times;Serif"/>
          <w:b/>
          <w:i w:val="false"/>
          <w:caps w:val="false"/>
          <w:smallCaps w:val="false"/>
          <w:sz w:val="20"/>
        </w:rPr>
        <w:t>Section 7(a</w:t>
      </w:r>
      <w:r>
        <w:rPr>
          <w:rFonts w:ascii="Times New Roman;Times;Serif" w:hAnsi="Times New Roman;Times;Serif"/>
          <w:b w:val="false"/>
          <w:i w:val="false"/>
          <w:caps w:val="false"/>
          <w:smallCaps w:val="false"/>
          <w:sz w:val="20"/>
        </w:rPr>
        <w:t>) (each, an “</w:t>
      </w:r>
      <w:r>
        <w:rPr>
          <w:rFonts w:ascii="Times New Roman;Times;Serif" w:hAnsi="Times New Roman;Times;Serif"/>
          <w:b/>
          <w:i w:val="false"/>
          <w:caps w:val="false"/>
          <w:smallCaps w:val="false"/>
          <w:sz w:val="20"/>
        </w:rPr>
        <w:t>Adjustment Event</w:t>
      </w:r>
      <w:r>
        <w:rPr>
          <w:rFonts w:ascii="Times New Roman;Times;Serif" w:hAnsi="Times New Roman;Times;Serif"/>
          <w:b w:val="false"/>
          <w:i w:val="false"/>
          <w:caps w:val="false"/>
          <w:smallCaps w:val="false"/>
          <w:sz w:val="20"/>
        </w:rPr>
        <w:t xml:space="preserve">”) or a distribution pursuant to </w:t>
      </w:r>
      <w:r>
        <w:rPr>
          <w:rFonts w:ascii="Times New Roman;Times;Serif" w:hAnsi="Times New Roman;Times;Serif"/>
          <w:b/>
          <w:i w:val="false"/>
          <w:caps w:val="false"/>
          <w:smallCaps w:val="false"/>
          <w:sz w:val="20"/>
        </w:rPr>
        <w:t>Section 7(c)</w:t>
      </w:r>
      <w:r>
        <w:rPr>
          <w:rFonts w:ascii="Times New Roman;Times;Serif" w:hAnsi="Times New Roman;Times;Serif"/>
          <w:b w:val="false"/>
          <w:i w:val="false"/>
          <w:caps w:val="false"/>
          <w:smallCaps w:val="false"/>
          <w:sz w:val="20"/>
        </w:rPr>
        <w:t> (each, an “</w:t>
      </w:r>
      <w:r>
        <w:rPr>
          <w:rFonts w:ascii="Times New Roman;Times;Serif" w:hAnsi="Times New Roman;Times;Serif"/>
          <w:b/>
          <w:i w:val="false"/>
          <w:caps w:val="false"/>
          <w:smallCaps w:val="false"/>
          <w:sz w:val="20"/>
        </w:rPr>
        <w:t>Asset Distribution</w:t>
      </w:r>
      <w:r>
        <w:rPr>
          <w:rFonts w:ascii="Times New Roman;Times;Serif" w:hAnsi="Times New Roman;Times;Serif"/>
          <w:b w:val="false"/>
          <w:i w:val="false"/>
          <w:caps w:val="false"/>
          <w:smallCaps w:val="false"/>
          <w:sz w:val="20"/>
        </w:rPr>
        <w:t xml:space="preserve">”), and not less than ten (10) days prior to the record date or effective date, as the case may be, of any Fundamental Change, the Company shall give written notice of such Adjustment Event, Asset Distribution or Fundamental Change (as applicable) to the Holder or Holders, describing such Adjustment Event, Asset Distribution or Fundamental Change in reasonable detail and specifying the record date or effective date, as the case may be. Such notice shall additionally include the Company’s certification of the following computations, as applicable, each of which shall have been made by the Company in good faith: (i) in the case of an Adjustment Event, if determinable, the required adjustment and the computation thereof or, if the required adjustment is not determinable at the time of such notice, the Company shall give notice to the Holder or Holders of such adjustment and computation promptly after such adjustment becomes determinable, (ii) in the case of an Asset Distribution, the kind and amount of evidences of indebtedness or assets or rights or warrants to subscribe for or purchase security that is distributable to the Holder and the computation thereof and (iii) in the case of a Fundamental Change, the number of shares or such other securities, cash or other property which is payable to the Holder or Holders upon the Fundamental Change and the computation thereof. Except as otherwise prohibited by applicable laws, to the extent that any notice provided pursuant to this </w:t>
      </w:r>
      <w:r>
        <w:rPr>
          <w:rFonts w:ascii="Times New Roman;Times;Serif" w:hAnsi="Times New Roman;Times;Serif"/>
          <w:b/>
          <w:i w:val="false"/>
          <w:caps w:val="false"/>
          <w:smallCaps w:val="false"/>
          <w:sz w:val="20"/>
        </w:rPr>
        <w:t>Section 7(d)</w:t>
      </w:r>
      <w:r>
        <w:rPr>
          <w:rFonts w:ascii="Times New Roman;Times;Serif" w:hAnsi="Times New Roman;Times;Serif"/>
          <w:b w:val="false"/>
          <w:i w:val="false"/>
          <w:caps w:val="false"/>
          <w:smallCaps w:val="false"/>
          <w:sz w:val="20"/>
        </w:rPr>
        <w:t> contains material, non-public information regarding the Company, the Company shall disclose such information regarding the Company in a Current Report on Form 8-K and file such Current Report on Form 8-K with the SEC no later than the second Trading Day following the date such notice is delivered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Notwithstanding any other provision hereof, if an exercise of all or any portion of this Warrant is to be made in connection with a Fundamental Change or a public offering, such exercise may, at the election of the Holder, be conditioned upon the consummation of such transaction, in which case such exercise shall not be deemed to be effective until immediately prior to the consummation of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At all times on and prior to the Expiration Date, the Company shall at all times reserve and keep available out of its authorized but unissued Company Common Stock (or other equity interests then constituting Underlying Shares), solely for the purpose of issuance upon the exercise of this Warrant, the maximum number of Underlying Shares issuable upon the exercise of this Warrant. The Company further covenants that its issuance of this Warrant shall constitute full authority to its officers who are charged with the duty of executing stock certificates or effectuating the book entry of uncertificated shares to execute and issue, or enter, the necessary certificates or book entries (as applicable) for the Underlying Shares upon the exercise of the purchase rights under this Warrant. The Company shall not increase the par value of any Underlying Shares receivable upon the exercise of this Warrant above the Exercise Price, and shall take all such actions within its power as may be necessary or appropriate in order that the Company may validly and legally issue fully paid and non-assessable Underlying Shares upon the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 - 7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      </w:t>
      </w:r>
      <w:r>
        <w:rPr>
          <w:rFonts w:ascii="Times New Roman;Times;Serif" w:hAnsi="Times New Roman;Times;Serif"/>
          <w:b/>
          <w:i w:val="false"/>
          <w:caps w:val="false"/>
          <w:smallCaps w:val="false"/>
          <w:sz w:val="20"/>
          <w:u w:val="single"/>
        </w:rPr>
        <w:t>Transfer of Warrant</w:t>
      </w:r>
      <w:r>
        <w:rPr>
          <w:rFonts w:ascii="Times New Roman;Times;Serif" w:hAnsi="Times New Roman;Times;Serif"/>
          <w:b w:val="false"/>
          <w:i w:val="false"/>
          <w:caps w:val="false"/>
          <w:smallCaps w:val="false"/>
          <w:sz w:val="20"/>
        </w:rPr>
        <w:t xml:space="preserve">. Subject to compliance with applicable federal and state securities laws, the Holder may, from time to time, transfer this Warrant or the Underlying Shares, in each case, in whole or in part, by giving the Company a written notice of the portion of the Warrant or the shares of the Underlying Shares being transferred, such notice to set forth the name, address and taxpayer identification number of the transferee, the anticipated date of such transfer, and surrendering this Warrant or the certificates or book-entry records representing shares of the Underlying Shares, as applicable, to the Company for reissuance to the transferee(s). Upon surrender of this Warrant by a Holder to the Company for transfer, in whole or in part, the Company shall issue a new warrant to such Holder in such denomination as shall be requested by such Holder covering the number of Underlying Shares, if any, in respect of which this Warrant shall not have been transferred. Such new warrant shall be identical in all other respects to this Warrant. This Warrant may be divided or combined with other Warrants upon presentation hereof at the office of the Company, together with a written notice specifying the names and denominations in which new Warrants are to be issued, signed by the Holder or its agent or attorney. Subject to compliance with this </w:t>
      </w:r>
      <w:r>
        <w:rPr>
          <w:rFonts w:ascii="Times New Roman;Times;Serif" w:hAnsi="Times New Roman;Times;Serif"/>
          <w:b/>
          <w:i w:val="false"/>
          <w:caps w:val="false"/>
          <w:smallCaps w:val="false"/>
          <w:sz w:val="20"/>
        </w:rPr>
        <w:t>Section 8</w:t>
      </w:r>
      <w:r>
        <w:rPr>
          <w:rFonts w:ascii="Times New Roman;Times;Serif" w:hAnsi="Times New Roman;Times;Serif"/>
          <w:b w:val="false"/>
          <w:i w:val="false"/>
          <w:caps w:val="false"/>
          <w:smallCaps w:val="false"/>
          <w:sz w:val="20"/>
        </w:rPr>
        <w:t xml:space="preserve">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as of the Initial Issuance Date and shall be identical to this Warrant except as to the number of Underlying Shares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      </w:t>
      </w:r>
      <w:r>
        <w:rPr>
          <w:rFonts w:ascii="Times New Roman;Times;Serif" w:hAnsi="Times New Roman;Times;Serif"/>
          <w:b/>
          <w:i w:val="false"/>
          <w:caps w:val="false"/>
          <w:smallCaps w:val="false"/>
          <w:sz w:val="20"/>
          <w:u w:val="single"/>
        </w:rPr>
        <w:t>No Impairment</w:t>
      </w:r>
      <w:r>
        <w:rPr>
          <w:rFonts w:ascii="Times New Roman;Times;Serif" w:hAnsi="Times New Roman;Times;Serif"/>
          <w:b w:val="false"/>
          <w:i w:val="false"/>
          <w:caps w:val="false"/>
          <w:smallCaps w:val="false"/>
          <w:sz w:val="20"/>
        </w:rPr>
        <w:t>. The Company may not, including, without limitation, by amendment of its certificate of incorporation or bylaws, or through a Fundamental Change or any other voluntary action, avoid or seek to avoid the observance or performance of any of the terms of this Warrant, and the Company shall at all times in good faith assist in the carrying out of all such terms and in the taking of all such action as may be necessary or appropriate in order to protect the rights of the Holder or Holders against impairment. Without limiting the generality of the foregoing, the Company shall take (a) all such action as may be necessary or appropriate in order that the Company may duly and validly issue fully paid and non-assessable Underlying Shares, free from any taxes, liens, charges and preemptive rights, upon the exercise of this Warrant, and (b) use its best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No Rights or Liabilities as a Stockholder</w:t>
      </w:r>
      <w:r>
        <w:rPr>
          <w:rFonts w:ascii="Times New Roman;Times;Serif" w:hAnsi="Times New Roman;Times;Serif"/>
          <w:b w:val="false"/>
          <w:i w:val="false"/>
          <w:caps w:val="false"/>
          <w:smallCaps w:val="false"/>
          <w:sz w:val="20"/>
        </w:rPr>
        <w:t>. This Warrant shall not entitle the Holder or Holders hereof to any voting rights or other rights as a stockholder of the Company with respect to the Underlying Shares prior to the exercise of the Warrant. No provision of this Warrant, in the absence of affirmative action by the Holder or Holders to purchase the Underlying Shares, and no mere enumeration herein of the rights or privileges of the Holder or Holders, shall give rise to any liability of such Holder or Holders for the Exercise Price or as a stockholder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 - 8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11.   </w:t>
      </w:r>
      <w:r>
        <w:rPr>
          <w:rFonts w:ascii="Times New Roman;Times;Serif" w:hAnsi="Times New Roman;Times;Serif"/>
          <w:b/>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represents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As of the Initial Issuance Date, the Company (A) is a corporation duly organized, validly existing and in good standing under the laws of the State of Delaware, (B) has all requisite power and authority to own and operate its properties, to carry on its business as now conducted and as currently proposed to be conducted, to issue and enter into the Warrant and to carry out the transactions contemplated thereby, and (C) except where the failure to do so, individually or in the aggregate, has not had, and could not be reasonably expected to have, a material adverse effect on the business, assets, financial condition or operations of the Company, is qualified to do business and, where applicable is in good standing, in every jurisdiction where such qualification is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This Warrant is, and any Warrant issued in substitution for or replacement of this Warrant (including pursuant to </w:t>
      </w:r>
      <w:r>
        <w:rPr>
          <w:rFonts w:ascii="Times New Roman;Times;Serif" w:hAnsi="Times New Roman;Times;Serif"/>
          <w:b/>
          <w:i w:val="false"/>
          <w:caps w:val="false"/>
          <w:smallCaps w:val="false"/>
          <w:sz w:val="20"/>
        </w:rPr>
        <w:t>Section 15</w:t>
      </w:r>
      <w:r>
        <w:rPr>
          <w:rFonts w:ascii="Times New Roman;Times;Serif" w:hAnsi="Times New Roman;Times;Serif"/>
          <w:b w:val="false"/>
          <w:i w:val="false"/>
          <w:caps w:val="false"/>
          <w:smallCaps w:val="false"/>
          <w:sz w:val="20"/>
        </w:rPr>
        <w:t>) shall be, upon issuance, duly authorized and validly issued. This Warrant constitutes, and any Warrant issued in substitution for or replacement of this Warrant shall be, upon issuance, a legal, valid and binding obligation of the Company, enforceable against the Company in accordance with its terms, except as enforceability may be limited by applicable bankruptcy, insolvency or other similar laws affecting the enforcement of creditors’ rights generally and by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As of the Initial Issuance Date, the execution, delivery and performance by the Company of the Warrant does not and will not (A) violate any material provision of applicable law or the organizational documents of the Company, (B) conflict with, result in a breach of, or constitute (with the giving of any notice, the passage of time, or both) a default under any material agreement of the Company or (C) result in or require the creation or imposition of any lien upon any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12.   </w:t>
      </w:r>
      <w:r>
        <w:rPr>
          <w:rFonts w:ascii="Times New Roman;Times;Serif" w:hAnsi="Times New Roman;Times;Serif"/>
          <w:b/>
          <w:i w:val="false"/>
          <w:caps w:val="false"/>
          <w:smallCaps w:val="false"/>
          <w:sz w:val="20"/>
          <w:u w:val="single"/>
        </w:rPr>
        <w:t>Successors</w:t>
      </w:r>
      <w:r>
        <w:rPr>
          <w:rFonts w:ascii="Times New Roman;Times;Serif" w:hAnsi="Times New Roman;Times;Serif"/>
          <w:b w:val="false"/>
          <w:i w:val="false"/>
          <w:caps w:val="false"/>
          <w:smallCaps w:val="false"/>
          <w:sz w:val="20"/>
        </w:rPr>
        <w:t>. All the covenants and provisions of this Warrant by or for the benefit of the Company or the Holder or Holders shall bind and inure to the benefit of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13.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 The rights of the Holder or Holders under this Warrant, and the covenants and agreements of the Company set forth in this Warrant for the benefit of the Holder or Holders, shall survive exercise of all or any portion of this Warrant and shall inure to the Holder or Holders of any Underlying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14.   </w:t>
      </w:r>
      <w:r>
        <w:rPr>
          <w:rFonts w:ascii="Times New Roman;Times;Serif" w:hAnsi="Times New Roman;Times;Serif"/>
          <w:b/>
          <w:i w:val="false"/>
          <w:caps w:val="false"/>
          <w:smallCaps w:val="false"/>
          <w:sz w:val="20"/>
          <w:u w:val="single"/>
        </w:rPr>
        <w:t>Remedies</w:t>
      </w:r>
      <w:r>
        <w:rPr>
          <w:rFonts w:ascii="Times New Roman;Times;Serif" w:hAnsi="Times New Roman;Times;Serif"/>
          <w:b w:val="false"/>
          <w:i w:val="false"/>
          <w:caps w:val="false"/>
          <w:smallCaps w:val="false"/>
          <w:sz w:val="20"/>
        </w:rPr>
        <w:t>. If the Company violates, breaches or defaults under this Warrant, the Holder may proceed to protect and enforce its rights by any action at law, suit in equity or other appropriate proceeding, whether for specific performance of any agreement contained in this Warrant, or for an injunction against a violation of any of the terms hereof, or in and of the exercise of any power granted hereby or by law, in each case without providing any bond or other security in connection with such action, suit or other proceeding. In case of any violation, breach or default under this Warrant, the Company shall pay to the Holder on demand all reasonable costs and expenses of enforcing the Holder’s rights under this Warrant, including, without limitation, reasonable attorneys’ fees and legal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 - 9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15.   </w:t>
      </w:r>
      <w:r>
        <w:rPr>
          <w:rFonts w:ascii="Times New Roman;Times;Serif" w:hAnsi="Times New Roman;Times;Serif"/>
          <w:b/>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its receipt of evidence reasonably satisfactory to it of the loss, theft, destruction or mutilation of this Warrant or any stock certificate relating to the Underlying Shares (and, in the case of mutilation, the surrender and cancellation of this Warrant or such stock certificate), the Company shall make and deliver to the Holder a new Warrant or stock certificate that is identical to this Warrant or to such stock certificate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16.   </w:t>
      </w:r>
      <w:r>
        <w:rPr>
          <w:rFonts w:ascii="Times New Roman;Times;Serif" w:hAnsi="Times New Roman;Times;Serif"/>
          <w:b/>
          <w:i w:val="false"/>
          <w:caps w:val="false"/>
          <w:smallCaps w:val="false"/>
          <w:sz w:val="20"/>
          <w:u w:val="single"/>
        </w:rPr>
        <w:t>Article and Section Headings</w:t>
      </w:r>
      <w:r>
        <w:rPr>
          <w:rFonts w:ascii="Times New Roman;Times;Serif" w:hAnsi="Times New Roman;Times;Serif"/>
          <w:b w:val="false"/>
          <w:i w:val="false"/>
          <w:caps w:val="false"/>
          <w:smallCaps w:val="false"/>
          <w:sz w:val="20"/>
        </w:rPr>
        <w:t>. Numbered and titled article and section headings are for convenience only and shall not be construed as amplifying or limiting any of the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17.    </w:t>
      </w:r>
      <w:r>
        <w:rPr>
          <w:rFonts w:ascii="Times New Roman;Times;Serif" w:hAnsi="Times New Roman;Times;Serif"/>
          <w:b/>
          <w:i w:val="false"/>
          <w:caps w:val="false"/>
          <w:smallCaps w:val="false"/>
          <w:sz w:val="20"/>
          <w:u w:val="single"/>
        </w:rPr>
        <w:t>Notice</w:t>
      </w:r>
      <w:r>
        <w:rPr>
          <w:rFonts w:ascii="Times New Roman;Times;Serif" w:hAnsi="Times New Roman;Times;Serif"/>
          <w:b w:val="false"/>
          <w:i w:val="false"/>
          <w:caps w:val="false"/>
          <w:smallCaps w:val="false"/>
          <w:sz w:val="20"/>
        </w:rPr>
        <w:t>. Any and all notices, elections or demands permitted or required to be made under this Warrant shall be in writing, signed by the party giving such notice, election or demand and shall be delivered in accordance with the notice provisions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18.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provisions(s) of this Warrant or the application thereof to any person or circumstances shall be invalid or unenforceable to any extent, the remainder of this Warrant and the application of such provisions to other persons or circumstances shall not be affected thereby and shall be enforced to the greatest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19.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Warrant and between the Company and the Holder represents the entire agreement between the parties concerning the subject matter hereof, and all oral discussions and prior agreement are merged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   </w:t>
      </w:r>
      <w:r>
        <w:rPr>
          <w:rFonts w:ascii="Times New Roman;Times;Serif" w:hAnsi="Times New Roman;Times;Serif"/>
          <w:b/>
          <w:i w:val="false"/>
          <w:caps w:val="false"/>
          <w:smallCaps w:val="false"/>
          <w:sz w:val="20"/>
          <w:u w:val="single"/>
        </w:rPr>
        <w:t>Valuation Dispute Resolution</w:t>
      </w:r>
      <w:r>
        <w:rPr>
          <w:rFonts w:ascii="Times New Roman;Times;Serif" w:hAnsi="Times New Roman;Times;Serif"/>
          <w:b w:val="false"/>
          <w:i w:val="false"/>
          <w:caps w:val="false"/>
          <w:smallCaps w:val="false"/>
          <w:sz w:val="20"/>
        </w:rPr>
        <w:t>. In the case of any dispute as to the determination of any amount or valuation hereunder or in connection with the amount or value of any Company Common Stock or Underlying Shares to be issued, withheld or otherwise determined, the calculation of the Aggregate Exercise Price or any other computation or valuation required to be made hereunder or in connection herewith, in the event the Holder, on the one hand, and the Company, on the other hand, are unable to settle such dispute within five (5) Business Days, then either party may elect to submit the disputed matter(s) for resolution by an accounting firm of nationally recognized standing as may be mutually agreed upon by the Holder and the Company. Such firm’s determination of such disputed matter(s) shall be binding upon all parties absent demonstrable error, and the Company and the Holder shall each pay one half of the fees and costs of such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21.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Warrant and the rights and obligations of the parties hereunder, and any claims, controversy, dispute or cause of action (whether in contract or tort or otherwise) based upon, arising out of or relating to this Warrant and the transactions contemplated hereby shall be governed by, and construed in accordance with,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22.   </w:t>
      </w:r>
      <w:r>
        <w:rPr>
          <w:rFonts w:ascii="Times New Roman;Times;Serif" w:hAnsi="Times New Roman;Times;Serif"/>
          <w:b/>
          <w:i w:val="false"/>
          <w:caps w:val="false"/>
          <w:smallCaps w:val="false"/>
          <w:sz w:val="20"/>
          <w:u w:val="single"/>
        </w:rPr>
        <w:t>Jurisdiction; Waiver of Venue; Service of Process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Each party hereto irrevocably and unconditionally agrees that it will not commence any action, litigation or proceeding of any kind or description, whether in law or equity, whether in contract or in tort or otherwise, against any other party hereto in any way relating to this Warrant or the transactions relating 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 - 10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Each party hereto irrevocably and unconditionally waives, to the fullest extent permitted by applicable law, any objection that it may now or hereafter have to the laying of venue of any action or proceeding arising out of or relating to this Agreement in any court referred to in paragraph (a) of this </w:t>
      </w:r>
      <w:r>
        <w:rPr>
          <w:rFonts w:ascii="Times New Roman;Times;Serif" w:hAnsi="Times New Roman;Times;Serif"/>
          <w:b/>
          <w:i w:val="false"/>
          <w:caps w:val="false"/>
          <w:smallCaps w:val="false"/>
          <w:sz w:val="20"/>
        </w:rPr>
        <w:t>Section 22</w:t>
      </w:r>
      <w:r>
        <w:rPr>
          <w:rFonts w:ascii="Times New Roman;Times;Serif" w:hAnsi="Times New Roman;Times;Serif"/>
          <w:b w:val="false"/>
          <w:i w:val="false"/>
          <w:caps w:val="false"/>
          <w:smallCaps w:val="false"/>
          <w:sz w:val="20"/>
        </w:rPr>
        <w:t>.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Each party hereto irrevocably consents to service of process in the manner provided for notices in </w:t>
      </w:r>
      <w:r>
        <w:rPr>
          <w:rFonts w:ascii="Times New Roman;Times;Serif" w:hAnsi="Times New Roman;Times;Serif"/>
          <w:b/>
          <w:i w:val="false"/>
          <w:caps w:val="false"/>
          <w:smallCaps w:val="false"/>
          <w:sz w:val="20"/>
        </w:rPr>
        <w:t>Section 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23.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No amendment or modification hereof shall be effective except in a writing executed by the Company and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24.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Warrant may be executed in any number of counterparts, each of which when so executed shall be deemed to be an original and all of which taken together shall constitute one and the same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25.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PARTY HERETO HEREBY IRREVOCABLY WAIVES, TO THE FULLEST EXTENT PERMITTED BY APPLICABLE LAW, ANY AND ALL RIGHT TO TRIAL BY JURY IN ANY SUIT, ACTION OR PROCEEDING ARISING OUT OF OR RELATING TO THIS WARRANT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WARRANT BY, AMONG OTHER THINGS, THE MUTUAL WAIVERS AND CERTIFICATIONS IN THIS </w:t>
      </w:r>
      <w:r>
        <w:rPr>
          <w:rFonts w:ascii="Times New Roman;Times;Serif" w:hAnsi="Times New Roman;Times;Serif"/>
          <w:b/>
          <w:i w:val="false"/>
          <w:caps w:val="false"/>
          <w:smallCaps w:val="false"/>
          <w:sz w:val="20"/>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 - 11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parties hereto have set their hands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545"/>
        <w:gridCol w:w="2480"/>
      </w:tblGrid>
      <w:tr>
        <w:trPr/>
        <w:tc>
          <w:tcPr>
            <w:tcW w:w="75" w:type="dxa"/>
            <w:tcBorders/>
            <w:vAlign w:val="center"/>
          </w:tcPr>
          <w:p>
            <w:pPr>
              <w:pStyle w:val="TableContents"/>
              <w:bidi w:val="0"/>
              <w:spacing w:before="0" w:after="283"/>
              <w:jc w:val="left"/>
              <w:rPr/>
            </w:pPr>
            <w:r>
              <w:rPr/>
              <w:t> </w:t>
            </w:r>
          </w:p>
        </w:tc>
        <w:tc>
          <w:tcPr>
            <w:tcW w:w="30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30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0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BIOXCEL THERAPEUTICS, INC.</w:t>
            </w:r>
          </w:p>
        </w:tc>
      </w:tr>
      <w:tr>
        <w:trPr/>
        <w:tc>
          <w:tcPr>
            <w:tcW w:w="75" w:type="dxa"/>
            <w:tcBorders/>
            <w:vAlign w:val="center"/>
          </w:tcPr>
          <w:p>
            <w:pPr>
              <w:pStyle w:val="TableContents"/>
              <w:bidi w:val="0"/>
              <w:spacing w:before="0" w:after="283"/>
              <w:jc w:val="left"/>
              <w:rPr/>
            </w:pPr>
            <w:r>
              <w:rPr/>
              <w:t> </w:t>
            </w:r>
          </w:p>
        </w:tc>
        <w:tc>
          <w:tcPr>
            <w:tcW w:w="30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0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428677d2_ex4-2.htm"/>
      <w:bookmarkStart w:id="25" w:name="kstm2428677d2_ex42"/>
      <w:bookmarkEnd w:id="24"/>
      <w:bookmarkEnd w:id="2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r>
        <w:rPr>
          <w:rFonts w:ascii="Times New Roman;Times;Serif" w:hAnsi="Times New Roman;Times;Serif"/>
          <w:b/>
          <w:i w:val="false"/>
          <w:caps/>
          <w:sz w:val="2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BIOXCEL THERAPEUTICS, INC.</w:t>
        <w:br/>
        <w:t>THIRD Amended and Restated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THIRD </w:t>
      </w:r>
      <w:r>
        <w:rPr>
          <w:rFonts w:ascii="Times New Roman;Times;Serif" w:hAnsi="Times New Roman;Times;Serif"/>
          <w:b/>
          <w:i w:val="false"/>
          <w:caps/>
          <w:sz w:val="20"/>
        </w:rPr>
        <w:t>Amended and Restated Registration Rights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as of [●], 2024, by and among BioXcel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the purchasers identified on </w:t>
      </w:r>
      <w:r>
        <w:rPr>
          <w:rFonts w:ascii="Times New Roman;Times;Serif" w:hAnsi="Times New Roman;Times;Serif"/>
          <w:b/>
          <w:i w:val="false"/>
          <w:caps w:val="false"/>
          <w:smallCaps w:val="false"/>
          <w:sz w:val="20"/>
        </w:rPr>
        <w:t>Schedule A</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 and such other Persons, if any, from time to time, that become a party hereto as holders of Registrable Securities (as defined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Whereas</w:t>
      </w:r>
      <w:r>
        <w:rPr>
          <w:rFonts w:ascii="Times New Roman;Times;Serif" w:hAnsi="Times New Roman;Times;Serif"/>
          <w:b w:val="false"/>
          <w:i w:val="false"/>
          <w:caps w:val="false"/>
          <w:smallCaps w:val="false"/>
          <w:sz w:val="20"/>
        </w:rPr>
        <w:t xml:space="preserve">, pursuant to the Credit Agreement (as defined below), on the Closing Date, the Company issued to each Purchaser a warrant to purchase such number of shares of Common Stock (as defined below) as is set forth opposite such Purchaser’s name on </w:t>
      </w:r>
      <w:r>
        <w:rPr>
          <w:rFonts w:ascii="Times New Roman;Times;Serif" w:hAnsi="Times New Roman;Times;Serif"/>
          <w:b/>
          <w:i w:val="false"/>
          <w:caps w:val="false"/>
          <w:smallCaps w:val="false"/>
          <w:sz w:val="20"/>
        </w:rPr>
        <w:t>Schedule A</w:t>
      </w:r>
      <w:r>
        <w:rPr>
          <w:rFonts w:ascii="Times New Roman;Times;Serif" w:hAnsi="Times New Roman;Times;Serif"/>
          <w:b w:val="false"/>
          <w:i w:val="false"/>
          <w:caps w:val="false"/>
          <w:smallCaps w:val="false"/>
          <w:sz w:val="20"/>
        </w:rPr>
        <w:t xml:space="preserve"> hereto as the Shares Issuable Upon Exercise of Closing Date Warrants (as such number may be adjusted pursuant to the terms of such warrant) (each, a “</w:t>
      </w:r>
      <w:r>
        <w:rPr>
          <w:rFonts w:ascii="Times New Roman;Times;Serif" w:hAnsi="Times New Roman;Times;Serif"/>
          <w:b/>
          <w:i/>
          <w:caps w:val="false"/>
          <w:smallCaps w:val="false"/>
          <w:sz w:val="20"/>
        </w:rPr>
        <w:t>Closing Date Warrant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Closing Date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Whereas</w:t>
      </w:r>
      <w:r>
        <w:rPr>
          <w:rFonts w:ascii="Times New Roman;Times;Serif" w:hAnsi="Times New Roman;Times;Serif"/>
          <w:b w:val="false"/>
          <w:i w:val="false"/>
          <w:caps w:val="false"/>
          <w:smallCaps w:val="false"/>
          <w:sz w:val="20"/>
        </w:rPr>
        <w:t xml:space="preserve">, pursuant to the Credit Agreement (as defined below), on the Second Amendment Effective Date, the Company issued to each Purchaser a warrant to purchase such number of shares of Common Stock (as defined below) as is set forth opposite such Purchaser’s name on </w:t>
      </w:r>
      <w:r>
        <w:rPr>
          <w:rFonts w:ascii="Times New Roman;Times;Serif" w:hAnsi="Times New Roman;Times;Serif"/>
          <w:b/>
          <w:i w:val="false"/>
          <w:caps w:val="false"/>
          <w:smallCaps w:val="false"/>
          <w:sz w:val="20"/>
        </w:rPr>
        <w:t>Schedule A</w:t>
      </w:r>
      <w:r>
        <w:rPr>
          <w:rFonts w:ascii="Times New Roman;Times;Serif" w:hAnsi="Times New Roman;Times;Serif"/>
          <w:b w:val="false"/>
          <w:i w:val="false"/>
          <w:caps w:val="false"/>
          <w:smallCaps w:val="false"/>
          <w:sz w:val="20"/>
        </w:rPr>
        <w:t xml:space="preserve"> hereto as the Shares Issuable Upon Exercise of Second Amendment Warrants (as such number may be adjusted pursuant to the terms of such warrant) (each, a “</w:t>
      </w:r>
      <w:r>
        <w:rPr>
          <w:rFonts w:ascii="Times New Roman;Times;Serif" w:hAnsi="Times New Roman;Times;Serif"/>
          <w:b/>
          <w:i/>
          <w:caps w:val="false"/>
          <w:smallCaps w:val="false"/>
          <w:sz w:val="20"/>
        </w:rPr>
        <w:t>Second Amendment Warrant</w:t>
      </w:r>
      <w:r>
        <w:rPr>
          <w:rFonts w:ascii="Times New Roman;Times;Serif" w:hAnsi="Times New Roman;Times;Serif"/>
          <w:b w:val="false"/>
          <w:i w:val="false"/>
          <w:caps w:val="false"/>
          <w:smallCaps w:val="false"/>
          <w:sz w:val="20"/>
        </w:rPr>
        <w:t>”, collectively, the “</w:t>
      </w:r>
      <w:r>
        <w:rPr>
          <w:rFonts w:ascii="Times New Roman;Times;Serif" w:hAnsi="Times New Roman;Times;Serif"/>
          <w:b/>
          <w:i/>
          <w:caps w:val="false"/>
          <w:smallCaps w:val="false"/>
          <w:sz w:val="20"/>
        </w:rPr>
        <w:t>Second Amendment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Whereas</w:t>
      </w:r>
      <w:r>
        <w:rPr>
          <w:rFonts w:ascii="Times New Roman;Times;Serif" w:hAnsi="Times New Roman;Times;Serif"/>
          <w:b w:val="false"/>
          <w:i w:val="false"/>
          <w:caps w:val="false"/>
          <w:smallCaps w:val="false"/>
          <w:sz w:val="20"/>
        </w:rPr>
        <w:t>, pursuant to the Credit Agreement (as defined below), on March 20, 2024 (the “</w:t>
      </w:r>
      <w:r>
        <w:rPr>
          <w:rFonts w:ascii="Times New Roman;Times;Serif" w:hAnsi="Times New Roman;Times;Serif"/>
          <w:b/>
          <w:i/>
          <w:caps w:val="false"/>
          <w:smallCaps w:val="false"/>
          <w:sz w:val="20"/>
        </w:rPr>
        <w:t>Fourth Amendment Effective Date</w:t>
      </w:r>
      <w:r>
        <w:rPr>
          <w:rFonts w:ascii="Times New Roman;Times;Serif" w:hAnsi="Times New Roman;Times;Serif"/>
          <w:b w:val="false"/>
          <w:i w:val="false"/>
          <w:caps w:val="false"/>
          <w:smallCaps w:val="false"/>
          <w:sz w:val="20"/>
        </w:rPr>
        <w:t xml:space="preserve">”), the Company issued to each Purchaser a warrant to purchase such number of shares of Common Stock (as defined below) as is set forth opposite such Purchaser’s name on </w:t>
      </w:r>
      <w:r>
        <w:rPr>
          <w:rFonts w:ascii="Times New Roman;Times;Serif" w:hAnsi="Times New Roman;Times;Serif"/>
          <w:b/>
          <w:i w:val="false"/>
          <w:caps w:val="false"/>
          <w:smallCaps w:val="false"/>
          <w:sz w:val="20"/>
        </w:rPr>
        <w:t>Schedule A</w:t>
      </w:r>
      <w:r>
        <w:rPr>
          <w:rFonts w:ascii="Times New Roman;Times;Serif" w:hAnsi="Times New Roman;Times;Serif"/>
          <w:b w:val="false"/>
          <w:i w:val="false"/>
          <w:caps w:val="false"/>
          <w:smallCaps w:val="false"/>
          <w:sz w:val="20"/>
        </w:rPr>
        <w:t xml:space="preserve"> hereto as the Shares Issuable Upon Exercise of Fourth Amendment Warrants (as such number may be adjusted pursuant to the terms of such warrant) (each, a “</w:t>
      </w:r>
      <w:r>
        <w:rPr>
          <w:rFonts w:ascii="Times New Roman;Times;Serif" w:hAnsi="Times New Roman;Times;Serif"/>
          <w:b/>
          <w:i/>
          <w:caps w:val="false"/>
          <w:smallCaps w:val="false"/>
          <w:sz w:val="20"/>
        </w:rPr>
        <w:t>Fourth Amendment Warrant</w:t>
      </w:r>
      <w:r>
        <w:rPr>
          <w:rFonts w:ascii="Times New Roman;Times;Serif" w:hAnsi="Times New Roman;Times;Serif"/>
          <w:b w:val="false"/>
          <w:i w:val="false"/>
          <w:caps w:val="false"/>
          <w:smallCaps w:val="false"/>
          <w:sz w:val="20"/>
        </w:rPr>
        <w:t>”, collectively, the “</w:t>
      </w:r>
      <w:r>
        <w:rPr>
          <w:rFonts w:ascii="Times New Roman;Times;Serif" w:hAnsi="Times New Roman;Times;Serif"/>
          <w:b/>
          <w:i/>
          <w:caps w:val="false"/>
          <w:smallCaps w:val="false"/>
          <w:sz w:val="20"/>
        </w:rPr>
        <w:t>Fourth Amendment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Whereas</w:t>
      </w:r>
      <w:r>
        <w:rPr>
          <w:rFonts w:ascii="Times New Roman;Times;Serif" w:hAnsi="Times New Roman;Times;Serif"/>
          <w:b w:val="false"/>
          <w:i w:val="false"/>
          <w:caps w:val="false"/>
          <w:smallCaps w:val="false"/>
          <w:sz w:val="20"/>
        </w:rPr>
        <w:t>, pursuant to the Credit Agreement (as defined below), on November 21, 2024 (the “</w:t>
      </w:r>
      <w:r>
        <w:rPr>
          <w:rFonts w:ascii="Times New Roman;Times;Serif" w:hAnsi="Times New Roman;Times;Serif"/>
          <w:b/>
          <w:i/>
          <w:caps w:val="false"/>
          <w:smallCaps w:val="false"/>
          <w:sz w:val="20"/>
        </w:rPr>
        <w:t>Fifth Amendment Equity Raise One Date</w:t>
      </w:r>
      <w:r>
        <w:rPr>
          <w:rFonts w:ascii="Times New Roman;Times;Serif" w:hAnsi="Times New Roman;Times;Serif"/>
          <w:b w:val="false"/>
          <w:i w:val="false"/>
          <w:caps w:val="false"/>
          <w:smallCaps w:val="false"/>
          <w:sz w:val="20"/>
        </w:rPr>
        <w:t xml:space="preserve">”), the Company will issue to each Purchaser a warrant to purchase such number of shares of Common Stock (as defined below) as is set forth opposite such Purchaser’s name on </w:t>
      </w:r>
      <w:r>
        <w:rPr>
          <w:rFonts w:ascii="Times New Roman;Times;Serif" w:hAnsi="Times New Roman;Times;Serif"/>
          <w:b/>
          <w:i w:val="false"/>
          <w:caps w:val="false"/>
          <w:smallCaps w:val="false"/>
          <w:sz w:val="20"/>
        </w:rPr>
        <w:t>Schedule A</w:t>
      </w:r>
      <w:r>
        <w:rPr>
          <w:rFonts w:ascii="Times New Roman;Times;Serif" w:hAnsi="Times New Roman;Times;Serif"/>
          <w:b w:val="false"/>
          <w:i w:val="false"/>
          <w:caps w:val="false"/>
          <w:smallCaps w:val="false"/>
          <w:sz w:val="20"/>
        </w:rPr>
        <w:t xml:space="preserve"> hereto as the Shares Issuable Upon Exercise of Fifth Amendment Warrants (as such number may be adjusted pursuant to the terms of such warrant) (each, a “</w:t>
      </w:r>
      <w:r>
        <w:rPr>
          <w:rFonts w:ascii="Times New Roman;Times;Serif" w:hAnsi="Times New Roman;Times;Serif"/>
          <w:b/>
          <w:i/>
          <w:caps w:val="false"/>
          <w:smallCaps w:val="false"/>
          <w:sz w:val="20"/>
        </w:rPr>
        <w:t>Fifth Amendment Warrant</w:t>
      </w:r>
      <w:r>
        <w:rPr>
          <w:rFonts w:ascii="Times New Roman;Times;Serif" w:hAnsi="Times New Roman;Times;Serif"/>
          <w:b w:val="false"/>
          <w:i w:val="false"/>
          <w:caps w:val="false"/>
          <w:smallCaps w:val="false"/>
          <w:sz w:val="20"/>
        </w:rPr>
        <w:t>”, collectively, the “</w:t>
      </w:r>
      <w:r>
        <w:rPr>
          <w:rFonts w:ascii="Times New Roman;Times;Serif" w:hAnsi="Times New Roman;Times;Serif"/>
          <w:b/>
          <w:i/>
          <w:caps w:val="false"/>
          <w:smallCaps w:val="false"/>
          <w:sz w:val="20"/>
        </w:rPr>
        <w:t>Fifth Amendment Warrants</w:t>
      </w:r>
      <w:r>
        <w:rPr>
          <w:rFonts w:ascii="Times New Roman;Times;Serif" w:hAnsi="Times New Roman;Times;Serif"/>
          <w:b w:val="false"/>
          <w:i w:val="false"/>
          <w:caps w:val="false"/>
          <w:smallCaps w:val="false"/>
          <w:sz w:val="20"/>
        </w:rPr>
        <w:t>” and together with the Closing Date Warrants, the Second Amendment Warrants and the Fourth Amendment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Whereas</w:t>
      </w:r>
      <w:r>
        <w:rPr>
          <w:rFonts w:ascii="Times New Roman;Times;Serif" w:hAnsi="Times New Roman;Times;Serif"/>
          <w:b w:val="false"/>
          <w:i w:val="false"/>
          <w:caps w:val="false"/>
          <w:smallCaps w:val="false"/>
          <w:sz w:val="20"/>
        </w:rPr>
        <w:t>, the Warrants will be exercisable for shares of Common Stock from time to time on or after the Closing Date, the Second Amendment Effective Date, the Fourth Amendment Effective Date or the Fifth Amendment Equity Raise One Date, as applicable, and on or prior to the close of business on the expiration date as specified in the Warrants, in accordance with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Whereas</w:t>
      </w:r>
      <w:r>
        <w:rPr>
          <w:rFonts w:ascii="Times New Roman;Times;Serif" w:hAnsi="Times New Roman;Times;Serif"/>
          <w:b w:val="false"/>
          <w:i w:val="false"/>
          <w:caps w:val="false"/>
          <w:smallCaps w:val="false"/>
          <w:sz w:val="20"/>
        </w:rPr>
        <w:t>, in connection with the execution and delivery of the Credit Agreement and the issuance of the Warrants and the consummation of the transactions contemplated thereby the Company has agreed to grant the Holders (as defined below) certain registration rights as set forth below;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Now, Therefore</w:t>
      </w:r>
      <w:r>
        <w:rPr>
          <w:rFonts w:ascii="Times New Roman;Times;Serif" w:hAnsi="Times New Roman;Times;Serif"/>
          <w:b w:val="false"/>
          <w:i w:val="false"/>
          <w:caps w:val="false"/>
          <w:smallCaps w:val="false"/>
          <w:sz w:val="20"/>
        </w:rPr>
        <w:t>, in consideration of the mutual promises and covenants herein contained, and other consideration, the receipt and adequacy of which is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u w:val="single"/>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Unless otherwise defined herein, capitalized terms used in this Agreement have the meanings ascribed to them in the Credit Agreement. As used in this Agreement, the following terms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Additional Shares</w:t>
      </w:r>
      <w:r>
        <w:rPr>
          <w:rFonts w:ascii="Times New Roman;Times;Serif" w:hAnsi="Times New Roman;Times;Serif"/>
          <w:b w:val="false"/>
          <w:i w:val="false"/>
          <w:caps w:val="false"/>
          <w:smallCaps w:val="false"/>
          <w:sz w:val="20"/>
        </w:rPr>
        <w:t>” means any shares of Common Stock issued to the Purchasers pursuant to a stock split, stock dividend or other distribution with respect to, or in exchange or in replacement of, the Underlying Shares, or in connection with a combination of shares, distribution, recapitalization, merger, consolidation, other reorganization or other similar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excluding Saturday, Sunday and any day which is a legal holiday in the City of New York or is a day on which banking institutions located in the City of New York are authorized or required by law or other governmental action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 an event or series of events (i) as a result of which any “person” or “group” (as such terms are used in Sections 13(d) and 14(d) of the Securities Act, but excluding any of such person or its Subsidiaries, and any Person acting in its capacity as trustee, agent or other fiduciary or administrator of any such Plan and excluding any Permitted Holder becomes the “beneficial owner”, directly or indirectly, of thirty-five percent (35%) or more of the Equity Interests of the Company entitled to vote for members of the Board of the Company on a fully-diluted basis (and taking into account all such Equity Interests that such person or group has the right to acquire pursuant to any Option Right); (ii) as a result of which any Permitted Holder or “group” (as such terms are used in Sections 13(d) and 14(d) of the Securities Act) including any Permitted Holder becomes the “beneficial owner”, directly or indirectly, of forty-five percent (45%) or more of the Equity Interests of the Company entitled to vote for members of the Board of the Company on a fully-diluted basis (and taking into account all such Equity Interests that such Permitted Holder or group has the right to acquire pursuant to any Option Right); (iii) that results in the sale of all or substantially all of the assets or businesses of the Company and its Subsidiaries, taken as a whole, or (iv) that results in the Company’s failure to own, directly or indirectly, beneficially and of record, one-hundred percent (100%) of all issued and outstanding Equity Interests of each Subsidiary Guarantor (other than, in the case of this clause (iv), as a result of any Asset Sale permitted by Section 9.09 of the Credit Agreement, liquidation or dissolution permitted by Section 9.03(b) of the Credit Agreement or any interest in or exercise of any 701 Warrant). For purposes of this definition, “beneficial owner” is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w:t>
      </w:r>
      <w:r>
        <w:rPr>
          <w:rFonts w:ascii="Times New Roman;Times;Serif" w:hAnsi="Times New Roman;Times;Serif"/>
          <w:b/>
          <w:i/>
          <w:caps w:val="false"/>
          <w:smallCaps w:val="false"/>
          <w:sz w:val="20"/>
        </w:rPr>
        <w:t>Option Right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Closing Date Warrant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Closing Date Warrants Shelf Effectiveness Deadline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Closing Date Warrants Shelf Registration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Closing Date Warrants Shelf 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Closing Date Warrants Subsequent Shelf Effectiveness Deadline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Closing Date Warrants Subsequent Shelf 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Closing Date Warrants Termination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shares of the common stock of the Company, par value $0.001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Company 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Controlling Person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has the meaning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 means that certain Credit Agreement and Guaranty (as may be amended or restated from time to time), dated as of April 19, 2022, and amended as of November 13, 2023, December 5, 2023, February 12, 2024, March 20, 2024 and November 21, 2024 by and among the Company, the subsidiaries of the Company party thereto as Guarantors, the lenders party thereto and Oaktree Fund Administration, LLC,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Effectiveness Deadline</w:t>
      </w:r>
      <w:r>
        <w:rPr>
          <w:rFonts w:ascii="Times New Roman;Times;Serif" w:hAnsi="Times New Roman;Times;Serif"/>
          <w:b w:val="false"/>
          <w:i w:val="false"/>
          <w:caps w:val="false"/>
          <w:smallCaps w:val="false"/>
          <w:sz w:val="20"/>
        </w:rPr>
        <w:t>” means the Shelf Effectiveness Deadline and the Subsequent Shelf Effectiveness Deadline.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End of Suspension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(t)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Fifth Amendment Equity Raise One Date</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(u)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Fifth Amendment Warrant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Fifth Amendment Warrants Shelf Effectiveness Deadline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2.1(d)(ii)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(w)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Fifth Amendment Warrants Shelf Registration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2.1(d)(i)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Fifth Amendment Warrants Shelf 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2.1(d)(i)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(y)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Fifth Amendment Warrants Subsequent Shelf Effectiveness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2.1(d)(ii)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(z)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Fifth Amendment Warrants Subsequent Shelf 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2.1(d)(ii)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Fifth Amendment Warrants Termination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2.1(d)(ii)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Fourth Amendment Effective Date</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Fourth Amendment Warrant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Fourth Amendment Warrants Shelf Effectiveness Deadline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2.1(c)(ii)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Fourth Amendment Warrants Shelf Registration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(ff)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Fourth Amendment Warrants Shelf 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Fourth Amendment Warrants Subsequent Shelf Effectiveness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2.1(c)(ii)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(hh)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Fourth Amendment Warrants Subsequent Shelf 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2.1(c)(ii)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Fourth Amendment Warrants Termination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2.1(c)(ii)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(jj)      </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(collectively, “</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 xml:space="preserve">”) means any Purchaser and any transferee permitted under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in each case, to the extent holding or beneficially owning Registrable Securities or Warrants exercisable for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(kk)      </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Holder Indemnified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(ll)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(mm)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Liquidated Damages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Option Right</w:t>
      </w:r>
      <w:r>
        <w:rPr>
          <w:rFonts w:ascii="Times New Roman;Times;Serif" w:hAnsi="Times New Roman;Times;Serif"/>
          <w:b w:val="false"/>
          <w:i w:val="false"/>
          <w:caps w:val="false"/>
          <w:smallCaps w:val="false"/>
          <w:sz w:val="20"/>
        </w:rPr>
        <w:t>” has the meaning set forth in the definition of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(oo)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caps w:val="false"/>
          <w:smallCaps w:val="false"/>
          <w:sz w:val="20"/>
          <w:shd w:fill="FFFFFF" w:val="clear"/>
        </w:rPr>
        <w:t>Person</w:t>
      </w:r>
      <w:r>
        <w:rPr>
          <w:rFonts w:ascii="Times New Roman;Times;Serif" w:hAnsi="Times New Roman;Times;Serif"/>
          <w:b w:val="false"/>
          <w:i w:val="false"/>
          <w:caps w:val="false"/>
          <w:smallCaps w:val="false"/>
          <w:sz w:val="20"/>
          <w:shd w:fill="FFFFFF" w:val="clear"/>
        </w:rPr>
        <w:t>” means any person, individual, corporation, limited liability company, partnership, trust or other nongovernmental entity or any governmental agency, court, authority or other body (whether foreign, federal, state, local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(pp)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means the prospectus or prospectuses (whether preliminary or final) included in any Registration Statement and relating to Registrable Securities, as amended or supplemented and including all material incorporated by reference in such prospectus or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(qq)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(rr)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refer to a registration effected by filing with the SEC a registration statement in compliance with the Securities Act, and the declaration or ordering by the SEC of the effectiveness of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xml:space="preserve">” means (i) the Underlying Shares, and (ii) any Additional Shares;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Underlying Shares or Additional Shares shall cease to be treated as Registrable Securities on the earliest to occur of, (A) the date such security has been disposed of pursuant to an effective registration statement, (B) the date on which such security is sold pursuant to Rule 144 or (C) the date on which the Holder thereof, together with its Affiliates, is able to dispose of all of its Registrable Securities without restriction or limitation pursuant to Rule 144 and without the requirement for the Company to be in compliance with Rule 144 (or any successor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(tt)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Registration Expenses</w:t>
      </w:r>
      <w:r>
        <w:rPr>
          <w:rFonts w:ascii="Times New Roman;Times;Serif" w:hAnsi="Times New Roman;Times;Serif"/>
          <w:b w:val="false"/>
          <w:i w:val="false"/>
          <w:caps w:val="false"/>
          <w:smallCaps w:val="false"/>
          <w:sz w:val="20"/>
        </w:rPr>
        <w:t>” means any and all expenses incident to the Company’s performance of or compliance with this Agreement, including without limitation: (i) all SEC registration and filing fees, (ii) all fees and expenses associated with filings to be made with, or the listing of any Registrable Securities on, any securities exchange or over-the-counter trading market on which the Registrable Securities are to be listed or quoted, (iii) all fees and expenses with respect to filings required to be made with an exchange or any securities industry self-regulatory body, (iv) all fees and expenses of compliance with securities or “blue sky” laws (including fees and disbursements of counsel for the Company in connection therewith), (v) all transfer agent’s and registrar’s fees, (vi) all fees and disbursements of counsel for the Company and customary fees and expenses for independent certified public accountants retained by the Company, (vii) securities acts liability insurance, if the Company so desires, (viii) all internal expenses of the Company (including, without limitation, all salaries and expenses of its officers and employees performing legal or accounting duties), (ix) the expense of any annual audit, and (x) the fees and expenses of any Person, including special experts, retained by the Company. “</w:t>
      </w:r>
      <w:r>
        <w:rPr>
          <w:rFonts w:ascii="Times New Roman;Times;Serif" w:hAnsi="Times New Roman;Times;Serif"/>
          <w:b/>
          <w:i/>
          <w:caps w:val="false"/>
          <w:smallCaps w:val="false"/>
          <w:sz w:val="20"/>
        </w:rPr>
        <w:t>Registration Expenses</w:t>
      </w:r>
      <w:r>
        <w:rPr>
          <w:rFonts w:ascii="Times New Roman;Times;Serif" w:hAnsi="Times New Roman;Times;Serif"/>
          <w:b w:val="false"/>
          <w:i w:val="false"/>
          <w:caps w:val="false"/>
          <w:smallCaps w:val="false"/>
          <w:sz w:val="20"/>
        </w:rPr>
        <w:t>” shall not include underwriting discounts or commissions attributable to the sale of the Registrable Securities or any legal fees and expenses of counsel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(uu)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means any registration statement of the Company under the Securities Act which covers any of the Registrable Securities pursuant to the provisions of this Agreement, including the Prospectus, all amendments and supplements to such Registration Statement, including post-effective amendments, all exhibits and all documents incorporated by reference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(vv)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means Rule 144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(ww)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Second Amendment Warrant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(yy)        </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Second Amendment Warrants Shelf Effectiveness Deadline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(zz)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Second Amendment Warrants Shelf Registration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(aaa)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Second Amendment Warrants Shelf 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(bbb)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Second Amendment Warrants Subsequent Shelf Effectiveness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(ccc)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Second Amendment Warrants Subsequent Shelf 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(ddd)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Second Amendment Warrants Termination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(eee)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 as the same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(fff)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Shelf Effectiveness Deadline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2.1(d)(ii)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(ggg)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Shelf 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2.1(d)(i)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(hhh)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Subsequent Shelf Effectiveness Deadline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2.1(d)(ii)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Subsequent Shelf Registration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2.1(d)(ii)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(jjj)      </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Suspension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(kkk)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Suspension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(lll)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 day on which the Common Stock is traded on a Trading Market or, if the Common Stock is not traded on a Trading Market, then on the principal securities exchange or securities market on which the Common Stock is then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(mmm)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Trading Market</w:t>
      </w:r>
      <w:r>
        <w:rPr>
          <w:rFonts w:ascii="Times New Roman;Times;Serif" w:hAnsi="Times New Roman;Times;Serif"/>
          <w:b w:val="false"/>
          <w:i w:val="false"/>
          <w:caps w:val="false"/>
          <w:smallCaps w:val="false"/>
          <w:sz w:val="20"/>
        </w:rPr>
        <w:t>” means any market or exchange of The Nasdaq Stock Market LLC or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(nnn)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Underlying Shares</w:t>
      </w:r>
      <w:r>
        <w:rPr>
          <w:rFonts w:ascii="Times New Roman;Times;Serif" w:hAnsi="Times New Roman;Times;Serif"/>
          <w:b w:val="false"/>
          <w:i w:val="false"/>
          <w:caps w:val="false"/>
          <w:smallCaps w:val="false"/>
          <w:sz w:val="20"/>
        </w:rPr>
        <w:t>” means any and all shares of Common Stock issuable upon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(ooo)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u w:val="single"/>
        </w:rPr>
        <w:br/>
        <w:t>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           </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Closing Date Warrants 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u w:val="single"/>
        </w:rPr>
        <w:t>Filing</w:t>
      </w:r>
      <w:r>
        <w:rPr>
          <w:rFonts w:ascii="Times New Roman;Times;Serif" w:hAnsi="Times New Roman;Times;Serif"/>
          <w:b w:val="false"/>
          <w:i w:val="false"/>
          <w:caps w:val="false"/>
          <w:smallCaps w:val="false"/>
          <w:sz w:val="20"/>
        </w:rPr>
        <w:t>. Within 45 days following the Closing Date, the Company shall file with the SEC a Registration Statement on Form S-3 (unless the Company is ineligible to register for resale the Registrable Securities on Form S-3, in which case such registration shall be on another appropriate form) or the then appropriate form for an offering to be made on a delayed or continuous basis pursuant to Rule 415 under the Securities Act or any successor rule thereto (a “</w:t>
      </w:r>
      <w:r>
        <w:rPr>
          <w:rFonts w:ascii="Times New Roman;Times;Serif" w:hAnsi="Times New Roman;Times;Serif"/>
          <w:b/>
          <w:i/>
          <w:caps w:val="false"/>
          <w:smallCaps w:val="false"/>
          <w:sz w:val="20"/>
        </w:rPr>
        <w:t>Closing Date Warrants Shelf Registration Statement</w:t>
      </w:r>
      <w:r>
        <w:rPr>
          <w:rFonts w:ascii="Times New Roman;Times;Serif" w:hAnsi="Times New Roman;Times;Serif"/>
          <w:b w:val="false"/>
          <w:i w:val="false"/>
          <w:caps w:val="false"/>
          <w:smallCaps w:val="false"/>
          <w:sz w:val="20"/>
        </w:rPr>
        <w:t>”) pursuant to which all of the Registrable Securities associated with the Closing Date Warrants shall be included (on the initial filing or by supplement or amendment thereto) to enable the public resale of such Registrable Securities on a delayed or continuous basis pursuant to Rule 415 under the Securities Act or any successor rule thereto (a “</w:t>
      </w:r>
      <w:r>
        <w:rPr>
          <w:rFonts w:ascii="Times New Roman;Times;Serif" w:hAnsi="Times New Roman;Times;Serif"/>
          <w:b/>
          <w:i/>
          <w:caps w:val="false"/>
          <w:smallCaps w:val="false"/>
          <w:sz w:val="20"/>
        </w:rPr>
        <w:t>Closing Date Warrants Shelf Registration</w:t>
      </w:r>
      <w:r>
        <w:rPr>
          <w:rFonts w:ascii="Times New Roman;Times;Serif" w:hAnsi="Times New Roman;Times;Serif"/>
          <w:b w:val="false"/>
          <w:i w:val="false"/>
          <w:caps w:val="false"/>
          <w:smallCaps w:val="false"/>
          <w:sz w:val="20"/>
        </w:rPr>
        <w:t>”). If permitted under the Securities Act, such Closing Date Warrants Shelf Registration Statement shall be an “automatic shelf registration statement” as defined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xml:space="preserve">. The Company shall use its reasonable best efforts to (A) cause the Closing Date Warrants Shelf Registration Statement filed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to be declared effective by the SEC as soon as reasonably practicable, and in any event by the date that is the earlier of (1) 120 days following the Closing Date and (2) five Trading Days after the date the Company receives written notification from the SEC that the Closing Date Warrants Shelf Registration will not be reviewed (the “</w:t>
      </w:r>
      <w:r>
        <w:rPr>
          <w:rFonts w:ascii="Times New Roman;Times;Serif" w:hAnsi="Times New Roman;Times;Serif"/>
          <w:b/>
          <w:i/>
          <w:caps w:val="false"/>
          <w:smallCaps w:val="false"/>
          <w:sz w:val="20"/>
        </w:rPr>
        <w:t>Closing Date Warrants Shelf Effectiveness Deadline</w:t>
      </w:r>
      <w:r>
        <w:rPr>
          <w:rFonts w:ascii="Times New Roman;Times;Serif" w:hAnsi="Times New Roman;Times;Serif"/>
          <w:b w:val="false"/>
          <w:i w:val="false"/>
          <w:caps w:val="false"/>
          <w:smallCaps w:val="false"/>
          <w:sz w:val="20"/>
        </w:rPr>
        <w:t>”) and (B) maintain the effectiveness of such Closing Date Warrants Shelf Registration Statement, including by filing any necessary post-effective amendments and Prospectus supplements and by filing one or more replacement or renewal Closing Date Warrants Shelf Registration Statements (each, a “</w:t>
      </w:r>
      <w:r>
        <w:rPr>
          <w:rFonts w:ascii="Times New Roman;Times;Serif" w:hAnsi="Times New Roman;Times;Serif"/>
          <w:b/>
          <w:i/>
          <w:caps w:val="false"/>
          <w:smallCaps w:val="false"/>
          <w:sz w:val="20"/>
        </w:rPr>
        <w:t>Closing Date Warrants Subsequent Shelf Registration Statement</w:t>
      </w:r>
      <w:r>
        <w:rPr>
          <w:rFonts w:ascii="Times New Roman;Times;Serif" w:hAnsi="Times New Roman;Times;Serif"/>
          <w:b w:val="false"/>
          <w:i w:val="false"/>
          <w:caps w:val="false"/>
          <w:smallCaps w:val="false"/>
          <w:sz w:val="20"/>
        </w:rPr>
        <w:t>”) upon the expiration of such Closing Date Warrants Shelf Registration Statement, if required by Rule 415 under the Securities Act, continuously until the earliest to occur of (1) the 30-month anniversary of the Closing Date, (2) a Change of Control and (3) such time as there are no Registrable Securities remaining or issuable upon exercise of the Closing Date Warrants (the “</w:t>
      </w:r>
      <w:r>
        <w:rPr>
          <w:rFonts w:ascii="Times New Roman;Times;Serif" w:hAnsi="Times New Roman;Times;Serif"/>
          <w:b/>
          <w:i/>
          <w:caps w:val="false"/>
          <w:smallCaps w:val="false"/>
          <w:sz w:val="20"/>
        </w:rPr>
        <w:t>Closing Date Warrants Termination Date</w:t>
      </w:r>
      <w:r>
        <w:rPr>
          <w:rFonts w:ascii="Times New Roman;Times;Serif" w:hAnsi="Times New Roman;Times;Serif"/>
          <w:b w:val="false"/>
          <w:i w:val="false"/>
          <w:caps w:val="false"/>
          <w:smallCaps w:val="false"/>
          <w:sz w:val="20"/>
        </w:rPr>
        <w:t>”). If a Closing Date Warrants Subsequent Shelf Registration Statement is filed, the Company shall use its reasonable best efforts to (x) cause such Closing Date Warrants Subsequent Shelf Registration Statement to be declared effective by the SEC as soon as reasonably practicable after such filing, but in any event by the date that is fifty (50) days after such Closing Date Warrants Subsequent Shelf Registration Statement is filed (the “</w:t>
      </w:r>
      <w:r>
        <w:rPr>
          <w:rFonts w:ascii="Times New Roman;Times;Serif" w:hAnsi="Times New Roman;Times;Serif"/>
          <w:b/>
          <w:i/>
          <w:caps w:val="false"/>
          <w:smallCaps w:val="false"/>
          <w:sz w:val="20"/>
        </w:rPr>
        <w:t>Closing Date Warrants Subsequent Shelf Effectiveness Deadline</w:t>
      </w:r>
      <w:r>
        <w:rPr>
          <w:rFonts w:ascii="Times New Roman;Times;Serif" w:hAnsi="Times New Roman;Times;Serif"/>
          <w:b w:val="false"/>
          <w:i w:val="false"/>
          <w:caps w:val="false"/>
          <w:smallCaps w:val="false"/>
          <w:sz w:val="20"/>
        </w:rPr>
        <w:t>”), and (y) keep such Closing Date Warrants Subsequent Shelf Registration Statement (or another Closing Date Warrants Subsequent Shelf Registration Statement) continuously effective until the Closing Date Warrants Termination Date. Any Closing Date Warrants Subsequent Shelf Registration Statement shall be a Closing Date Warrants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Second Amendment Warrants 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u w:val="single"/>
        </w:rPr>
        <w:t>Filing</w:t>
      </w:r>
      <w:r>
        <w:rPr>
          <w:rFonts w:ascii="Times New Roman;Times;Serif" w:hAnsi="Times New Roman;Times;Serif"/>
          <w:b w:val="false"/>
          <w:i w:val="false"/>
          <w:caps w:val="false"/>
          <w:smallCaps w:val="false"/>
          <w:sz w:val="20"/>
        </w:rPr>
        <w:t>. Within 45 days following the Second Amendment Effective Date, the Company shall file with the SEC a new Registration Statement or an amendment to an effective Registration Statement on Form S-3 (unless the Company is ineligible to register for resale the Registrable Securities on Form S-3, in which case such registration shall be on another appropriate form) or the then appropriate form for an offering to be made on a delayed or continuous basis pursuant to Rule 415 under the Securities Act or any successor rule thereto (a “</w:t>
      </w:r>
      <w:r>
        <w:rPr>
          <w:rFonts w:ascii="Times New Roman;Times;Serif" w:hAnsi="Times New Roman;Times;Serif"/>
          <w:b/>
          <w:i/>
          <w:caps w:val="false"/>
          <w:smallCaps w:val="false"/>
          <w:sz w:val="20"/>
        </w:rPr>
        <w:t>Second Amendment Warrants Shelf Registration Statement</w:t>
      </w:r>
      <w:r>
        <w:rPr>
          <w:rFonts w:ascii="Times New Roman;Times;Serif" w:hAnsi="Times New Roman;Times;Serif"/>
          <w:b w:val="false"/>
          <w:i w:val="false"/>
          <w:caps w:val="false"/>
          <w:smallCaps w:val="false"/>
          <w:sz w:val="20"/>
        </w:rPr>
        <w:t>”) pursuant to which all of the Registrable Securities associated with the Second Amendment Warrants shall be included (on the initial filing or by supplement or amendment thereto) to enable the public resale of such Registrable Securities on a delayed or continuous basis pursuant to Rule 415 under the Securities Act or any successor rule thereto (a “</w:t>
      </w:r>
      <w:r>
        <w:rPr>
          <w:rFonts w:ascii="Times New Roman;Times;Serif" w:hAnsi="Times New Roman;Times;Serif"/>
          <w:b/>
          <w:i/>
          <w:caps w:val="false"/>
          <w:smallCaps w:val="false"/>
          <w:sz w:val="20"/>
        </w:rPr>
        <w:t>Second Amendment Warrants Shelf Registration</w:t>
      </w:r>
      <w:r>
        <w:rPr>
          <w:rFonts w:ascii="Times New Roman;Times;Serif" w:hAnsi="Times New Roman;Times;Serif"/>
          <w:b w:val="false"/>
          <w:i w:val="false"/>
          <w:caps w:val="false"/>
          <w:smallCaps w:val="false"/>
          <w:sz w:val="20"/>
        </w:rPr>
        <w:t>”). If permitted under the Securities Act, such Second Amendment Warrants Shelf Registration Statement shall be an “automatic shelf registration statement” as defined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xml:space="preserve">. The Company shall use its reasonable best efforts to (A) cause the Second Amendment Warrants Shelf Registration Statement filed pursuant to </w:t>
      </w:r>
      <w:r>
        <w:rPr>
          <w:rFonts w:ascii="Times New Roman;Times;Serif" w:hAnsi="Times New Roman;Times;Serif"/>
          <w:b w:val="false"/>
          <w:i w:val="false"/>
          <w:caps w:val="false"/>
          <w:smallCaps w:val="false"/>
          <w:sz w:val="20"/>
          <w:u w:val="single"/>
        </w:rPr>
        <w:t>Section 2.1(b)(i)</w:t>
      </w:r>
      <w:r>
        <w:rPr>
          <w:rFonts w:ascii="Times New Roman;Times;Serif" w:hAnsi="Times New Roman;Times;Serif"/>
          <w:b w:val="false"/>
          <w:i w:val="false"/>
          <w:caps w:val="false"/>
          <w:smallCaps w:val="false"/>
          <w:sz w:val="20"/>
        </w:rPr>
        <w:t> to be declared effective by the SEC as soon as reasonably practicable, and in any event by the date that is the earlier of (1) 120 days following the Second Amendment and (2) five Trading Days after the date the Company receives written notification from the SEC that the Second Amendment Warrants Shelf Registration will not be reviewed (the “</w:t>
      </w:r>
      <w:r>
        <w:rPr>
          <w:rFonts w:ascii="Times New Roman;Times;Serif" w:hAnsi="Times New Roman;Times;Serif"/>
          <w:b/>
          <w:i/>
          <w:caps w:val="false"/>
          <w:smallCaps w:val="false"/>
          <w:sz w:val="20"/>
        </w:rPr>
        <w:t>Second Amendment Warrants Shelf Effectiveness Deadline</w:t>
      </w:r>
      <w:r>
        <w:rPr>
          <w:rFonts w:ascii="Times New Roman;Times;Serif" w:hAnsi="Times New Roman;Times;Serif"/>
          <w:b w:val="false"/>
          <w:i w:val="false"/>
          <w:caps w:val="false"/>
          <w:smallCaps w:val="false"/>
          <w:sz w:val="20"/>
        </w:rPr>
        <w:t>”) and (B) maintain the effectiveness of such Second Amendment Warrants Shelf Registration Statement, including by filing any necessary post-effective amendments and Prospectus supplements and by filing one or more replacement or renewal Second Amendment Warrants Shelf Registration Statements (each, a “</w:t>
      </w:r>
      <w:r>
        <w:rPr>
          <w:rFonts w:ascii="Times New Roman;Times;Serif" w:hAnsi="Times New Roman;Times;Serif"/>
          <w:b/>
          <w:i/>
          <w:caps w:val="false"/>
          <w:smallCaps w:val="false"/>
          <w:sz w:val="20"/>
        </w:rPr>
        <w:t>Second Amendment Warrants Subsequent Shelf Registration Statement</w:t>
      </w:r>
      <w:r>
        <w:rPr>
          <w:rFonts w:ascii="Times New Roman;Times;Serif" w:hAnsi="Times New Roman;Times;Serif"/>
          <w:b w:val="false"/>
          <w:i w:val="false"/>
          <w:caps w:val="false"/>
          <w:smallCaps w:val="false"/>
          <w:sz w:val="20"/>
        </w:rPr>
        <w:t>”) upon the expiration of such Second Amendment Warrants Shelf Registration Statement, if required by Rule 415 under the Securities Act, continuously until the earliest to occur of (1) the 30-month anniversary of the Second Amendment Effective Date, (2) a Change of Control and (3) such time as there are no Registrable Securities remaining or issuable upon exercise of the Second Amendment Warrants (the “</w:t>
      </w:r>
      <w:r>
        <w:rPr>
          <w:rFonts w:ascii="Times New Roman;Times;Serif" w:hAnsi="Times New Roman;Times;Serif"/>
          <w:b/>
          <w:i/>
          <w:caps w:val="false"/>
          <w:smallCaps w:val="false"/>
          <w:sz w:val="20"/>
        </w:rPr>
        <w:t>Second Amendment Warrants Termination Date</w:t>
      </w:r>
      <w:r>
        <w:rPr>
          <w:rFonts w:ascii="Times New Roman;Times;Serif" w:hAnsi="Times New Roman;Times;Serif"/>
          <w:b w:val="false"/>
          <w:i w:val="false"/>
          <w:caps w:val="false"/>
          <w:smallCaps w:val="false"/>
          <w:sz w:val="20"/>
        </w:rPr>
        <w:t>”). If a Second Amendment Warrants Subsequent Shelf Registration Statement is filed, the Company shall use its reasonable best efforts to (x) cause such Second Amendment Warrants Subsequent Shelf Registration Statement to be declared effective by the SEC as soon as reasonably practicable after such filing, but in any event by the date that is fifty (50) days after such Second Amendment Warrants Subsequent Shelf Registration Statement is filed (the “</w:t>
      </w:r>
      <w:r>
        <w:rPr>
          <w:rFonts w:ascii="Times New Roman;Times;Serif" w:hAnsi="Times New Roman;Times;Serif"/>
          <w:b/>
          <w:i/>
          <w:caps w:val="false"/>
          <w:smallCaps w:val="false"/>
          <w:sz w:val="20"/>
        </w:rPr>
        <w:t>Second Amendment Warrants Subsequent Shelf Effectiveness Deadline</w:t>
      </w:r>
      <w:r>
        <w:rPr>
          <w:rFonts w:ascii="Times New Roman;Times;Serif" w:hAnsi="Times New Roman;Times;Serif"/>
          <w:b w:val="false"/>
          <w:i w:val="false"/>
          <w:caps w:val="false"/>
          <w:smallCaps w:val="false"/>
          <w:sz w:val="20"/>
        </w:rPr>
        <w:t>”), and (y) keep such Second Amendment Warrants Subsequent Shelf Registration Statement (or another Second Amendment Warrants Subsequent Shelf Registration Statement) continuously effective until the Second Amendment Warrants Termination Date. Any Second Amendment Warrants Subsequent Shelf Registration Statement shall be a Second Amendment Warrants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Fourth Amendment Warrants 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u w:val="single"/>
        </w:rPr>
        <w:t>Filing</w:t>
      </w:r>
      <w:r>
        <w:rPr>
          <w:rFonts w:ascii="Times New Roman;Times;Serif" w:hAnsi="Times New Roman;Times;Serif"/>
          <w:b w:val="false"/>
          <w:i w:val="false"/>
          <w:caps w:val="false"/>
          <w:smallCaps w:val="false"/>
          <w:sz w:val="20"/>
        </w:rPr>
        <w:t>. Within 45 days following the Fourth Amendment Effective Date, the Company shall file with the SEC a new Registration Statement or an amendment to an effective Registration Statement on Form S-3 (unless the Company is ineligible to register for resale the Registrable Securities on Form S-3, in which case such registration shall be on another appropriate form) or the then appropriate form for an offering to be made on a delayed or continuous basis pursuant to Rule 415 under the Securities Act or any successor rule thereto (a “</w:t>
      </w:r>
      <w:r>
        <w:rPr>
          <w:rFonts w:ascii="Times New Roman;Times;Serif" w:hAnsi="Times New Roman;Times;Serif"/>
          <w:b/>
          <w:i/>
          <w:caps w:val="false"/>
          <w:smallCaps w:val="false"/>
          <w:sz w:val="20"/>
        </w:rPr>
        <w:t>Fourth Amendment Warrants Shelf Registration Statement</w:t>
      </w:r>
      <w:r>
        <w:rPr>
          <w:rFonts w:ascii="Times New Roman;Times;Serif" w:hAnsi="Times New Roman;Times;Serif"/>
          <w:b w:val="false"/>
          <w:i w:val="false"/>
          <w:caps w:val="false"/>
          <w:smallCaps w:val="false"/>
          <w:sz w:val="20"/>
        </w:rPr>
        <w:t>”) pursuant to which all of the Registrable Securities associated with the Fourth Amendment Warrants shall be included (on the initial filing or by supplement or amendment thereto) to enable the public resale of such Registrable Securities on a delayed or continuous basis pursuant to Rule 415 under the Securities Act or any successor rule thereto (a “</w:t>
      </w:r>
      <w:r>
        <w:rPr>
          <w:rFonts w:ascii="Times New Roman;Times;Serif" w:hAnsi="Times New Roman;Times;Serif"/>
          <w:b/>
          <w:i/>
          <w:caps w:val="false"/>
          <w:smallCaps w:val="false"/>
          <w:sz w:val="20"/>
        </w:rPr>
        <w:t>Fourth Amendment Warrants Shelf Registration</w:t>
      </w:r>
      <w:r>
        <w:rPr>
          <w:rFonts w:ascii="Times New Roman;Times;Serif" w:hAnsi="Times New Roman;Times;Serif"/>
          <w:b w:val="false"/>
          <w:i w:val="false"/>
          <w:caps w:val="false"/>
          <w:smallCaps w:val="false"/>
          <w:sz w:val="20"/>
        </w:rPr>
        <w:t>”). If permitted under the Securities Act, such Fourth Amendment Warrants Shelf Registration Statement shall be an “automatic shelf registration statement” as defined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xml:space="preserve">. The Company shall use its reasonable best efforts to (A) cause the Fourth Amendment Warrants Shelf Registration Statement filed pursuant to </w:t>
      </w:r>
      <w:r>
        <w:rPr>
          <w:rFonts w:ascii="Times New Roman;Times;Serif" w:hAnsi="Times New Roman;Times;Serif"/>
          <w:b w:val="false"/>
          <w:i w:val="false"/>
          <w:caps w:val="false"/>
          <w:smallCaps w:val="false"/>
          <w:sz w:val="20"/>
          <w:u w:val="single"/>
        </w:rPr>
        <w:t>Section 2.1(c)(i)</w:t>
      </w:r>
      <w:r>
        <w:rPr>
          <w:rFonts w:ascii="Times New Roman;Times;Serif" w:hAnsi="Times New Roman;Times;Serif"/>
          <w:b w:val="false"/>
          <w:i w:val="false"/>
          <w:caps w:val="false"/>
          <w:smallCaps w:val="false"/>
          <w:sz w:val="20"/>
        </w:rPr>
        <w:t> to be declared effective by the SEC as soon as reasonably practicable, and in any event by the date that is the earlier of (1) 120 days following the Fourth Amendment Effective Date and (2) five Trading Days after the date the Company receives written notification from the SEC that the Fourth Amendment Warrants Shelf Registration will not be reviewed (the “</w:t>
      </w:r>
      <w:r>
        <w:rPr>
          <w:rFonts w:ascii="Times New Roman;Times;Serif" w:hAnsi="Times New Roman;Times;Serif"/>
          <w:b/>
          <w:i/>
          <w:caps w:val="false"/>
          <w:smallCaps w:val="false"/>
          <w:sz w:val="20"/>
        </w:rPr>
        <w:t>Fourth Amendment Warrants Shelf Effectiveness Deadline</w:t>
      </w:r>
      <w:r>
        <w:rPr>
          <w:rFonts w:ascii="Times New Roman;Times;Serif" w:hAnsi="Times New Roman;Times;Serif"/>
          <w:b w:val="false"/>
          <w:i w:val="false"/>
          <w:caps w:val="false"/>
          <w:smallCaps w:val="false"/>
          <w:sz w:val="20"/>
        </w:rPr>
        <w:t>”) and (B) maintain the effectiveness of such Fourth Amendment Warrants Shelf Registration Statement, including by filing any necessary post-effective amendments and Prospectus supplements and by filing one or more replacement or renewal Fourth Amendment Warrants Shelf Registration Statements (each, a “</w:t>
      </w:r>
      <w:r>
        <w:rPr>
          <w:rFonts w:ascii="Times New Roman;Times;Serif" w:hAnsi="Times New Roman;Times;Serif"/>
          <w:b/>
          <w:i/>
          <w:caps w:val="false"/>
          <w:smallCaps w:val="false"/>
          <w:sz w:val="20"/>
        </w:rPr>
        <w:t>Fourth Amendment Warrants Subsequent Shelf Registration Statement</w:t>
      </w:r>
      <w:r>
        <w:rPr>
          <w:rFonts w:ascii="Times New Roman;Times;Serif" w:hAnsi="Times New Roman;Times;Serif"/>
          <w:b w:val="false"/>
          <w:i w:val="false"/>
          <w:caps w:val="false"/>
          <w:smallCaps w:val="false"/>
          <w:sz w:val="20"/>
        </w:rPr>
        <w:t>”) upon the expiration of such Fourth Amendment Warrants Shelf Registration Statement, if required by Rule 415 under the Securities Act, continuously until the earliest to occur of (1) the 30-month anniversary of the Fourth Amendment Effective Date, (2) a Change of Control and (3) such time as there are no Registrable Securities remaining or issuable upon exercise of the Fourth Amendment Warrants (the “</w:t>
      </w:r>
      <w:r>
        <w:rPr>
          <w:rFonts w:ascii="Times New Roman;Times;Serif" w:hAnsi="Times New Roman;Times;Serif"/>
          <w:b/>
          <w:i/>
          <w:caps w:val="false"/>
          <w:smallCaps w:val="false"/>
          <w:sz w:val="20"/>
        </w:rPr>
        <w:t>Fourth Amendment Warrants Termination Date</w:t>
      </w:r>
      <w:r>
        <w:rPr>
          <w:rFonts w:ascii="Times New Roman;Times;Serif" w:hAnsi="Times New Roman;Times;Serif"/>
          <w:b w:val="false"/>
          <w:i w:val="false"/>
          <w:caps w:val="false"/>
          <w:smallCaps w:val="false"/>
          <w:sz w:val="20"/>
        </w:rPr>
        <w:t>”). If a Fourth Amendment Warrants Subsequent Shelf Registration Statement is filed, the Company shall use its reasonable best efforts to (x) cause such Fourth Amendment Warrants Subsequent Shelf Registration Statement to be declared effective by the SEC as soon as reasonably practicable after such filing, but in any event by the date that is fifty (50) days after such Fourth Amendment Warrants Subsequent Shelf Registration Statement is filed (the “</w:t>
      </w:r>
      <w:r>
        <w:rPr>
          <w:rFonts w:ascii="Times New Roman;Times;Serif" w:hAnsi="Times New Roman;Times;Serif"/>
          <w:b/>
          <w:i/>
          <w:caps w:val="false"/>
          <w:smallCaps w:val="false"/>
          <w:sz w:val="20"/>
        </w:rPr>
        <w:t>Fourth Amendment Warrants Subsequent Shelf Effectiveness Deadline</w:t>
      </w:r>
      <w:r>
        <w:rPr>
          <w:rFonts w:ascii="Times New Roman;Times;Serif" w:hAnsi="Times New Roman;Times;Serif"/>
          <w:b w:val="false"/>
          <w:i w:val="false"/>
          <w:caps w:val="false"/>
          <w:smallCaps w:val="false"/>
          <w:sz w:val="20"/>
        </w:rPr>
        <w:t>”), and (y) keep such Fourth Amendment Warrants Subsequent Shelf Registration Statement (or another Fourth Amendment Warrants Subsequent Shelf Registration Statement) continuously effective until the Fourth Amendment Warrants Termination Date. Any Fourth Amendment Warrants Subsequent Shelf Registration Statement shall be a Fourth Amendment Warrants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Fifth Amendment Warrants 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u w:val="single"/>
        </w:rPr>
        <w:t>Filing</w:t>
      </w:r>
      <w:r>
        <w:rPr>
          <w:rFonts w:ascii="Times New Roman;Times;Serif" w:hAnsi="Times New Roman;Times;Serif"/>
          <w:b w:val="false"/>
          <w:i w:val="false"/>
          <w:caps w:val="false"/>
          <w:smallCaps w:val="false"/>
          <w:sz w:val="20"/>
        </w:rPr>
        <w:t>. Within 45 days following the Fifth Amendment Equity Raise One Date, the Company shall file with the SEC a new Registration Statement or an amendment to an effective Registration Statement on Form S-3 (unless the Company is ineligible to register for resale the Registrable Securities on Form S-3, in which case such registration shall be on another appropriate form) or the then appropriate form for an offering to be made on a delayed or continuous basis pursuant to Rule 415 under the Securities Act or any successor rule thereto (a “</w:t>
      </w:r>
      <w:r>
        <w:rPr>
          <w:rFonts w:ascii="Times New Roman;Times;Serif" w:hAnsi="Times New Roman;Times;Serif"/>
          <w:b/>
          <w:i/>
          <w:caps w:val="false"/>
          <w:smallCaps w:val="false"/>
          <w:sz w:val="20"/>
        </w:rPr>
        <w:t>Fifth Amendment Warrants Shelf Registration Statement</w:t>
      </w:r>
      <w:r>
        <w:rPr>
          <w:rFonts w:ascii="Times New Roman;Times;Serif" w:hAnsi="Times New Roman;Times;Serif"/>
          <w:b w:val="false"/>
          <w:i w:val="false"/>
          <w:caps w:val="false"/>
          <w:smallCaps w:val="false"/>
          <w:sz w:val="20"/>
        </w:rPr>
        <w:t>” and together with the Closing Date Warrants Shelf Registration Statements, the Second Amendment Warrants Shelf Registration Statement and the Fourth Amendment Warrants Shelf Registration Statement, a “</w:t>
      </w:r>
      <w:r>
        <w:rPr>
          <w:rFonts w:ascii="Times New Roman;Times;Serif" w:hAnsi="Times New Roman;Times;Serif"/>
          <w:b/>
          <w:i/>
          <w:caps w:val="false"/>
          <w:smallCaps w:val="false"/>
          <w:sz w:val="20"/>
        </w:rPr>
        <w:t>Shelf Registration Statement</w:t>
      </w:r>
      <w:r>
        <w:rPr>
          <w:rFonts w:ascii="Times New Roman;Times;Serif" w:hAnsi="Times New Roman;Times;Serif"/>
          <w:b w:val="false"/>
          <w:i w:val="false"/>
          <w:caps w:val="false"/>
          <w:smallCaps w:val="false"/>
          <w:sz w:val="20"/>
        </w:rPr>
        <w:t>”) pursuant to which all of the Registrable Securities associated with the Fifth Amendment Warrants shall be included (on the initial filing or by supplement or amendment thereto) to enable the public resale of such Registrable Securities on a delayed or continuous basis pursuant to Rule 415 under the Securities Act or any successor rule thereto (a “</w:t>
      </w:r>
      <w:r>
        <w:rPr>
          <w:rFonts w:ascii="Times New Roman;Times;Serif" w:hAnsi="Times New Roman;Times;Serif"/>
          <w:b/>
          <w:i/>
          <w:caps w:val="false"/>
          <w:smallCaps w:val="false"/>
          <w:sz w:val="20"/>
        </w:rPr>
        <w:t>Fifth Amendment Warrants Shelf Registration</w:t>
      </w:r>
      <w:r>
        <w:rPr>
          <w:rFonts w:ascii="Times New Roman;Times;Serif" w:hAnsi="Times New Roman;Times;Serif"/>
          <w:b w:val="false"/>
          <w:i w:val="false"/>
          <w:caps w:val="false"/>
          <w:smallCaps w:val="false"/>
          <w:sz w:val="20"/>
        </w:rPr>
        <w:t>”). If permitted under the Securities Act, such Fifth Amendment Warrants Shelf Registration Statement shall be an “automatic shelf registration statement” as defined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xml:space="preserve">. The Company shall use its reasonable best efforts to (A) cause the Fifth Amendment Warrants Shelf Registration Statement filed pursuant to </w:t>
      </w:r>
      <w:r>
        <w:rPr>
          <w:rFonts w:ascii="Times New Roman;Times;Serif" w:hAnsi="Times New Roman;Times;Serif"/>
          <w:b w:val="false"/>
          <w:i w:val="false"/>
          <w:caps w:val="false"/>
          <w:smallCaps w:val="false"/>
          <w:sz w:val="20"/>
          <w:u w:val="single"/>
        </w:rPr>
        <w:t>Section 2.1(d)(i)</w:t>
      </w:r>
      <w:r>
        <w:rPr>
          <w:rFonts w:ascii="Times New Roman;Times;Serif" w:hAnsi="Times New Roman;Times;Serif"/>
          <w:b w:val="false"/>
          <w:i w:val="false"/>
          <w:caps w:val="false"/>
          <w:smallCaps w:val="false"/>
          <w:sz w:val="20"/>
        </w:rPr>
        <w:t> to be declared effective by the SEC as soon as reasonably practicable, and in any event by the date that is the earlier of (1) 120 days following the Fifth Amendment Equity Raise One Date and (2) five Trading Days after the date the Company receives written notification from the SEC that the Fifth Amendment Warrants Shelf Registration will not be reviewed (the “</w:t>
      </w:r>
      <w:r>
        <w:rPr>
          <w:rFonts w:ascii="Times New Roman;Times;Serif" w:hAnsi="Times New Roman;Times;Serif"/>
          <w:b/>
          <w:i/>
          <w:caps w:val="false"/>
          <w:smallCaps w:val="false"/>
          <w:sz w:val="20"/>
        </w:rPr>
        <w:t>Fifth Amendment Warrants Shelf Effectiveness Deadline</w:t>
      </w:r>
      <w:r>
        <w:rPr>
          <w:rFonts w:ascii="Times New Roman;Times;Serif" w:hAnsi="Times New Roman;Times;Serif"/>
          <w:b w:val="false"/>
          <w:i w:val="false"/>
          <w:caps w:val="false"/>
          <w:smallCaps w:val="false"/>
          <w:sz w:val="20"/>
        </w:rPr>
        <w:t>” and together with the Closing Date Warrants Shelf Effectiveness Deadline, the Second Amendment Warrants Shelf Effectiveness Deadline and the Fourth Amendment Warrants Shelf Effectiveness Deadline, the “</w:t>
      </w:r>
      <w:r>
        <w:rPr>
          <w:rFonts w:ascii="Times New Roman;Times;Serif" w:hAnsi="Times New Roman;Times;Serif"/>
          <w:b/>
          <w:i/>
          <w:caps w:val="false"/>
          <w:smallCaps w:val="false"/>
          <w:sz w:val="20"/>
        </w:rPr>
        <w:t>Shelf Effectiveness Deadline</w:t>
      </w:r>
      <w:r>
        <w:rPr>
          <w:rFonts w:ascii="Times New Roman;Times;Serif" w:hAnsi="Times New Roman;Times;Serif"/>
          <w:b w:val="false"/>
          <w:i w:val="false"/>
          <w:caps w:val="false"/>
          <w:smallCaps w:val="false"/>
          <w:sz w:val="20"/>
        </w:rPr>
        <w:t>”) and (B) maintain the effectiveness of such Fifth Amendment Warrants Shelf Registration Statement, including by filing any necessary post-effective amendments and Prospectus supplements and by filing one or more replacement or renewal Fifth Amendment Warrants Shelf Registration Statements (each, a “</w:t>
      </w:r>
      <w:r>
        <w:rPr>
          <w:rFonts w:ascii="Times New Roman;Times;Serif" w:hAnsi="Times New Roman;Times;Serif"/>
          <w:b/>
          <w:i/>
          <w:caps w:val="false"/>
          <w:smallCaps w:val="false"/>
          <w:sz w:val="20"/>
        </w:rPr>
        <w:t>Fifth Amendment Warrants Subsequent Shelf Registration Statement</w:t>
      </w:r>
      <w:r>
        <w:rPr>
          <w:rFonts w:ascii="Times New Roman;Times;Serif" w:hAnsi="Times New Roman;Times;Serif"/>
          <w:b w:val="false"/>
          <w:i w:val="false"/>
          <w:caps w:val="false"/>
          <w:smallCaps w:val="false"/>
          <w:sz w:val="20"/>
        </w:rPr>
        <w:t>” and together with the Closing Date Warrants Subsequent Shelf Registration Statements, the Second Amendment Warrants Subsequent Shelf Registration Statements and the Fourth Amendment Warrants Subsequent Shelf Registration Statements, a “</w:t>
      </w:r>
      <w:r>
        <w:rPr>
          <w:rFonts w:ascii="Times New Roman;Times;Serif" w:hAnsi="Times New Roman;Times;Serif"/>
          <w:b/>
          <w:i/>
          <w:caps w:val="false"/>
          <w:smallCaps w:val="false"/>
          <w:sz w:val="20"/>
        </w:rPr>
        <w:t>Subsequent Shelf Registration Statement</w:t>
      </w:r>
      <w:r>
        <w:rPr>
          <w:rFonts w:ascii="Times New Roman;Times;Serif" w:hAnsi="Times New Roman;Times;Serif"/>
          <w:b w:val="false"/>
          <w:i w:val="false"/>
          <w:caps w:val="false"/>
          <w:smallCaps w:val="false"/>
          <w:sz w:val="20"/>
        </w:rPr>
        <w:t>”) upon the expiration of such Fifth Amendment Warrants Shelf Registration Statement, if required by Rule 415 under the Securities Act, continuously until the earliest to occur of (1) the 30-month anniversary of the Fifth Amendment Equity Raise One Date, (2) a Change of Control and (3) such time as there are no Registrable Securities remaining or issuable upon exercise of the Fifth Amendment Warrants (the “</w:t>
      </w:r>
      <w:r>
        <w:rPr>
          <w:rFonts w:ascii="Times New Roman;Times;Serif" w:hAnsi="Times New Roman;Times;Serif"/>
          <w:b/>
          <w:i/>
          <w:caps w:val="false"/>
          <w:smallCaps w:val="false"/>
          <w:sz w:val="20"/>
        </w:rPr>
        <w:t>Fifth Amendment Warrants Termination Date</w:t>
      </w:r>
      <w:r>
        <w:rPr>
          <w:rFonts w:ascii="Times New Roman;Times;Serif" w:hAnsi="Times New Roman;Times;Serif"/>
          <w:b w:val="false"/>
          <w:i w:val="false"/>
          <w:caps w:val="false"/>
          <w:smallCaps w:val="false"/>
          <w:sz w:val="20"/>
        </w:rPr>
        <w:t>”). If a Fifth Amendment Warrants Subsequent Shelf Registration Statement is filed, the Company shall use its reasonable best efforts to (x) cause such Fifth Amendment Warrants Subsequent Shelf Registration Statement to be declared effective by the SEC as soon as reasonably practicable after such filing, but in any event by the date that is fifty (50) days after such Fifth Amendment Warrants Subsequent Shelf Registration Statement is filed (the “</w:t>
      </w:r>
      <w:r>
        <w:rPr>
          <w:rFonts w:ascii="Times New Roman;Times;Serif" w:hAnsi="Times New Roman;Times;Serif"/>
          <w:b/>
          <w:i/>
          <w:caps w:val="false"/>
          <w:smallCaps w:val="false"/>
          <w:sz w:val="20"/>
        </w:rPr>
        <w:t>Fifth Amendment Warrants Subsequent Shelf Effectiveness Deadline</w:t>
      </w:r>
      <w:r>
        <w:rPr>
          <w:rFonts w:ascii="Times New Roman;Times;Serif" w:hAnsi="Times New Roman;Times;Serif"/>
          <w:b w:val="false"/>
          <w:i w:val="false"/>
          <w:caps w:val="false"/>
          <w:smallCaps w:val="false"/>
          <w:sz w:val="20"/>
        </w:rPr>
        <w:t>” and together with the Closing Date Warrants Subsequent Shelf Effectiveness Deadline, the Second Amendment Warrants Subsequent Shelf Effectiveness Deadline and the Fourth Amendment Warrants Subsequent Shelf Effectiveness Deadline, the “</w:t>
      </w:r>
      <w:r>
        <w:rPr>
          <w:rFonts w:ascii="Times New Roman;Times;Serif" w:hAnsi="Times New Roman;Times;Serif"/>
          <w:b/>
          <w:i/>
          <w:caps w:val="false"/>
          <w:smallCaps w:val="false"/>
          <w:sz w:val="20"/>
        </w:rPr>
        <w:t>Subsequent Shelf Effectiveness Deadline</w:t>
      </w:r>
      <w:r>
        <w:rPr>
          <w:rFonts w:ascii="Times New Roman;Times;Serif" w:hAnsi="Times New Roman;Times;Serif"/>
          <w:b w:val="false"/>
          <w:i w:val="false"/>
          <w:caps w:val="false"/>
          <w:smallCaps w:val="false"/>
          <w:sz w:val="20"/>
        </w:rPr>
        <w:t>”), and (y) keep such Fifth Amendment Warrants Subsequent Shelf Registration Statement (or another Fifth Amendment Warrants Subsequent Shelf Registration Statement) continuously effective until the Fifth Amendment Warrants Termination Date. Any Fifth Amendment Warrants Subsequent Shelf Registration Statement shall be a Fifth Amendment Warrants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xml:space="preserve">. In the event that (i) the Shelf Registration Statement filed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2.1(c)(i)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2.1(d)(i)</w:t>
      </w:r>
      <w:r>
        <w:rPr>
          <w:rFonts w:ascii="Times New Roman;Times;Serif" w:hAnsi="Times New Roman;Times;Serif"/>
          <w:b w:val="false"/>
          <w:i w:val="false"/>
          <w:caps w:val="false"/>
          <w:smallCaps w:val="false"/>
          <w:sz w:val="20"/>
        </w:rPr>
        <w:t xml:space="preserve">is not declared effective by the SEC by the applicable Shelf Effectiveness Deadline, (ii) a Subsequent Shelf Registration Statement (if required to be filed pursuant to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2.1(b)(ii)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2.1(c)(ii)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2.1(d)(ii)</w:t>
      </w:r>
      <w:r>
        <w:rPr>
          <w:rFonts w:ascii="Times New Roman;Times;Serif" w:hAnsi="Times New Roman;Times;Serif"/>
          <w:b w:val="false"/>
          <w:i w:val="false"/>
          <w:caps w:val="false"/>
          <w:smallCaps w:val="false"/>
          <w:sz w:val="20"/>
        </w:rPr>
        <w:t xml:space="preserve">) is not filed by the applicable Subsequent Shelf Effectiveness Deadline, or (iii) after a Shelf Registration Statement has been declared effective, sales cannot be made continuously pursuant to such Shelf Registration Statement for any reason (including without limitation by reason of a stop order, or the Company’s failure to update the Shelf Registration Statement), other than, in each case, during the time period(s) permitted by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(each such event, a “</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then, in addition to any other rights a Holder may have hereunder or under applicable law, on the first day of the occurrence of the Default, and on the same day of each succeeding month (if the applicable Default shall not have been cured by such date) until the applicable Default is cured, the Company shall pay to each Holder an amount in cash, as liquidated damages and not as a penalty (the “</w:t>
      </w:r>
      <w:r>
        <w:rPr>
          <w:rFonts w:ascii="Times New Roman;Times;Serif" w:hAnsi="Times New Roman;Times;Serif"/>
          <w:b/>
          <w:i/>
          <w:caps w:val="false"/>
          <w:smallCaps w:val="false"/>
          <w:sz w:val="20"/>
        </w:rPr>
        <w:t>Liquidated Damages</w:t>
      </w:r>
      <w:r>
        <w:rPr>
          <w:rFonts w:ascii="Times New Roman;Times;Serif" w:hAnsi="Times New Roman;Times;Serif"/>
          <w:b w:val="false"/>
          <w:i w:val="false"/>
          <w:caps w:val="false"/>
          <w:smallCaps w:val="false"/>
          <w:sz w:val="20"/>
        </w:rPr>
        <w:t xml:space="preserve">”), on the date of the Default and the same day each succeeding month, equal to 1% of the aggregate purchase price paid for the applicable Registrable Securities held by such Holder. The parties agree that in no event shall the aggregate amount of Liquidated Damages payable to any Holder exceed, in the aggregate, twenty-five percent (25%) of the aggregate purchase price paid for the applicable Registrable Securities held by such Holder. If the Company fails to pay any Liquidated Damages pursuant to this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in full within five (5) Business Days after the date payable, the Company will pay interest thereon at a rate of 1.5% per month (or such lesser maximum amount that is permitted to be paid by applicable law) to each Holder, accruing daily from the date such Liquidated Damages are due until such amounts, plus all such interest thereon, are paid in full. The Liquidated Damages pursuant to the terms hereof shall apply on a daily pro-rata basis for any portion of a month prior to the cure of a Default, except in the case of the first occurrence of the Default. The applicable Effectiveness Deadline shall be extended without Default or Liquidated Damages hereunder in the event that the Company’s failure to obtain the effectiveness of such Shelf Registration Statement or Subsequent Shelf Registration Statement on a timely basis results from the failure of any Holder to timely provide the Company with information requested by the Company and necessary to complete the Shelf Registration Statement or Subsequent Shelf Registration Statement in accordance with the requirements of the Securities Act (in which case the applicable Effectiveness Deadline would be extended with respect to the applicable Registrable Securities held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u w:val="single"/>
        </w:rPr>
        <w:t>Additional Selling Stockholders</w:t>
      </w:r>
      <w:r>
        <w:rPr>
          <w:rFonts w:ascii="Times New Roman;Times;Serif" w:hAnsi="Times New Roman;Times;Serif"/>
          <w:b w:val="false"/>
          <w:i w:val="false"/>
          <w:caps w:val="false"/>
          <w:smallCaps w:val="false"/>
          <w:sz w:val="20"/>
        </w:rPr>
        <w:t>. At any time and from time to time that a Shelf Registration Statement is effective, if a Holder of Registrable Securities requests that such Holder be added as a selling stockholder in such Shelf Registration Statement, the Company shall as promptly as practicable amend or supplement the Shelf Registration Statement to cover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           </w:t>
      </w:r>
      <w:r>
        <w:rPr>
          <w:rFonts w:ascii="Times New Roman;Times;Serif" w:hAnsi="Times New Roman;Times;Serif"/>
          <w:b w:val="false"/>
          <w:i w:val="false"/>
          <w:caps w:val="false"/>
          <w:smallCaps w:val="false"/>
          <w:sz w:val="20"/>
          <w:u w:val="single"/>
        </w:rPr>
        <w:t>Provisions Relating to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If and whenever the Company is required to effect the registration of any Registrable Securities pursuant to this Agreement, the Company shall use its reasonable best efforts to effect and facilitate the registration of such Registrable Securities as promptly as is practicable and, pursuant thereto, the Company shall as expeditiously as possible and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prepare and file with the SEC a Registration Statement with respect to such Registrable Securities, make all required filings required in connection therewith and (if the Registration Statement is not automatically effective upon filing) use its reasonable best efforts to cause such Registration Statement to become effective as promptly as practicable;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before filing a Registration Statement or any amendments or supplements thereto, the Company shall furnish to counsel to the Holders for such registration copies of all documents proposed to be filed, which documents shall be subject to review by counsel to the Holders at the Holders’ expense, and give the Holders participating in such registration an opportunity to comment on such documents and keep such Holders reasonably informed as to the registration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furnish to each Holder participating in the registration, without charge, such number of copies of the Prospectus included in such Registration Statement (including each preliminary Prospectus) and any supplement thereto (in each case including all exhibits thereto and all documents incorporated by reference therein) and such other documents as such Holder may reasonably request, including in order to facilitate the disposition of the Registrable Securities owned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use its reasonable best efforts to register or qualify such Registrable Securities under such other securities or blue sky laws of such U.S. jurisdiction(s) or such U.S. self-regulatory bodies as any Holder participating in the registration reasonably requests and do any and all other acts and things that may be necessary or reasonably advisable to enable such Holder to consummate the disposition of such Holder’s Registrable Securities in such jurisdiction(s);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be required to qualify generally to do business, subject itself to taxation or consent to general service of process in any jurisdiction where it would not otherwise be required to do so but for its obligations pursuant to this </w:t>
      </w:r>
      <w:r>
        <w:rPr>
          <w:rFonts w:ascii="Times New Roman;Times;Serif" w:hAnsi="Times New Roman;Times;Serif"/>
          <w:b w:val="false"/>
          <w:i w:val="false"/>
          <w:caps w:val="false"/>
          <w:smallCaps w:val="false"/>
          <w:sz w:val="20"/>
          <w:u w:val="single"/>
        </w:rPr>
        <w:t>Section 2.2(a)(iii)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notwithstanding any other provisions of this Agreement to the contrary, cause (A) any Registration Statement (as of the effective date of the Registration Statement), any amendment thereof (as of the effective date thereof) or supplement thereto (as of its date), (1) to comply in all material respects with the applicable requirements of the Securities Act and the rules and regulations of the SEC and (2) not to contain any untrue statement of a material fact or omit to state a material fact required to be stated therein or necessary in order to make the statements therein not misleading and (B) any related Prospectus, preliminary Prospectus and any amendment thereof or supplement thereto (as of its date), (1) to comply in all material respects with the applicable requirements of the Securities Act and the rules and regulations of the SEC, and (2) not to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the Company shall have no such obligations or liabilities with respect to any written information pertaining to a Holder and furnished to the Company by or on behalf of such Holder specifically for inclusion therein;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each Holder of Registrable Securities, upon receipt of any notice from the Company of any noncompliance event or material misstatement or omission of the kind described in this </w:t>
      </w:r>
      <w:r>
        <w:rPr>
          <w:rFonts w:ascii="Times New Roman;Times;Serif" w:hAnsi="Times New Roman;Times;Serif"/>
          <w:b w:val="false"/>
          <w:i w:val="false"/>
          <w:caps w:val="false"/>
          <w:smallCaps w:val="false"/>
          <w:sz w:val="20"/>
          <w:u w:val="single"/>
        </w:rPr>
        <w:t>Section 2.2(a)(iv)</w:t>
      </w:r>
      <w:r>
        <w:rPr>
          <w:rFonts w:ascii="Times New Roman;Times;Serif" w:hAnsi="Times New Roman;Times;Serif"/>
          <w:b w:val="false"/>
          <w:i w:val="false"/>
          <w:caps w:val="false"/>
          <w:smallCaps w:val="false"/>
          <w:sz w:val="20"/>
        </w:rPr>
        <w:t>, shall forthwith discontinue disposition of Registrable Securities pursuant to the Registration Statement covering such Registrable Securities until such Holder is advised in writing by the Company that the use of the Prospectus may be resumed and, if appropriate, is furnished with a supplemented or amended Prospectus as contemplated by this </w:t>
      </w:r>
      <w:r>
        <w:rPr>
          <w:rFonts w:ascii="Times New Roman;Times;Serif" w:hAnsi="Times New Roman;Times;Serif"/>
          <w:b w:val="false"/>
          <w:i w:val="false"/>
          <w:caps w:val="false"/>
          <w:smallCaps w:val="false"/>
          <w:sz w:val="20"/>
          <w:u w:val="single"/>
        </w:rPr>
        <w:t>Section 2.2(a)(iv)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as promptly as practicable (and in any event, within twenty-four (24) hours), notify the Holders: (A) when the Registration Statement, any pre-effective amendment thereto, the Prospectus or any Prospectus supplement or any post-effective amendment thereto has been filed with the SEC and when the Registration Statement or any post-effective amendment thereto has become effective, (B) of any oral or written comments by the SEC or of any request by the SEC for amendments or supplements to the Registration Statement or the Prospectus included therein or for any additional information regarding such Holder, (C) of the issuance by the SEC of any stop order suspending the effectiveness of such Registration Statement or the initiation or threatening of any proceedings for that purpose and of any other action, event or failure to act that would cause the Registration Statement not to remain effective, and (D) of the receipt by the Company of any notification with respect to the suspension of the qualification or exemption from qualification of any Registrable Securities for sale under the applicable securities or blue sky laws of any jurisdiction or the initiation of any proceeding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in the event of the issuance of any stop order suspending the effectiveness of a Registration Statement, any order suspending or preventing the use of any related Prospectus or any suspension of the qualification or exemption from qualification of any Registrable Securities for sale in any jurisdiction, use its reasonable best efforts to promptly obtain the withdrawal or lifting of any such order or suspension, and each Holder of Registrable Securities, upon receipt of any notice from the Company of any event of the kind described in this </w:t>
      </w:r>
      <w:r>
        <w:rPr>
          <w:rFonts w:ascii="Times New Roman;Times;Serif" w:hAnsi="Times New Roman;Times;Serif"/>
          <w:b w:val="false"/>
          <w:i w:val="false"/>
          <w:caps w:val="false"/>
          <w:smallCaps w:val="false"/>
          <w:sz w:val="20"/>
          <w:u w:val="single"/>
        </w:rPr>
        <w:t>Section 2.2(a)(vi)</w:t>
      </w:r>
      <w:r>
        <w:rPr>
          <w:rFonts w:ascii="Times New Roman;Times;Serif" w:hAnsi="Times New Roman;Times;Serif"/>
          <w:b w:val="false"/>
          <w:i w:val="false"/>
          <w:caps w:val="false"/>
          <w:smallCaps w:val="false"/>
          <w:sz w:val="20"/>
        </w:rPr>
        <w:t>, shall forthwith discontinue disposition of Registrable Securities pursuant to the Registration Statement covering such Registrable Securities until such Holder is advised in writing by the Company that the use of the Prospectus may be resumed and is furnished with a supplemented or amended Prospectus,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 xml:space="preserve">not file or make any amendment to any Registration Statement with respect to any Registrable Securities, or any amendment of or supplement to the Prospectus used in connection therewith, that refers to any Holder covered thereby by name or otherwise identifies such Holder as the holder of any securities of the Company without the consent of such Holder (which consent shall not be unreasonably withheld, conditioned or delayed), unless and to the extent such disclosure is required by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 each Holder shall furnish to the Company in writing such information regarding itself and the distribution proposed by it as the Company may reasonably request for use in connection with a Registration Statement or Prospectus and (B) each Holder agrees to notify the Company as promptly as practicable of any inaccuracy or change in information previously furnished to the Company by such Holder or of the occurrence of any event that would cause the Prospectus included in such Registration Statement to contain an untrue statement of a material fact regarding such Holder or the distribution of such Registrable Securities or to omit to state any material fact regarding such Holder or the distribution of such Registrable Securities required to be stated therein or necessary to make the statements made therein not misleading in light of the circumstances under which they were made and to furnish to the Company, as promptly as practicable, any additional information required to correct and update the information previously furnished by such Holder such that such Prospectus shall not contain any untrue statement of a material fact regarding such Holder or the distribution of such Registrable Securities or omit to state a material fact regarding such Holder or the distribution of such Registrable Securities necessary to make the statements therein not misleading in light of the circumstances under which they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cause such Registrable Securities to be listed on each securities exchange on which the Common Stock is then listed or, if the Common Stock is not then listed on any securities exchange, use its reasonable best efforts to cause such Registrable Securities to be listed on a national securities exchange selected by the Company after consultation with the Holders participating in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 xml:space="preserve">provide a transfer agent and registrar (which may be the same Person) for all such Registrable Securities not later than the effective date of such Registration Statement and, within a reasonable time prior to any proposed sale of Registrable Securities pursuant to a Registration Statement, provide the transfer agent if reasonably required by the transfer agent, an opinion of counsel as to the effectiveness of the Registration Statement, together with any other authorizations, certificates and directions required by the transfer agent which authorize and direct the transfer agent to issue such Registrable Securities without legend upon sale by the Holder of such Registrable Securities under the Registration Statement, subject to the provisions of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otherwise use its reasonable best efforts to comply with all applicable rules and regulations of the SEC, and make available to its stockholders, as soon as reasonably practicable, an earnings statement (in a form that satisfies the provisions of Section 11(a) of the Securities Act and Rule 158 under the Securities Act or any successor rule thereto) covering the period of at least 12 months beginning with the first day of the Company’s first full fiscal quarter after the effective date of the applicable Registration Statement, which requirement shall be deemed satisfied if the Company timely files complete and accurate information on Forms 10-K, 10-Q and 8-K under the Exchange Act and otherwise complies with Rule 158 under the Securities Act or any successor rule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(A) furnish to each Holder all legal opinions of outside counsel to the Company required to be included in the Registration Statement, which provision shall be satisfied by filing with the SEC any such opinion as an exhibit to the Registration Statement and (B) obtain all consents of independent public accountants required to be included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          </w:t>
      </w:r>
      <w:r>
        <w:rPr>
          <w:rFonts w:ascii="Times New Roman;Times;Serif" w:hAnsi="Times New Roman;Times;Serif"/>
          <w:b w:val="false"/>
          <w:i w:val="false"/>
          <w:caps w:val="false"/>
          <w:smallCaps w:val="false"/>
          <w:sz w:val="20"/>
        </w:rPr>
        <w:t xml:space="preserve">cooperate with the Holders of the Registrable Securities to facilitate the timely preparation and delivery of certificates representing the Registrable Securities to be sold pursuant to such Registration Statement free of any restrictive legends and representing such number of shares of Common Stock and registered in such names as the Holders of the Registrable Securities may reasonably request a reasonable period of time prior to sales of Registrable Securities pursuant to such Registration Statement;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Company may satisfy its obligations hereunder without issuing physical stock certificates through the use of The Depository Trust Company’s Direct Registration System;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(xiii)        </w:t>
      </w:r>
      <w:r>
        <w:rPr>
          <w:rFonts w:ascii="Times New Roman;Times;Serif" w:hAnsi="Times New Roman;Times;Serif"/>
          <w:b w:val="false"/>
          <w:i w:val="false"/>
          <w:caps w:val="false"/>
          <w:smallCaps w:val="false"/>
          <w:sz w:val="20"/>
        </w:rPr>
        <w:t>otherwise use its reasonable best efforts to take or cause to be taken all other actions necessary or reasonably advisable to effect the registration of such Registrable Securities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As promptly as practicable after becoming aware of such event, the Company shall notify the Holders of the happening of any event (a “</w:t>
      </w:r>
      <w:r>
        <w:rPr>
          <w:rFonts w:ascii="Times New Roman;Times;Serif" w:hAnsi="Times New Roman;Times;Serif"/>
          <w:b/>
          <w:i/>
          <w:caps w:val="false"/>
          <w:smallCaps w:val="false"/>
          <w:sz w:val="20"/>
        </w:rPr>
        <w:t>Suspension Event</w:t>
      </w:r>
      <w:r>
        <w:rPr>
          <w:rFonts w:ascii="Times New Roman;Times;Serif" w:hAnsi="Times New Roman;Times;Serif"/>
          <w:b w:val="false"/>
          <w:i w:val="false"/>
          <w:caps w:val="false"/>
          <w:smallCaps w:val="false"/>
          <w:sz w:val="20"/>
        </w:rPr>
        <w:t xml:space="preserve">”), of which the Company has knowledge, as a result of which the Prospectus included in a Registration Statement as then in effect includes an untrue statement of a material fact or omits to state a material fact required to be stated therein or necessary to make the statements therein not misleading in light of the circumstances under which they were made, and as promptly as practicable, the Company shall prepare and file with the SEC a supplement or amendment to the Registration Statement to correct such untrue statement or omission, and deliver such number of copies of such supplement or amendment to the Holders as the Holders may reasonably request so that, as thereafter delivered to the purchasers of such Registrable Securities, such Prospectus will not contain any untrue statement of a material fact or omit to state any fact necessary to make the statements therein not misleading in the light of the circumstances under which they were made;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for not more than forty-five (45) consecutive days (or a total of not more than one hundred and twenty (120) Trading Days in any 12-month period), the Company may delay or suspend the filing, effectiveness or use of a Registration Statement or Prospectus, to the extent permitted by and in a manner not in violation of applicable securities laws, if the board of directors of the Company determines in good faith, based on the advice of counsel, that (i) proceeding with the filing, effectiveness or use of such Registration Statement or Prospectus would reasonably be expected to require the Company to disclose any information the disclosure of which would have a material adverse effect on the Company and that the Company would not otherwise be required to disclose at such time or (ii) the registration or offering proposed to be delayed or suspended would reasonably be expected to, if not delayed or suspended, have a material adverse effect on any pending negotiation or plan of the Company to effect a merger, acquisition, disposition, financing, reorganization, recapitalization or similar transaction, in each case that, if consummated, would be material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Upon a Suspension Event, the Company shall promptly give written notice (a “</w:t>
      </w:r>
      <w:r>
        <w:rPr>
          <w:rFonts w:ascii="Times New Roman;Times;Serif" w:hAnsi="Times New Roman;Times;Serif"/>
          <w:b/>
          <w:i/>
          <w:caps w:val="false"/>
          <w:smallCaps w:val="false"/>
          <w:sz w:val="20"/>
        </w:rPr>
        <w:t>Suspension Notice</w:t>
      </w:r>
      <w:r>
        <w:rPr>
          <w:rFonts w:ascii="Times New Roman;Times;Serif" w:hAnsi="Times New Roman;Times;Serif"/>
          <w:b w:val="false"/>
          <w:i w:val="false"/>
          <w:caps w:val="false"/>
          <w:smallCaps w:val="false"/>
          <w:sz w:val="20"/>
        </w:rPr>
        <w:t>”) to the Holders to suspend sales of the affected Registrable Securities, and such notice shall state that such suspension shall continue only for so long as the Suspension Event or its effect is continuing and the Company is pursuing with reasonable diligence the completion of the matter giving rise to the Suspension Event or otherwise taking all reasonable steps to terminate suspension of the effectiveness or use of the Registration Statement. In no event shall the Company, without the prior written consent of the Holders, disclose to the Holders any of the facts or circumstances giving rise to the Suspension Event. The Holders shall not effect any sales of the Registrable Securities pursuant to the Registration Statement (or such filings), at any time after they have received a Suspension Notice and prior to receipt of an End of Suspension Notice. The Holders may resume effecting sales of the Registrable Securities under the Registration Statement (or such filings), following further notice to such effect (an “</w:t>
      </w:r>
      <w:r>
        <w:rPr>
          <w:rFonts w:ascii="Times New Roman;Times;Serif" w:hAnsi="Times New Roman;Times;Serif"/>
          <w:b/>
          <w:i/>
          <w:caps w:val="false"/>
          <w:smallCaps w:val="false"/>
          <w:sz w:val="20"/>
        </w:rPr>
        <w:t>End of Suspension Notice</w:t>
      </w:r>
      <w:r>
        <w:rPr>
          <w:rFonts w:ascii="Times New Roman;Times;Serif" w:hAnsi="Times New Roman;Times;Serif"/>
          <w:b w:val="false"/>
          <w:i w:val="false"/>
          <w:caps w:val="false"/>
          <w:smallCaps w:val="false"/>
          <w:sz w:val="20"/>
        </w:rPr>
        <w:t>”) from the Company. This End of Suspension Notice shall be given by the Company to the Holders in the manner described above promptly following the conclusion of any Suspension Event and its effect. For the avoidance of doubt, a Suspension Notice shall not affect or otherwise limit sales of affected Registrable Securities under Rule 144 or otherwise outside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Notwithstanding any provision herein to the contrary, if the Company gives a Suspension Notice pursuant to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with respect to any Registration Statement, the Company shall extend the period during which the Registration Statement shall be maintained effective under this Agreement by the number of days during the period from the date of the giving of the Suspension Notice to and including the date when the Holders shall have received the End of Suspension Notice and copies of the supplemented or amended Prospectus necessary to resume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Notwithstanding anything to the contrary contained in this Agreement, the Company shall not be required to include Registrable Securities in any Registration Statement unless the Holder owning the Registrable Securities to be registered on the Registration Statement, following reasonable advance written request by the Company, furnishes to the Company, at least ten Business Days prior to the scheduled filing date of the Registration Statement, an executed stockholder questionnaire in the form attached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2.3           </w:t>
      </w:r>
      <w:r>
        <w:rPr>
          <w:rFonts w:ascii="Times New Roman;Times;Serif" w:hAnsi="Times New Roman;Times;Serif"/>
          <w:b w:val="false"/>
          <w:i w:val="false"/>
          <w:caps w:val="false"/>
          <w:smallCaps w:val="false"/>
          <w:sz w:val="20"/>
          <w:u w:val="single"/>
        </w:rPr>
        <w:t>Registration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Company shall bear all Registration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The obligation of the Company to bear and pay the Registration Expenses shall apply irrespective of whether a registration becomes effective or is withdrawn or suspended;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Registration Expenses for any Registration Statement withdrawn solely at the request of one or more Holder(s) (unless withdrawn following commencement of a Suspension Event) shall be borne by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2.4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Company shall, to the fullest extent permitted by law, indemnify and hold harmless each Holder and any Person who is or might be deemed to be a “controlling person” of such Holder (within the meaning of the Securities Act or the Exchange Act) (each such Person, a “</w:t>
      </w:r>
      <w:r>
        <w:rPr>
          <w:rFonts w:ascii="Times New Roman;Times;Serif" w:hAnsi="Times New Roman;Times;Serif"/>
          <w:b/>
          <w:i/>
          <w:caps w:val="false"/>
          <w:smallCaps w:val="false"/>
          <w:sz w:val="20"/>
        </w:rPr>
        <w:t>Controlling Person</w:t>
      </w:r>
      <w:r>
        <w:rPr>
          <w:rFonts w:ascii="Times New Roman;Times;Serif" w:hAnsi="Times New Roman;Times;Serif"/>
          <w:b w:val="false"/>
          <w:i w:val="false"/>
          <w:caps w:val="false"/>
          <w:smallCaps w:val="false"/>
          <w:sz w:val="20"/>
        </w:rPr>
        <w:t>”), as well as their respective direct and indirect general and limited partners, advisory board members, directors, officers, trustees, managers, members, employees, agents, Affiliates and shareholders, and each other Person, if any, who acts on behalf of or controls any such Holder or Controlling Person (collectively, the “</w:t>
      </w:r>
      <w:r>
        <w:rPr>
          <w:rFonts w:ascii="Times New Roman;Times;Serif" w:hAnsi="Times New Roman;Times;Serif"/>
          <w:b/>
          <w:i/>
          <w:caps w:val="false"/>
          <w:smallCaps w:val="false"/>
          <w:sz w:val="20"/>
        </w:rPr>
        <w:t>Holder Indemnified Parties</w:t>
      </w:r>
      <w:r>
        <w:rPr>
          <w:rFonts w:ascii="Times New Roman;Times;Serif" w:hAnsi="Times New Roman;Times;Serif"/>
          <w:b w:val="false"/>
          <w:i w:val="false"/>
          <w:caps w:val="false"/>
          <w:smallCaps w:val="false"/>
          <w:sz w:val="20"/>
        </w:rPr>
        <w:t xml:space="preserve">”) from and against any losses, claims, damages, liabilities or expenses, joint or several, or any actions in respect thereof to which each Holder Indemnified Party may become subject under the Securities Act, the Exchange Act, any state blue sky securities laws, insofar as such losses, claims, damages, liabilities, expenses or actions arise out of or are based upon (i) any untrue statement or alleged untrue statement of a material fact contained in or incorporated by reference in any Registration Statement or in any amendment thereof, in each case at the time such became effective under the Securities Act, (ii) the omission or alleged omission to state therein a material fact required to be stated therein or necessary to make the statements therein not misleading or (iii) any violation or alleged violation by the Company of the Securities Act or any other similar federal or state securities laws or any rule or regulation promulgated thereunder applicable to the Company and relating to any action or inaction required of the Company in connection with any registration of securities, and the Company shall reimburse, as incurred, the Holder Indemnified Parties for any reasonable and documented legal or other expenses reasonably incurred by them in connection with investigating, defending or settling any such loss, claim, damage, liability, expense or action in respect thereof;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 shall not be liable in any such case to the extent that such loss, claim, damage, liability, expense or action arises out of or is based upon any untrue statement or omission made or incorporated by reference in any such Registration Statement, any Prospectus or in any amendment thereof or supplement thereto in reliance upon and in conformity with written information pertaining to a Holder and furnished to the Company by or on behalf of such Holder Indemnified Party specifically for inclusion therein; and </w:t>
      </w:r>
      <w:r>
        <w:rPr>
          <w:rFonts w:ascii="Times New Roman;Times;Serif" w:hAnsi="Times New Roman;Times;Serif"/>
          <w:b w:val="false"/>
          <w:i/>
          <w:caps w:val="false"/>
          <w:smallCaps w:val="false"/>
          <w:sz w:val="20"/>
        </w:rPr>
        <w:t>provided further, however</w:t>
      </w:r>
      <w:r>
        <w:rPr>
          <w:rFonts w:ascii="Times New Roman;Times;Serif" w:hAnsi="Times New Roman;Times;Serif"/>
          <w:b w:val="false"/>
          <w:i w:val="false"/>
          <w:caps w:val="false"/>
          <w:smallCaps w:val="false"/>
          <w:sz w:val="20"/>
        </w:rPr>
        <w:t>, that this indemnity agreement will be in addition to any liability that the Company may otherwise have to such Holder Indemnified Party. Such indemnity shall remain in full force and effect regardless of any investigation made by or on behalf of any Holder Indemnified Parties and shall survive the transfer of the Registrable Securities by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 connection with any registration in which a Holder of Registrable Securities is participating, each such Holder shall furnish to the Company in writing such information as the Company reasonably requests for use in connection with any such Registration Statement or Prospectus and shall, severally and not jointly, to the fullest extent permitted by law, indemnify and hold harmless the Company, its directors and officers, employees, agents and any Person who is or might be deemed to be a Controlling Person (a “</w:t>
      </w:r>
      <w:r>
        <w:rPr>
          <w:rFonts w:ascii="Times New Roman;Times;Serif" w:hAnsi="Times New Roman;Times;Serif"/>
          <w:b/>
          <w:i/>
          <w:caps w:val="false"/>
          <w:smallCaps w:val="false"/>
          <w:sz w:val="20"/>
        </w:rPr>
        <w:t>Company Indemnified Party</w:t>
      </w:r>
      <w:r>
        <w:rPr>
          <w:rFonts w:ascii="Times New Roman;Times;Serif" w:hAnsi="Times New Roman;Times;Serif"/>
          <w:b w:val="false"/>
          <w:i w:val="false"/>
          <w:caps w:val="false"/>
          <w:smallCaps w:val="false"/>
          <w:sz w:val="20"/>
        </w:rPr>
        <w:t xml:space="preserve">”) from and against any losses, claims, damages, liabilities or expenses or any actions in respect thereof, to which a Company Indemnified Party may become subject under the Securities Act, the Exchange Act, any state blue sky securities laws, any equivalent non-U.S. securities laws or otherwise, insofar as such losses, claims, damages, liabilities or actions arise out of or are based upon (i) any untrue statement or alleged untrue statement of a material fact contained in the Registration Statement or in any amendment thereof, in each case at the time such became effective under the Securities Act, or in any Prospectus or in any amendment thereof or supplement thereto, or (ii) the omission or alleged omission to state therein a material fact required to be stated therein or necessary to make the statements therein (in the case of any Prospectus, in the light of the circumstances under which they were made) not misleading, but in each of clauses (i) and (ii), only to the extent that the untrue statement or omission or alleged untrue statement or omission was made in reliance upon and in conformity with written information pertaining to such Holder and furnished to the Company by or on behalf of such Holder specifically for inclusion therein, and, subject to the limitation immediately preceding this clause, shall reimburse, as incurred, the Company Indemnified Parties for any legal or other expenses reasonably incurred by them in connection with investigating, defending or settling any such loss, claim, damage, liability, expense or action in respect thereof. Such indemnity shall remain in full force and effect regardless of any investigation made by or on behalf of such Holder, or any such director, officer, employees, Affiliates and agents and shall survive the transfer of such Registrable Securities by such Holder, and such Holder shall reimburse the Company, and each such director, officer, employees, Affiliates and agents for any legal or other expenses reasonably incurred by them in connection with investigating, defending, or settling any such loss, claim, damage, liability, action, or proceeding;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indemnity amount contained in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shall in no event exceed the net proceeds actually received by such Holder in the sale of Registrable Securities to which such Registration Statement or Prospectus relates. Such indemnity shall remain in full force and effect, regardless of any investigation made by or on behalf of the Company or any such director, officer, employees, Affiliates and agents and shall survive the transfer by a Holder of such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Promptly after receipt by a Holder Indemnified Party or a Company Indemnified Party (each, an “</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xml:space="preserve">”) of notice of the commencement of any action or proceeding (including a governmental investigation), such Indemnified Party will, if a claim in respect thereof is to be made against the indemnifying party under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notify the indemnifying party of the commencement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omission to so notify the indemnifying party will not relieve the indemnifying party from liability under </w:t>
      </w:r>
      <w:r>
        <w:rPr>
          <w:rFonts w:ascii="Times New Roman;Times;Serif" w:hAnsi="Times New Roman;Times;Serif"/>
          <w:b w:val="false"/>
          <w:i w:val="false"/>
          <w:caps w:val="false"/>
          <w:smallCaps w:val="false"/>
          <w:sz w:val="20"/>
          <w:u w:val="single"/>
        </w:rPr>
        <w:t>Sections 2.4(a)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2.4(b)</w:t>
      </w:r>
      <w:r>
        <w:rPr>
          <w:rFonts w:ascii="Times New Roman;Times;Serif" w:hAnsi="Times New Roman;Times;Serif"/>
          <w:b w:val="false"/>
          <w:i w:val="false"/>
          <w:caps w:val="false"/>
          <w:smallCaps w:val="false"/>
          <w:sz w:val="20"/>
        </w:rPr>
        <w:t xml:space="preserve"> unless and to the extent it did not otherwise learn of such action and the indemnifying party has been materially prejudiced by such failure.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at the indemnifying party’s expense, with counsel reasonably satisfactory to such Indemnified Party (who shall not, except with the consent of the Indemnified Party, be counsel to the indemnifying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Indemnified Party shall continue to be entitled to participate in the defense of such claim or action, with counsel of its own choice, but the indemnifying party shall not be obligated to reimburse such Indemnified Party for any fees, costs and expenses subsequently incurred by the Indemnified Party in connection with such defense unless (i) the indemnifying party has agreed in writing to pay such fees, costs and expenses, (ii) the indemnifying party has failed to assume the defense of such claim or action within a reasonable time after receipt of notice of such claim or action, (iii) having assumed the defense of such claim or action, the indemnifying party fails to employ counsel reasonably acceptable to the Indemnified Party or to pursue the defense of such claim or action in a reasonably vigorous manner, (iv) the use of counsel chosen by the indemnifying party to represent the Indemnified Party would present such counsel with a conflict of interest or (v) the Indemnified Party has reasonably concluded that there may be one or more legal or equitable defenses available to it and/or other any other Indemnified Party which are different from or additional to those available to the indemnifying party. In no event shall the indemnifying party be liable for the fees and expenses of more than one counsel (together with appropriate local counsel) at any time for any Indemnified Party in connection with any one action or separate but substantially similar or related actions arising in the same jurisdiction out of the same general allegations or circumstances. No indemnifying party shall, without the prior written consent of the Indemnified Party (which consent shall not be unreasonably withheld, conditioned or delayed),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in form and substance reasonably satisfactory to such Indemnified Party, and (ii) does not include a statement as to or an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If the indemnification provided for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is unavailable or insufficient to hold harmless an Indemnified Party under </w:t>
      </w:r>
      <w:r>
        <w:rPr>
          <w:rFonts w:ascii="Times New Roman;Times;Serif" w:hAnsi="Times New Roman;Times;Serif"/>
          <w:b w:val="false"/>
          <w:i w:val="false"/>
          <w:caps w:val="false"/>
          <w:smallCaps w:val="false"/>
          <w:sz w:val="20"/>
          <w:u w:val="single"/>
        </w:rPr>
        <w:t>Sections 2.4(a)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2.4(b)</w:t>
      </w:r>
      <w:r>
        <w:rPr>
          <w:rFonts w:ascii="Times New Roman;Times;Serif" w:hAnsi="Times New Roman;Times;Serif"/>
          <w:b w:val="false"/>
          <w:i w:val="false"/>
          <w:caps w:val="false"/>
          <w:smallCaps w:val="false"/>
          <w:sz w:val="20"/>
        </w:rPr>
        <w:t xml:space="preserve">, then each indemnifying party shall contribute to the amount paid or payable by such Indemnified Party as a result of the losses, claims, damages or liabilities (or actions in respect thereof) referred to in </w:t>
      </w:r>
      <w:r>
        <w:rPr>
          <w:rFonts w:ascii="Times New Roman;Times;Serif" w:hAnsi="Times New Roman;Times;Serif"/>
          <w:b w:val="false"/>
          <w:i w:val="false"/>
          <w:caps w:val="false"/>
          <w:smallCaps w:val="false"/>
          <w:sz w:val="20"/>
          <w:u w:val="single"/>
        </w:rPr>
        <w:t>Sections 2.4(a)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2.4(b)</w:t>
      </w:r>
      <w:r>
        <w:rPr>
          <w:rFonts w:ascii="Times New Roman;Times;Serif" w:hAnsi="Times New Roman;Times;Serif"/>
          <w:b w:val="false"/>
          <w:i w:val="false"/>
          <w:caps w:val="false"/>
          <w:smallCaps w:val="false"/>
          <w:sz w:val="20"/>
        </w:rPr>
        <w:t xml:space="preserve"> in such proportion as is appropriate to reflect the relative fault of the indemnifying party or parties on the one hand and the Indemnified Party on the other in connection with the statements or omissions that resulted in such losses, claims, damages or liabilities (or actions in respect thereof) as well as any other relevant equitable considerations. The relative fault of the parties shall be determined by reference to, among other things, whether the untrue or alleged untrue statement of a material fact or the omission or alleged omission to state a material fact relates to information supplied by the Company on the one hand or a Holder or Holder Indemnified Party, as the case may be, on the other, and the parties’ relative intent, knowledge, access to information and opportunity to correct or prevent such statement or omission. The amount paid by an Indemnified Party as a result of the losses, claims, damages or liabilities referred to in the first sentence of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be deemed to include any legal or other expenses reasonably incurred by such Indemnified Party in connection with investigating or defending any action or claim that is the subject of this </w:t>
      </w:r>
      <w:r>
        <w:rPr>
          <w:rFonts w:ascii="Times New Roman;Times;Serif" w:hAnsi="Times New Roman;Times;Serif"/>
          <w:b w:val="false"/>
          <w:i w:val="false"/>
          <w:caps w:val="false"/>
          <w:smallCaps w:val="false"/>
          <w:sz w:val="20"/>
          <w:u w:val="single"/>
        </w:rPr>
        <w:t>Section 2.4(d)</w:t>
      </w:r>
      <w:r>
        <w:rPr>
          <w:rFonts w:ascii="Times New Roman;Times;Serif" w:hAnsi="Times New Roman;Times;Serif"/>
          <w:b w:val="false"/>
          <w:i w:val="false"/>
          <w:caps w:val="false"/>
          <w:smallCaps w:val="false"/>
          <w:sz w:val="20"/>
        </w:rPr>
        <w:t xml:space="preserve">. The parties agree that it would not be just and equitable if contributions were determined by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allocation (even if a Holder was treated as one Person for such purpose) or any other method of allocation that does not take account of the equitable considerations referred to above. Notwithstanding any other provision of this </w:t>
      </w:r>
      <w:r>
        <w:rPr>
          <w:rFonts w:ascii="Times New Roman;Times;Serif" w:hAnsi="Times New Roman;Times;Serif"/>
          <w:b w:val="false"/>
          <w:i w:val="false"/>
          <w:caps w:val="false"/>
          <w:smallCaps w:val="false"/>
          <w:sz w:val="20"/>
          <w:u w:val="single"/>
        </w:rPr>
        <w:t>Section 2.4(d)</w:t>
      </w:r>
      <w:r>
        <w:rPr>
          <w:rFonts w:ascii="Times New Roman;Times;Serif" w:hAnsi="Times New Roman;Times;Serif"/>
          <w:b w:val="false"/>
          <w:i w:val="false"/>
          <w:caps w:val="false"/>
          <w:smallCaps w:val="false"/>
          <w:sz w:val="20"/>
        </w:rPr>
        <w:t>, no Holder shall be required to contribute any amount in excess of the amount by which the net proceeds received by such Holder from the sale of the Registrable Securities pursuant to the Registration Statement exceeds the amount of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The agreements contained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survive the sale of the Registrable Securities pursuant to the Registration Statement and shall remain in full force and effect, regardless of any termination or cancellation of this Agreement or any investigation made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u w:val="single"/>
        </w:rPr>
        <w:br/>
        <w:t>Transfer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Each Holder acknowledges and agrees that the following legend shall be imprinted on any certificate or book-entry security entitlement evidencing any of the Registrable Securities to the extent that at the time of issuance such Registrable Securities are not covered by an effective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HEREBY HAVE NOT BEEN REGISTERED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OR UNDER THE SECURITIES LAWS OF ANY STATE. THESE SECURITIES ARE SUBJECT TO RESTRICTIONS ON TRANSFERABILITY AND RESALE AND MAY NOT BE TRANSFERRED OR RESOLD EXCEPT AS PERMITTED UNDER THE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ACT AND ANY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legend shall be removed by the Company from any certificate or book-entry security entitlement evidencing the Registrable Securities upon delivery by the holder thereof to the Company of a written request to that effect if at the time of such written request (a) a registration statement under the Securities Act is at that time in effect with respect to the legended security, or (b) the legended security can be transferred in a transaction in compliance with Rule 144, and, in the case of (b), upon the request and in the reasonable discretion of the Company’s transfer agent, the holder of such Registrable Securities executes and delivers a representation letter that includes customary representations regarding the holding requirements and whether such holder is an “affiliate” for purposes of Rule 144. The Company represents and warrants to the Purchasers that the Company is not currently a shell company (as defined in Rule 405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3.2           </w:t>
      </w:r>
      <w:r>
        <w:rPr>
          <w:rFonts w:ascii="Times New Roman;Times;Serif" w:hAnsi="Times New Roman;Times;Serif"/>
          <w:b w:val="false"/>
          <w:i w:val="false"/>
          <w:caps w:val="false"/>
          <w:smallCaps w:val="false"/>
          <w:sz w:val="20"/>
          <w:u w:val="single"/>
        </w:rPr>
        <w:t>Rule 144 Compliance</w:t>
      </w:r>
      <w:r>
        <w:rPr>
          <w:rFonts w:ascii="Times New Roman;Times;Serif" w:hAnsi="Times New Roman;Times;Serif"/>
          <w:b w:val="false"/>
          <w:i w:val="false"/>
          <w:caps w:val="false"/>
          <w:smallCaps w:val="false"/>
          <w:sz w:val="20"/>
        </w:rPr>
        <w:t>. With a view to making available to the Holders of Registrable Securities the benefits of Rule 144 and any other rule or regulation of the SEC that may at any time permit a Holder to sell securities of the Company to the public without registration until such date on which the Holders no longer hold any Registrable Securities, the Company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make and keep public information available, as those terms are understood and defined in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use reasonable best efforts to file with the SEC in a timely manner all reports and other documents required of the Company under the Securities Act and the Exchange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furnish to any Holder of Registrable Securities, promptly upon request, a written statement by the Company as to its compliance with the reporting requirements of Rule 144 and of the Securities Act and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val="false"/>
          <w:smallCaps w:val="false"/>
          <w:sz w:val="20"/>
          <w:u w:val="single"/>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           </w:t>
      </w:r>
      <w:r>
        <w:rPr>
          <w:rFonts w:ascii="Times New Roman;Times;Serif" w:hAnsi="Times New Roman;Times;Serif"/>
          <w:b w:val="false"/>
          <w:i w:val="false"/>
          <w:caps w:val="false"/>
          <w:smallCaps w:val="false"/>
          <w:sz w:val="20"/>
          <w:u w:val="single"/>
        </w:rPr>
        <w:t>Remedies; Specific Performance</w:t>
      </w:r>
      <w:r>
        <w:rPr>
          <w:rFonts w:ascii="Times New Roman;Times;Serif" w:hAnsi="Times New Roman;Times;Serif"/>
          <w:b w:val="false"/>
          <w:i w:val="false"/>
          <w:caps w:val="false"/>
          <w:smallCaps w:val="false"/>
          <w:sz w:val="20"/>
        </w:rPr>
        <w:t>. In the event of a breach or a threatened breach by any party to this Agreement of its obligations under this Agreement, any party injured or to be injured by such breach shall be entitled to specific performance of its rights under this Agreement or to injunctive relief, in addition to being entitled to exercise all rights provided in this Agreement and granted by law, it being agreed by the parties that the remedy at law, including monetary damages, for breach of any such provision will be inadequate compensation for any loss and that any defense or objection in any action for specific performance or injunctive relief for which a remedy at law would be adequate is hereby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4.2           </w:t>
      </w:r>
      <w:r>
        <w:rPr>
          <w:rFonts w:ascii="Times New Roman;Times;Serif" w:hAnsi="Times New Roman;Times;Serif"/>
          <w:b w:val="false"/>
          <w:i w:val="false"/>
          <w:caps w:val="false"/>
          <w:smallCaps w:val="false"/>
          <w:sz w:val="20"/>
          <w:u w:val="single"/>
        </w:rPr>
        <w:t>No Waivers</w:t>
      </w:r>
      <w:r>
        <w:rPr>
          <w:rFonts w:ascii="Times New Roman;Times;Serif" w:hAnsi="Times New Roman;Times;Serif"/>
          <w:b w:val="false"/>
          <w:i w:val="false"/>
          <w:caps w:val="false"/>
          <w:smallCaps w:val="false"/>
          <w:sz w:val="20"/>
        </w:rPr>
        <w:t>.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4.3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provided for herein shall be in writing and shall be delivered by hand or overnight courier service, mailed by certified or registered mail or sent by facsimile or e-mail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BioXcel Therapeutics, Inc.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 Long Wharf Drive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Haven, CT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Chief Financial Officer</w:t>
        <w:br/>
        <w:t xml:space="preserve">Email: </w:t>
      </w:r>
      <w:r>
        <w:rPr>
          <w:rFonts w:ascii="Times New Roman;Times;Serif" w:hAnsi="Times New Roman;Times;Serif"/>
          <w:b w:val="false"/>
          <w:i w:val="false"/>
          <w:caps w:val="false"/>
          <w:smallCaps w:val="false"/>
          <w:sz w:val="20"/>
          <w:u w:val="single"/>
        </w:rPr>
        <w:t>RSteinhart@bioxceltherapeutics.com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Embarcadero Center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20th Floor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94111-4004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Mischi a Marca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gmamarca@cooley.com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to a Purchaser: To the address set forth opposite such Purchaser’s name on </w:t>
      </w:r>
      <w:r>
        <w:rPr>
          <w:rFonts w:ascii="Times New Roman;Times;Serif" w:hAnsi="Times New Roman;Times;Serif"/>
          <w:b/>
          <w:i w:val="false"/>
          <w:caps w:val="false"/>
          <w:smallCaps w:val="false"/>
          <w:sz w:val="20"/>
        </w:rPr>
        <w:t xml:space="preserve">Schedule A </w:t>
      </w:r>
      <w:r>
        <w:rPr>
          <w:rFonts w:ascii="Times New Roman;Times;Serif" w:hAnsi="Times New Roman;Times;Serif"/>
          <w:b w:val="false"/>
          <w:i w:val="false"/>
          <w:caps w:val="false"/>
          <w:smallCaps w:val="false"/>
          <w:sz w:val="20"/>
        </w:rPr>
        <w:t>hereto, or to such other address and/or e-mail address and/or to the attention of such other person as the recipient party has specified by written notice given to each other party at least five days prior to the effectiveness of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br/>
        <w:t>Attn: Ari Blaut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or communications sent by hand or overnight courier service, or mailed by certified or registered mail, shall be deemed to have been given when received, notices or communications sent by facsimile shall be deemed to have been given when sent (except that, if not given during normal business hours for the recipient, such notice or communication shall be deemed to have been sent at the opening of business on the next Business Day for the recipient) and notices or communications sent by e-mail shall be deemed received upon the sender’s receipt of an acknowledgement from the intended recipient (such as by the “return receipt requested” function, as available, return e-mail or other written acknowledgement) (except that, if not given during the normal business hours of the recipient, such notice or communication shall be deemed to have been sent at the opening of business on the next Business Day for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4.5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Section headings herein are included for convenience of reference only and shall not constitute a part hereof for any other purpose or be given any substantive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facsimile or in electronic (i.e., “pdf” or “tif”) format shall be effective as delivery of a manually executed counterpart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4.7           </w:t>
      </w:r>
      <w:r>
        <w:rPr>
          <w:rFonts w:ascii="Times New Roman;Times;Serif" w:hAnsi="Times New Roman;Times;Serif"/>
          <w:b w:val="false"/>
          <w:i w:val="false"/>
          <w:caps w:val="false"/>
          <w:smallCaps w:val="false"/>
          <w:sz w:val="20"/>
          <w:u w:val="single"/>
        </w:rPr>
        <w:t>Governing Law; Disputes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claims,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 xml:space="preserve">Jurisdiction. </w:t>
      </w:r>
      <w:r>
        <w:rPr>
          <w:rFonts w:ascii="Times New Roman;Times;Serif" w:hAnsi="Times New Roman;Times;Serif"/>
          <w:b w:val="false"/>
          <w:i w:val="false"/>
          <w:caps w:val="false"/>
          <w:smallCaps w:val="false"/>
          <w:sz w:val="20"/>
        </w:rPr>
        <w:t>Each party hereto hereby irrevocably and unconditionally agrees that it will not commence any action, litigation or proceeding of any kind or description, whether in law or equity, whether in contract or tort or otherwise, against such other party in any way relating to this Agreement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Waiver of Venue.</w:t>
      </w:r>
      <w:r>
        <w:rPr>
          <w:rFonts w:ascii="Times New Roman;Times;Serif" w:hAnsi="Times New Roman;Times;Serif"/>
          <w:b w:val="false"/>
          <w:i w:val="false"/>
          <w:caps w:val="false"/>
          <w:smallCaps w:val="false"/>
          <w:sz w:val="20"/>
        </w:rPr>
        <w:t xml:space="preserve"> Each party hereto irrevocably waives to the fullest extent permitted by law any objection that it may now or hereafter have to the laying of the venue of any suit, action or proceeding arising out of or relating to this Agreement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party is or may be subject, by suit upon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EACH PARTY HERETO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Service of Process</w:t>
      </w:r>
      <w:r>
        <w:rPr>
          <w:rFonts w:ascii="Times New Roman;Times;Serif" w:hAnsi="Times New Roman;Times;Serif"/>
          <w:b w:val="false"/>
          <w:i w:val="false"/>
          <w:caps w:val="false"/>
          <w:smallCaps w:val="false"/>
          <w:sz w:val="20"/>
        </w:rPr>
        <w:t xml:space="preserve">. Each party hereto irrevocably consents to service of process in the manner provided for notices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4.8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and the rights and obligations evidenced hereby shall be binding upon and inure to the benefit of the parties hereto and their respective the successors and permitted assigns. Neither this Agreement nor any right, benefit, remedy, obligation or liability arising hereunder may be assigned by any party without the prior written consent of the other parties, and any attempted assignment without such consent shall be null and void and of no effect;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that, (a) the rights (and related obligations and liabilities) offered a Holder pursuant to this Agreement shall be assignable (in whole or in part) by such Holder to any transferee of such Holder’s Registrable Securities or Warrants exercisable for Registrable Securities and (b) any such assignment shall be effected hereunder only by giving written notice thereof from both the transferor and the transferee to the Company and the transferee’s execution and delivery to the Company of an executed counterpart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4.9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provision of this Agreement may be amended, waived or modified other than by an instrument in writing signed by the Company and Holders representing at least fifty percent (50%) (by number) of the Registrable Securities then held by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shall terminate with respect to any Holder upon such time as such Holder ceases to hold or beneficially own any remaining Registrable Securities or upon the dissolution, liquidation or winding up of the Company or a Change of Control;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of this Agreement and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survive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4.12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xml:space="preserve">. This Agreement is intended for the sole benefit of the parties hereto and their respective permitted successors and assigns and transferees, and is not for the benefit of, nor may any provision hereof be enforced by, any other person;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parties hereto hereby acknowledge that the Persons set forth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be express third-party beneficiaries of the obligations of the parties hereto set forth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4.13         </w:t>
      </w:r>
      <w:r>
        <w:rPr>
          <w:rFonts w:ascii="Times New Roman;Times;Serif" w:hAnsi="Times New Roman;Times;Serif"/>
          <w:b w:val="false"/>
          <w:i w:val="false"/>
          <w:caps w:val="false"/>
          <w:smallCaps w:val="false"/>
          <w:sz w:val="20"/>
          <w:u w:val="single"/>
        </w:rPr>
        <w:t>Language; Currency</w:t>
      </w:r>
      <w:r>
        <w:rPr>
          <w:rFonts w:ascii="Times New Roman;Times;Serif" w:hAnsi="Times New Roman;Times;Serif"/>
          <w:b w:val="false"/>
          <w:i w:val="false"/>
          <w:caps w:val="false"/>
          <w:smallCaps w:val="false"/>
          <w:sz w:val="20"/>
        </w:rPr>
        <w: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 All references to “$” contained in this Agreement shall refer to United States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remainder of this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duly executed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053" w:type="dxa"/>
        <w:jc w:val="left"/>
        <w:tblInd w:w="0" w:type="dxa"/>
        <w:tblLayout w:type="fixed"/>
        <w:tblCellMar>
          <w:top w:w="0" w:type="dxa"/>
          <w:left w:w="0" w:type="dxa"/>
          <w:bottom w:w="0" w:type="dxa"/>
          <w:right w:w="0" w:type="dxa"/>
        </w:tblCellMar>
      </w:tblPr>
      <w:tblGrid>
        <w:gridCol w:w="80"/>
        <w:gridCol w:w="320"/>
        <w:gridCol w:w="590"/>
        <w:gridCol w:w="2063"/>
      </w:tblGrid>
      <w:tr>
        <w:trPr/>
        <w:tc>
          <w:tcPr>
            <w:tcW w:w="80" w:type="dxa"/>
            <w:tcBorders/>
            <w:vAlign w:val="center"/>
          </w:tcPr>
          <w:p>
            <w:pPr>
              <w:pStyle w:val="TableContents"/>
              <w:bidi w:val="0"/>
              <w:spacing w:before="0" w:after="283"/>
              <w:jc w:val="left"/>
              <w:rPr/>
            </w:pPr>
            <w:r>
              <w:rPr/>
              <w:t> </w:t>
            </w:r>
          </w:p>
        </w:tc>
        <w:tc>
          <w:tcPr>
            <w:tcW w:w="297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 COMPANY:</w:t>
            </w:r>
          </w:p>
        </w:tc>
      </w:tr>
      <w:tr>
        <w:trPr/>
        <w:tc>
          <w:tcPr>
            <w:tcW w:w="80" w:type="dxa"/>
            <w:tcBorders/>
            <w:vAlign w:val="center"/>
          </w:tcPr>
          <w:p>
            <w:pPr>
              <w:pStyle w:val="TableContents"/>
              <w:bidi w:val="0"/>
              <w:spacing w:before="0" w:after="283"/>
              <w:jc w:val="left"/>
              <w:rPr/>
            </w:pPr>
            <w:r>
              <w:rPr/>
              <w:t> </w:t>
            </w:r>
          </w:p>
        </w:tc>
        <w:tc>
          <w:tcPr>
            <w:tcW w:w="2973"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973" w:type="dxa"/>
            <w:gridSpan w:val="3"/>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BioXcel Therapeutics, Inc.</w:t>
            </w:r>
          </w:p>
        </w:tc>
      </w:tr>
      <w:tr>
        <w:trPr/>
        <w:tc>
          <w:tcPr>
            <w:tcW w:w="80" w:type="dxa"/>
            <w:tcBorders/>
            <w:vAlign w:val="center"/>
          </w:tcPr>
          <w:p>
            <w:pPr>
              <w:pStyle w:val="TableContents"/>
              <w:bidi w:val="0"/>
              <w:spacing w:before="0" w:after="283"/>
              <w:jc w:val="left"/>
              <w:rPr/>
            </w:pPr>
            <w:r>
              <w:rPr/>
              <w:t> </w:t>
            </w:r>
          </w:p>
        </w:tc>
        <w:tc>
          <w:tcPr>
            <w:tcW w:w="297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Delaware corporation</w:t>
            </w:r>
          </w:p>
        </w:tc>
      </w:tr>
      <w:tr>
        <w:trPr/>
        <w:tc>
          <w:tcPr>
            <w:tcW w:w="80" w:type="dxa"/>
            <w:tcBorders/>
            <w:vAlign w:val="center"/>
          </w:tcPr>
          <w:p>
            <w:pPr>
              <w:pStyle w:val="TableContents"/>
              <w:bidi w:val="0"/>
              <w:spacing w:before="0" w:after="283"/>
              <w:jc w:val="left"/>
              <w:rPr/>
            </w:pPr>
            <w:r>
              <w:rPr/>
              <w:t> </w:t>
            </w:r>
          </w:p>
        </w:tc>
        <w:tc>
          <w:tcPr>
            <w:tcW w:w="2973"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53"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Vimal Mehta</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68" w:type="dxa"/>
        <w:jc w:val="left"/>
        <w:tblInd w:w="0" w:type="dxa"/>
        <w:tblLayout w:type="fixed"/>
        <w:tblCellMar>
          <w:top w:w="0" w:type="dxa"/>
          <w:left w:w="0" w:type="dxa"/>
          <w:bottom w:w="0" w:type="dxa"/>
          <w:right w:w="0" w:type="dxa"/>
        </w:tblCellMar>
      </w:tblPr>
      <w:tblGrid>
        <w:gridCol w:w="80"/>
        <w:gridCol w:w="499"/>
        <w:gridCol w:w="920"/>
        <w:gridCol w:w="2769"/>
      </w:tblGrid>
      <w:tr>
        <w:trPr/>
        <w:tc>
          <w:tcPr>
            <w:tcW w:w="80"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PURCHASERS:</w:t>
            </w:r>
          </w:p>
        </w:tc>
      </w:tr>
      <w:tr>
        <w:trPr/>
        <w:tc>
          <w:tcPr>
            <w:tcW w:w="80"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OAKTREE-TCDRS STRATEGIC CREDIT, LLC</w:t>
            </w:r>
          </w:p>
        </w:tc>
      </w:tr>
      <w:tr>
        <w:trPr/>
        <w:tc>
          <w:tcPr>
            <w:tcW w:w="80"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80"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6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80"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8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80"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80"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276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8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Gallagly</w:t>
            </w:r>
          </w:p>
        </w:tc>
      </w:tr>
      <w:tr>
        <w:trPr/>
        <w:tc>
          <w:tcPr>
            <w:tcW w:w="80"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Second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98" w:type="dxa"/>
        <w:jc w:val="left"/>
        <w:tblInd w:w="0" w:type="dxa"/>
        <w:tblLayout w:type="fixed"/>
        <w:tblCellMar>
          <w:top w:w="0" w:type="dxa"/>
          <w:left w:w="0" w:type="dxa"/>
          <w:bottom w:w="0" w:type="dxa"/>
          <w:right w:w="0" w:type="dxa"/>
        </w:tblCellMar>
      </w:tblPr>
      <w:tblGrid>
        <w:gridCol w:w="80"/>
        <w:gridCol w:w="645"/>
        <w:gridCol w:w="1190"/>
        <w:gridCol w:w="3583"/>
      </w:tblGrid>
      <w:tr>
        <w:trPr/>
        <w:tc>
          <w:tcPr>
            <w:tcW w:w="80"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b/>
              </w:rPr>
            </w:pPr>
            <w:r>
              <w:rPr>
                <w:b/>
              </w:rPr>
              <w:t>OAKTREE-FORREST MULTI-STRATEGY, LLC</w:t>
            </w:r>
          </w:p>
        </w:tc>
      </w:tr>
      <w:tr>
        <w:trPr/>
        <w:tc>
          <w:tcPr>
            <w:tcW w:w="80"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7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8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77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80"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73"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8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8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3583"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73"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Gallagly</w:t>
            </w:r>
          </w:p>
        </w:tc>
      </w:tr>
      <w:tr>
        <w:trPr/>
        <w:tc>
          <w:tcPr>
            <w:tcW w:w="8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Second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59" w:type="dxa"/>
        <w:jc w:val="left"/>
        <w:tblInd w:w="0" w:type="dxa"/>
        <w:tblLayout w:type="fixed"/>
        <w:tblCellMar>
          <w:top w:w="0" w:type="dxa"/>
          <w:left w:w="0" w:type="dxa"/>
          <w:bottom w:w="0" w:type="dxa"/>
          <w:right w:w="0" w:type="dxa"/>
        </w:tblCellMar>
      </w:tblPr>
      <w:tblGrid>
        <w:gridCol w:w="80"/>
        <w:gridCol w:w="581"/>
        <w:gridCol w:w="1072"/>
        <w:gridCol w:w="3226"/>
      </w:tblGrid>
      <w:tr>
        <w:trPr/>
        <w:tc>
          <w:tcPr>
            <w:tcW w:w="80" w:type="dxa"/>
            <w:tcBorders/>
            <w:vAlign w:val="center"/>
          </w:tcPr>
          <w:p>
            <w:pPr>
              <w:pStyle w:val="TableContents"/>
              <w:bidi w:val="0"/>
              <w:spacing w:before="0" w:after="283"/>
              <w:jc w:val="left"/>
              <w:rPr/>
            </w:pPr>
            <w:r>
              <w:rPr/>
              <w:t> </w:t>
            </w:r>
          </w:p>
        </w:tc>
        <w:tc>
          <w:tcPr>
            <w:tcW w:w="487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OAKTREE-TBMR STRATEGIC CREDIT FUND C, LLC</w:t>
            </w:r>
          </w:p>
        </w:tc>
      </w:tr>
      <w:tr>
        <w:trPr/>
        <w:tc>
          <w:tcPr>
            <w:tcW w:w="80" w:type="dxa"/>
            <w:tcBorders/>
            <w:vAlign w:val="center"/>
          </w:tcPr>
          <w:p>
            <w:pPr>
              <w:pStyle w:val="TableContents"/>
              <w:bidi w:val="0"/>
              <w:spacing w:before="0" w:after="283"/>
              <w:jc w:val="left"/>
              <w:rPr/>
            </w:pPr>
            <w:r>
              <w:rPr/>
              <w:t> </w:t>
            </w:r>
          </w:p>
        </w:tc>
        <w:tc>
          <w:tcPr>
            <w:tcW w:w="4879"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9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8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29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80" w:type="dxa"/>
            <w:tcBorders/>
            <w:vAlign w:val="center"/>
          </w:tcPr>
          <w:p>
            <w:pPr>
              <w:pStyle w:val="TableContents"/>
              <w:bidi w:val="0"/>
              <w:spacing w:before="0" w:after="283"/>
              <w:jc w:val="left"/>
              <w:rPr/>
            </w:pPr>
            <w:r>
              <w:rPr/>
              <w:t> </w:t>
            </w:r>
          </w:p>
        </w:tc>
        <w:tc>
          <w:tcPr>
            <w:tcW w:w="4879"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98"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8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8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 </w:t>
            </w:r>
          </w:p>
        </w:tc>
        <w:tc>
          <w:tcPr>
            <w:tcW w:w="3226"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98"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Gallagly</w:t>
            </w:r>
          </w:p>
        </w:tc>
      </w:tr>
      <w:tr>
        <w:trPr/>
        <w:tc>
          <w:tcPr>
            <w:tcW w:w="8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Second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44" w:type="dxa"/>
        <w:jc w:val="left"/>
        <w:tblInd w:w="0" w:type="dxa"/>
        <w:tblLayout w:type="fixed"/>
        <w:tblCellMar>
          <w:top w:w="0" w:type="dxa"/>
          <w:left w:w="0" w:type="dxa"/>
          <w:bottom w:w="0" w:type="dxa"/>
          <w:right w:w="0" w:type="dxa"/>
        </w:tblCellMar>
      </w:tblPr>
      <w:tblGrid>
        <w:gridCol w:w="80"/>
        <w:gridCol w:w="579"/>
        <w:gridCol w:w="1069"/>
        <w:gridCol w:w="3216"/>
      </w:tblGrid>
      <w:tr>
        <w:trPr/>
        <w:tc>
          <w:tcPr>
            <w:tcW w:w="80" w:type="dxa"/>
            <w:tcBorders/>
            <w:vAlign w:val="center"/>
          </w:tcPr>
          <w:p>
            <w:pPr>
              <w:pStyle w:val="TableContents"/>
              <w:bidi w:val="0"/>
              <w:spacing w:before="0" w:after="283"/>
              <w:jc w:val="left"/>
              <w:rPr/>
            </w:pPr>
            <w:r>
              <w:rPr/>
              <w:t> </w:t>
            </w:r>
          </w:p>
        </w:tc>
        <w:tc>
          <w:tcPr>
            <w:tcW w:w="486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OAKTREE-TBMR STRATEGIC CREDIT FUND F, LLC</w:t>
            </w:r>
          </w:p>
        </w:tc>
      </w:tr>
      <w:tr>
        <w:trPr/>
        <w:tc>
          <w:tcPr>
            <w:tcW w:w="80" w:type="dxa"/>
            <w:tcBorders/>
            <w:vAlign w:val="center"/>
          </w:tcPr>
          <w:p>
            <w:pPr>
              <w:pStyle w:val="TableContents"/>
              <w:bidi w:val="0"/>
              <w:spacing w:before="0" w:after="283"/>
              <w:jc w:val="left"/>
              <w:rPr/>
            </w:pPr>
            <w:r>
              <w:rPr/>
              <w:t> </w:t>
            </w:r>
          </w:p>
        </w:tc>
        <w:tc>
          <w:tcPr>
            <w:tcW w:w="4864"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8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2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80" w:type="dxa"/>
            <w:tcBorders/>
            <w:vAlign w:val="center"/>
          </w:tcPr>
          <w:p>
            <w:pPr>
              <w:pStyle w:val="TableContents"/>
              <w:bidi w:val="0"/>
              <w:spacing w:before="0" w:after="283"/>
              <w:jc w:val="left"/>
              <w:rPr/>
            </w:pPr>
            <w:r>
              <w:rPr/>
              <w:t> </w:t>
            </w:r>
          </w:p>
        </w:tc>
        <w:tc>
          <w:tcPr>
            <w:tcW w:w="4864"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8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8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8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3216"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8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Gallagly</w:t>
            </w:r>
          </w:p>
        </w:tc>
      </w:tr>
      <w:tr>
        <w:trPr/>
        <w:tc>
          <w:tcPr>
            <w:tcW w:w="8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Second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73" w:type="dxa"/>
        <w:jc w:val="left"/>
        <w:tblInd w:w="0" w:type="dxa"/>
        <w:tblLayout w:type="fixed"/>
        <w:tblCellMar>
          <w:top w:w="0" w:type="dxa"/>
          <w:left w:w="0" w:type="dxa"/>
          <w:bottom w:w="0" w:type="dxa"/>
          <w:right w:w="0" w:type="dxa"/>
        </w:tblCellMar>
      </w:tblPr>
      <w:tblGrid>
        <w:gridCol w:w="80"/>
        <w:gridCol w:w="583"/>
        <w:gridCol w:w="1075"/>
        <w:gridCol w:w="3235"/>
      </w:tblGrid>
      <w:tr>
        <w:trPr/>
        <w:tc>
          <w:tcPr>
            <w:tcW w:w="80" w:type="dxa"/>
            <w:tcBorders/>
            <w:vAlign w:val="center"/>
          </w:tcPr>
          <w:p>
            <w:pPr>
              <w:pStyle w:val="TableContents"/>
              <w:bidi w:val="0"/>
              <w:spacing w:before="0" w:after="283"/>
              <w:jc w:val="left"/>
              <w:rPr/>
            </w:pPr>
            <w:r>
              <w:rPr/>
              <w:t> </w:t>
            </w:r>
          </w:p>
        </w:tc>
        <w:tc>
          <w:tcPr>
            <w:tcW w:w="489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OAKTREE-TBMR STRATEGIC CREDIT FUND G, LLC</w:t>
            </w:r>
          </w:p>
        </w:tc>
      </w:tr>
      <w:tr>
        <w:trPr/>
        <w:tc>
          <w:tcPr>
            <w:tcW w:w="80" w:type="dxa"/>
            <w:tcBorders/>
            <w:vAlign w:val="center"/>
          </w:tcPr>
          <w:p>
            <w:pPr>
              <w:pStyle w:val="TableContents"/>
              <w:bidi w:val="0"/>
              <w:spacing w:before="0" w:after="283"/>
              <w:jc w:val="left"/>
              <w:rPr/>
            </w:pPr>
            <w:r>
              <w:rPr/>
              <w:t> </w:t>
            </w:r>
          </w:p>
        </w:tc>
        <w:tc>
          <w:tcPr>
            <w:tcW w:w="4893"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8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3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80" w:type="dxa"/>
            <w:tcBorders/>
            <w:vAlign w:val="center"/>
          </w:tcPr>
          <w:p>
            <w:pPr>
              <w:pStyle w:val="TableContents"/>
              <w:bidi w:val="0"/>
              <w:spacing w:before="0" w:after="283"/>
              <w:jc w:val="left"/>
              <w:rPr/>
            </w:pPr>
            <w:r>
              <w:rPr/>
              <w:t> </w:t>
            </w:r>
          </w:p>
        </w:tc>
        <w:tc>
          <w:tcPr>
            <w:tcW w:w="4893"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1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8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8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c>
          <w:tcPr>
            <w:tcW w:w="323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1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Gallagly</w:t>
            </w:r>
          </w:p>
        </w:tc>
      </w:tr>
      <w:tr>
        <w:trPr/>
        <w:tc>
          <w:tcPr>
            <w:tcW w:w="8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Second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19" w:type="dxa"/>
        <w:jc w:val="left"/>
        <w:tblInd w:w="0" w:type="dxa"/>
        <w:tblLayout w:type="fixed"/>
        <w:tblCellMar>
          <w:top w:w="0" w:type="dxa"/>
          <w:left w:w="0" w:type="dxa"/>
          <w:bottom w:w="0" w:type="dxa"/>
          <w:right w:w="0" w:type="dxa"/>
        </w:tblCellMar>
      </w:tblPr>
      <w:tblGrid>
        <w:gridCol w:w="80"/>
        <w:gridCol w:w="624"/>
        <w:gridCol w:w="1151"/>
        <w:gridCol w:w="3464"/>
      </w:tblGrid>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b/>
              </w:rPr>
            </w:pPr>
            <w:r>
              <w:rPr>
                <w:b/>
              </w:rPr>
              <w:t>OAKTREE-TSE 16 STRATEGIC CREDIT, LLC</w:t>
            </w:r>
          </w:p>
        </w:tc>
      </w:tr>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6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1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4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left"/>
              <w:rPr/>
            </w:pPr>
            <w:r>
              <w:rPr/>
              <w:t> </w:t>
            </w:r>
          </w:p>
        </w:tc>
        <w:tc>
          <w:tcPr>
            <w:tcW w:w="3464"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1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4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Gallagly</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Second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88" w:type="dxa"/>
        <w:jc w:val="left"/>
        <w:tblInd w:w="0" w:type="dxa"/>
        <w:tblLayout w:type="fixed"/>
        <w:tblCellMar>
          <w:top w:w="0" w:type="dxa"/>
          <w:left w:w="0" w:type="dxa"/>
          <w:bottom w:w="0" w:type="dxa"/>
          <w:right w:w="0" w:type="dxa"/>
        </w:tblCellMar>
      </w:tblPr>
      <w:tblGrid>
        <w:gridCol w:w="80"/>
        <w:gridCol w:w="620"/>
        <w:gridCol w:w="1144"/>
        <w:gridCol w:w="3444"/>
      </w:tblGrid>
      <w:tr>
        <w:trPr/>
        <w:tc>
          <w:tcPr>
            <w:tcW w:w="80" w:type="dxa"/>
            <w:tcBorders/>
            <w:vAlign w:val="center"/>
          </w:tcPr>
          <w:p>
            <w:pPr>
              <w:pStyle w:val="TableContents"/>
              <w:bidi w:val="0"/>
              <w:spacing w:before="0" w:after="283"/>
              <w:jc w:val="left"/>
              <w:rPr/>
            </w:pPr>
            <w:r>
              <w:rPr/>
              <w:t> </w:t>
            </w:r>
          </w:p>
        </w:tc>
        <w:tc>
          <w:tcPr>
            <w:tcW w:w="5208" w:type="dxa"/>
            <w:gridSpan w:val="3"/>
            <w:tcBorders/>
            <w:vAlign w:val="center"/>
          </w:tcPr>
          <w:p>
            <w:pPr>
              <w:pStyle w:val="TableContents"/>
              <w:bidi w:val="0"/>
              <w:spacing w:before="0" w:after="283"/>
              <w:jc w:val="left"/>
              <w:rPr>
                <w:b/>
              </w:rPr>
            </w:pPr>
            <w:r>
              <w:rPr>
                <w:b/>
              </w:rPr>
              <w:t>INPRS STRATEGIC CREDIT HOLDINGS,LLC</w:t>
            </w:r>
          </w:p>
        </w:tc>
      </w:tr>
      <w:tr>
        <w:trPr/>
        <w:tc>
          <w:tcPr>
            <w:tcW w:w="80" w:type="dxa"/>
            <w:tcBorders/>
            <w:vAlign w:val="center"/>
          </w:tcPr>
          <w:p>
            <w:pPr>
              <w:pStyle w:val="TableContents"/>
              <w:bidi w:val="0"/>
              <w:spacing w:before="0" w:after="283"/>
              <w:jc w:val="left"/>
              <w:rPr/>
            </w:pPr>
            <w:r>
              <w:rPr/>
              <w:t> </w:t>
            </w:r>
          </w:p>
        </w:tc>
        <w:tc>
          <w:tcPr>
            <w:tcW w:w="5208"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8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8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58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80" w:type="dxa"/>
            <w:tcBorders/>
            <w:vAlign w:val="center"/>
          </w:tcPr>
          <w:p>
            <w:pPr>
              <w:pStyle w:val="TableContents"/>
              <w:bidi w:val="0"/>
              <w:spacing w:before="0" w:after="283"/>
              <w:jc w:val="left"/>
              <w:rPr/>
            </w:pPr>
            <w:r>
              <w:rPr/>
              <w:t> </w:t>
            </w:r>
          </w:p>
        </w:tc>
        <w:tc>
          <w:tcPr>
            <w:tcW w:w="5208"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88"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4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8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8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3444"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88"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4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Gallagly</w:t>
            </w:r>
          </w:p>
        </w:tc>
      </w:tr>
      <w:tr>
        <w:trPr/>
        <w:tc>
          <w:tcPr>
            <w:tcW w:w="8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Second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03" w:type="dxa"/>
        <w:jc w:val="left"/>
        <w:tblInd w:w="0" w:type="dxa"/>
        <w:tblLayout w:type="fixed"/>
        <w:tblCellMar>
          <w:top w:w="0" w:type="dxa"/>
          <w:left w:w="0" w:type="dxa"/>
          <w:bottom w:w="0" w:type="dxa"/>
          <w:right w:w="0" w:type="dxa"/>
        </w:tblCellMar>
      </w:tblPr>
      <w:tblGrid>
        <w:gridCol w:w="80"/>
        <w:gridCol w:w="694"/>
        <w:gridCol w:w="1279"/>
        <w:gridCol w:w="3850"/>
      </w:tblGrid>
      <w:tr>
        <w:trPr/>
        <w:tc>
          <w:tcPr>
            <w:tcW w:w="80" w:type="dxa"/>
            <w:tcBorders/>
            <w:vAlign w:val="center"/>
          </w:tcPr>
          <w:p>
            <w:pPr>
              <w:pStyle w:val="TableContents"/>
              <w:bidi w:val="0"/>
              <w:spacing w:before="0" w:after="283"/>
              <w:jc w:val="left"/>
              <w:rPr/>
            </w:pPr>
            <w:r>
              <w:rPr/>
              <w:t> </w:t>
            </w:r>
          </w:p>
        </w:tc>
        <w:tc>
          <w:tcPr>
            <w:tcW w:w="5823" w:type="dxa"/>
            <w:gridSpan w:val="3"/>
            <w:tcBorders/>
            <w:vAlign w:val="center"/>
          </w:tcPr>
          <w:p>
            <w:pPr>
              <w:pStyle w:val="TableContents"/>
              <w:bidi w:val="0"/>
              <w:spacing w:before="0" w:after="283"/>
              <w:jc w:val="left"/>
              <w:rPr>
                <w:b/>
              </w:rPr>
            </w:pPr>
            <w:r>
              <w:rPr>
                <w:b/>
              </w:rPr>
              <w:t>OAKTREE SPECIALTY LENDING CORPORATION</w:t>
            </w:r>
          </w:p>
        </w:tc>
      </w:tr>
      <w:tr>
        <w:trPr/>
        <w:tc>
          <w:tcPr>
            <w:tcW w:w="80" w:type="dxa"/>
            <w:tcBorders/>
            <w:vAlign w:val="center"/>
          </w:tcPr>
          <w:p>
            <w:pPr>
              <w:pStyle w:val="TableContents"/>
              <w:bidi w:val="0"/>
              <w:spacing w:before="0" w:after="283"/>
              <w:jc w:val="left"/>
              <w:rPr/>
            </w:pPr>
            <w:r>
              <w:rPr/>
              <w:t> </w:t>
            </w:r>
          </w:p>
        </w:tc>
        <w:tc>
          <w:tcPr>
            <w:tcW w:w="5823"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29" w:type="dxa"/>
            <w:gridSpan w:val="2"/>
            <w:tcBorders/>
            <w:vAlign w:val="center"/>
          </w:tcPr>
          <w:p>
            <w:pPr>
              <w:pStyle w:val="TableContents"/>
              <w:bidi w:val="0"/>
              <w:spacing w:before="0" w:after="283"/>
              <w:jc w:val="left"/>
              <w:rPr/>
            </w:pPr>
            <w:r>
              <w:rPr/>
              <w:t>Oaktree Fund Advisors, LLC</w:t>
            </w:r>
          </w:p>
        </w:tc>
      </w:tr>
      <w:tr>
        <w:trPr/>
        <w:tc>
          <w:tcPr>
            <w:tcW w:w="8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51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Adviser</w:t>
            </w:r>
          </w:p>
        </w:tc>
      </w:tr>
      <w:tr>
        <w:trPr/>
        <w:tc>
          <w:tcPr>
            <w:tcW w:w="80" w:type="dxa"/>
            <w:tcBorders/>
            <w:vAlign w:val="center"/>
          </w:tcPr>
          <w:p>
            <w:pPr>
              <w:pStyle w:val="TableContents"/>
              <w:bidi w:val="0"/>
              <w:spacing w:before="0" w:after="283"/>
              <w:jc w:val="left"/>
              <w:rPr/>
            </w:pPr>
            <w:r>
              <w:rPr/>
              <w:t> </w:t>
            </w:r>
          </w:p>
        </w:tc>
        <w:tc>
          <w:tcPr>
            <w:tcW w:w="5823"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2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8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8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c>
          <w:tcPr>
            <w:tcW w:w="385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2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Gallagly</w:t>
            </w:r>
          </w:p>
        </w:tc>
      </w:tr>
      <w:tr>
        <w:trPr/>
        <w:tc>
          <w:tcPr>
            <w:tcW w:w="8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Second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39" w:type="dxa"/>
        <w:jc w:val="left"/>
        <w:tblInd w:w="0" w:type="dxa"/>
        <w:tblLayout w:type="fixed"/>
        <w:tblCellMar>
          <w:top w:w="0" w:type="dxa"/>
          <w:left w:w="0" w:type="dxa"/>
          <w:bottom w:w="0" w:type="dxa"/>
          <w:right w:w="0" w:type="dxa"/>
        </w:tblCellMar>
      </w:tblPr>
      <w:tblGrid>
        <w:gridCol w:w="80"/>
        <w:gridCol w:w="424"/>
        <w:gridCol w:w="782"/>
        <w:gridCol w:w="2353"/>
      </w:tblGrid>
      <w:tr>
        <w:trPr/>
        <w:tc>
          <w:tcPr>
            <w:tcW w:w="80" w:type="dxa"/>
            <w:tcBorders/>
            <w:vAlign w:val="center"/>
          </w:tcPr>
          <w:p>
            <w:pPr>
              <w:pStyle w:val="TableContents"/>
              <w:bidi w:val="0"/>
              <w:spacing w:before="0" w:after="283"/>
              <w:jc w:val="left"/>
              <w:rPr/>
            </w:pPr>
            <w:r>
              <w:rPr/>
              <w:t> </w:t>
            </w:r>
          </w:p>
        </w:tc>
        <w:tc>
          <w:tcPr>
            <w:tcW w:w="355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 STRATEGIC CREDIT FUND</w:t>
            </w:r>
          </w:p>
        </w:tc>
      </w:tr>
      <w:tr>
        <w:trPr/>
        <w:tc>
          <w:tcPr>
            <w:tcW w:w="80" w:type="dxa"/>
            <w:tcBorders/>
            <w:vAlign w:val="center"/>
          </w:tcPr>
          <w:p>
            <w:pPr>
              <w:pStyle w:val="TableContents"/>
              <w:bidi w:val="0"/>
              <w:spacing w:before="0" w:after="283"/>
              <w:jc w:val="left"/>
              <w:rPr/>
            </w:pPr>
            <w:r>
              <w:rPr/>
              <w:t> </w:t>
            </w:r>
          </w:p>
        </w:tc>
        <w:tc>
          <w:tcPr>
            <w:tcW w:w="3559"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35" w:type="dxa"/>
            <w:gridSpan w:val="2"/>
            <w:tcBorders/>
            <w:vAlign w:val="center"/>
          </w:tcPr>
          <w:p>
            <w:pPr>
              <w:pStyle w:val="TableContents"/>
              <w:bidi w:val="0"/>
              <w:spacing w:before="0" w:after="283"/>
              <w:jc w:val="left"/>
              <w:rPr/>
            </w:pPr>
            <w:r>
              <w:rPr/>
              <w:t>Oaktree Fund Advisors, LLC</w:t>
            </w:r>
          </w:p>
        </w:tc>
      </w:tr>
      <w:tr>
        <w:trPr/>
        <w:tc>
          <w:tcPr>
            <w:tcW w:w="8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13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Adviser</w:t>
            </w:r>
          </w:p>
        </w:tc>
      </w:tr>
      <w:tr>
        <w:trPr/>
        <w:tc>
          <w:tcPr>
            <w:tcW w:w="80" w:type="dxa"/>
            <w:tcBorders/>
            <w:vAlign w:val="center"/>
          </w:tcPr>
          <w:p>
            <w:pPr>
              <w:pStyle w:val="TableContents"/>
              <w:bidi w:val="0"/>
              <w:spacing w:before="0" w:after="283"/>
              <w:jc w:val="left"/>
              <w:rPr/>
            </w:pPr>
            <w:r>
              <w:rPr/>
              <w:t> </w:t>
            </w:r>
          </w:p>
        </w:tc>
        <w:tc>
          <w:tcPr>
            <w:tcW w:w="3559"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3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8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8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2353"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3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Gallagly</w:t>
            </w:r>
          </w:p>
        </w:tc>
      </w:tr>
      <w:tr>
        <w:trPr/>
        <w:tc>
          <w:tcPr>
            <w:tcW w:w="8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Second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08" w:type="dxa"/>
        <w:jc w:val="left"/>
        <w:tblInd w:w="0" w:type="dxa"/>
        <w:tblLayout w:type="fixed"/>
        <w:tblCellMar>
          <w:top w:w="0" w:type="dxa"/>
          <w:left w:w="0" w:type="dxa"/>
          <w:bottom w:w="0" w:type="dxa"/>
          <w:right w:w="0" w:type="dxa"/>
        </w:tblCellMar>
      </w:tblPr>
      <w:tblGrid>
        <w:gridCol w:w="80"/>
        <w:gridCol w:w="563"/>
        <w:gridCol w:w="1039"/>
        <w:gridCol w:w="3126"/>
      </w:tblGrid>
      <w:tr>
        <w:trPr/>
        <w:tc>
          <w:tcPr>
            <w:tcW w:w="8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 GCP FUND DELAWARE HOLDINGS, L.P.</w:t>
            </w:r>
          </w:p>
        </w:tc>
      </w:tr>
      <w:tr>
        <w:trPr/>
        <w:tc>
          <w:tcPr>
            <w:tcW w:w="8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Global Credit Plus Fund GP, L.P.</w:t>
            </w:r>
          </w:p>
        </w:tc>
      </w:tr>
      <w:tr>
        <w:trPr/>
        <w:tc>
          <w:tcPr>
            <w:tcW w:w="8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1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8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4165"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Global Credit Plus Fund GP Ltd.</w:t>
            </w:r>
          </w:p>
        </w:tc>
      </w:tr>
      <w:tr>
        <w:trPr/>
        <w:tc>
          <w:tcPr>
            <w:tcW w:w="8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1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8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4165"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8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1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8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6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1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8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8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pPr>
            <w:r>
              <w:rPr/>
              <w:t> </w:t>
            </w:r>
          </w:p>
        </w:tc>
        <w:tc>
          <w:tcPr>
            <w:tcW w:w="3126"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6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1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Gallagly</w:t>
            </w:r>
          </w:p>
        </w:tc>
      </w:tr>
      <w:tr>
        <w:trPr/>
        <w:tc>
          <w:tcPr>
            <w:tcW w:w="8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Second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93" w:type="dxa"/>
        <w:jc w:val="left"/>
        <w:tblInd w:w="0" w:type="dxa"/>
        <w:tblLayout w:type="fixed"/>
        <w:tblCellMar>
          <w:top w:w="0" w:type="dxa"/>
          <w:left w:w="0" w:type="dxa"/>
          <w:bottom w:w="0" w:type="dxa"/>
          <w:right w:w="0" w:type="dxa"/>
        </w:tblCellMar>
      </w:tblPr>
      <w:tblGrid>
        <w:gridCol w:w="80"/>
        <w:gridCol w:w="633"/>
        <w:gridCol w:w="1167"/>
        <w:gridCol w:w="3513"/>
      </w:tblGrid>
      <w:tr>
        <w:trPr/>
        <w:tc>
          <w:tcPr>
            <w:tcW w:w="80" w:type="dxa"/>
            <w:tcBorders/>
            <w:vAlign w:val="center"/>
          </w:tcPr>
          <w:p>
            <w:pPr>
              <w:pStyle w:val="TableContents"/>
              <w:bidi w:val="0"/>
              <w:spacing w:before="0" w:after="283"/>
              <w:jc w:val="left"/>
              <w:rPr/>
            </w:pPr>
            <w:r>
              <w:rPr/>
              <w:t> </w:t>
            </w:r>
          </w:p>
        </w:tc>
        <w:tc>
          <w:tcPr>
            <w:tcW w:w="5313" w:type="dxa"/>
            <w:gridSpan w:val="3"/>
            <w:tcBorders/>
            <w:vAlign w:val="center"/>
          </w:tcPr>
          <w:p>
            <w:pPr>
              <w:pStyle w:val="TableContents"/>
              <w:bidi w:val="0"/>
              <w:spacing w:before="0" w:after="283"/>
              <w:jc w:val="left"/>
              <w:rPr>
                <w:b/>
              </w:rPr>
            </w:pPr>
            <w:r>
              <w:rPr>
                <w:b/>
              </w:rPr>
              <w:t>OAKTREE DIVERSIFIED INCOME FUND INC.</w:t>
            </w:r>
          </w:p>
        </w:tc>
      </w:tr>
      <w:tr>
        <w:trPr/>
        <w:tc>
          <w:tcPr>
            <w:tcW w:w="80" w:type="dxa"/>
            <w:tcBorders/>
            <w:vAlign w:val="center"/>
          </w:tcPr>
          <w:p>
            <w:pPr>
              <w:pStyle w:val="TableContents"/>
              <w:bidi w:val="0"/>
              <w:spacing w:before="0" w:after="283"/>
              <w:jc w:val="left"/>
              <w:rPr/>
            </w:pPr>
            <w:r>
              <w:rPr/>
              <w:t> </w:t>
            </w:r>
          </w:p>
        </w:tc>
        <w:tc>
          <w:tcPr>
            <w:tcW w:w="5313"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80" w:type="dxa"/>
            <w:gridSpan w:val="2"/>
            <w:tcBorders/>
            <w:vAlign w:val="center"/>
          </w:tcPr>
          <w:p>
            <w:pPr>
              <w:pStyle w:val="TableContents"/>
              <w:bidi w:val="0"/>
              <w:spacing w:before="0" w:after="283"/>
              <w:jc w:val="left"/>
              <w:rPr/>
            </w:pPr>
            <w:r>
              <w:rPr/>
              <w:t>Oaktree Fund Advisors, LLC</w:t>
            </w:r>
          </w:p>
        </w:tc>
      </w:tr>
      <w:tr>
        <w:trPr/>
        <w:tc>
          <w:tcPr>
            <w:tcW w:w="8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6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Adviser</w:t>
            </w:r>
          </w:p>
        </w:tc>
      </w:tr>
      <w:tr>
        <w:trPr/>
        <w:tc>
          <w:tcPr>
            <w:tcW w:w="80" w:type="dxa"/>
            <w:tcBorders/>
            <w:vAlign w:val="center"/>
          </w:tcPr>
          <w:p>
            <w:pPr>
              <w:pStyle w:val="TableContents"/>
              <w:bidi w:val="0"/>
              <w:spacing w:before="0" w:after="283"/>
              <w:jc w:val="left"/>
              <w:rPr/>
            </w:pPr>
            <w:r>
              <w:rPr/>
              <w:t> </w:t>
            </w:r>
          </w:p>
        </w:tc>
        <w:tc>
          <w:tcPr>
            <w:tcW w:w="5313"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8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8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8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left"/>
              <w:rPr/>
            </w:pPr>
            <w:r>
              <w:rPr/>
              <w:t> </w:t>
            </w:r>
          </w:p>
        </w:tc>
        <w:tc>
          <w:tcPr>
            <w:tcW w:w="3513"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8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Gallagly</w:t>
            </w:r>
          </w:p>
        </w:tc>
      </w:tr>
      <w:tr>
        <w:trPr/>
        <w:tc>
          <w:tcPr>
            <w:tcW w:w="8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Second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38" w:type="dxa"/>
        <w:jc w:val="left"/>
        <w:tblInd w:w="0" w:type="dxa"/>
        <w:tblLayout w:type="fixed"/>
        <w:tblCellMar>
          <w:top w:w="0" w:type="dxa"/>
          <w:left w:w="0" w:type="dxa"/>
          <w:bottom w:w="0" w:type="dxa"/>
          <w:right w:w="0" w:type="dxa"/>
        </w:tblCellMar>
      </w:tblPr>
      <w:tblGrid>
        <w:gridCol w:w="80"/>
        <w:gridCol w:w="674"/>
        <w:gridCol w:w="1243"/>
        <w:gridCol w:w="3741"/>
      </w:tblGrid>
      <w:tr>
        <w:trPr/>
        <w:tc>
          <w:tcPr>
            <w:tcW w:w="80" w:type="dxa"/>
            <w:tcBorders/>
            <w:vAlign w:val="center"/>
          </w:tcPr>
          <w:p>
            <w:pPr>
              <w:pStyle w:val="TableContents"/>
              <w:bidi w:val="0"/>
              <w:spacing w:before="0" w:after="283"/>
              <w:jc w:val="left"/>
              <w:rPr/>
            </w:pPr>
            <w:r>
              <w:rPr/>
              <w:t> </w:t>
            </w:r>
          </w:p>
        </w:tc>
        <w:tc>
          <w:tcPr>
            <w:tcW w:w="5658" w:type="dxa"/>
            <w:gridSpan w:val="3"/>
            <w:tcBorders/>
            <w:vAlign w:val="center"/>
          </w:tcPr>
          <w:p>
            <w:pPr>
              <w:pStyle w:val="TableContents"/>
              <w:bidi w:val="0"/>
              <w:spacing w:before="0" w:after="283"/>
              <w:jc w:val="left"/>
              <w:rPr>
                <w:b/>
              </w:rPr>
            </w:pPr>
            <w:r>
              <w:rPr>
                <w:b/>
              </w:rPr>
              <w:t>OAKTREE AZ STRATEGIC LENDING FUND, L.P.</w:t>
            </w:r>
          </w:p>
        </w:tc>
      </w:tr>
      <w:tr>
        <w:trPr/>
        <w:tc>
          <w:tcPr>
            <w:tcW w:w="80" w:type="dxa"/>
            <w:tcBorders/>
            <w:vAlign w:val="center"/>
          </w:tcPr>
          <w:p>
            <w:pPr>
              <w:pStyle w:val="TableContents"/>
              <w:bidi w:val="0"/>
              <w:spacing w:before="0" w:after="283"/>
              <w:jc w:val="left"/>
              <w:rPr/>
            </w:pPr>
            <w:r>
              <w:rPr/>
              <w:t> </w:t>
            </w:r>
          </w:p>
        </w:tc>
        <w:tc>
          <w:tcPr>
            <w:tcW w:w="5658"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84" w:type="dxa"/>
            <w:gridSpan w:val="2"/>
            <w:tcBorders/>
            <w:vAlign w:val="center"/>
          </w:tcPr>
          <w:p>
            <w:pPr>
              <w:pStyle w:val="TableContents"/>
              <w:bidi w:val="0"/>
              <w:spacing w:before="0" w:after="283"/>
              <w:jc w:val="left"/>
              <w:rPr/>
            </w:pPr>
            <w:r>
              <w:rPr/>
              <w:t>Oaktree AZ Strategic Lending Fund GP, L.P.</w:t>
            </w:r>
          </w:p>
        </w:tc>
      </w:tr>
      <w:tr>
        <w:trPr/>
        <w:tc>
          <w:tcPr>
            <w:tcW w:w="8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9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8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4984"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Fund GP IIA, LLC</w:t>
            </w:r>
          </w:p>
        </w:tc>
      </w:tr>
      <w:tr>
        <w:trPr/>
        <w:tc>
          <w:tcPr>
            <w:tcW w:w="8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9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8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4984"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Fund GP II, L.P.</w:t>
            </w:r>
          </w:p>
        </w:tc>
      </w:tr>
      <w:tr>
        <w:trPr/>
        <w:tc>
          <w:tcPr>
            <w:tcW w:w="8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9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80" w:type="dxa"/>
            <w:tcBorders/>
            <w:vAlign w:val="center"/>
          </w:tcPr>
          <w:p>
            <w:pPr>
              <w:pStyle w:val="TableContents"/>
              <w:bidi w:val="0"/>
              <w:spacing w:before="0" w:after="283"/>
              <w:jc w:val="left"/>
              <w:rPr/>
            </w:pPr>
            <w:r>
              <w:rPr/>
              <w:t> </w:t>
            </w:r>
          </w:p>
        </w:tc>
        <w:tc>
          <w:tcPr>
            <w:tcW w:w="5658"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658"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8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7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8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8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left"/>
              <w:rPr/>
            </w:pPr>
            <w:r>
              <w:rPr/>
              <w:t> </w:t>
            </w:r>
          </w:p>
        </w:tc>
        <w:tc>
          <w:tcPr>
            <w:tcW w:w="3741"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8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7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Gallagly</w:t>
            </w:r>
          </w:p>
        </w:tc>
      </w:tr>
      <w:tr>
        <w:trPr/>
        <w:tc>
          <w:tcPr>
            <w:tcW w:w="8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Second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14" w:type="dxa"/>
        <w:jc w:val="left"/>
        <w:tblInd w:w="0" w:type="dxa"/>
        <w:tblLayout w:type="fixed"/>
        <w:tblCellMar>
          <w:top w:w="0" w:type="dxa"/>
          <w:left w:w="0" w:type="dxa"/>
          <w:bottom w:w="0" w:type="dxa"/>
          <w:right w:w="0" w:type="dxa"/>
        </w:tblCellMar>
      </w:tblPr>
      <w:tblGrid>
        <w:gridCol w:w="80"/>
        <w:gridCol w:w="624"/>
        <w:gridCol w:w="1150"/>
        <w:gridCol w:w="2760"/>
      </w:tblGrid>
      <w:tr>
        <w:trPr/>
        <w:tc>
          <w:tcPr>
            <w:tcW w:w="80" w:type="dxa"/>
            <w:tcBorders/>
            <w:vAlign w:val="center"/>
          </w:tcPr>
          <w:p>
            <w:pPr>
              <w:pStyle w:val="TableContents"/>
              <w:bidi w:val="0"/>
              <w:spacing w:before="0" w:after="283"/>
              <w:jc w:val="left"/>
              <w:rPr/>
            </w:pPr>
            <w:r>
              <w:rPr/>
              <w:t> </w:t>
            </w:r>
          </w:p>
        </w:tc>
        <w:tc>
          <w:tcPr>
            <w:tcW w:w="453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 LSL FUND HOLDINGS EURRC S.À R.L.</w:t>
            </w:r>
          </w:p>
        </w:tc>
      </w:tr>
      <w:tr>
        <w:trPr/>
        <w:tc>
          <w:tcPr>
            <w:tcW w:w="80" w:type="dxa"/>
            <w:tcBorders/>
            <w:vAlign w:val="center"/>
          </w:tcPr>
          <w:p>
            <w:pPr>
              <w:pStyle w:val="TableContents"/>
              <w:bidi w:val="0"/>
              <w:spacing w:before="0" w:after="283"/>
              <w:jc w:val="left"/>
              <w:rPr/>
            </w:pPr>
            <w:r>
              <w:rPr/>
              <w:t> </w:t>
            </w:r>
          </w:p>
        </w:tc>
        <w:tc>
          <w:tcPr>
            <w:tcW w:w="4534" w:type="dxa"/>
            <w:gridSpan w:val="3"/>
            <w:tcBorders/>
            <w:vAlign w:val="center"/>
          </w:tcPr>
          <w:p>
            <w:pPr>
              <w:pStyle w:val="TableContents"/>
              <w:bidi w:val="0"/>
              <w:spacing w:before="0" w:after="283"/>
              <w:jc w:val="left"/>
              <w:rPr>
                <w:sz w:val="4"/>
                <w:szCs w:val="4"/>
              </w:rPr>
            </w:pPr>
            <w:r>
              <w:rPr>
                <w:sz w:val="4"/>
                <w:szCs w:val="4"/>
              </w:rPr>
            </w:r>
          </w:p>
        </w:tc>
      </w:tr>
      <w:tr>
        <w:trPr/>
        <w:tc>
          <w:tcPr>
            <w:tcW w:w="80" w:type="dxa"/>
            <w:tcBorders/>
            <w:vAlign w:val="center"/>
          </w:tcPr>
          <w:p>
            <w:pPr>
              <w:pStyle w:val="TableContents"/>
              <w:bidi w:val="0"/>
              <w:spacing w:before="0" w:after="283"/>
              <w:jc w:val="left"/>
              <w:rPr/>
            </w:pPr>
            <w:r>
              <w:rPr/>
              <w:t> </w:t>
            </w:r>
          </w:p>
        </w:tc>
        <w:tc>
          <w:tcPr>
            <w:tcW w:w="453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26A, boulevard Royal L-2449</w:t>
            </w:r>
          </w:p>
        </w:tc>
      </w:tr>
      <w:tr>
        <w:trPr/>
        <w:tc>
          <w:tcPr>
            <w:tcW w:w="80" w:type="dxa"/>
            <w:tcBorders/>
            <w:vAlign w:val="center"/>
          </w:tcPr>
          <w:p>
            <w:pPr>
              <w:pStyle w:val="TableContents"/>
              <w:bidi w:val="0"/>
              <w:spacing w:before="0" w:after="283"/>
              <w:jc w:val="left"/>
              <w:rPr/>
            </w:pPr>
            <w:r>
              <w:rPr/>
              <w:t> </w:t>
            </w:r>
          </w:p>
        </w:tc>
        <w:tc>
          <w:tcPr>
            <w:tcW w:w="453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Luxembourg, Grand Duchy of Luxembourg</w:t>
            </w:r>
          </w:p>
        </w:tc>
      </w:tr>
      <w:tr>
        <w:trPr/>
        <w:tc>
          <w:tcPr>
            <w:tcW w:w="80" w:type="dxa"/>
            <w:tcBorders/>
            <w:vAlign w:val="center"/>
          </w:tcPr>
          <w:p>
            <w:pPr>
              <w:pStyle w:val="TableContents"/>
              <w:bidi w:val="0"/>
              <w:spacing w:before="0" w:after="283"/>
              <w:jc w:val="left"/>
              <w:rPr/>
            </w:pPr>
            <w:r>
              <w:rPr/>
              <w:t> </w:t>
            </w:r>
          </w:p>
        </w:tc>
        <w:tc>
          <w:tcPr>
            <w:tcW w:w="4534"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R.C.S. Luxembourg Number: B269245</w:t>
            </w:r>
          </w:p>
        </w:tc>
      </w:tr>
      <w:tr>
        <w:trPr/>
        <w:tc>
          <w:tcPr>
            <w:tcW w:w="80" w:type="dxa"/>
            <w:tcBorders/>
            <w:vAlign w:val="center"/>
          </w:tcPr>
          <w:p>
            <w:pPr>
              <w:pStyle w:val="TableContents"/>
              <w:bidi w:val="0"/>
              <w:spacing w:before="0" w:after="283"/>
              <w:jc w:val="left"/>
              <w:rPr/>
            </w:pPr>
            <w:r>
              <w:rPr/>
              <w:t> </w:t>
            </w:r>
          </w:p>
        </w:tc>
        <w:tc>
          <w:tcPr>
            <w:tcW w:w="4534"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1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Martin Eckel</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pPr>
            <w:r>
              <w:rPr/>
              <w:t> </w:t>
            </w:r>
          </w:p>
        </w:tc>
        <w:tc>
          <w:tcPr>
            <w:tcW w:w="276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1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Flora Verrecchia </w:t>
            </w:r>
          </w:p>
        </w:tc>
      </w:tr>
      <w:tr>
        <w:trPr/>
        <w:tc>
          <w:tcPr>
            <w:tcW w:w="8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Second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969" w:type="dxa"/>
        <w:jc w:val="left"/>
        <w:tblInd w:w="0" w:type="dxa"/>
        <w:tblLayout w:type="fixed"/>
        <w:tblCellMar>
          <w:top w:w="0" w:type="dxa"/>
          <w:left w:w="0" w:type="dxa"/>
          <w:bottom w:w="0" w:type="dxa"/>
          <w:right w:w="0" w:type="dxa"/>
        </w:tblCellMar>
      </w:tblPr>
      <w:tblGrid>
        <w:gridCol w:w="80"/>
        <w:gridCol w:w="821"/>
        <w:gridCol w:w="1514"/>
        <w:gridCol w:w="4554"/>
      </w:tblGrid>
      <w:tr>
        <w:trPr/>
        <w:tc>
          <w:tcPr>
            <w:tcW w:w="80" w:type="dxa"/>
            <w:tcBorders/>
            <w:vAlign w:val="center"/>
          </w:tcPr>
          <w:p>
            <w:pPr>
              <w:pStyle w:val="TableContents"/>
              <w:bidi w:val="0"/>
              <w:spacing w:before="0" w:after="283"/>
              <w:jc w:val="left"/>
              <w:rPr/>
            </w:pPr>
            <w:r>
              <w:rPr/>
              <w:t> </w:t>
            </w:r>
          </w:p>
        </w:tc>
        <w:tc>
          <w:tcPr>
            <w:tcW w:w="6889" w:type="dxa"/>
            <w:gridSpan w:val="3"/>
            <w:tcBorders/>
            <w:vAlign w:val="center"/>
          </w:tcPr>
          <w:p>
            <w:pPr>
              <w:pStyle w:val="TableContents"/>
              <w:bidi w:val="0"/>
              <w:spacing w:before="0" w:after="283"/>
              <w:jc w:val="left"/>
              <w:rPr>
                <w:b/>
              </w:rPr>
            </w:pPr>
            <w:r>
              <w:rPr>
                <w:b/>
              </w:rPr>
              <w:t>OAKTREE LSL FUND DELAWARE HOLDINGS EURRC, L.P.</w:t>
            </w:r>
          </w:p>
        </w:tc>
      </w:tr>
      <w:tr>
        <w:trPr/>
        <w:tc>
          <w:tcPr>
            <w:tcW w:w="80" w:type="dxa"/>
            <w:tcBorders/>
            <w:vAlign w:val="center"/>
          </w:tcPr>
          <w:p>
            <w:pPr>
              <w:pStyle w:val="TableContents"/>
              <w:bidi w:val="0"/>
              <w:spacing w:before="0" w:after="283"/>
              <w:jc w:val="left"/>
              <w:rPr/>
            </w:pPr>
            <w:r>
              <w:rPr/>
              <w:t> </w:t>
            </w:r>
          </w:p>
        </w:tc>
        <w:tc>
          <w:tcPr>
            <w:tcW w:w="6889"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6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Life Sciences Lending Fund GP, L.P.</w:t>
            </w:r>
          </w:p>
        </w:tc>
      </w:tr>
      <w:tr>
        <w:trPr/>
        <w:tc>
          <w:tcPr>
            <w:tcW w:w="8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606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8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6068"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6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Life Sciences Lending Fund GP Ltd.</w:t>
            </w:r>
          </w:p>
        </w:tc>
      </w:tr>
      <w:tr>
        <w:trPr/>
        <w:tc>
          <w:tcPr>
            <w:tcW w:w="8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606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8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6068"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6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8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606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80" w:type="dxa"/>
            <w:tcBorders/>
            <w:vAlign w:val="center"/>
          </w:tcPr>
          <w:p>
            <w:pPr>
              <w:pStyle w:val="TableContents"/>
              <w:bidi w:val="0"/>
              <w:spacing w:before="0" w:after="283"/>
              <w:jc w:val="left"/>
              <w:rPr/>
            </w:pPr>
            <w:r>
              <w:rPr/>
              <w:t> </w:t>
            </w:r>
          </w:p>
        </w:tc>
        <w:tc>
          <w:tcPr>
            <w:tcW w:w="6889"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889"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68"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5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8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5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8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pPr>
            <w:r>
              <w:rPr/>
              <w:t> </w:t>
            </w:r>
          </w:p>
        </w:tc>
        <w:tc>
          <w:tcPr>
            <w:tcW w:w="4554"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68"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5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Gallagly</w:t>
            </w:r>
          </w:p>
        </w:tc>
      </w:tr>
      <w:tr>
        <w:trPr/>
        <w:tc>
          <w:tcPr>
            <w:tcW w:w="8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5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Second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00" w:type="dxa"/>
        <w:jc w:val="left"/>
        <w:tblInd w:w="0" w:type="dxa"/>
        <w:tblLayout w:type="fixed"/>
        <w:tblCellMar>
          <w:top w:w="0" w:type="dxa"/>
          <w:left w:w="0" w:type="dxa"/>
          <w:bottom w:w="0" w:type="dxa"/>
          <w:right w:w="0" w:type="dxa"/>
        </w:tblCellMar>
      </w:tblPr>
      <w:tblGrid>
        <w:gridCol w:w="80"/>
        <w:gridCol w:w="320"/>
        <w:gridCol w:w="590"/>
        <w:gridCol w:w="2510"/>
      </w:tblGrid>
      <w:tr>
        <w:trPr/>
        <w:tc>
          <w:tcPr>
            <w:tcW w:w="80" w:type="dxa"/>
            <w:tcBorders/>
            <w:vAlign w:val="center"/>
          </w:tcPr>
          <w:p>
            <w:pPr>
              <w:pStyle w:val="TableContents"/>
              <w:bidi w:val="0"/>
              <w:spacing w:before="0" w:after="283"/>
              <w:jc w:val="left"/>
              <w:rPr/>
            </w:pPr>
            <w:r>
              <w:rPr/>
              <w:t> </w:t>
            </w:r>
          </w:p>
        </w:tc>
        <w:tc>
          <w:tcPr>
            <w:tcW w:w="342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 BOOST HOLDING LLC</w:t>
            </w:r>
          </w:p>
        </w:tc>
      </w:tr>
      <w:tr>
        <w:trPr/>
        <w:tc>
          <w:tcPr>
            <w:tcW w:w="80" w:type="dxa"/>
            <w:tcBorders/>
            <w:vAlign w:val="center"/>
          </w:tcPr>
          <w:p>
            <w:pPr>
              <w:pStyle w:val="TableContents"/>
              <w:bidi w:val="0"/>
              <w:spacing w:before="0" w:after="283"/>
              <w:jc w:val="left"/>
              <w:rPr/>
            </w:pPr>
            <w:r>
              <w:rPr/>
              <w:t> </w:t>
            </w:r>
          </w:p>
        </w:tc>
        <w:tc>
          <w:tcPr>
            <w:tcW w:w="3420"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0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Ahmed Nasser Al-Abdulghani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Second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br/>
        <w:t>Form of Selling Stockholder Questionnaire</w:t>
        <w:br/>
        <w:t>BIOXCEL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SELLING STOCKHOLDER NOTICE AND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of Registrable Securities issued by BioXcel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understands that the Company intends to file with the Securities and Exchange Commission a registration statement on Form S-3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for the registration and the resale under Rule 415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the Registrable Securities in accordance with the terms of the Third Amended and Restated Registration Rights Agreement, dated [●]2024, by and among the Company and the Purchasers party thereto (the “</w:t>
      </w:r>
      <w:r>
        <w:rPr>
          <w:rFonts w:ascii="Times New Roman;Times;Serif" w:hAnsi="Times New Roman;Times;Serif"/>
          <w:b/>
          <w:i/>
          <w:caps w:val="false"/>
          <w:smallCaps w:val="false"/>
          <w:sz w:val="20"/>
        </w:rPr>
        <w:t>Third A&amp;R Registration Rights Agreement</w:t>
      </w:r>
      <w:r>
        <w:rPr>
          <w:rFonts w:ascii="Times New Roman;Times;Serif" w:hAnsi="Times New Roman;Times;Serif"/>
          <w:b w:val="false"/>
          <w:i w:val="false"/>
          <w:caps w:val="false"/>
          <w:smallCaps w:val="false"/>
          <w:sz w:val="20"/>
        </w:rPr>
        <w:t>”). All capitalized terms not otherwise defined herein shall have the meanings ascribed thereto in the Third A&amp;R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sell or otherwise dispose of any Registrable Securities pursuant to the Registration Statement, a holder of Registrable Securities generally will be required to be named as a selling stockholder in the related prospectus or a supplement thereto (as so supplemented,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deliver the Prospectus to purchasers of Registrable Securities (including pursuant to Rule 172 under the Securities Act) and be bound by the provisions of the Third A&amp;R Registration Rights Agreement (including certain indemnification provisions, as described therein). Holders must complete and deliver this notice and questionnaire (“</w:t>
      </w:r>
      <w:r>
        <w:rPr>
          <w:rFonts w:ascii="Times New Roman;Times;Serif" w:hAnsi="Times New Roman;Times;Serif"/>
          <w:b/>
          <w:i/>
          <w:caps w:val="false"/>
          <w:smallCaps w:val="false"/>
          <w:sz w:val="20"/>
        </w:rPr>
        <w:t>Notice and Questionnaire</w:t>
      </w:r>
      <w:r>
        <w:rPr>
          <w:rFonts w:ascii="Times New Roman;Times;Serif" w:hAnsi="Times New Roman;Times;Serif"/>
          <w:b w:val="false"/>
          <w:i w:val="false"/>
          <w:caps w:val="false"/>
          <w:smallCaps w:val="false"/>
          <w:sz w:val="20"/>
        </w:rPr>
        <w:t>”) in order to be named as selling stockholders in the Prospectus. Certain legal consequences arise from being named as a selling stockholder in the Registration Statement and the Prospectus. Holders of Registrable Securities are advised to consult their own securities law counsel regarding the consequences of being named or not named as a selling stockholder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(the “</w:t>
      </w:r>
      <w:r>
        <w:rPr>
          <w:rFonts w:ascii="Times New Roman;Times;Serif" w:hAnsi="Times New Roman;Times;Serif"/>
          <w:b/>
          <w:i/>
          <w:caps w:val="false"/>
          <w:smallCaps w:val="false"/>
          <w:sz w:val="20"/>
        </w:rPr>
        <w:t>Selling Stockholder</w:t>
      </w:r>
      <w:r>
        <w:rPr>
          <w:rFonts w:ascii="Times New Roman;Times;Serif" w:hAnsi="Times New Roman;Times;Serif"/>
          <w:b w:val="false"/>
          <w:i w:val="false"/>
          <w:caps w:val="false"/>
          <w:smallCaps w:val="false"/>
          <w:sz w:val="20"/>
        </w:rPr>
        <w:t>”) of Registrable Securities hereby gives notice to the Company of its intention to sell or otherwise dispose of Registrable Securities owned by it and listed below in Part III(b) pursuant to the Registration Statement. The undersigned, by signing and returning this Notice and Questionnaire, understands and agrees that it will be bound by the terms and conditions of this Notice and Questionnaire and the Third A&amp;R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provides the following information to the Company and represents and warrants that such information is materially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Name: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219"/>
        <w:gridCol w:w="9906"/>
      </w:tblGrid>
      <w:tr>
        <w:trPr/>
        <w:tc>
          <w:tcPr>
            <w:tcW w:w="8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Full legal name of the Selling Stockholder:</w:t>
            </w:r>
          </w:p>
        </w:tc>
      </w:tr>
      <w:tr>
        <w:trPr/>
        <w:tc>
          <w:tcPr>
            <w:tcW w:w="8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906" w:type="dxa"/>
            <w:tcBorders>
              <w:bottom w:val="single" w:sz="8" w:space="0" w:color="000000"/>
            </w:tcBorders>
            <w:tcMar>
              <w:bottom w:w="40"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Full legal name of the registered holder (if not the same as Part I(a) above) through which the Registrable Securities listed in Part III below are held:</w:t>
            </w:r>
          </w:p>
        </w:tc>
      </w:tr>
      <w:tr>
        <w:trPr/>
        <w:tc>
          <w:tcPr>
            <w:tcW w:w="8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90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Full legal name of any natural control person (which means a natural person who directly or indirectly alone or with others has power to vote or dispose of the Registrable Securities listed in Part III below):</w:t>
            </w:r>
          </w:p>
        </w:tc>
      </w:tr>
      <w:tr>
        <w:trPr/>
        <w:tc>
          <w:tcPr>
            <w:tcW w:w="8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906"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Notices to Selling Stockholder:</w:t>
      </w:r>
    </w:p>
    <w:p>
      <w:pPr>
        <w:pStyle w:val="TextBody"/>
        <w:bidi w:val="0"/>
        <w:spacing w:before="0" w:after="0"/>
        <w:ind w:left="0" w:right="0" w:hanging="0"/>
        <w:jc w:val="left"/>
        <w:rPr>
          <w:caps w:val="false"/>
          <w:smallCaps w:val="false"/>
        </w:rPr>
      </w:pPr>
      <w:r>
        <w:rPr>
          <w:caps w:val="false"/>
          <w:smallCaps w:val="false"/>
        </w:rPr>
        <w:t> </w:t>
      </w:r>
    </w:p>
    <w:tbl>
      <w:tblPr>
        <w:tblW w:w="3045" w:type="dxa"/>
        <w:jc w:val="left"/>
        <w:tblInd w:w="0" w:type="dxa"/>
        <w:tblLayout w:type="fixed"/>
        <w:tblCellMar>
          <w:top w:w="0" w:type="dxa"/>
          <w:left w:w="0" w:type="dxa"/>
          <w:bottom w:w="0" w:type="dxa"/>
          <w:right w:w="0" w:type="dxa"/>
        </w:tblCellMar>
      </w:tblPr>
      <w:tblGrid>
        <w:gridCol w:w="80"/>
        <w:gridCol w:w="245"/>
        <w:gridCol w:w="2720"/>
      </w:tblGrid>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Telephone:</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Fax:</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Contact person:</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address of contact person:</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Exhibit A-2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Beneficial Ownership of Registrable Securities:</w:t>
      </w:r>
    </w:p>
    <w:p>
      <w:pPr>
        <w:pStyle w:val="TextBody"/>
        <w:bidi w:val="0"/>
        <w:spacing w:before="0" w:after="0"/>
        <w:ind w:left="0" w:right="0" w:hanging="0"/>
        <w:jc w:val="left"/>
        <w:rPr>
          <w:caps w:val="false"/>
          <w:smallCaps w:val="false"/>
        </w:rPr>
      </w:pPr>
      <w:r>
        <w:rPr>
          <w:caps w:val="false"/>
          <w:smallCaps w:val="false"/>
        </w:rPr>
        <w:t>  </w:t>
      </w:r>
    </w:p>
    <w:tbl>
      <w:tblPr>
        <w:tblW w:w="8820" w:type="dxa"/>
        <w:jc w:val="left"/>
        <w:tblInd w:w="0" w:type="dxa"/>
        <w:tblLayout w:type="fixed"/>
        <w:tblCellMar>
          <w:top w:w="0" w:type="dxa"/>
          <w:left w:w="0" w:type="dxa"/>
          <w:bottom w:w="0" w:type="dxa"/>
          <w:right w:w="0" w:type="dxa"/>
        </w:tblCellMar>
      </w:tblPr>
      <w:tblGrid>
        <w:gridCol w:w="80"/>
        <w:gridCol w:w="245"/>
        <w:gridCol w:w="8495"/>
      </w:tblGrid>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Type and number of Registrable Securities beneficially owned:</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84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84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84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 of Common Stock to be registered for resale pursuant to this Notice and Questionnaire:</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84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84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84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Broker-Dealer Status: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228"/>
        <w:gridCol w:w="9897"/>
      </w:tblGrid>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Are you a broker-dealer?</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rFonts w:ascii="Times New Roman;Times;Serif" w:hAnsi="Times New Roman;Times;Serif"/>
                <w:sz w:val="20"/>
              </w:rPr>
              <w:t xml:space="preserve">Yes </w:t>
            </w:r>
            <w:r>
              <w:rPr/>
              <w:t>☐   No ☐</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you answered “yes” to Part IV(a) above, did you receive your Registrable Securities as compensation for investment banking services provided to the Company?</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rFonts w:ascii="Times New Roman;Times;Serif" w:hAnsi="Times New Roman;Times;Serif"/>
                <w:sz w:val="20"/>
              </w:rPr>
              <w:t xml:space="preserve">Yes </w:t>
            </w:r>
            <w:r>
              <w:rPr/>
              <w:t>☐   No ☐</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Note: If you answered “no”, the SEC’s staff has indicated that you should be identified as an underwriter in the Registration Statement.</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Are you an affiliate of a broker-dealer?</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rFonts w:ascii="Times New Roman;Times;Serif" w:hAnsi="Times New Roman;Times;Serif"/>
                <w:sz w:val="20"/>
              </w:rPr>
              <w:t xml:space="preserve">Yes </w:t>
            </w:r>
            <w:r>
              <w:rPr/>
              <w:t>☐   No ☐</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you answered “yes”, provide a narrative explanation below:</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897"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Exhibit 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205"/>
        <w:gridCol w:w="9920"/>
      </w:tblGrid>
      <w:tr>
        <w:trPr/>
        <w:tc>
          <w:tcPr>
            <w:tcW w:w="8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you are an affiliate of a broker-dealer, do you certify that you bought the Registrable Securities in the ordinary course of business, and at the time of the purchase of the Registrable Securities to be resold, you had no agreements or understandings, directly or indirectly, with any person to distribute the Registrable Securities?</w:t>
            </w:r>
          </w:p>
        </w:tc>
      </w:tr>
      <w:tr>
        <w:trPr/>
        <w:tc>
          <w:tcPr>
            <w:tcW w:w="8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283"/>
              <w:jc w:val="left"/>
              <w:rPr/>
            </w:pPr>
            <w:r>
              <w:rPr>
                <w:rFonts w:ascii="Times New Roman;Times;Serif" w:hAnsi="Times New Roman;Times;Serif"/>
                <w:sz w:val="20"/>
              </w:rPr>
              <w:t xml:space="preserve">Yes </w:t>
            </w:r>
            <w:r>
              <w:rPr/>
              <w:t>☐   No ☐</w:t>
            </w:r>
          </w:p>
        </w:tc>
      </w:tr>
      <w:tr>
        <w:trPr/>
        <w:tc>
          <w:tcPr>
            <w:tcW w:w="8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Note: If you answered “no”, the SEC’s staff has indicated that you should be identified as an underwriter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V. Beneficial Ownership of Other Securities of the Company Owned by the Selling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in this Part V, the undersigned is not the beneficial or registered owner of any securities of the Company, other than the Registrable Securities listed above in Part III.</w:t>
      </w:r>
    </w:p>
    <w:p>
      <w:pPr>
        <w:pStyle w:val="TextBody"/>
        <w:bidi w:val="0"/>
        <w:spacing w:before="0" w:after="0"/>
        <w:ind w:left="0" w:right="0" w:hanging="0"/>
        <w:jc w:val="left"/>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80"/>
        <w:gridCol w:w="65"/>
        <w:gridCol w:w="5345"/>
      </w:tblGrid>
      <w:tr>
        <w:trPr/>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5345" w:type="dxa"/>
            <w:tcBorders/>
            <w:vAlign w:val="center"/>
          </w:tcPr>
          <w:p>
            <w:pPr>
              <w:pStyle w:val="TableContents"/>
              <w:bidi w:val="0"/>
              <w:spacing w:before="0" w:after="283"/>
              <w:jc w:val="left"/>
              <w:rPr/>
            </w:pPr>
            <w:r>
              <w:rPr/>
              <w:t>Type and amount of other securities beneficially owned:</w:t>
            </w:r>
          </w:p>
        </w:tc>
      </w:tr>
      <w:tr>
        <w:trPr/>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3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3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34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VI. Relationships with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207"/>
        <w:gridCol w:w="9918"/>
      </w:tblGrid>
      <w:tr>
        <w:trPr/>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Have you or any of your affiliates, officers, directors or principal equity holders (owners of 5% or more of the equity securities of the undersigned) held any position or office or have you had any other material relationship with the Company (or its predecessors or affiliates) within the past three years?</w:t>
            </w:r>
          </w:p>
        </w:tc>
      </w:tr>
      <w:tr>
        <w:trPr/>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left"/>
              <w:rPr/>
            </w:pPr>
            <w:r>
              <w:rPr>
                <w:rFonts w:ascii="Times New Roman;Times;Serif" w:hAnsi="Times New Roman;Times;Serif"/>
                <w:sz w:val="20"/>
              </w:rPr>
              <w:t>Yes ☐</w:t>
            </w:r>
            <w:r>
              <w:rPr/>
              <w:t>   No ☐</w:t>
            </w:r>
          </w:p>
        </w:tc>
      </w:tr>
      <w:tr>
        <w:trPr/>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your response to Part VI(a) above is “yes”, please state the nature and duration of your relationship with the Company:</w:t>
            </w:r>
          </w:p>
        </w:tc>
      </w:tr>
      <w:tr>
        <w:trPr/>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9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9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918"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Exhibit A-4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VII.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reviewed the form of Plan of Distribution attached as Annex I hereto, and hereby confirms that, except as set forth below, the information contained therein regarding the undersigned and its plan of distribution is correct and complete.</w:t>
      </w:r>
    </w:p>
    <w:p>
      <w:pPr>
        <w:pStyle w:val="TextBody"/>
        <w:bidi w:val="0"/>
        <w:spacing w:before="0" w:after="0"/>
        <w:ind w:left="0" w:right="0" w:hanging="0"/>
        <w:jc w:val="left"/>
        <w:rPr>
          <w:caps w:val="false"/>
          <w:smallCaps w:val="false"/>
        </w:rPr>
      </w:pPr>
      <w:r>
        <w:rPr>
          <w:caps w:val="false"/>
          <w:smallCaps w:val="false"/>
        </w:rPr>
        <w:t> </w:t>
      </w:r>
    </w:p>
    <w:tbl>
      <w:tblPr>
        <w:tblW w:w="2640" w:type="dxa"/>
        <w:jc w:val="left"/>
        <w:tblInd w:w="0" w:type="dxa"/>
        <w:tblLayout w:type="fixed"/>
        <w:tblCellMar>
          <w:top w:w="0" w:type="dxa"/>
          <w:left w:w="0" w:type="dxa"/>
          <w:bottom w:w="0" w:type="dxa"/>
          <w:right w:w="0" w:type="dxa"/>
        </w:tblCellMar>
      </w:tblPr>
      <w:tblGrid>
        <w:gridCol w:w="80"/>
        <w:gridCol w:w="65"/>
        <w:gridCol w:w="2495"/>
      </w:tblGrid>
      <w:tr>
        <w:trPr/>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pPr>
            <w:r>
              <w:rPr/>
              <w:t>State any exceptions here:</w:t>
            </w:r>
          </w:p>
        </w:tc>
      </w:tr>
      <w:tr>
        <w:trPr/>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4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4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4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Exhibit A-5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undersigned agrees to promptly notify the Company of any inaccuracies or changes in the information provided herein that may occur subsequent to the date hereof and prior to the effective date of any applicable Registration Statement. All notices hereunder shall be delivered as set forth in the Third A&amp;R Registration Rights Agreement. In the absence of any such notification, the Company shall be entitled to continue to rely on the accuracy of the information in this Notice and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consents to the disclosure of the information contained herein in its answers to Parts I through VII above and the inclusion of such information in the Registration Statement and the Prospectus. The undersigned understands that such information will be relied upon by the Company in connection with the preparation or amendment of any such Registration Statement and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acknowledges that it understands its obligation to comply, and agrees that it will comply, with the provisions of the Exchange Act and the rules and regulations thereunder, particularly Regulation M in connection with any offering of Registrable Securities pursuant to the Registration Statement. The undersigned also acknowledges that it understands that the answers to this Notice and Questionnaire are furnished for use in connection with registration statements filed pursuant to the Third A&amp;R Registration Rights Agreement and any amendments or supplements thereto filed with the SEC pursuant to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confirms that, to the best of his/her knowledge and belief, the foregoing answers to this Notice and Questionnaire are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by authority duly given, has caused this Notice and Questionnaire to be executed and delivered either in person or by its duly authorized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w:t>
      </w:r>
    </w:p>
    <w:p>
      <w:pPr>
        <w:pStyle w:val="TextBody"/>
        <w:bidi w:val="0"/>
        <w:spacing w:before="0" w:after="0"/>
        <w:ind w:left="0" w:right="0" w:hanging="0"/>
        <w:jc w:val="left"/>
        <w:rPr>
          <w:caps w:val="false"/>
          <w:smallCaps w:val="false"/>
        </w:rPr>
      </w:pPr>
      <w:r>
        <w:rPr>
          <w:caps w:val="false"/>
          <w:smallCaps w:val="false"/>
        </w:rPr>
        <w:t> </w:t>
      </w:r>
    </w:p>
    <w:tbl>
      <w:tblPr>
        <w:tblW w:w="2454" w:type="dxa"/>
        <w:jc w:val="left"/>
        <w:tblInd w:w="0" w:type="dxa"/>
        <w:tblLayout w:type="fixed"/>
        <w:tblCellMar>
          <w:top w:w="0" w:type="dxa"/>
          <w:left w:w="0" w:type="dxa"/>
          <w:bottom w:w="0" w:type="dxa"/>
          <w:right w:w="0" w:type="dxa"/>
        </w:tblCellMar>
      </w:tblPr>
      <w:tblGrid>
        <w:gridCol w:w="80"/>
        <w:gridCol w:w="2037"/>
        <w:gridCol w:w="337"/>
      </w:tblGrid>
      <w:tr>
        <w:trPr/>
        <w:tc>
          <w:tcPr>
            <w:tcW w:w="80" w:type="dxa"/>
            <w:tcBorders/>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Stockholder</w:t>
            </w:r>
          </w:p>
        </w:tc>
      </w:tr>
      <w:tr>
        <w:trPr/>
        <w:tc>
          <w:tcPr>
            <w:tcW w:w="80" w:type="dxa"/>
            <w:tcBorders/>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37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Entity or Individual</w:t>
            </w:r>
          </w:p>
        </w:tc>
      </w:tr>
      <w:tr>
        <w:trPr/>
        <w:tc>
          <w:tcPr>
            <w:tcW w:w="80" w:type="dxa"/>
            <w:tcBorders/>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0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0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3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0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7"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Exhibit A-6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Exhibit A-7</w:t>
      </w:r>
    </w:p>
    <w:p>
      <w:pPr>
        <w:pStyle w:val="TextBody"/>
        <w:bidi w:val="0"/>
        <w:ind w:left="0" w:right="0" w:hanging="0"/>
        <w:jc w:val="left"/>
        <w:rPr/>
      </w:pPr>
      <w:r>
        <w:rPr/>
        <w:t> </w:t>
      </w:r>
    </w:p>
    <w:p>
      <w:pPr>
        <w:pStyle w:val="TextBody"/>
        <w:bidi w:val="0"/>
        <w:jc w:val="right"/>
        <w:rPr>
          <w:b/>
        </w:rPr>
      </w:pPr>
      <w:bookmarkStart w:id="26" w:name="tm2428677d2_ex10-1.htm"/>
      <w:bookmarkStart w:id="27" w:name="kstm2428677d2_ex101"/>
      <w:bookmarkEnd w:id="26"/>
      <w:bookmarkEnd w:id="27"/>
      <w:r>
        <w:rPr>
          <w:b/>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FIFTH AMENDMENT TO Credit agreement AND guaranty AND FIRST</w:t>
        <w:br/>
        <w:t>AMENDMENT TO FOURTH AMENDMENT TO CREDIT AGREEMENT AND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Fifth Amendment to Credit Agreement and Guaranty and First Amendment to Fourth Amendment to Credit Agreement and Guaranty (this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is made as of November 21, 2024 (the “</w:t>
      </w:r>
      <w:r>
        <w:rPr>
          <w:rFonts w:ascii="Times New Roman;Times;Serif" w:hAnsi="Times New Roman;Times;Serif"/>
          <w:b/>
          <w:i/>
          <w:caps w:val="false"/>
          <w:smallCaps w:val="false"/>
          <w:sz w:val="20"/>
        </w:rPr>
        <w:t>Fifth Amendment Date</w:t>
      </w:r>
      <w:r>
        <w:rPr>
          <w:rFonts w:ascii="Times New Roman;Times;Serif" w:hAnsi="Times New Roman;Times;Serif"/>
          <w:b w:val="false"/>
          <w:i w:val="false"/>
          <w:caps w:val="false"/>
          <w:smallCaps w:val="false"/>
          <w:sz w:val="20"/>
        </w:rPr>
        <w:t>”), by and among BIOXCEL THERAPEUTICS, INC., a Delaware corporation (the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the lenders party hereto (collectively,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and individually, a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and OAKTREE FUND ADMINISTRATION, LLC, as administrative agent on behalf of the Lenders (in such capacity, together with its successors and assigns,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the Administrative Agent and the Lenders previously entered into that certain Credit Agreement and Guaranty, dated as of April 19, 2022 (including the exhibits and other attachments thereto, as amended by that certain Waiver and First Amendment to Credit Agreement and Guaranty, dated as of November 13, 2023, that certain Second Amendment to Credit Agreement and Guaranty and Termination of Revenue Interest Financing, dated as of December 5, 2023, that certain Third Amendment to Credit Agreement, dated as of February 12, 2024, and that certain Fourth Amendment to Credit Agreement and Guaranty, dated as of March 20, 2024 (the “</w:t>
      </w:r>
      <w:r>
        <w:rPr>
          <w:rFonts w:ascii="Times New Roman;Times;Serif" w:hAnsi="Times New Roman;Times;Serif"/>
          <w:b/>
          <w:i/>
          <w:caps w:val="false"/>
          <w:smallCaps w:val="false"/>
          <w:sz w:val="20"/>
        </w:rPr>
        <w:t>Fourth Amendment</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Existing Credit Agreement</w:t>
      </w:r>
      <w:r>
        <w:rPr>
          <w:rFonts w:ascii="Times New Roman;Times;Serif" w:hAnsi="Times New Roman;Times;Serif"/>
          <w:b w:val="false"/>
          <w:i w:val="false"/>
          <w:caps w:val="false"/>
          <w:smallCaps w:val="false"/>
          <w:sz w:val="20"/>
        </w:rPr>
        <w:t>”, and as further amended by this Amendment, the “</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the Administrative Agent and the Lenders have agreed to amend the Fourth Amendment and the Existing Credit Agreement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above premises and other good and valuable consideration, the receipt and sufficiency of which is hereby acknowledged by the parties hereto, each of the Borrower, the Administrative Agent and the Lenders party hereto hereby covenant and agree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1.</w:t>
            </w:r>
          </w:p>
        </w:tc>
        <w:tc>
          <w:tcPr>
            <w:tcW w:w="10013" w:type="dxa"/>
            <w:tcBorders/>
            <w:vAlign w:val="center"/>
          </w:tcPr>
          <w:p>
            <w:pPr>
              <w:pStyle w:val="TableContents"/>
              <w:bidi w:val="0"/>
              <w:spacing w:before="0" w:after="283"/>
              <w:jc w:val="both"/>
              <w:rPr/>
            </w:pPr>
            <w:r>
              <w:rPr>
                <w:u w:val="single"/>
              </w:rPr>
              <w:t>Definitions</w:t>
            </w:r>
            <w:r>
              <w:rPr/>
              <w:t>. Capitalized terms used herein and not otherwise defined herein shall have the meanings assigned to such terms in the Existing Credit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2.</w:t>
            </w:r>
          </w:p>
        </w:tc>
        <w:tc>
          <w:tcPr>
            <w:tcW w:w="10007" w:type="dxa"/>
            <w:tcBorders/>
            <w:vAlign w:val="center"/>
          </w:tcPr>
          <w:p>
            <w:pPr>
              <w:pStyle w:val="TableContents"/>
              <w:bidi w:val="0"/>
              <w:spacing w:before="0" w:after="283"/>
              <w:jc w:val="both"/>
              <w:rPr/>
            </w:pPr>
            <w:r>
              <w:rPr>
                <w:u w:val="single"/>
              </w:rPr>
              <w:t>Amendments to the Existing Credit Agreement</w:t>
            </w:r>
            <w:r>
              <w:rPr/>
              <w:t>. Subject to the satisfaction of the conditions precedent specified in Section 5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(a)</w:t>
            </w:r>
          </w:p>
        </w:tc>
        <w:tc>
          <w:tcPr>
            <w:tcW w:w="9987" w:type="dxa"/>
            <w:tcBorders/>
            <w:vAlign w:val="center"/>
          </w:tcPr>
          <w:p>
            <w:pPr>
              <w:pStyle w:val="TableContents"/>
              <w:bidi w:val="0"/>
              <w:spacing w:before="0" w:after="283"/>
              <w:jc w:val="both"/>
              <w:rPr/>
            </w:pPr>
            <w:r>
              <w:rPr/>
              <w:t xml:space="preserve">The Existing Credit Agreement (excluding the Exhibits thereto) shall be amended as set forth on </w:t>
            </w:r>
            <w:r>
              <w:rPr>
                <w:u w:val="single"/>
              </w:rPr>
              <w:t>Exhibit A</w:t>
            </w:r>
            <w:r>
              <w:rPr/>
              <w:t xml:space="preserve"> to this Amendment. Language inserted into the applicable section of the Existing Credit Agreement is evidenced by double underline formatting (indicated textually in the same manner as the following example: </w:t>
            </w:r>
            <w:r>
              <w:rPr>
                <w:color w:val="0000FF"/>
                <w:u w:val="single"/>
              </w:rPr>
              <w:t>double underlined text</w:t>
            </w:r>
            <w:r>
              <w:rPr/>
              <w:t xml:space="preserve">). Language deleted from the applicable section of the Existing Credit Agreement is evidenced by strike-through formatting (indicated textually in the same manner as the following example: </w:t>
            </w:r>
            <w:r>
              <w:rPr>
                <w:strike/>
                <w:color w:val="FF0000"/>
              </w:rPr>
              <w:t>stricken text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245"/>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(b)</w:t>
            </w:r>
          </w:p>
        </w:tc>
        <w:tc>
          <w:tcPr>
            <w:tcW w:w="7250" w:type="dxa"/>
            <w:tcBorders/>
            <w:vAlign w:val="center"/>
          </w:tcPr>
          <w:p>
            <w:pPr>
              <w:pStyle w:val="TableContents"/>
              <w:bidi w:val="0"/>
              <w:spacing w:before="0" w:after="283"/>
              <w:jc w:val="both"/>
              <w:rPr/>
            </w:pPr>
            <w:r>
              <w:rPr/>
              <w:t>Schedule 3 to the Existing Credit Agreement is hereby deleted in its entirety.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3.</w:t>
            </w:r>
          </w:p>
        </w:tc>
        <w:tc>
          <w:tcPr>
            <w:tcW w:w="10045" w:type="dxa"/>
            <w:tcBorders/>
            <w:vAlign w:val="center"/>
          </w:tcPr>
          <w:p>
            <w:pPr>
              <w:pStyle w:val="TableContents"/>
              <w:bidi w:val="0"/>
              <w:spacing w:before="0" w:after="283"/>
              <w:jc w:val="left"/>
              <w:rPr/>
            </w:pPr>
            <w:r>
              <w:rPr>
                <w:u w:val="single"/>
              </w:rPr>
              <w:t>Amendments to the Fourth Amendment</w:t>
            </w:r>
            <w:r>
              <w:rPr/>
              <w:t>. Subject to the satisfaction of the conditions precedent specified in Section 5 hereof, the Fourth Amendment is hereby amended by amending and restating Section 5(b)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4.</w:t>
            </w:r>
          </w:p>
        </w:tc>
        <w:tc>
          <w:tcPr>
            <w:tcW w:w="10055" w:type="dxa"/>
            <w:tcBorders/>
            <w:vAlign w:val="center"/>
          </w:tcPr>
          <w:p>
            <w:pPr>
              <w:pStyle w:val="TableContents"/>
              <w:bidi w:val="0"/>
              <w:spacing w:before="0" w:after="283"/>
              <w:jc w:val="left"/>
              <w:rPr/>
            </w:pPr>
            <w:r>
              <w:rPr>
                <w:u w:val="single"/>
              </w:rPr>
              <w:t>Reaffirmation of Loan Documents</w:t>
            </w:r>
            <w:r>
              <w:rPr/>
              <w:t>. Except as otherwise expressly provided herein, the parties hereto agree that all terms and conditions of the Existing Credit Agreement and the other Loan Documents remain in full force and effect. The Borrower hereby confirms that the Security Documents and all of the Collateral described therein do, and shall continue to, secure the payment in full and performance of all of the Obligations.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5.</w:t>
            </w:r>
          </w:p>
        </w:tc>
        <w:tc>
          <w:tcPr>
            <w:tcW w:w="10030" w:type="dxa"/>
            <w:tcBorders/>
            <w:vAlign w:val="center"/>
          </w:tcPr>
          <w:p>
            <w:pPr>
              <w:pStyle w:val="TableContents"/>
              <w:bidi w:val="0"/>
              <w:spacing w:before="0" w:after="283"/>
              <w:jc w:val="both"/>
              <w:rPr/>
            </w:pPr>
            <w:r>
              <w:rPr>
                <w:u w:val="single"/>
              </w:rPr>
              <w:t>Conditions Precedent to Effectiveness</w:t>
            </w:r>
            <w:r>
              <w:rPr/>
              <w:t>. The effectiveness of this Amendment shall be subject to the following conditions precedent: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(a)</w:t>
            </w:r>
          </w:p>
        </w:tc>
        <w:tc>
          <w:tcPr>
            <w:tcW w:w="9968" w:type="dxa"/>
            <w:tcBorders/>
            <w:vAlign w:val="center"/>
          </w:tcPr>
          <w:p>
            <w:pPr>
              <w:pStyle w:val="TableContents"/>
              <w:bidi w:val="0"/>
              <w:spacing w:before="0" w:after="283"/>
              <w:jc w:val="left"/>
              <w:rPr/>
            </w:pPr>
            <w:r>
              <w:rPr/>
              <w:t>This Amendment shall have been duly executed and delivered to the Administrative Agent by the Borrower and the Lenders, which constitute all of the Lenders under the Existing Credit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(b)</w:t>
            </w:r>
          </w:p>
        </w:tc>
        <w:tc>
          <w:tcPr>
            <w:tcW w:w="9964" w:type="dxa"/>
            <w:tcBorders/>
            <w:vAlign w:val="center"/>
          </w:tcPr>
          <w:p>
            <w:pPr>
              <w:pStyle w:val="TableContents"/>
              <w:bidi w:val="0"/>
              <w:spacing w:before="0" w:after="283"/>
              <w:jc w:val="left"/>
              <w:rPr/>
            </w:pPr>
            <w:r>
              <w:rPr/>
              <w:t>The Administrative Agent shall have received from the Borrower (x) a copy of a good standing certificate, dated a date reasonably close to the Fifth Amendment Date and (y) a certificate, dated as of the Fifth Amendment Date, duly executed and delivered by a Responsible Officer of the Borrower, as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(i)</w:t>
            </w:r>
          </w:p>
        </w:tc>
        <w:tc>
          <w:tcPr>
            <w:tcW w:w="10000" w:type="dxa"/>
            <w:tcBorders/>
            <w:vAlign w:val="center"/>
          </w:tcPr>
          <w:p>
            <w:pPr>
              <w:pStyle w:val="TableContents"/>
              <w:bidi w:val="0"/>
              <w:spacing w:before="0" w:after="283"/>
              <w:jc w:val="left"/>
              <w:rPr/>
            </w:pPr>
            <w:r>
              <w:rPr/>
              <w:t>resolutions of the Borrower’s board of directors then in full force and effect authorizing the execution, delivery and performance of this Amendment and the other documents in connection herewith by the Borrower;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(ii)</w:t>
            </w:r>
          </w:p>
        </w:tc>
        <w:tc>
          <w:tcPr>
            <w:tcW w:w="9945" w:type="dxa"/>
            <w:tcBorders/>
            <w:vAlign w:val="center"/>
          </w:tcPr>
          <w:p>
            <w:pPr>
              <w:pStyle w:val="TableContents"/>
              <w:bidi w:val="0"/>
              <w:spacing w:before="0" w:after="283"/>
              <w:jc w:val="left"/>
              <w:rPr/>
            </w:pPr>
            <w:r>
              <w:rPr/>
              <w:t>solely to the extent different than the incumbency delivered on the Second Amendment Effective Date, the incumbency and signatures of Responsible Officers authorized to execute and deliver this Amendment and the other documents in connection herewith;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(iii)</w:t>
            </w:r>
          </w:p>
        </w:tc>
        <w:tc>
          <w:tcPr>
            <w:tcW w:w="9874" w:type="dxa"/>
            <w:tcBorders/>
            <w:vAlign w:val="center"/>
          </w:tcPr>
          <w:p>
            <w:pPr>
              <w:pStyle w:val="TableContents"/>
              <w:bidi w:val="0"/>
              <w:spacing w:before="0" w:after="283"/>
              <w:jc w:val="left"/>
              <w:rPr/>
            </w:pPr>
            <w:r>
              <w:rPr/>
              <w:t>the full force and validity of each Organic Document of the Borrower and, solely to the extent modified or amended since the Second Amendment Effective Date, copies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certificates shall be in form and substance reasonably satisfactory to the Administrative Agent and upon which the Administrative Agent and the Lenders may conclusively rely until they shall have received a further certificate of the Responsible Officer of the Borrower cancelling or amending the prior certificate of the Borrower;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(c)</w:t>
            </w:r>
          </w:p>
        </w:tc>
        <w:tc>
          <w:tcPr>
            <w:tcW w:w="9973" w:type="dxa"/>
            <w:tcBorders/>
            <w:vAlign w:val="center"/>
          </w:tcPr>
          <w:p>
            <w:pPr>
              <w:pStyle w:val="TableContents"/>
              <w:bidi w:val="0"/>
              <w:spacing w:before="0" w:after="283"/>
              <w:jc w:val="left"/>
              <w:rPr/>
            </w:pPr>
            <w:r>
              <w:rPr/>
              <w:t>Each of OnkosXcel Therapeutics, LLC and OnkosXcel Employee Holdings, LLC shall have become Grantors under the Security Agreement and complied with all the requirements set forth in Section 8.11(a) of the Credit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(d)</w:t>
            </w:r>
          </w:p>
        </w:tc>
        <w:tc>
          <w:tcPr>
            <w:tcW w:w="9968" w:type="dxa"/>
            <w:tcBorders/>
            <w:vAlign w:val="center"/>
          </w:tcPr>
          <w:p>
            <w:pPr>
              <w:pStyle w:val="TableContents"/>
              <w:bidi w:val="0"/>
              <w:spacing w:before="0" w:after="283"/>
              <w:jc w:val="left"/>
              <w:rPr/>
            </w:pPr>
            <w:r>
              <w:rPr/>
              <w:t>The Administrative Agent shall have received a cash flow budget of the Obligors and their Subsidiaries prepared by Responsible Officers of the Borrower, in final form approved by the Board of the Borrower, covering the 13-week period commencing the calendar week in which the Fifth Amendment Date occurs, in form and substance acceptable to the Administrative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(e)</w:t>
            </w:r>
          </w:p>
        </w:tc>
        <w:tc>
          <w:tcPr>
            <w:tcW w:w="9990" w:type="dxa"/>
            <w:tcBorders/>
            <w:vAlign w:val="center"/>
          </w:tcPr>
          <w:p>
            <w:pPr>
              <w:pStyle w:val="TableContents"/>
              <w:bidi w:val="0"/>
              <w:spacing w:before="0" w:after="283"/>
              <w:jc w:val="left"/>
              <w:rPr/>
            </w:pPr>
            <w:r>
              <w:rPr/>
              <w:t>Each of the representations and warranties in Section 6 of this Amendment, Section 7 of the Credit Agreement and in the other Loan Documents shall be true, accurate and complete in all material respects (unless such representations are already qualified by reference to materiality, Material Adverse Effect or similar language, in which case such representations and warranties shall be true and correct in all respects) on and as of the date hereof with the same effect as though made on and as of such date, except to the extent such representations and warranties expressly relate to an earlier date, in which case such representations and warranties shall have been true and correct in all respects on and as of such earlier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(f)</w:t>
            </w:r>
          </w:p>
        </w:tc>
        <w:tc>
          <w:tcPr>
            <w:tcW w:w="9999" w:type="dxa"/>
            <w:tcBorders/>
            <w:vAlign w:val="center"/>
          </w:tcPr>
          <w:p>
            <w:pPr>
              <w:pStyle w:val="TableContents"/>
              <w:bidi w:val="0"/>
              <w:spacing w:before="0" w:after="283"/>
              <w:jc w:val="left"/>
              <w:rPr/>
            </w:pPr>
            <w:r>
              <w:rPr/>
              <w:t>At the time of and after giving effect to this Amendment, no fact or condition exists that constitutes, or with the passage of time, the giving of notice, or both, would constitute, a Default or Event of Default;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(g)</w:t>
            </w:r>
          </w:p>
        </w:tc>
        <w:tc>
          <w:tcPr>
            <w:tcW w:w="9970" w:type="dxa"/>
            <w:tcBorders/>
            <w:vAlign w:val="center"/>
          </w:tcPr>
          <w:p>
            <w:pPr>
              <w:pStyle w:val="TableContents"/>
              <w:bidi w:val="0"/>
              <w:spacing w:before="0" w:after="283"/>
              <w:jc w:val="left"/>
              <w:rPr/>
            </w:pPr>
            <w:r>
              <w:rPr/>
              <w:t>The Borrower shall have paid all costs, fees and expenses of the Administrative Agent and the Lenders, including, the fees and expenses of Sullivan &amp; Cromwell LLP, as outside counsel to Administrative Agent and the Oaktree Lenders and the fees and expenses of Allen Overy Shearman Sterling US LLP, as outside counsel to Q Boost Holding LLC, incurred prior to the date hereof, to the extent invoiced on or prior to the date hereof.</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185"/>
        <w:gridCol w:w="7535"/>
      </w:tblGrid>
      <w:tr>
        <w:trPr/>
        <w:tc>
          <w:tcPr>
            <w:tcW w:w="18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6.</w:t>
            </w:r>
          </w:p>
        </w:tc>
        <w:tc>
          <w:tcPr>
            <w:tcW w:w="7535" w:type="dxa"/>
            <w:tcBorders/>
            <w:vAlign w:val="center"/>
          </w:tcPr>
          <w:p>
            <w:pPr>
              <w:pStyle w:val="TableContents"/>
              <w:bidi w:val="0"/>
              <w:spacing w:before="0" w:after="283"/>
              <w:jc w:val="left"/>
              <w:rPr/>
            </w:pPr>
            <w:r>
              <w:rPr>
                <w:u w:val="single"/>
              </w:rPr>
              <w:t>Representations and Warranties</w:t>
            </w:r>
            <w:r>
              <w:rPr/>
              <w:t>. The Borrower hereby represents and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(a)</w:t>
            </w:r>
          </w:p>
        </w:tc>
        <w:tc>
          <w:tcPr>
            <w:tcW w:w="9993" w:type="dxa"/>
            <w:tcBorders/>
            <w:vAlign w:val="center"/>
          </w:tcPr>
          <w:p>
            <w:pPr>
              <w:pStyle w:val="TableContents"/>
              <w:bidi w:val="0"/>
              <w:spacing w:before="0" w:after="283"/>
              <w:jc w:val="left"/>
              <w:rPr/>
            </w:pPr>
            <w:r>
              <w:rPr/>
              <w:t>None of the execution, delivery and performance by the Borrower of this Amendment and the documents, instruments and agreements executed in connection herewith (collectively, the “</w:t>
            </w:r>
            <w:r>
              <w:rPr>
                <w:b/>
                <w:i/>
              </w:rPr>
              <w:t>Amendment Documents</w:t>
            </w:r>
            <w:r>
              <w:rPr/>
              <w:t>”) or performance under the Amendment Documents (i) requires any Governmental Approval of, registration or filing with, or any other action by, any Governmental Authority or any other Person, except for (x) such as have been obtained or made and are in full force and effect and (y) filings and recordings in respect of perfecting or recording the Liens created pursuant to the Security Documents, (ii) will violate (1) any Law, (2) any Organic Document of the Borrower or any of its Subsidiaries or (3) any order of any Governmental Authority, that in the case of clause (ii)(1) or clause (ii)(3), individually or in the aggregate, would reasonably be expected to result in a Material Adverse Effect, (iii) will violate or result in a default under any Material Agreement binding upon the Borrower or any of its Subsidiaries that, individually or in the aggregate, would reasonably be expected to result in a Material Adverse Effect or (iv) will result in the creation or imposition of any Lien (other than Permitted Liens) on any asset of the Borrower or any of its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(b)</w:t>
            </w:r>
          </w:p>
        </w:tc>
        <w:tc>
          <w:tcPr>
            <w:tcW w:w="9976" w:type="dxa"/>
            <w:tcBorders/>
            <w:vAlign w:val="center"/>
          </w:tcPr>
          <w:p>
            <w:pPr>
              <w:pStyle w:val="TableContents"/>
              <w:bidi w:val="0"/>
              <w:spacing w:before="0" w:after="283"/>
              <w:jc w:val="left"/>
              <w:rPr/>
            </w:pPr>
            <w:r>
              <w:rPr/>
              <w:t>This Amendment and the other Amendment Documents have been duly authorized by all necessary corporate or other organizational action including, if required, approval by all necessary holders of Equity Interests, and duly executed and delivered by the Borrower and constitutes, and each of the Amendment Documents when executed and delivered by the Borrower will constitute, a legal, valid and binding obligation of the Borrower, enforceable against the Borrower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tc>
      </w:tr>
    </w:tbl>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185"/>
        <w:gridCol w:w="830"/>
      </w:tblGrid>
      <w:tr>
        <w:trPr/>
        <w:tc>
          <w:tcPr>
            <w:tcW w:w="18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7.</w:t>
            </w:r>
          </w:p>
        </w:tc>
        <w:tc>
          <w:tcPr>
            <w:tcW w:w="830" w:type="dxa"/>
            <w:tcBorders/>
            <w:vAlign w:val="center"/>
          </w:tcPr>
          <w:p>
            <w:pPr>
              <w:pStyle w:val="TableContents"/>
              <w:bidi w:val="0"/>
              <w:spacing w:before="0" w:after="283"/>
              <w:jc w:val="both"/>
              <w:rPr/>
            </w:pPr>
            <w:r>
              <w:rPr>
                <w:u w:val="single"/>
              </w:rPr>
              <w:t>Release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(a)</w:t>
            </w:r>
          </w:p>
        </w:tc>
        <w:tc>
          <w:tcPr>
            <w:tcW w:w="9996" w:type="dxa"/>
            <w:tcBorders/>
            <w:vAlign w:val="center"/>
          </w:tcPr>
          <w:p>
            <w:pPr>
              <w:pStyle w:val="TableContents"/>
              <w:bidi w:val="0"/>
              <w:spacing w:before="0" w:after="283"/>
              <w:jc w:val="left"/>
              <w:rPr/>
            </w:pPr>
            <w:r>
              <w:rPr/>
              <w:t>In consideration of this Amendment and agreements of the Administrative Agent and the Lenders contained herein and for other good and valuable consideration, the receipt and sufficiency of which is hereby acknowledged, the Borrower (the “</w:t>
            </w:r>
            <w:r>
              <w:rPr>
                <w:b/>
                <w:i/>
              </w:rPr>
              <w:t>Releasing Party</w:t>
            </w:r>
            <w:r>
              <w:rPr/>
              <w:t>”), on behalf of itself and its successors, assigns and other legal representatives hereby absolutely, unconditionally and irrevocably releases, remises and forever discharges the Administrative Agent and the Lenders and their respective present and former shareholders, affiliates, subsidiaries, divisions, predecessors, directors, officers, attorneys, employees, agents and other representatives, in each case solely in their capacities relative to the Lenders and not in any other capacity such party may have relative to the Releasing Party (the Administrative Agent, each Lender and all such other Persons being hereinafter referred to collectively as the “</w:t>
            </w:r>
            <w:r>
              <w:rPr>
                <w:b/>
                <w:i/>
              </w:rPr>
              <w:t>Releasees</w:t>
            </w:r>
            <w:r>
              <w:rPr/>
              <w:t>” and individually as a “</w:t>
            </w:r>
            <w:r>
              <w:rPr>
                <w:b/>
                <w:i/>
              </w:rPr>
              <w:t>Releasee</w:t>
            </w:r>
            <w:r>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the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date hereof, for or on account of, or in relation to, or in any way in connection with the Credit Agreement or any of the other Loan Documents or transactions thereunder (any of the foregoing, a “</w:t>
            </w:r>
            <w:r>
              <w:rPr>
                <w:b/>
                <w:i/>
              </w:rPr>
              <w:t>Claim</w:t>
            </w:r>
            <w:r>
              <w:rPr/>
              <w:t>” and collectively, the “</w:t>
            </w:r>
            <w:r>
              <w:rPr>
                <w:b/>
                <w:i/>
              </w:rPr>
              <w:t>Claims</w:t>
            </w:r>
            <w:r>
              <w:rPr/>
              <w:t>”). The Releasing Party expressly acknowledges and agrees, with respect to the Claims, that it waives, to the fullest extent permitted by applicable law, any and all provisions, rights and benefits conferred by any applicable U.S. federal or state law, or any principle of U.S. common law, that would otherwise limit a release or discharge of any unknown Claims pursuant to this Section 7. Furthermore, the Releasing Party hereby absolutely, unconditionally and irrevocably covenants and agrees with and in favor of each Releasee that it will not sue (at law, in equity, in any regulatory proceeding or otherwise) any Releasee on the basis of any Claim released and/or discharged by the Releasing Parties pursuant to this Section 7. The foregoing release, covenant and waivers of this Section 7 shall survive and remain in full force and effect regardless of the consummation of the transactions contemplated hereby, the repayment or prepayment of any of the Loans, or the termination of the Credit Agreement, this Amendment, any other Loan Document or any provision hereof or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(b)</w:t>
            </w:r>
          </w:p>
        </w:tc>
        <w:tc>
          <w:tcPr>
            <w:tcW w:w="9964" w:type="dxa"/>
            <w:tcBorders/>
            <w:vAlign w:val="center"/>
          </w:tcPr>
          <w:p>
            <w:pPr>
              <w:pStyle w:val="TableContents"/>
              <w:bidi w:val="0"/>
              <w:spacing w:before="0" w:after="283"/>
              <w:jc w:val="left"/>
              <w:rPr/>
            </w:pPr>
            <w:r>
              <w:rPr/>
              <w:t>Each Releasing Party understands, acknowledges and agrees that its release set forth above may be pleaded as a full and complete defense and may be used as a basis for an injunction against any action, suit or other proceeding which may be instituted, prosecuted or attempted in breach of the provisions of such release.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(c)</w:t>
            </w:r>
          </w:p>
        </w:tc>
        <w:tc>
          <w:tcPr>
            <w:tcW w:w="9975" w:type="dxa"/>
            <w:tcBorders/>
            <w:vAlign w:val="center"/>
          </w:tcPr>
          <w:p>
            <w:pPr>
              <w:pStyle w:val="TableContents"/>
              <w:bidi w:val="0"/>
              <w:spacing w:before="0" w:after="283"/>
              <w:jc w:val="left"/>
              <w:rPr/>
            </w:pPr>
            <w:r>
              <w:rPr/>
              <w:t>Each Releasing Party agrees that no fact, event, circumstance, evidence or transaction which could now be asserted or which may hereafter be discovered shall affect in any manner the final, absolute and unconditional nature of the release set forth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8.</w:t>
            </w:r>
          </w:p>
        </w:tc>
        <w:tc>
          <w:tcPr>
            <w:tcW w:w="10038" w:type="dxa"/>
            <w:tcBorders/>
            <w:vAlign w:val="center"/>
          </w:tcPr>
          <w:p>
            <w:pPr>
              <w:pStyle w:val="TableContents"/>
              <w:bidi w:val="0"/>
              <w:spacing w:before="0" w:after="283"/>
              <w:jc w:val="left"/>
              <w:rPr/>
            </w:pPr>
            <w:r>
              <w:rPr>
                <w:u w:val="single"/>
              </w:rPr>
              <w:t>Fees and Expenses</w:t>
            </w:r>
            <w:r>
              <w:rPr/>
              <w:t>. The Borrower agrees to pay on demand (a) all out-of-pocket fees, costs and expenses of the Administrative Agent and the Lenders accrued prior to the date hereof and (b) all out-of-pocket fees, costs and expenses of the Administrative Agent and the Lenders incurred in connection with the preparation, execution and delivery of (i) this Amendment, (ii) any Amendment Documents, other Loan Documents or other post-closing amendments, agreements, arrangements or documentation, (iii) any other instruments and documents to be delivered hereunder or thereunder, in each case of clauses (a) and (b), including the fees and expenses of Sullivan &amp; Cromwell LLP, as outside counsel to Administrative Agent and the Oaktree Lenders, and Allen Overy Shearman Sterling US LLP, as outside counsel to Q Boost Holding LLC,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9.</w:t>
            </w:r>
          </w:p>
        </w:tc>
        <w:tc>
          <w:tcPr>
            <w:tcW w:w="10041" w:type="dxa"/>
            <w:tcBorders/>
            <w:vAlign w:val="center"/>
          </w:tcPr>
          <w:p>
            <w:pPr>
              <w:pStyle w:val="TableContents"/>
              <w:bidi w:val="0"/>
              <w:spacing w:before="0" w:after="283"/>
              <w:jc w:val="left"/>
              <w:rPr/>
            </w:pPr>
            <w:r>
              <w:rPr>
                <w:u w:val="single"/>
              </w:rPr>
              <w:t>Independent Director</w:t>
            </w:r>
            <w:r>
              <w:rPr/>
              <w:t>. On or before November 22, 2024, the Borrower shall cause one of the individuals previously disclosed to the Lenders to be appointed to the board of directors of the Borrower (the “</w:t>
            </w:r>
            <w:r>
              <w:rPr>
                <w:b/>
                <w:i/>
              </w:rPr>
              <w:t>Independent Director</w:t>
            </w:r>
            <w:r>
              <w:rPr/>
              <w:t>”). The Independent Director will be entitled to receive, at the sole expense of the Borrower, the same compensation, directors’ insurance benefits and indemnification and exculpation arrangements provided generally to the other non-employee members of the Board of the Borrower in their capacities as such. The Independent Director shall have the right to (i) serve on the Capital Raise Committee (as defined below) and the compensation committee of the Board of the Borrower, and (ii) attend all meetings of all other committees or subcommittees of the Board of the Borrower at the Independent Director’s discretion, subject, in the case of this clause (ii), to exceptions to address conflicts of interest and to protect attorney-client privilege, individually identifiable health information (as defined under HIPAA) or other confidential information relating to healthcare patients. Without limiting the generality of the foregoing, the Borrower shall promptly cause the Independent Director to be appointed to (a) the compensation committee of the Borrower’s Board (subject to NASDAQ listing requirements regarding director independence and to the independence requirements under the Exchange Act) and (b) a newly formed committee (the “</w:t>
            </w:r>
            <w:r>
              <w:rPr>
                <w:b/>
                <w:i/>
              </w:rPr>
              <w:t>Capital Raise Committee</w:t>
            </w:r>
            <w:r>
              <w:rPr/>
              <w:t>”) to oversee, evaluate and recommend to the Board certain matters relating to the Borrower’s capital structure, any restructuring, any equity raise and any sale or business combination transaction involving the Borrower. The Capital Raise Committee shall hold meetings no less than once per quarter. If the Independent Director resigns, is removed or is unable to continue service for any reason, the Borrower shall cause the prompt appointment of a replacement Independent Director reasonably acceptable to the Administrative Agent and Majority Lenders. The Borrower’s obligations under this Section 9 shall terminate upon payment or prepayment in full of the Loans under the Loan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27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10.</w:t>
            </w:r>
          </w:p>
        </w:tc>
        <w:tc>
          <w:tcPr>
            <w:tcW w:w="1445" w:type="dxa"/>
            <w:tcBorders/>
            <w:vAlign w:val="center"/>
          </w:tcPr>
          <w:p>
            <w:pPr>
              <w:pStyle w:val="TableContents"/>
              <w:bidi w:val="0"/>
              <w:spacing w:before="0" w:after="283"/>
              <w:jc w:val="both"/>
              <w:rPr/>
            </w:pPr>
            <w:r>
              <w:rPr>
                <w:u w:val="single"/>
              </w:rPr>
              <w:t>Miscellaneous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(a)</w:t>
            </w:r>
          </w:p>
        </w:tc>
        <w:tc>
          <w:tcPr>
            <w:tcW w:w="9992" w:type="dxa"/>
            <w:tcBorders/>
            <w:vAlign w:val="center"/>
          </w:tcPr>
          <w:p>
            <w:pPr>
              <w:pStyle w:val="TableContents"/>
              <w:bidi w:val="0"/>
              <w:spacing w:before="0" w:after="283"/>
              <w:jc w:val="left"/>
              <w:rPr/>
            </w:pPr>
            <w:r>
              <w:rPr/>
              <w:t>Except as otherwise expressly provided herein, (i) all provisions of the Credit Agreement and the other Loan Documents remain in full force and effect and (ii) the execution, delivery and effectiveness of this Amendment shall not operate as a waiver of any right, power or remedy of the Administrative Agent or the Lenders, nor constitute a waiver of any provision of the Existing Credit Agreement or any of the Loan Documents. None of the Administrative Agent or any Lender is under any obligation to enter into this Amendment. The entering into of this Amendment by such parties shall not be deemed to limit or hinder any rights of any such party under the Loan Documents, nor shall it be deemed to create or infer a course of dealing between any such party, on the one hand, and the Borrower, on the other hand, with regard to any provision of the Loan Documents. This Amendment shall constitute a Loan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(b)</w:t>
            </w:r>
          </w:p>
        </w:tc>
        <w:tc>
          <w:tcPr>
            <w:tcW w:w="9966" w:type="dxa"/>
            <w:tcBorders/>
            <w:vAlign w:val="center"/>
          </w:tcPr>
          <w:p>
            <w:pPr>
              <w:pStyle w:val="TableContents"/>
              <w:bidi w:val="0"/>
              <w:spacing w:before="0" w:after="283"/>
              <w:jc w:val="left"/>
              <w:rPr/>
            </w:pPr>
            <w:r>
              <w:rPr/>
              <w:t>This Amendment may be executed in several counterparts and by each party on a separate counterpart, each of which when so executed and delivered shall be an original, and all of which together shall constitute one instrument. An executed facsimile or electronic copy of this Amendment shall be effective for all purposes as an original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(c)</w:t>
            </w:r>
          </w:p>
        </w:tc>
        <w:tc>
          <w:tcPr>
            <w:tcW w:w="9971" w:type="dxa"/>
            <w:tcBorders/>
            <w:vAlign w:val="center"/>
          </w:tcPr>
          <w:p>
            <w:pPr>
              <w:pStyle w:val="TableContents"/>
              <w:bidi w:val="0"/>
              <w:spacing w:before="0" w:after="283"/>
              <w:jc w:val="left"/>
              <w:rPr/>
            </w:pPr>
            <w:r>
              <w:rPr/>
              <w:t>This Amendment expresses the entire understanding of the parties with respect to the amendments contemplated hereby. No prior negotiations or discussions shall limit, modify, or otherwise affect the provisions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(d)</w:t>
            </w:r>
          </w:p>
        </w:tc>
        <w:tc>
          <w:tcPr>
            <w:tcW w:w="9955" w:type="dxa"/>
            <w:tcBorders/>
            <w:vAlign w:val="center"/>
          </w:tcPr>
          <w:p>
            <w:pPr>
              <w:pStyle w:val="TableContents"/>
              <w:bidi w:val="0"/>
              <w:spacing w:before="0" w:after="283"/>
              <w:jc w:val="left"/>
              <w:rPr/>
            </w:pPr>
            <w:r>
              <w:rPr/>
              <w:t>This Amendment and its contents shall be subject to the governing law, indemnification, venue, service of process, waivers of jury trial and severability provisions of the Existing Credit Agreement, mutatis mutandis.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and delivered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804" w:type="dxa"/>
        <w:jc w:val="left"/>
        <w:tblInd w:w="0" w:type="dxa"/>
        <w:tblLayout w:type="fixed"/>
        <w:tblCellMar>
          <w:top w:w="0" w:type="dxa"/>
          <w:left w:w="0" w:type="dxa"/>
          <w:bottom w:w="0" w:type="dxa"/>
          <w:right w:w="0" w:type="dxa"/>
        </w:tblCellMar>
      </w:tblPr>
      <w:tblGrid>
        <w:gridCol w:w="75"/>
        <w:gridCol w:w="1030"/>
        <w:gridCol w:w="3699"/>
      </w:tblGrid>
      <w:tr>
        <w:trPr/>
        <w:tc>
          <w:tcPr>
            <w:tcW w:w="7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left"/>
              <w:rPr>
                <w:sz w:val="20"/>
              </w:rPr>
            </w:pPr>
            <w:r>
              <w:rPr>
                <w:rFonts w:ascii="Times New Roman;Times;Serif" w:hAnsi="Times New Roman;Times;Serif"/>
                <w:b/>
                <w:sz w:val="20"/>
                <w:u w:val="single"/>
              </w:rPr>
              <w:t>BORROWER</w:t>
            </w:r>
            <w:r>
              <w:rPr>
                <w:b/>
                <w:sz w:val="20"/>
              </w:rPr>
              <w:t>:</w:t>
            </w:r>
          </w:p>
        </w:tc>
      </w:tr>
      <w:tr>
        <w:trPr/>
        <w:tc>
          <w:tcPr>
            <w:tcW w:w="7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BIOXCEL THERAPEUTICS, INC.</w:t>
            </w:r>
          </w:p>
        </w:tc>
      </w:tr>
      <w:tr>
        <w:trPr/>
        <w:tc>
          <w:tcPr>
            <w:tcW w:w="7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By:</w:t>
            </w:r>
          </w:p>
        </w:tc>
        <w:tc>
          <w:tcPr>
            <w:tcW w:w="3699" w:type="dxa"/>
            <w:tcBorders>
              <w:bottom w:val="single" w:sz="8" w:space="0" w:color="000000"/>
            </w:tcBorders>
            <w:tcMar>
              <w:bottom w:w="28" w:type="dxa"/>
            </w:tcMar>
            <w:vAlign w:val="center"/>
          </w:tcPr>
          <w:p>
            <w:pPr>
              <w:pStyle w:val="TableContents"/>
              <w:bidi w:val="0"/>
              <w:spacing w:before="0" w:after="283"/>
              <w:jc w:val="left"/>
              <w:rPr/>
            </w:pPr>
            <w:r>
              <w:rPr/>
              <w:t>/s/ Vimal Mehta</w:t>
            </w:r>
          </w:p>
        </w:tc>
      </w:tr>
      <w:tr>
        <w:trPr/>
        <w:tc>
          <w:tcPr>
            <w:tcW w:w="7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Vimal Mehta</w:t>
            </w:r>
          </w:p>
        </w:tc>
      </w:tr>
      <w:tr>
        <w:trPr/>
        <w:tc>
          <w:tcPr>
            <w:tcW w:w="7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36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left"/>
              <w:rPr/>
            </w:pPr>
            <w:r>
              <w:rPr/>
              <w:t>Address for Notices:</w:t>
              <w:br/>
              <w:t>555 Long Wharf Drive, 12th Floor</w:t>
              <w:br/>
              <w:t xml:space="preserve">New Haven, CT </w:t>
              <w:br/>
              <w:t>06511</w:t>
              <w:br/>
              <w:br/>
              <w:t>With a copy to (which shall not constitute notice):</w:t>
              <w:br/>
              <w:br/>
              <w:t>Cooley LLP</w:t>
              <w:br/>
              <w:t>3 Embarcadero Center</w:t>
              <w:br/>
              <w:t xml:space="preserve">20th Floor </w:t>
              <w:br/>
              <w:t>San Francisco, CA 94111-4004</w:t>
              <w:br/>
              <w:t xml:space="preserve">Attn: Mischi a Marca </w:t>
              <w:br/>
              <w:t>Email: gmamarca@cooley.com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75"/>
        <w:gridCol w:w="467"/>
        <w:gridCol w:w="796"/>
        <w:gridCol w:w="2595"/>
      </w:tblGrid>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sz w:val="20"/>
              </w:rPr>
            </w:pPr>
            <w:r>
              <w:rPr>
                <w:rFonts w:ascii="Times New Roman;Times;Serif" w:hAnsi="Times New Roman;Times;Serif"/>
                <w:b/>
                <w:sz w:val="20"/>
                <w:u w:val="single"/>
              </w:rPr>
              <w:t>ADMINISTRATIVE AGENT</w:t>
            </w:r>
            <w:r>
              <w:rPr>
                <w:b/>
                <w:sz w:val="20"/>
              </w:rPr>
              <w:t>:</w:t>
            </w:r>
          </w:p>
        </w:tc>
      </w:tr>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 FUND ADMINISTRATION, LLC</w:t>
            </w:r>
          </w:p>
        </w:tc>
      </w:tr>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9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39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339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20"/>
              </w:rPr>
            </w:pPr>
            <w:r>
              <w:rPr>
                <w:sz w:val="20"/>
              </w:rPr>
              <w:t>By:</w:t>
            </w:r>
          </w:p>
        </w:tc>
        <w:tc>
          <w:tcPr>
            <w:tcW w:w="3391"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Mary Gallegly</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sz w:val="20"/>
              </w:rPr>
            </w:pPr>
            <w:r>
              <w:rPr>
                <w:sz w:val="20"/>
              </w:rPr>
              <w:t>Name:</w:t>
            </w:r>
          </w:p>
        </w:tc>
        <w:tc>
          <w:tcPr>
            <w:tcW w:w="2595"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95"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339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91"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95"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339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sz w:val="20"/>
              </w:rPr>
            </w:pPr>
            <w:r>
              <w:rPr>
                <w:sz w:val="20"/>
              </w:rPr>
              <w:t xml:space="preserve">Address for Notices: </w:t>
              <w:br/>
              <w:t xml:space="preserve">Oaktree Fund Administration, LLC </w:t>
              <w:br/>
              <w:t>333 S. Grand Avenue, 28</w:t>
            </w:r>
            <w:r>
              <w:rPr>
                <w:position w:val="7"/>
                <w:sz w:val="16"/>
                <w:sz w:val="20"/>
              </w:rPr>
              <w:t xml:space="preserve">th </w:t>
            </w:r>
            <w:r>
              <w:rPr>
                <w:sz w:val="20"/>
              </w:rPr>
              <w:t xml:space="preserve">Fl. </w:t>
              <w:br/>
              <w:t xml:space="preserve">Los Angeles, CA 90071 </w:t>
              <w:br/>
              <w:t xml:space="preserve">Attn: Oaktree Agency </w:t>
              <w:br/>
              <w:t>Email: Oaktreeagency@alterdomus.com</w:t>
              <w:br/>
              <w:br/>
              <w:t xml:space="preserve">With a copy to: </w:t>
              <w:br/>
              <w:t xml:space="preserve">Oaktree Capital Management, L.P. </w:t>
              <w:br/>
              <w:t>333 S. Grand Avenue, 28</w:t>
            </w:r>
            <w:r>
              <w:rPr>
                <w:position w:val="7"/>
                <w:sz w:val="16"/>
                <w:sz w:val="20"/>
              </w:rPr>
              <w:t xml:space="preserve">th </w:t>
            </w:r>
            <w:r>
              <w:rPr>
                <w:sz w:val="20"/>
              </w:rPr>
              <w:t xml:space="preserve">Fl. </w:t>
              <w:br/>
              <w:t xml:space="preserve">Los Angeles, CA 90071 </w:t>
              <w:br/>
              <w:t xml:space="preserve">Attn: Aman Kumar </w:t>
              <w:br/>
              <w:t xml:space="preserve">Email: AmKumar@oaktreecapital.com </w:t>
              <w:br/>
              <w:br/>
              <w:t xml:space="preserve">With a copy to: </w:t>
              <w:br/>
              <w:t xml:space="preserve">Sullivan &amp; Cromwell LLP </w:t>
              <w:br/>
              <w:t xml:space="preserve">125 Broad Street </w:t>
              <w:br/>
              <w:t xml:space="preserve">New York, NY 10004 </w:t>
              <w:br/>
              <w:t xml:space="preserve">Attn: Ari B. Blaut </w:t>
              <w:b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75"/>
        <w:gridCol w:w="507"/>
        <w:gridCol w:w="864"/>
        <w:gridCol w:w="2817"/>
      </w:tblGrid>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rFonts w:ascii="Times New Roman;Times;Serif" w:hAnsi="Times New Roman;Times;Serif"/>
                <w:b/>
                <w:sz w:val="20"/>
                <w:u w:val="single"/>
              </w:rPr>
              <w:t>LENDERS</w:t>
            </w:r>
            <w:r>
              <w:rPr>
                <w:b/>
              </w:rPr>
              <w:t>:</w:t>
            </w:r>
          </w:p>
        </w:tc>
      </w:tr>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OAKTREE-TCDRS STRATEGIC CREDIT, LLC</w:t>
            </w:r>
          </w:p>
        </w:tc>
      </w:tr>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8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68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 </w:t>
            </w:r>
          </w:p>
        </w:tc>
        <w:tc>
          <w:tcPr>
            <w:tcW w:w="28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sz w:val="20"/>
              </w:rPr>
            </w:pPr>
            <w:r>
              <w:rPr>
                <w:sz w:val="20"/>
              </w:rPr>
              <w:t>By:</w:t>
            </w:r>
          </w:p>
        </w:tc>
        <w:tc>
          <w:tcPr>
            <w:tcW w:w="3681"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Mary Gallegly</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sz w:val="20"/>
              </w:rPr>
            </w:pPr>
            <w:r>
              <w:rPr>
                <w:sz w:val="20"/>
              </w:rPr>
              <w:t>Name:</w:t>
            </w:r>
          </w:p>
        </w:tc>
        <w:tc>
          <w:tcPr>
            <w:tcW w:w="2817"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17"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368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81"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17"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 </w:t>
            </w:r>
          </w:p>
        </w:tc>
        <w:tc>
          <w:tcPr>
            <w:tcW w:w="28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Address for Notices:</w:t>
              <w:br/>
              <w:t xml:space="preserve">Oaktree Fund Administration, LLC </w:t>
              <w:br/>
              <w:t>333 S. Grand Avenue, 28</w:t>
            </w:r>
            <w:r>
              <w:rPr>
                <w:position w:val="8"/>
                <w:sz w:val="19"/>
              </w:rPr>
              <w:t xml:space="preserve">th </w:t>
            </w:r>
            <w:r>
              <w:rPr/>
              <w:t xml:space="preserve">Fl. </w:t>
              <w:br/>
              <w:t xml:space="preserve">Los Angeles, CA 90071 </w:t>
              <w:br/>
              <w:t xml:space="preserve">Attn: Oaktree Agency </w:t>
              <w:br/>
              <w:t xml:space="preserve">Email: Oaktreeagency@alterdomus.com </w:t>
              <w:br/>
              <w:br/>
              <w:t xml:space="preserve">With a copy to: </w:t>
              <w:br/>
              <w:t xml:space="preserve">Oaktree Capital Management, L.P. </w:t>
              <w:br/>
              <w:t>333 S. Grand Avenue, 28</w:t>
            </w:r>
            <w:r>
              <w:rPr>
                <w:position w:val="8"/>
                <w:sz w:val="19"/>
              </w:rPr>
              <w:t xml:space="preserve">th </w:t>
            </w:r>
            <w:r>
              <w:rPr/>
              <w:t xml:space="preserve">Fl. </w:t>
              <w:br/>
              <w:t xml:space="preserve">Los Angeles, CA 90071 </w:t>
              <w:br/>
              <w:t xml:space="preserve">Attn: Aman Kumar </w:t>
              <w:br/>
              <w:t>Email: AmKumar@oaktreecapital.com</w:t>
              <w:br/>
              <w:br/>
              <w:t xml:space="preserve">With a copy to: </w:t>
              <w:br/>
              <w:t>Sullivan &amp; Cromwell LLP</w:t>
              <w:br/>
              <w:t>125 Broad Street</w:t>
              <w:br/>
              <w:t xml:space="preserve">New York, NY 10004 </w:t>
              <w:br/>
              <w:t xml:space="preserve">Attn: Ari B. Blaut </w:t>
              <w:b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75"/>
        <w:gridCol w:w="522"/>
        <w:gridCol w:w="889"/>
        <w:gridCol w:w="2897"/>
      </w:tblGrid>
      <w:tr>
        <w:trPr/>
        <w:tc>
          <w:tcPr>
            <w:tcW w:w="75"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OAKTREE-FORREST MULTI-STRATEGY, LLC</w:t>
            </w:r>
          </w:p>
        </w:tc>
      </w:tr>
      <w:tr>
        <w:trPr/>
        <w:tc>
          <w:tcPr>
            <w:tcW w:w="75"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8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78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8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sz w:val="20"/>
              </w:rPr>
            </w:pPr>
            <w:r>
              <w:rPr>
                <w:sz w:val="20"/>
              </w:rPr>
              <w:t>By:</w:t>
            </w:r>
          </w:p>
        </w:tc>
        <w:tc>
          <w:tcPr>
            <w:tcW w:w="3786"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Mary Gallegly</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sz w:val="20"/>
              </w:rPr>
            </w:pPr>
            <w:r>
              <w:rPr>
                <w:sz w:val="20"/>
              </w:rPr>
              <w:t>Name:</w:t>
            </w:r>
          </w:p>
        </w:tc>
        <w:tc>
          <w:tcPr>
            <w:tcW w:w="2897"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97"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378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86"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97"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28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pPr>
            <w:r>
              <w:rPr/>
              <w:t>Address for Notices:</w:t>
              <w:br/>
              <w:t xml:space="preserve">Oaktree Fund Administration, LLC </w:t>
              <w:br/>
              <w:t>333 S. Grand Avenue, 28</w:t>
            </w:r>
            <w:r>
              <w:rPr>
                <w:position w:val="8"/>
                <w:sz w:val="19"/>
              </w:rPr>
              <w:t xml:space="preserve">th </w:t>
            </w:r>
            <w:r>
              <w:rPr/>
              <w:t xml:space="preserve">Fl. </w:t>
              <w:br/>
              <w:t xml:space="preserve">Los Angeles, CA 90071 </w:t>
              <w:br/>
              <w:t xml:space="preserve">Attn: Oaktree Agency </w:t>
              <w:br/>
              <w:t xml:space="preserve">Email: Oaktreeagency@alterdomus.com </w:t>
              <w:br/>
              <w:br/>
              <w:t xml:space="preserve">With a copy to: </w:t>
              <w:br/>
              <w:t xml:space="preserve">Oaktree Capital Management, L.P. </w:t>
              <w:br/>
              <w:t>333 S. Grand Avenue, 28</w:t>
            </w:r>
            <w:r>
              <w:rPr>
                <w:position w:val="8"/>
                <w:sz w:val="19"/>
              </w:rPr>
              <w:t xml:space="preserve">th </w:t>
            </w:r>
            <w:r>
              <w:rPr/>
              <w:t xml:space="preserve">Fl. </w:t>
              <w:br/>
              <w:t xml:space="preserve">Los Angeles, CA 90071 </w:t>
              <w:br/>
              <w:t xml:space="preserve">Attn: Aman Kumar </w:t>
              <w:br/>
              <w:t>Email: AmKumar@oaktreecapital.com</w:t>
              <w:br/>
              <w:br/>
              <w:t xml:space="preserve">With a copy to: </w:t>
              <w:br/>
              <w:t>Sullivan &amp; Cromwell LLP</w:t>
              <w:br/>
              <w:t>125 Broad Street</w:t>
              <w:br/>
              <w:t xml:space="preserve">New York, NY 10004 </w:t>
              <w:br/>
              <w:t xml:space="preserve">Attn: Ari B. Blaut </w:t>
              <w:b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54" w:type="dxa"/>
        <w:jc w:val="left"/>
        <w:tblInd w:w="0" w:type="dxa"/>
        <w:tblLayout w:type="fixed"/>
        <w:tblCellMar>
          <w:top w:w="0" w:type="dxa"/>
          <w:left w:w="0" w:type="dxa"/>
          <w:bottom w:w="0" w:type="dxa"/>
          <w:right w:w="0" w:type="dxa"/>
        </w:tblCellMar>
      </w:tblPr>
      <w:tblGrid>
        <w:gridCol w:w="75"/>
        <w:gridCol w:w="591"/>
        <w:gridCol w:w="1007"/>
        <w:gridCol w:w="3281"/>
      </w:tblGrid>
      <w:tr>
        <w:trPr/>
        <w:tc>
          <w:tcPr>
            <w:tcW w:w="75" w:type="dxa"/>
            <w:tcBorders/>
            <w:vAlign w:val="center"/>
          </w:tcPr>
          <w:p>
            <w:pPr>
              <w:pStyle w:val="TableContents"/>
              <w:bidi w:val="0"/>
              <w:spacing w:before="0" w:after="283"/>
              <w:jc w:val="left"/>
              <w:rPr/>
            </w:pPr>
            <w:r>
              <w:rPr/>
              <w:t> </w:t>
            </w:r>
          </w:p>
        </w:tc>
        <w:tc>
          <w:tcPr>
            <w:tcW w:w="487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OAKTREE-TBMR STRATEGIC CREDIT FUND C, LLC</w:t>
            </w:r>
          </w:p>
        </w:tc>
      </w:tr>
      <w:tr>
        <w:trPr/>
        <w:tc>
          <w:tcPr>
            <w:tcW w:w="75" w:type="dxa"/>
            <w:tcBorders/>
            <w:vAlign w:val="center"/>
          </w:tcPr>
          <w:p>
            <w:pPr>
              <w:pStyle w:val="TableContents"/>
              <w:bidi w:val="0"/>
              <w:spacing w:before="0" w:after="283"/>
              <w:jc w:val="left"/>
              <w:rPr/>
            </w:pPr>
            <w:r>
              <w:rPr/>
              <w:t> </w:t>
            </w:r>
          </w:p>
        </w:tc>
        <w:tc>
          <w:tcPr>
            <w:tcW w:w="487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8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28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32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sz w:val="20"/>
              </w:rPr>
            </w:pPr>
            <w:r>
              <w:rPr>
                <w:sz w:val="20"/>
              </w:rPr>
              <w:t>By:</w:t>
            </w:r>
          </w:p>
        </w:tc>
        <w:tc>
          <w:tcPr>
            <w:tcW w:w="4288"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Mary Gallegly</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sz w:val="20"/>
              </w:rPr>
            </w:pPr>
            <w:r>
              <w:rPr>
                <w:sz w:val="20"/>
              </w:rPr>
              <w:t>Name:</w:t>
            </w:r>
          </w:p>
        </w:tc>
        <w:tc>
          <w:tcPr>
            <w:tcW w:w="3281"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81"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428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88"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81"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32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9" w:type="dxa"/>
            <w:gridSpan w:val="3"/>
            <w:tcBorders/>
            <w:vAlign w:val="center"/>
          </w:tcPr>
          <w:p>
            <w:pPr>
              <w:pStyle w:val="TableContents"/>
              <w:bidi w:val="0"/>
              <w:spacing w:before="0" w:after="283"/>
              <w:jc w:val="left"/>
              <w:rPr/>
            </w:pPr>
            <w:r>
              <w:rPr/>
              <w:t>Address for Notices:</w:t>
              <w:br/>
              <w:t xml:space="preserve">Oaktree Fund Administration, LLC </w:t>
              <w:br/>
              <w:t>333 S. Grand Avenue, 28</w:t>
            </w:r>
            <w:r>
              <w:rPr>
                <w:position w:val="8"/>
                <w:sz w:val="19"/>
              </w:rPr>
              <w:t xml:space="preserve">th </w:t>
            </w:r>
            <w:r>
              <w:rPr/>
              <w:t xml:space="preserve">Fl. </w:t>
              <w:br/>
              <w:t xml:space="preserve">Los Angeles, CA 90071 </w:t>
              <w:br/>
              <w:t xml:space="preserve">Attn: Oaktree Agency </w:t>
              <w:br/>
              <w:t xml:space="preserve">Email: Oaktreeagency@alterdomus.com </w:t>
              <w:br/>
              <w:br/>
              <w:t xml:space="preserve">With a copy to: </w:t>
              <w:br/>
              <w:t xml:space="preserve">Oaktree Capital Management, L.P. </w:t>
              <w:br/>
              <w:t>333 S. Grand Avenue, 28</w:t>
            </w:r>
            <w:r>
              <w:rPr>
                <w:position w:val="8"/>
                <w:sz w:val="19"/>
              </w:rPr>
              <w:t xml:space="preserve">th </w:t>
            </w:r>
            <w:r>
              <w:rPr/>
              <w:t xml:space="preserve">Fl. </w:t>
              <w:br/>
              <w:t xml:space="preserve">Los Angeles, CA 90071 </w:t>
              <w:br/>
              <w:t xml:space="preserve">Attn: Aman Kumar </w:t>
              <w:br/>
              <w:t>Email: AmKumar@oaktreecapital.com</w:t>
              <w:br/>
              <w:br/>
              <w:t xml:space="preserve">With a copy to: </w:t>
              <w:br/>
              <w:t>Sullivan &amp; Cromwell LLP</w:t>
              <w:br/>
              <w:t>125 Broad Street</w:t>
              <w:br/>
              <w:t xml:space="preserve">New York, NY 10004 </w:t>
              <w:br/>
              <w:t xml:space="preserve">Attn: Ari B. Blaut </w:t>
              <w:b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75"/>
        <w:gridCol w:w="589"/>
        <w:gridCol w:w="1004"/>
        <w:gridCol w:w="3270"/>
      </w:tblGrid>
      <w:tr>
        <w:trPr/>
        <w:tc>
          <w:tcPr>
            <w:tcW w:w="75" w:type="dxa"/>
            <w:tcBorders/>
            <w:vAlign w:val="center"/>
          </w:tcPr>
          <w:p>
            <w:pPr>
              <w:pStyle w:val="TableContents"/>
              <w:bidi w:val="0"/>
              <w:spacing w:before="0" w:after="283"/>
              <w:jc w:val="left"/>
              <w:rPr/>
            </w:pPr>
            <w:r>
              <w:rPr/>
              <w:t> </w:t>
            </w:r>
          </w:p>
        </w:tc>
        <w:tc>
          <w:tcPr>
            <w:tcW w:w="486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OAKTREE-TBMR STRATEGIC CREDIT FUND F, LLC</w:t>
            </w:r>
          </w:p>
        </w:tc>
      </w:tr>
      <w:tr>
        <w:trPr/>
        <w:tc>
          <w:tcPr>
            <w:tcW w:w="75" w:type="dxa"/>
            <w:tcBorders/>
            <w:vAlign w:val="center"/>
          </w:tcPr>
          <w:p>
            <w:pPr>
              <w:pStyle w:val="TableContents"/>
              <w:bidi w:val="0"/>
              <w:spacing w:before="0" w:after="283"/>
              <w:jc w:val="left"/>
              <w:rPr/>
            </w:pPr>
            <w:r>
              <w:rPr/>
              <w:t> </w:t>
            </w:r>
          </w:p>
        </w:tc>
        <w:tc>
          <w:tcPr>
            <w:tcW w:w="486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c>
          <w:tcPr>
            <w:tcW w:w="32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20"/>
              </w:rPr>
            </w:pPr>
            <w:r>
              <w:rPr>
                <w:sz w:val="20"/>
              </w:rPr>
              <w:t>By:</w:t>
            </w:r>
          </w:p>
        </w:tc>
        <w:tc>
          <w:tcPr>
            <w:tcW w:w="427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Mary Gallegly</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sz w:val="20"/>
              </w:rPr>
            </w:pPr>
            <w:r>
              <w:rPr>
                <w:sz w:val="20"/>
              </w:rPr>
              <w:t>Name:</w:t>
            </w:r>
          </w:p>
        </w:tc>
        <w:tc>
          <w:tcPr>
            <w:tcW w:w="3270"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70"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42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7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70"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c>
          <w:tcPr>
            <w:tcW w:w="32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3" w:type="dxa"/>
            <w:gridSpan w:val="3"/>
            <w:tcBorders/>
            <w:vAlign w:val="center"/>
          </w:tcPr>
          <w:p>
            <w:pPr>
              <w:pStyle w:val="TableContents"/>
              <w:bidi w:val="0"/>
              <w:spacing w:before="0" w:after="283"/>
              <w:jc w:val="left"/>
              <w:rPr/>
            </w:pPr>
            <w:r>
              <w:rPr/>
              <w:t>Address for Notices:</w:t>
              <w:br/>
              <w:t xml:space="preserve">Oaktree Fund Administration, LLC </w:t>
              <w:br/>
              <w:t>333 S. Grand Avenue, 28</w:t>
            </w:r>
            <w:r>
              <w:rPr>
                <w:position w:val="8"/>
                <w:sz w:val="19"/>
              </w:rPr>
              <w:t xml:space="preserve">th </w:t>
            </w:r>
            <w:r>
              <w:rPr/>
              <w:t xml:space="preserve">Fl. </w:t>
              <w:br/>
              <w:t xml:space="preserve">Los Angeles, CA 90071 </w:t>
              <w:br/>
              <w:t xml:space="preserve">Attn: Oaktree Agency </w:t>
              <w:br/>
              <w:t xml:space="preserve">Email: Oaktreeagency@alterdomus.com </w:t>
              <w:br/>
              <w:br/>
              <w:t xml:space="preserve">With a copy to: </w:t>
              <w:br/>
              <w:t xml:space="preserve">Oaktree Capital Management, L.P. </w:t>
              <w:br/>
              <w:t>333 S. Grand Avenue, 28</w:t>
            </w:r>
            <w:r>
              <w:rPr>
                <w:position w:val="8"/>
                <w:sz w:val="19"/>
              </w:rPr>
              <w:t xml:space="preserve">th </w:t>
            </w:r>
            <w:r>
              <w:rPr/>
              <w:t xml:space="preserve">Fl. </w:t>
              <w:br/>
              <w:t xml:space="preserve">Los Angeles, CA 90071 </w:t>
              <w:br/>
              <w:t xml:space="preserve">Attn: Aman Kumar </w:t>
              <w:br/>
              <w:t>Email: AmKumar@oaktreecapital.com</w:t>
              <w:br/>
              <w:br/>
              <w:t xml:space="preserve">With a copy to: </w:t>
              <w:br/>
              <w:t>Sullivan &amp; Cromwell LLP</w:t>
              <w:br/>
              <w:t>125 Broad Street</w:t>
              <w:br/>
              <w:t xml:space="preserve">New York, NY 10004 </w:t>
              <w:br/>
              <w:t xml:space="preserve">Attn: Ari B. Blaut </w:t>
              <w:b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69" w:type="dxa"/>
        <w:jc w:val="left"/>
        <w:tblInd w:w="0" w:type="dxa"/>
        <w:tblLayout w:type="fixed"/>
        <w:tblCellMar>
          <w:top w:w="0" w:type="dxa"/>
          <w:left w:w="0" w:type="dxa"/>
          <w:bottom w:w="0" w:type="dxa"/>
          <w:right w:w="0" w:type="dxa"/>
        </w:tblCellMar>
      </w:tblPr>
      <w:tblGrid>
        <w:gridCol w:w="75"/>
        <w:gridCol w:w="593"/>
        <w:gridCol w:w="1010"/>
        <w:gridCol w:w="3291"/>
      </w:tblGrid>
      <w:tr>
        <w:trPr/>
        <w:tc>
          <w:tcPr>
            <w:tcW w:w="75" w:type="dxa"/>
            <w:tcBorders/>
            <w:vAlign w:val="center"/>
          </w:tcPr>
          <w:p>
            <w:pPr>
              <w:pStyle w:val="TableContents"/>
              <w:bidi w:val="0"/>
              <w:spacing w:before="0" w:after="283"/>
              <w:jc w:val="left"/>
              <w:rPr/>
            </w:pPr>
            <w:r>
              <w:rPr/>
              <w:t> </w:t>
            </w:r>
          </w:p>
        </w:tc>
        <w:tc>
          <w:tcPr>
            <w:tcW w:w="489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OAKTREE-TBMR STRATEGIC CREDIT FUND G, LLC</w:t>
            </w:r>
          </w:p>
        </w:tc>
      </w:tr>
      <w:tr>
        <w:trPr/>
        <w:tc>
          <w:tcPr>
            <w:tcW w:w="75" w:type="dxa"/>
            <w:tcBorders/>
            <w:vAlign w:val="center"/>
          </w:tcPr>
          <w:p>
            <w:pPr>
              <w:pStyle w:val="TableContents"/>
              <w:bidi w:val="0"/>
              <w:spacing w:before="0" w:after="283"/>
              <w:jc w:val="left"/>
              <w:rPr/>
            </w:pPr>
            <w:r>
              <w:rPr/>
              <w:t> </w:t>
            </w:r>
          </w:p>
        </w:tc>
        <w:tc>
          <w:tcPr>
            <w:tcW w:w="489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0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30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32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sz w:val="20"/>
              </w:rPr>
            </w:pPr>
            <w:r>
              <w:rPr>
                <w:sz w:val="20"/>
              </w:rPr>
              <w:t>By:</w:t>
            </w:r>
          </w:p>
        </w:tc>
        <w:tc>
          <w:tcPr>
            <w:tcW w:w="4301"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Mary Gallegly</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20"/>
              </w:rPr>
            </w:pPr>
            <w:r>
              <w:rPr>
                <w:sz w:val="20"/>
              </w:rPr>
              <w:t>Name:</w:t>
            </w:r>
          </w:p>
        </w:tc>
        <w:tc>
          <w:tcPr>
            <w:tcW w:w="3291"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91"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 </w:t>
            </w:r>
          </w:p>
        </w:tc>
        <w:tc>
          <w:tcPr>
            <w:tcW w:w="430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01"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91"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32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94" w:type="dxa"/>
            <w:gridSpan w:val="3"/>
            <w:tcBorders/>
            <w:vAlign w:val="center"/>
          </w:tcPr>
          <w:p>
            <w:pPr>
              <w:pStyle w:val="TableContents"/>
              <w:bidi w:val="0"/>
              <w:spacing w:before="0" w:after="283"/>
              <w:jc w:val="left"/>
              <w:rPr/>
            </w:pPr>
            <w:r>
              <w:rPr/>
              <w:t>Address for Notices:</w:t>
              <w:br/>
              <w:t xml:space="preserve">Oaktree Fund Administration, LLC </w:t>
              <w:br/>
              <w:t>333 S. Grand Avenue, 28</w:t>
            </w:r>
            <w:r>
              <w:rPr>
                <w:position w:val="8"/>
                <w:sz w:val="19"/>
              </w:rPr>
              <w:t xml:space="preserve">th </w:t>
            </w:r>
            <w:r>
              <w:rPr/>
              <w:t xml:space="preserve">Fl. </w:t>
              <w:br/>
              <w:t xml:space="preserve">Los Angeles, CA 90071 </w:t>
              <w:br/>
              <w:t xml:space="preserve">Attn: Oaktree Agency </w:t>
              <w:br/>
              <w:t xml:space="preserve">Email: Oaktreeagency@alterdomus.com </w:t>
              <w:br/>
              <w:br/>
              <w:t xml:space="preserve">With a copy to: </w:t>
              <w:br/>
              <w:t xml:space="preserve">Oaktree Capital Management, L.P. </w:t>
              <w:br/>
              <w:t>333 S. Grand Avenue, 28</w:t>
            </w:r>
            <w:r>
              <w:rPr>
                <w:position w:val="8"/>
                <w:sz w:val="19"/>
              </w:rPr>
              <w:t xml:space="preserve">th </w:t>
            </w:r>
            <w:r>
              <w:rPr/>
              <w:t xml:space="preserve">Fl. </w:t>
              <w:br/>
              <w:t xml:space="preserve">Los Angeles, CA 90071 </w:t>
              <w:br/>
              <w:t xml:space="preserve">Attn: Aman Kumar </w:t>
              <w:br/>
              <w:t>Email: AmKumar@oaktreecapital.com</w:t>
              <w:br/>
              <w:br/>
              <w:t xml:space="preserve">With a copy to: </w:t>
              <w:br/>
              <w:t>Sullivan &amp; Cromwell LLP</w:t>
              <w:br/>
              <w:t>125 Broad Street</w:t>
              <w:br/>
              <w:t xml:space="preserve">New York, NY 10004 </w:t>
              <w:br/>
              <w:t xml:space="preserve">Attn: Ari B. Blaut </w:t>
              <w:b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49" w:type="dxa"/>
        <w:jc w:val="left"/>
        <w:tblInd w:w="0" w:type="dxa"/>
        <w:tblLayout w:type="fixed"/>
        <w:tblCellMar>
          <w:top w:w="0" w:type="dxa"/>
          <w:left w:w="0" w:type="dxa"/>
          <w:bottom w:w="0" w:type="dxa"/>
          <w:right w:w="0" w:type="dxa"/>
        </w:tblCellMar>
      </w:tblPr>
      <w:tblGrid>
        <w:gridCol w:w="75"/>
        <w:gridCol w:w="506"/>
        <w:gridCol w:w="861"/>
        <w:gridCol w:w="2807"/>
      </w:tblGrid>
      <w:tr>
        <w:trPr/>
        <w:tc>
          <w:tcPr>
            <w:tcW w:w="75" w:type="dxa"/>
            <w:tcBorders/>
            <w:vAlign w:val="center"/>
          </w:tcPr>
          <w:p>
            <w:pPr>
              <w:pStyle w:val="TableContents"/>
              <w:bidi w:val="0"/>
              <w:spacing w:before="0" w:after="283"/>
              <w:jc w:val="left"/>
              <w:rPr/>
            </w:pPr>
            <w:r>
              <w:rPr/>
              <w:t> </w:t>
            </w:r>
          </w:p>
        </w:tc>
        <w:tc>
          <w:tcPr>
            <w:tcW w:w="417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OAKTREE-TSE 16 STRATEGIC CREDIT, LLC</w:t>
            </w:r>
          </w:p>
        </w:tc>
      </w:tr>
      <w:tr>
        <w:trPr/>
        <w:tc>
          <w:tcPr>
            <w:tcW w:w="75" w:type="dxa"/>
            <w:tcBorders/>
            <w:vAlign w:val="center"/>
          </w:tcPr>
          <w:p>
            <w:pPr>
              <w:pStyle w:val="TableContents"/>
              <w:bidi w:val="0"/>
              <w:spacing w:before="0" w:after="283"/>
              <w:jc w:val="left"/>
              <w:rPr/>
            </w:pPr>
            <w:r>
              <w:rPr/>
              <w:t> </w:t>
            </w:r>
          </w:p>
        </w:tc>
        <w:tc>
          <w:tcPr>
            <w:tcW w:w="417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6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66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280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20"/>
              </w:rPr>
            </w:pPr>
            <w:r>
              <w:rPr>
                <w:sz w:val="20"/>
              </w:rPr>
              <w:t>By:</w:t>
            </w:r>
          </w:p>
        </w:tc>
        <w:tc>
          <w:tcPr>
            <w:tcW w:w="3668"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Mary Gallegly</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sz w:val="20"/>
              </w:rPr>
            </w:pPr>
            <w:r>
              <w:rPr>
                <w:sz w:val="20"/>
              </w:rPr>
              <w:t>Name:</w:t>
            </w:r>
          </w:p>
        </w:tc>
        <w:tc>
          <w:tcPr>
            <w:tcW w:w="2807"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07"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66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68"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07"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280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4" w:type="dxa"/>
            <w:gridSpan w:val="3"/>
            <w:tcBorders/>
            <w:vAlign w:val="center"/>
          </w:tcPr>
          <w:p>
            <w:pPr>
              <w:pStyle w:val="TableContents"/>
              <w:bidi w:val="0"/>
              <w:spacing w:before="0" w:after="283"/>
              <w:jc w:val="left"/>
              <w:rPr/>
            </w:pPr>
            <w:r>
              <w:rPr/>
              <w:t>Address for Notices:</w:t>
              <w:br/>
              <w:t xml:space="preserve">Oaktree Fund Administration, LLC </w:t>
              <w:br/>
              <w:t>333 S. Grand Avenue, 28</w:t>
            </w:r>
            <w:r>
              <w:rPr>
                <w:position w:val="8"/>
                <w:sz w:val="19"/>
              </w:rPr>
              <w:t xml:space="preserve">th </w:t>
            </w:r>
            <w:r>
              <w:rPr/>
              <w:t xml:space="preserve">Fl. </w:t>
              <w:br/>
              <w:t xml:space="preserve">Los Angeles, CA 90071 </w:t>
              <w:br/>
              <w:t xml:space="preserve">Attn: Oaktree Agency </w:t>
              <w:br/>
              <w:t xml:space="preserve">Email: Oaktreeagency@alterdomus.com </w:t>
              <w:br/>
              <w:br/>
              <w:t xml:space="preserve">With a copy to: </w:t>
              <w:br/>
              <w:t xml:space="preserve">Oaktree Capital Management, L.P. </w:t>
              <w:br/>
              <w:t>333 S. Grand Avenue, 28</w:t>
            </w:r>
            <w:r>
              <w:rPr>
                <w:position w:val="8"/>
                <w:sz w:val="19"/>
              </w:rPr>
              <w:t xml:space="preserve">th </w:t>
            </w:r>
            <w:r>
              <w:rPr/>
              <w:t xml:space="preserve">Fl. </w:t>
              <w:br/>
              <w:t xml:space="preserve">Los Angeles, CA 90071 </w:t>
              <w:br/>
              <w:t xml:space="preserve">Attn: Aman Kumar </w:t>
              <w:br/>
              <w:t>Email: AmKumar@oaktreecapital.com</w:t>
              <w:br/>
              <w:br/>
              <w:t xml:space="preserve">With a copy to: </w:t>
              <w:br/>
              <w:t>Sullivan &amp; Cromwell LLP</w:t>
              <w:br/>
              <w:t>125 Broad Street</w:t>
              <w:br/>
              <w:t xml:space="preserve">New York, NY 10004 </w:t>
              <w:br/>
              <w:t xml:space="preserve">Attn: Ari B. Blaut </w:t>
              <w:b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75"/>
        <w:gridCol w:w="504"/>
        <w:gridCol w:w="858"/>
        <w:gridCol w:w="2796"/>
      </w:tblGrid>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INPRS STRATEGIC CREDIT HOLDINGS, LLC</w:t>
            </w:r>
          </w:p>
        </w:tc>
      </w:tr>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6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27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sz w:val="20"/>
              </w:rPr>
            </w:pPr>
            <w:r>
              <w:rPr>
                <w:sz w:val="20"/>
              </w:rPr>
              <w:t>By:</w:t>
            </w:r>
          </w:p>
        </w:tc>
        <w:tc>
          <w:tcPr>
            <w:tcW w:w="365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Mary Gallegly</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sz w:val="20"/>
              </w:rPr>
            </w:pPr>
            <w:r>
              <w:rPr>
                <w:sz w:val="20"/>
              </w:rPr>
              <w:t>Name:</w:t>
            </w:r>
          </w:p>
        </w:tc>
        <w:tc>
          <w:tcPr>
            <w:tcW w:w="2796"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96"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pPr>
            <w:r>
              <w:rPr/>
              <w:t> </w:t>
            </w:r>
          </w:p>
        </w:tc>
        <w:tc>
          <w:tcPr>
            <w:tcW w:w="3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96"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27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283"/>
              <w:jc w:val="left"/>
              <w:rPr/>
            </w:pPr>
            <w:r>
              <w:rPr/>
              <w:t>Address for Notices:</w:t>
              <w:br/>
              <w:t xml:space="preserve">Oaktree Fund Administration, LLC </w:t>
              <w:br/>
              <w:t>333 S. Grand Avenue, 28</w:t>
            </w:r>
            <w:r>
              <w:rPr>
                <w:position w:val="8"/>
                <w:sz w:val="19"/>
              </w:rPr>
              <w:t xml:space="preserve">th </w:t>
            </w:r>
            <w:r>
              <w:rPr/>
              <w:t xml:space="preserve">Fl. </w:t>
              <w:br/>
              <w:t xml:space="preserve">Los Angeles, CA 90071 </w:t>
              <w:br/>
              <w:t xml:space="preserve">Attn: Oaktree Agency </w:t>
              <w:br/>
              <w:t xml:space="preserve">Email: Oaktreeagency@alterdomus.com </w:t>
              <w:br/>
              <w:br/>
              <w:t xml:space="preserve">With a copy to: </w:t>
              <w:br/>
              <w:t xml:space="preserve">Oaktree Capital Management, L.P. </w:t>
              <w:br/>
              <w:t>333 S. Grand Avenue, 28</w:t>
            </w:r>
            <w:r>
              <w:rPr>
                <w:position w:val="8"/>
                <w:sz w:val="19"/>
              </w:rPr>
              <w:t xml:space="preserve">th </w:t>
            </w:r>
            <w:r>
              <w:rPr/>
              <w:t xml:space="preserve">Fl. </w:t>
              <w:br/>
              <w:t xml:space="preserve">Los Angeles, CA 90071 </w:t>
              <w:br/>
              <w:t xml:space="preserve">Attn: Aman Kumar </w:t>
              <w:br/>
              <w:t>Email: AmKumar@oaktreecapital.com</w:t>
              <w:br/>
              <w:br/>
              <w:t xml:space="preserve">With a copy to: </w:t>
              <w:br/>
              <w:t>Sullivan &amp; Cromwell LLP</w:t>
              <w:br/>
              <w:t>125 Broad Street</w:t>
              <w:br/>
              <w:t xml:space="preserve">New York, NY 10004 </w:t>
              <w:br/>
              <w:t xml:space="preserve">Attn: Ari B. Blaut </w:t>
              <w:b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75"/>
        <w:gridCol w:w="558"/>
        <w:gridCol w:w="951"/>
        <w:gridCol w:w="3099"/>
      </w:tblGrid>
      <w:tr>
        <w:trPr/>
        <w:tc>
          <w:tcPr>
            <w:tcW w:w="75"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 SPECIALTY LENDING CORPORATION</w:t>
            </w:r>
          </w:p>
        </w:tc>
      </w:tr>
      <w:tr>
        <w:trPr/>
        <w:tc>
          <w:tcPr>
            <w:tcW w:w="75"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50" w:type="dxa"/>
            <w:gridSpan w:val="2"/>
            <w:tcBorders/>
            <w:vAlign w:val="center"/>
          </w:tcPr>
          <w:p>
            <w:pPr>
              <w:pStyle w:val="TableContents"/>
              <w:bidi w:val="0"/>
              <w:spacing w:before="0" w:after="283"/>
              <w:jc w:val="left"/>
              <w:rPr/>
            </w:pPr>
            <w:r>
              <w:rPr/>
              <w:t>Oaktree Fund Advisors, LLC</w:t>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050" w:type="dxa"/>
            <w:gridSpan w:val="2"/>
            <w:tcBorders/>
            <w:vAlign w:val="center"/>
          </w:tcPr>
          <w:p>
            <w:pPr>
              <w:pStyle w:val="TableContents"/>
              <w:bidi w:val="0"/>
              <w:spacing w:before="0" w:after="283"/>
              <w:jc w:val="left"/>
              <w:rPr/>
            </w:pPr>
            <w:r>
              <w:rPr/>
              <w:t>Investment Adviser</w:t>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 </w:t>
            </w:r>
          </w:p>
        </w:tc>
        <w:tc>
          <w:tcPr>
            <w:tcW w:w="30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sz w:val="20"/>
              </w:rPr>
            </w:pPr>
            <w:r>
              <w:rPr>
                <w:sz w:val="20"/>
              </w:rPr>
              <w:t>By:</w:t>
            </w:r>
          </w:p>
        </w:tc>
        <w:tc>
          <w:tcPr>
            <w:tcW w:w="405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Mary Gallegly</w:t>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sz w:val="20"/>
              </w:rPr>
            </w:pPr>
            <w:r>
              <w:rPr>
                <w:sz w:val="20"/>
              </w:rPr>
              <w:t>Name:</w:t>
            </w:r>
          </w:p>
        </w:tc>
        <w:tc>
          <w:tcPr>
            <w:tcW w:w="3099"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9"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40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5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9"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 </w:t>
            </w:r>
          </w:p>
        </w:tc>
        <w:tc>
          <w:tcPr>
            <w:tcW w:w="30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283"/>
              <w:jc w:val="left"/>
              <w:rPr/>
            </w:pPr>
            <w:r>
              <w:rPr/>
              <w:t>Address for Notices:</w:t>
              <w:br/>
              <w:t xml:space="preserve">Oaktree Fund Administration, LLC </w:t>
              <w:br/>
              <w:t>333 S. Grand Avenue, 28</w:t>
            </w:r>
            <w:r>
              <w:rPr>
                <w:position w:val="8"/>
                <w:sz w:val="19"/>
              </w:rPr>
              <w:t xml:space="preserve">th </w:t>
            </w:r>
            <w:r>
              <w:rPr/>
              <w:t xml:space="preserve">Fl. </w:t>
              <w:br/>
              <w:t xml:space="preserve">Los Angeles, CA 90071 </w:t>
              <w:br/>
              <w:t xml:space="preserve">Attn: Oaktree Agency </w:t>
              <w:br/>
              <w:t xml:space="preserve">Email: Oaktreeagency@alterdomus.com </w:t>
              <w:br/>
              <w:br/>
              <w:t xml:space="preserve">With a copy to: </w:t>
              <w:br/>
              <w:t xml:space="preserve">Oaktree Capital Management, L.P. </w:t>
              <w:br/>
              <w:t>333 S. Grand Avenue, 28</w:t>
            </w:r>
            <w:r>
              <w:rPr>
                <w:position w:val="8"/>
                <w:sz w:val="19"/>
              </w:rPr>
              <w:t xml:space="preserve">th </w:t>
            </w:r>
            <w:r>
              <w:rPr/>
              <w:t xml:space="preserve">Fl. </w:t>
              <w:br/>
              <w:t xml:space="preserve">Los Angeles, CA 90071 </w:t>
              <w:br/>
              <w:t xml:space="preserve">Attn: Aman Kumar </w:t>
              <w:br/>
              <w:t>Email: AmKumar@oaktreecapital.com</w:t>
              <w:br/>
              <w:br/>
              <w:t xml:space="preserve">With a copy to: </w:t>
              <w:br/>
              <w:t>Sullivan &amp; Cromwell LLP</w:t>
              <w:br/>
              <w:t>125 Broad Street</w:t>
              <w:br/>
              <w:t xml:space="preserve">New York, NY 10004 </w:t>
              <w:br/>
              <w:t xml:space="preserve">Attn: Ari B. Blaut </w:t>
              <w:b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75"/>
        <w:gridCol w:w="474"/>
        <w:gridCol w:w="808"/>
        <w:gridCol w:w="2636"/>
      </w:tblGrid>
      <w:tr>
        <w:trPr/>
        <w:tc>
          <w:tcPr>
            <w:tcW w:w="75" w:type="dxa"/>
            <w:tcBorders/>
            <w:vAlign w:val="center"/>
          </w:tcPr>
          <w:p>
            <w:pPr>
              <w:pStyle w:val="TableContents"/>
              <w:bidi w:val="0"/>
              <w:spacing w:before="0" w:after="283"/>
              <w:jc w:val="left"/>
              <w:rPr/>
            </w:pPr>
            <w:r>
              <w:rPr/>
              <w:t> </w:t>
            </w:r>
          </w:p>
        </w:tc>
        <w:tc>
          <w:tcPr>
            <w:tcW w:w="391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 STRATEGIC CREDIT FUND</w:t>
            </w:r>
          </w:p>
        </w:tc>
      </w:tr>
      <w:tr>
        <w:trPr/>
        <w:tc>
          <w:tcPr>
            <w:tcW w:w="75" w:type="dxa"/>
            <w:tcBorders/>
            <w:vAlign w:val="center"/>
          </w:tcPr>
          <w:p>
            <w:pPr>
              <w:pStyle w:val="TableContents"/>
              <w:bidi w:val="0"/>
              <w:spacing w:before="0" w:after="283"/>
              <w:jc w:val="left"/>
              <w:rPr/>
            </w:pPr>
            <w:r>
              <w:rPr/>
              <w:t> </w:t>
            </w:r>
          </w:p>
        </w:tc>
        <w:tc>
          <w:tcPr>
            <w:tcW w:w="391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44" w:type="dxa"/>
            <w:gridSpan w:val="2"/>
            <w:tcBorders/>
            <w:vAlign w:val="center"/>
          </w:tcPr>
          <w:p>
            <w:pPr>
              <w:pStyle w:val="TableContents"/>
              <w:bidi w:val="0"/>
              <w:spacing w:before="0" w:after="283"/>
              <w:jc w:val="left"/>
              <w:rPr/>
            </w:pPr>
            <w:r>
              <w:rPr/>
              <w:t>Oaktree Fund Advisors, LLC</w:t>
            </w:r>
          </w:p>
        </w:tc>
      </w:tr>
      <w:tr>
        <w:trPr/>
        <w:tc>
          <w:tcPr>
            <w:tcW w:w="75"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444" w:type="dxa"/>
            <w:gridSpan w:val="2"/>
            <w:tcBorders/>
            <w:vAlign w:val="center"/>
          </w:tcPr>
          <w:p>
            <w:pPr>
              <w:pStyle w:val="TableContents"/>
              <w:bidi w:val="0"/>
              <w:spacing w:before="0" w:after="283"/>
              <w:jc w:val="left"/>
              <w:rPr/>
            </w:pPr>
            <w:r>
              <w:rPr/>
              <w:t>Investment Adviser</w:t>
            </w:r>
          </w:p>
        </w:tc>
      </w:tr>
      <w:tr>
        <w:trPr/>
        <w:tc>
          <w:tcPr>
            <w:tcW w:w="75"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 </w:t>
            </w:r>
          </w:p>
        </w:tc>
        <w:tc>
          <w:tcPr>
            <w:tcW w:w="26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sz w:val="20"/>
              </w:rPr>
            </w:pPr>
            <w:r>
              <w:rPr>
                <w:sz w:val="20"/>
              </w:rPr>
              <w:t>By:</w:t>
            </w:r>
          </w:p>
        </w:tc>
        <w:tc>
          <w:tcPr>
            <w:tcW w:w="344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Mary Gallegly</w:t>
            </w:r>
          </w:p>
        </w:tc>
      </w:tr>
      <w:tr>
        <w:trPr/>
        <w:tc>
          <w:tcPr>
            <w:tcW w:w="75"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sz w:val="20"/>
              </w:rPr>
            </w:pPr>
            <w:r>
              <w:rPr>
                <w:sz w:val="20"/>
              </w:rPr>
              <w:t>Name:</w:t>
            </w:r>
          </w:p>
        </w:tc>
        <w:tc>
          <w:tcPr>
            <w:tcW w:w="2636"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36"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34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4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36"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 </w:t>
            </w:r>
          </w:p>
        </w:tc>
        <w:tc>
          <w:tcPr>
            <w:tcW w:w="26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18" w:type="dxa"/>
            <w:gridSpan w:val="3"/>
            <w:tcBorders/>
            <w:vAlign w:val="center"/>
          </w:tcPr>
          <w:p>
            <w:pPr>
              <w:pStyle w:val="TableContents"/>
              <w:bidi w:val="0"/>
              <w:spacing w:before="0" w:after="283"/>
              <w:jc w:val="left"/>
              <w:rPr/>
            </w:pPr>
            <w:r>
              <w:rPr/>
              <w:t>Address for Notices:</w:t>
              <w:br/>
              <w:t xml:space="preserve">Oaktree Fund Administration, LLC </w:t>
              <w:br/>
              <w:t>333 S. Grand Avenue, 28</w:t>
            </w:r>
            <w:r>
              <w:rPr>
                <w:position w:val="8"/>
                <w:sz w:val="19"/>
              </w:rPr>
              <w:t xml:space="preserve">th </w:t>
            </w:r>
            <w:r>
              <w:rPr/>
              <w:t xml:space="preserve">Fl. </w:t>
              <w:br/>
              <w:t xml:space="preserve">Los Angeles, CA 90071 </w:t>
              <w:br/>
              <w:t xml:space="preserve">Attn: Oaktree Agency </w:t>
              <w:br/>
              <w:t xml:space="preserve">Email: Oaktreeagency@alterdomus.com </w:t>
              <w:br/>
              <w:br/>
              <w:t xml:space="preserve">With a copy to: </w:t>
              <w:br/>
              <w:t xml:space="preserve">Oaktree Capital Management, L.P. </w:t>
              <w:br/>
              <w:t>333 S. Grand Avenue, 28</w:t>
            </w:r>
            <w:r>
              <w:rPr>
                <w:position w:val="8"/>
                <w:sz w:val="19"/>
              </w:rPr>
              <w:t xml:space="preserve">th </w:t>
            </w:r>
            <w:r>
              <w:rPr/>
              <w:t xml:space="preserve">Fl. </w:t>
              <w:br/>
              <w:t xml:space="preserve">Los Angeles, CA 90071 </w:t>
              <w:br/>
              <w:t xml:space="preserve">Attn: Aman Kumar </w:t>
              <w:br/>
              <w:t>Email: AmKumar@oaktreecapital.com</w:t>
              <w:br/>
              <w:br/>
              <w:t xml:space="preserve">With a copy to: </w:t>
              <w:br/>
              <w:t>Sullivan &amp; Cromwell LLP</w:t>
              <w:br/>
              <w:t>125 Broad Street</w:t>
              <w:br/>
              <w:t xml:space="preserve">New York, NY 10004 </w:t>
              <w:br/>
              <w:t xml:space="preserve">Attn: Ari B. Blaut </w:t>
              <w:b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04" w:type="dxa"/>
        <w:jc w:val="left"/>
        <w:tblInd w:w="0" w:type="dxa"/>
        <w:tblLayout w:type="fixed"/>
        <w:tblCellMar>
          <w:top w:w="0" w:type="dxa"/>
          <w:left w:w="0" w:type="dxa"/>
          <w:bottom w:w="0" w:type="dxa"/>
          <w:right w:w="0" w:type="dxa"/>
        </w:tblCellMar>
      </w:tblPr>
      <w:tblGrid>
        <w:gridCol w:w="75"/>
        <w:gridCol w:w="573"/>
        <w:gridCol w:w="976"/>
        <w:gridCol w:w="3180"/>
      </w:tblGrid>
      <w:tr>
        <w:trPr/>
        <w:tc>
          <w:tcPr>
            <w:tcW w:w="75" w:type="dxa"/>
            <w:tcBorders/>
            <w:vAlign w:val="center"/>
          </w:tcPr>
          <w:p>
            <w:pPr>
              <w:pStyle w:val="TableContents"/>
              <w:bidi w:val="0"/>
              <w:spacing w:before="0" w:after="283"/>
              <w:jc w:val="left"/>
              <w:rPr/>
            </w:pPr>
            <w:r>
              <w:rPr/>
              <w:t> </w:t>
            </w:r>
          </w:p>
        </w:tc>
        <w:tc>
          <w:tcPr>
            <w:tcW w:w="472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 GCP FUND DELAWARE HOLDINGS, L.P.</w:t>
            </w:r>
          </w:p>
        </w:tc>
      </w:tr>
      <w:tr>
        <w:trPr/>
        <w:tc>
          <w:tcPr>
            <w:tcW w:w="75" w:type="dxa"/>
            <w:tcBorders/>
            <w:vAlign w:val="center"/>
          </w:tcPr>
          <w:p>
            <w:pPr>
              <w:pStyle w:val="TableContents"/>
              <w:bidi w:val="0"/>
              <w:spacing w:before="0" w:after="283"/>
              <w:jc w:val="left"/>
              <w:rPr/>
            </w:pPr>
            <w:r>
              <w:rPr/>
              <w:t> </w:t>
            </w:r>
          </w:p>
        </w:tc>
        <w:tc>
          <w:tcPr>
            <w:tcW w:w="472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5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Global Credit Plus Fund GP, L.P.</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15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415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5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Global Credit Plus Fund GP Ltd.</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15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415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5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 </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Its:</w:t>
            </w:r>
          </w:p>
        </w:tc>
        <w:tc>
          <w:tcPr>
            <w:tcW w:w="4156" w:type="dxa"/>
            <w:gridSpan w:val="2"/>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415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sz w:val="20"/>
              </w:rPr>
            </w:pPr>
            <w:r>
              <w:rPr>
                <w:sz w:val="20"/>
              </w:rPr>
              <w:t>By:</w:t>
            </w:r>
          </w:p>
        </w:tc>
        <w:tc>
          <w:tcPr>
            <w:tcW w:w="4156"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Mary Gallegly</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sz w:val="20"/>
              </w:rPr>
            </w:pPr>
            <w:r>
              <w:rPr>
                <w:sz w:val="20"/>
              </w:rPr>
              <w:t>Name:</w:t>
            </w:r>
          </w:p>
        </w:tc>
        <w:tc>
          <w:tcPr>
            <w:tcW w:w="3180"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80"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415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56"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80"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3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9" w:type="dxa"/>
            <w:gridSpan w:val="3"/>
            <w:tcBorders/>
            <w:vAlign w:val="center"/>
          </w:tcPr>
          <w:p>
            <w:pPr>
              <w:pStyle w:val="TableContents"/>
              <w:bidi w:val="0"/>
              <w:spacing w:before="0" w:after="283"/>
              <w:jc w:val="left"/>
              <w:rPr/>
            </w:pPr>
            <w:r>
              <w:rPr/>
              <w:t>Address for Notices:</w:t>
              <w:br/>
              <w:t xml:space="preserve">Oaktree Fund Administration, LLC </w:t>
              <w:br/>
              <w:t>333 S. Grand Avenue, 28</w:t>
            </w:r>
            <w:r>
              <w:rPr>
                <w:position w:val="8"/>
                <w:sz w:val="19"/>
              </w:rPr>
              <w:t xml:space="preserve">th </w:t>
            </w:r>
            <w:r>
              <w:rPr/>
              <w:t xml:space="preserve">Fl. </w:t>
              <w:br/>
              <w:t xml:space="preserve">Los Angeles, CA 90071 </w:t>
              <w:br/>
              <w:t xml:space="preserve">Attn: Oaktree Agency </w:t>
              <w:br/>
              <w:t xml:space="preserve">Email: Oaktreeagency@alterdomus.com </w:t>
              <w:br/>
              <w:br/>
              <w:t xml:space="preserve">With a copy to: </w:t>
              <w:br/>
              <w:t xml:space="preserve">Oaktree Capital Management, L.P. </w:t>
              <w:br/>
              <w:t>333 S. Grand Avenue, 28</w:t>
            </w:r>
            <w:r>
              <w:rPr>
                <w:position w:val="8"/>
                <w:sz w:val="19"/>
              </w:rPr>
              <w:t xml:space="preserve">th </w:t>
            </w:r>
            <w:r>
              <w:rPr/>
              <w:t xml:space="preserve">Fl. </w:t>
              <w:br/>
              <w:t xml:space="preserve">Los Angeles, CA 90071 </w:t>
              <w:br/>
              <w:t xml:space="preserve">Attn: Aman Kumar </w:t>
              <w:br/>
              <w:t>Email: AmKumar@oaktreecapital.com</w:t>
              <w:br/>
              <w:br/>
              <w:t xml:space="preserve">With a copy to: </w:t>
              <w:br/>
              <w:t>Sullivan &amp; Cromwell LLP</w:t>
              <w:br/>
              <w:t>125 Broad Street</w:t>
              <w:br/>
              <w:t xml:space="preserve">New York, NY 10004 </w:t>
              <w:br/>
              <w:t xml:space="preserve">Attn: Ari B. Blaut </w:t>
              <w:b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49" w:type="dxa"/>
        <w:jc w:val="left"/>
        <w:tblInd w:w="0" w:type="dxa"/>
        <w:tblLayout w:type="fixed"/>
        <w:tblCellMar>
          <w:top w:w="0" w:type="dxa"/>
          <w:left w:w="0" w:type="dxa"/>
          <w:bottom w:w="0" w:type="dxa"/>
          <w:right w:w="0" w:type="dxa"/>
        </w:tblCellMar>
      </w:tblPr>
      <w:tblGrid>
        <w:gridCol w:w="75"/>
        <w:gridCol w:w="506"/>
        <w:gridCol w:w="861"/>
        <w:gridCol w:w="2807"/>
      </w:tblGrid>
      <w:tr>
        <w:trPr/>
        <w:tc>
          <w:tcPr>
            <w:tcW w:w="75" w:type="dxa"/>
            <w:tcBorders/>
            <w:vAlign w:val="center"/>
          </w:tcPr>
          <w:p>
            <w:pPr>
              <w:pStyle w:val="TableContents"/>
              <w:bidi w:val="0"/>
              <w:spacing w:before="0" w:after="283"/>
              <w:jc w:val="left"/>
              <w:rPr/>
            </w:pPr>
            <w:r>
              <w:rPr/>
              <w:t> </w:t>
            </w:r>
          </w:p>
        </w:tc>
        <w:tc>
          <w:tcPr>
            <w:tcW w:w="417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 DIVERSIFIED INCOME FUND INC.</w:t>
            </w:r>
          </w:p>
        </w:tc>
      </w:tr>
      <w:tr>
        <w:trPr/>
        <w:tc>
          <w:tcPr>
            <w:tcW w:w="75" w:type="dxa"/>
            <w:tcBorders/>
            <w:vAlign w:val="center"/>
          </w:tcPr>
          <w:p>
            <w:pPr>
              <w:pStyle w:val="TableContents"/>
              <w:bidi w:val="0"/>
              <w:spacing w:before="0" w:after="283"/>
              <w:jc w:val="left"/>
              <w:rPr/>
            </w:pPr>
            <w:r>
              <w:rPr/>
              <w:t> </w:t>
            </w:r>
          </w:p>
        </w:tc>
        <w:tc>
          <w:tcPr>
            <w:tcW w:w="417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6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Fund Advisors, LLC</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66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Adviser</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280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20"/>
              </w:rPr>
            </w:pPr>
            <w:r>
              <w:rPr>
                <w:sz w:val="20"/>
              </w:rPr>
              <w:t>By:</w:t>
            </w:r>
          </w:p>
        </w:tc>
        <w:tc>
          <w:tcPr>
            <w:tcW w:w="3668"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Mary Gallegly</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sz w:val="20"/>
              </w:rPr>
            </w:pPr>
            <w:r>
              <w:rPr>
                <w:sz w:val="20"/>
              </w:rPr>
              <w:t>Name:</w:t>
            </w:r>
          </w:p>
        </w:tc>
        <w:tc>
          <w:tcPr>
            <w:tcW w:w="2807"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07"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66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68"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07"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280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4" w:type="dxa"/>
            <w:gridSpan w:val="3"/>
            <w:tcBorders/>
            <w:vAlign w:val="center"/>
          </w:tcPr>
          <w:p>
            <w:pPr>
              <w:pStyle w:val="TableContents"/>
              <w:bidi w:val="0"/>
              <w:spacing w:before="0" w:after="283"/>
              <w:jc w:val="left"/>
              <w:rPr/>
            </w:pPr>
            <w:r>
              <w:rPr/>
              <w:t>Address for Notices:</w:t>
              <w:br/>
              <w:t xml:space="preserve">Oaktree Fund Administration, LLC </w:t>
              <w:br/>
              <w:t>333 S. Grand Avenue, 28</w:t>
            </w:r>
            <w:r>
              <w:rPr>
                <w:position w:val="8"/>
                <w:sz w:val="19"/>
              </w:rPr>
              <w:t xml:space="preserve">th </w:t>
            </w:r>
            <w:r>
              <w:rPr/>
              <w:t xml:space="preserve">Fl. </w:t>
              <w:br/>
              <w:t xml:space="preserve">Los Angeles, CA 90071 </w:t>
              <w:br/>
              <w:t xml:space="preserve">Attn: Oaktree Agency </w:t>
              <w:br/>
              <w:t xml:space="preserve">Email: Oaktreeagency@alterdomus.com </w:t>
              <w:br/>
              <w:br/>
              <w:t xml:space="preserve">With a copy to: </w:t>
              <w:br/>
              <w:t xml:space="preserve">Oaktree Capital Management, L.P. </w:t>
              <w:br/>
              <w:t>333 S. Grand Avenue, 28</w:t>
            </w:r>
            <w:r>
              <w:rPr>
                <w:position w:val="8"/>
                <w:sz w:val="19"/>
              </w:rPr>
              <w:t xml:space="preserve">th </w:t>
            </w:r>
            <w:r>
              <w:rPr/>
              <w:t xml:space="preserve">Fl. </w:t>
              <w:br/>
              <w:t xml:space="preserve">Los Angeles, CA 90071 </w:t>
              <w:br/>
              <w:t xml:space="preserve">Attn: Aman Kumar </w:t>
              <w:br/>
              <w:t>Email: AmKumar@oaktreecapital.com</w:t>
              <w:br/>
              <w:br/>
              <w:t xml:space="preserve">With a copy to: </w:t>
              <w:br/>
              <w:t>Sullivan &amp; Cromwell LLP</w:t>
              <w:br/>
              <w:t>125 Broad Street</w:t>
              <w:br/>
              <w:t xml:space="preserve">New York, NY 10004 </w:t>
              <w:br/>
              <w:t xml:space="preserve">Attn: Ari B. Blaut </w:t>
              <w:br/>
              <w:t>Email: blauta@sullcrom.com</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75"/>
        <w:gridCol w:w="537"/>
        <w:gridCol w:w="915"/>
        <w:gridCol w:w="3006"/>
      </w:tblGrid>
      <w:tr>
        <w:trPr/>
        <w:tc>
          <w:tcPr>
            <w:tcW w:w="75" w:type="dxa"/>
            <w:tcBorders/>
            <w:vAlign w:val="center"/>
          </w:tcPr>
          <w:p>
            <w:pPr>
              <w:pStyle w:val="TableContents"/>
              <w:bidi w:val="0"/>
              <w:spacing w:before="0" w:after="283"/>
              <w:jc w:val="left"/>
              <w:rPr/>
            </w:pPr>
            <w:r>
              <w:rPr/>
              <w:t> </w:t>
            </w:r>
          </w:p>
        </w:tc>
        <w:tc>
          <w:tcPr>
            <w:tcW w:w="445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 AZ STRATEGIC LENDING FUND, L.P.</w:t>
            </w:r>
          </w:p>
        </w:tc>
      </w:tr>
      <w:tr>
        <w:trPr/>
        <w:tc>
          <w:tcPr>
            <w:tcW w:w="75" w:type="dxa"/>
            <w:tcBorders/>
            <w:vAlign w:val="center"/>
          </w:tcPr>
          <w:p>
            <w:pPr>
              <w:pStyle w:val="TableContents"/>
              <w:bidi w:val="0"/>
              <w:spacing w:before="0" w:after="283"/>
              <w:jc w:val="left"/>
              <w:rPr/>
            </w:pPr>
            <w:r>
              <w:rPr/>
              <w:t> </w:t>
            </w:r>
          </w:p>
        </w:tc>
        <w:tc>
          <w:tcPr>
            <w:tcW w:w="44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2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AZ Strategic Lending Fund GP, L.P.</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92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392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2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Fund GP IIA, LLC</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92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392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2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Fund GP II, L.P.</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92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392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sz w:val="20"/>
              </w:rPr>
            </w:pPr>
            <w:r>
              <w:rPr>
                <w:sz w:val="20"/>
              </w:rPr>
              <w:t>By:</w:t>
            </w:r>
          </w:p>
        </w:tc>
        <w:tc>
          <w:tcPr>
            <w:tcW w:w="3921"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Mary Gallegly</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left"/>
              <w:rPr>
                <w:sz w:val="20"/>
              </w:rPr>
            </w:pPr>
            <w:r>
              <w:rPr>
                <w:sz w:val="20"/>
              </w:rPr>
              <w:t>Name:</w:t>
            </w:r>
          </w:p>
        </w:tc>
        <w:tc>
          <w:tcPr>
            <w:tcW w:w="3006"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06" w:type="dxa"/>
            <w:tcBorders/>
            <w:vAlign w:val="center"/>
          </w:tcPr>
          <w:p>
            <w:pPr>
              <w:pStyle w:val="TableContents"/>
              <w:bidi w:val="0"/>
              <w:spacing w:before="0" w:after="283"/>
              <w:jc w:val="left"/>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392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21"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06" w:type="dxa"/>
            <w:tcBorders/>
            <w:vAlign w:val="center"/>
          </w:tcPr>
          <w:p>
            <w:pPr>
              <w:pStyle w:val="TableContents"/>
              <w:bidi w:val="0"/>
              <w:spacing w:before="0" w:after="283"/>
              <w:jc w:val="left"/>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left"/>
              <w:rPr/>
            </w:pPr>
            <w:r>
              <w:rPr/>
              <w:t> </w:t>
            </w:r>
          </w:p>
        </w:tc>
        <w:tc>
          <w:tcPr>
            <w:tcW w:w="30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58" w:type="dxa"/>
            <w:gridSpan w:val="3"/>
            <w:tcBorders/>
            <w:vAlign w:val="center"/>
          </w:tcPr>
          <w:p>
            <w:pPr>
              <w:pStyle w:val="TableContents"/>
              <w:bidi w:val="0"/>
              <w:spacing w:before="0" w:after="283"/>
              <w:jc w:val="left"/>
              <w:rPr/>
            </w:pPr>
            <w:r>
              <w:rPr/>
              <w:t>Address for Notices:</w:t>
              <w:br/>
              <w:t xml:space="preserve">Oaktree Fund Administration, LLC </w:t>
              <w:br/>
              <w:t>333 S. Grand Avenue, 28</w:t>
            </w:r>
            <w:r>
              <w:rPr>
                <w:position w:val="8"/>
                <w:sz w:val="19"/>
              </w:rPr>
              <w:t xml:space="preserve">th </w:t>
            </w:r>
            <w:r>
              <w:rPr/>
              <w:t xml:space="preserve">Fl. </w:t>
              <w:br/>
              <w:t xml:space="preserve">Los Angeles, CA 90071 </w:t>
              <w:br/>
              <w:t xml:space="preserve">Attn: Oaktree Agency </w:t>
              <w:br/>
              <w:t xml:space="preserve">Email: Oaktreeagency@alterdomus.com </w:t>
              <w:br/>
              <w:br/>
              <w:t xml:space="preserve">With a copy to: </w:t>
              <w:br/>
              <w:t xml:space="preserve">Oaktree Capital Management, L.P. </w:t>
              <w:br/>
              <w:t>333 S. Grand Avenue, 28</w:t>
            </w:r>
            <w:r>
              <w:rPr>
                <w:position w:val="8"/>
                <w:sz w:val="19"/>
              </w:rPr>
              <w:t xml:space="preserve">th </w:t>
            </w:r>
            <w:r>
              <w:rPr/>
              <w:t xml:space="preserve">Fl. </w:t>
              <w:br/>
              <w:t xml:space="preserve">Los Angeles, CA 90071 </w:t>
              <w:br/>
              <w:t xml:space="preserve">Attn: Aman Kumar </w:t>
              <w:br/>
              <w:t>Email: AmKumar@oaktreecapital.com</w:t>
              <w:br/>
              <w:br/>
              <w:t xml:space="preserve">With a copy to: </w:t>
              <w:br/>
              <w:t>Sullivan &amp; Cromwell LLP</w:t>
              <w:br/>
              <w:t>125 Broad Street</w:t>
              <w:br/>
              <w:t xml:space="preserve">New York, NY 10004 </w:t>
              <w:br/>
              <w:t xml:space="preserve">Attn: Ari B. Blaut </w:t>
              <w:b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75"/>
        <w:gridCol w:w="711"/>
        <w:gridCol w:w="1150"/>
        <w:gridCol w:w="2672"/>
      </w:tblGrid>
      <w:tr>
        <w:trPr/>
        <w:tc>
          <w:tcPr>
            <w:tcW w:w="75" w:type="dxa"/>
            <w:tcBorders/>
            <w:vAlign w:val="center"/>
          </w:tcPr>
          <w:p>
            <w:pPr>
              <w:pStyle w:val="TableContents"/>
              <w:bidi w:val="0"/>
              <w:spacing w:before="0" w:after="283"/>
              <w:jc w:val="left"/>
              <w:rPr/>
            </w:pPr>
            <w:r>
              <w:rPr/>
              <w:t> </w:t>
            </w:r>
          </w:p>
        </w:tc>
        <w:tc>
          <w:tcPr>
            <w:tcW w:w="4533"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Oaktree LSL Fund Holdings EURRC S.à r.l.</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26A, boulevard Royal L-2449</w:t>
              <w:br/>
              <w:t>Luxembourg, Grand Duchy of Luxembourg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R.C.S Luxembourg Number: B269245</w:t>
            </w:r>
          </w:p>
        </w:tc>
      </w:tr>
      <w:tr>
        <w:trPr/>
        <w:tc>
          <w:tcPr>
            <w:tcW w:w="75" w:type="dxa"/>
            <w:tcBorders/>
            <w:vAlign w:val="center"/>
          </w:tcPr>
          <w:p>
            <w:pPr>
              <w:pStyle w:val="TableContents"/>
              <w:bidi w:val="0"/>
              <w:spacing w:before="0" w:after="283"/>
              <w:jc w:val="left"/>
              <w:rPr/>
            </w:pPr>
            <w:r>
              <w:rPr/>
              <w:t> </w:t>
            </w:r>
          </w:p>
        </w:tc>
        <w:tc>
          <w:tcPr>
            <w:tcW w:w="453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By:</w:t>
            </w:r>
          </w:p>
        </w:tc>
        <w:tc>
          <w:tcPr>
            <w:tcW w:w="3822" w:type="dxa"/>
            <w:gridSpan w:val="2"/>
            <w:tcBorders>
              <w:bottom w:val="single" w:sz="8" w:space="0" w:color="000000"/>
            </w:tcBorders>
            <w:tcMar>
              <w:bottom w:w="28" w:type="dxa"/>
            </w:tcMar>
            <w:vAlign w:val="center"/>
          </w:tcPr>
          <w:p>
            <w:pPr>
              <w:pStyle w:val="TableContents"/>
              <w:bidi w:val="0"/>
              <w:spacing w:before="0" w:after="283"/>
              <w:jc w:val="left"/>
              <w:rPr/>
            </w:pPr>
            <w:r>
              <w:rPr/>
              <w:t>/s/ Martin Eckel</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Martin Eckel</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c>
          <w:tcPr>
            <w:tcW w:w="3822"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22" w:type="dxa"/>
            <w:gridSpan w:val="2"/>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Flora Verrecchia</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Flora Verrecchia</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c>
          <w:tcPr>
            <w:tcW w:w="3822"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33"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Oaktree Fund Administration, LLC </w:t>
              <w:br/>
              <w:t>333 S. Grand Avenue, 28</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 Angeles, CA 90071 </w:t>
              <w:b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Oaktreeagency@alterdomus.com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Oaktree Capital Management, L.P. </w:t>
              <w:br/>
              <w:t>333 S. Grand Avenue, 28</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 Angeles, CA 90071 </w:t>
              <w:b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AmKumar@oaktreecapital.com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Sullivan &amp; Cromwell LLP </w:t>
              <w:br/>
              <w:t>125 Broad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York, NY 10004 </w:t>
              <w:b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94" w:type="dxa"/>
        <w:jc w:val="left"/>
        <w:tblInd w:w="0" w:type="dxa"/>
        <w:tblLayout w:type="fixed"/>
        <w:tblCellMar>
          <w:top w:w="0" w:type="dxa"/>
          <w:left w:w="0" w:type="dxa"/>
          <w:bottom w:w="0" w:type="dxa"/>
          <w:right w:w="0" w:type="dxa"/>
        </w:tblCellMar>
      </w:tblPr>
      <w:tblGrid>
        <w:gridCol w:w="75"/>
        <w:gridCol w:w="736"/>
        <w:gridCol w:w="1100"/>
        <w:gridCol w:w="3583"/>
      </w:tblGrid>
      <w:tr>
        <w:trPr/>
        <w:tc>
          <w:tcPr>
            <w:tcW w:w="75" w:type="dxa"/>
            <w:tcBorders/>
            <w:vAlign w:val="center"/>
          </w:tcPr>
          <w:p>
            <w:pPr>
              <w:pStyle w:val="TableContents"/>
              <w:bidi w:val="0"/>
              <w:spacing w:before="0" w:after="283"/>
              <w:jc w:val="left"/>
              <w:rPr/>
            </w:pPr>
            <w:r>
              <w:rPr/>
              <w:t> </w:t>
            </w:r>
          </w:p>
        </w:tc>
        <w:tc>
          <w:tcPr>
            <w:tcW w:w="541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 LSL FUND DELAWARE HOLDINGS EURRC, L.P.</w:t>
            </w:r>
          </w:p>
        </w:tc>
      </w:tr>
      <w:tr>
        <w:trPr/>
        <w:tc>
          <w:tcPr>
            <w:tcW w:w="75" w:type="dxa"/>
            <w:tcBorders/>
            <w:vAlign w:val="center"/>
          </w:tcPr>
          <w:p>
            <w:pPr>
              <w:pStyle w:val="TableContents"/>
              <w:bidi w:val="0"/>
              <w:spacing w:before="0" w:after="283"/>
              <w:jc w:val="left"/>
              <w:rPr/>
            </w:pPr>
            <w:r>
              <w:rPr/>
              <w:t> </w:t>
            </w:r>
          </w:p>
        </w:tc>
        <w:tc>
          <w:tcPr>
            <w:tcW w:w="541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8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Life Sciences Lending Fund GP, L.P.</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68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468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8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Life Sciences Lending Fund GP Ltd.</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68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468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468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sz w:val="20"/>
              </w:rPr>
            </w:pPr>
            <w:r>
              <w:rPr>
                <w:sz w:val="20"/>
              </w:rPr>
              <w:t>Its:</w:t>
            </w:r>
          </w:p>
        </w:tc>
        <w:tc>
          <w:tcPr>
            <w:tcW w:w="4683" w:type="dxa"/>
            <w:gridSpan w:val="2"/>
            <w:tcBorders/>
            <w:vAlign w:val="center"/>
          </w:tcPr>
          <w:p>
            <w:pPr>
              <w:pStyle w:val="TableContents"/>
              <w:bidi w:val="0"/>
              <w:spacing w:before="0" w:after="283"/>
              <w:jc w:val="left"/>
              <w:rPr>
                <w:sz w:val="20"/>
              </w:rPr>
            </w:pPr>
            <w:r>
              <w:rPr>
                <w:sz w:val="20"/>
              </w:rPr>
              <w:t>Director</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468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sz w:val="20"/>
              </w:rPr>
            </w:pPr>
            <w:r>
              <w:rPr>
                <w:sz w:val="20"/>
              </w:rPr>
              <w:t>By:</w:t>
            </w:r>
          </w:p>
        </w:tc>
        <w:tc>
          <w:tcPr>
            <w:tcW w:w="4683"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Mary Gallegly</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20"/>
              </w:rPr>
            </w:pPr>
            <w:r>
              <w:rPr>
                <w:sz w:val="20"/>
              </w:rPr>
              <w:t>Name:</w:t>
            </w:r>
          </w:p>
        </w:tc>
        <w:tc>
          <w:tcPr>
            <w:tcW w:w="3583"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83"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468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83"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83"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541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19"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Oaktree Fund Administration, LLC </w:t>
              <w:br/>
              <w:t>333 S. Grand Avenue, 28</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 Angeles, CA 90071 </w:t>
              <w:b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Oaktreeagency@alterdomus.com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Oaktree Capital Management, L.P. </w:t>
              <w:br/>
              <w:t>333 S. Grand Avenue, 28</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b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AmKumar@oaktreecapital.com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Sullivan &amp; Cromwell LLP </w:t>
              <w:br/>
              <w:t>125 Broad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York, NY 10004 Attn: </w:t>
              <w:br/>
              <w:t>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09" w:type="dxa"/>
        <w:jc w:val="left"/>
        <w:tblInd w:w="0" w:type="dxa"/>
        <w:tblLayout w:type="fixed"/>
        <w:tblCellMar>
          <w:top w:w="0" w:type="dxa"/>
          <w:left w:w="0" w:type="dxa"/>
          <w:bottom w:w="0" w:type="dxa"/>
          <w:right w:w="0" w:type="dxa"/>
        </w:tblCellMar>
      </w:tblPr>
      <w:tblGrid>
        <w:gridCol w:w="75"/>
        <w:gridCol w:w="802"/>
        <w:gridCol w:w="4332"/>
      </w:tblGrid>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BOOST HOLDING LLC</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32" w:type="dxa"/>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 xml:space="preserve">/s/ </w:t>
            </w:r>
            <w:r>
              <w:rPr/>
              <w:t>Ahmed Nasser Al-Abdulghani</w:t>
            </w:r>
          </w:p>
        </w:tc>
      </w:tr>
      <w:tr>
        <w:trPr/>
        <w:tc>
          <w:tcPr>
            <w:tcW w:w="75"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32" w:type="dxa"/>
            <w:tcBorders/>
            <w:vAlign w:val="center"/>
          </w:tcPr>
          <w:p>
            <w:pPr>
              <w:pStyle w:val="TableContents"/>
              <w:bidi w:val="0"/>
              <w:spacing w:before="0" w:after="283"/>
              <w:jc w:val="left"/>
              <w:rPr/>
            </w:pPr>
            <w:r>
              <w:rPr/>
              <w:t>Ahmed Nasser Al-Abdulghani</w:t>
            </w:r>
          </w:p>
        </w:tc>
      </w:tr>
      <w:tr>
        <w:trPr/>
        <w:tc>
          <w:tcPr>
            <w:tcW w:w="75"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32"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Qatar Investment Authority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Ooredoo Tower (Building 14)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Dafna Street (Street 801)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Dafna (Zone 61) Doha, Qatar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(which shall not constitute notice) shall also be sent to: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Qatar Investment Authority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Ooredoo Tower (Building 14)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Dafna Street (Street 801)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Dafna (Zone 61)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Doha, Qatar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notices.legal@qia.qa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(which shall not constitute notice) shall also be sent to: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Shearman &amp; Sterling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 Mission Street,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94105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Michael S. Dorf</w:t>
            </w:r>
          </w:p>
          <w:p>
            <w:pPr>
              <w:pStyle w:val="TableContents"/>
              <w:bidi w:val="0"/>
              <w:spacing w:before="0" w:after="0"/>
              <w:ind w:left="0" w:right="0" w:firstLine="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Tomasz Kulawik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mdorf@shearman.com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tomasz.kulawik@shearman.com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Fifth Amendment to Credit Agreement and Guaranty and First Amendment to Fourth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Conformed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color w:val="0000FF"/>
          <w:sz w:val="20"/>
          <w:u w:val="single"/>
        </w:rPr>
      </w:pPr>
      <w:r>
        <w:rPr>
          <w:rFonts w:ascii="Times New Roman;Times;Serif" w:hAnsi="Times New Roman;Times;Serif"/>
          <w:b/>
          <w:i/>
          <w:caps w:val="false"/>
          <w:smallCaps w:val="false"/>
          <w:color w:val="0000FF"/>
          <w:sz w:val="20"/>
          <w:u w:val="single"/>
        </w:rPr>
        <w:t>Execution Version</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Conformed Credit Agreement</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 AND GUARANTY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April 19,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amended </w:t>
      </w:r>
      <w:r>
        <w:rPr>
          <w:rFonts w:ascii="Times New Roman;Times;Serif" w:hAnsi="Times New Roman;Times;Serif"/>
          <w:b/>
          <w:i w:val="false"/>
          <w:caps w:val="false"/>
          <w:smallCaps w:val="false"/>
          <w:strike/>
          <w:color w:val="FF0000"/>
          <w:sz w:val="20"/>
        </w:rPr>
        <w:t>as of December 5, 2023</w:t>
      </w:r>
      <w:r>
        <w:rPr>
          <w:rFonts w:ascii="Times New Roman;Times;Serif" w:hAnsi="Times New Roman;Times;Serif"/>
          <w:b/>
          <w:i w:val="false"/>
          <w:caps w:val="false"/>
          <w:smallCaps w:val="false"/>
          <w:color w:val="0000FF"/>
          <w:sz w:val="20"/>
          <w:u w:val="single"/>
        </w:rPr>
        <w:t xml:space="preserve">through </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the Fifth Amendment, dated November 21,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BIOXCEL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Borrower,</w:t>
      </w:r>
    </w:p>
    <w:p>
      <w:pPr>
        <w:pStyle w:val="TextBody"/>
        <w:bidi w:val="0"/>
        <w:spacing w:before="0" w:after="0"/>
        <w:ind w:left="0" w:right="0" w:firstLine="2115"/>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SUBSIDIARY GUARANTORS FROM TIME TO TIME PARTY </w:t>
        <w:br/>
        <w:t>HERETO,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LENDERS FROM TIME TO TIME PARTY HERETO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FUND ADMINISTRATION,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Administrative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$202,319,447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469" w:type="dxa"/>
        <w:jc w:val="left"/>
        <w:tblInd w:w="0" w:type="dxa"/>
        <w:tblLayout w:type="fixed"/>
        <w:tblCellMar>
          <w:top w:w="0" w:type="dxa"/>
          <w:left w:w="0" w:type="dxa"/>
          <w:bottom w:w="0" w:type="dxa"/>
          <w:right w:w="0" w:type="dxa"/>
        </w:tblCellMar>
      </w:tblPr>
      <w:tblGrid>
        <w:gridCol w:w="1069"/>
        <w:gridCol w:w="6915"/>
        <w:gridCol w:w="485"/>
      </w:tblGrid>
      <w:tr>
        <w:trPr/>
        <w:tc>
          <w:tcPr>
            <w:tcW w:w="7984"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Section 1. </w:t>
            </w:r>
            <w:r>
              <w:rPr>
                <w:caps/>
              </w:rPr>
              <w:t>DEFINITIONS</w:t>
            </w:r>
          </w:p>
        </w:tc>
        <w:tc>
          <w:tcPr>
            <w:tcW w:w="485" w:type="dxa"/>
            <w:tcBorders/>
            <w:vAlign w:val="center"/>
          </w:tcPr>
          <w:p>
            <w:pPr>
              <w:pStyle w:val="TableContents"/>
              <w:bidi w:val="0"/>
              <w:spacing w:before="0" w:after="283"/>
              <w:jc w:val="right"/>
              <w:rPr/>
            </w:pPr>
            <w:r>
              <w:rPr>
                <w:rFonts w:ascii="Times New Roman;Times;Serif" w:hAnsi="Times New Roman;Times;Serif"/>
                <w:caps/>
                <w:strike/>
                <w:color w:val="FF0000"/>
                <w:sz w:val="20"/>
              </w:rPr>
              <w:t>1</w:t>
            </w:r>
            <w:r>
              <w:rPr>
                <w:caps/>
                <w:color w:val="0000FF"/>
                <w:u w:val="single"/>
              </w:rPr>
              <w:t>1</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Defined Terms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1</w:t>
            </w:r>
            <w:r>
              <w:rPr>
                <w:color w:val="0000FF"/>
                <w:u w:val="single"/>
              </w:rPr>
              <w:t>1</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Terms and Principles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37</w:t>
            </w:r>
            <w:r>
              <w:rPr>
                <w:color w:val="0000FF"/>
                <w:u w:val="single"/>
              </w:rPr>
              <w:t>40</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38</w:t>
            </w:r>
            <w:r>
              <w:rPr>
                <w:color w:val="0000FF"/>
                <w:u w:val="single"/>
              </w:rPr>
              <w:t>40</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Division</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39</w:t>
            </w:r>
            <w:r>
              <w:rPr>
                <w:color w:val="0000FF"/>
                <w:u w:val="single"/>
              </w:rPr>
              <w:t>41</w:t>
            </w:r>
          </w:p>
        </w:tc>
      </w:tr>
      <w:tr>
        <w:trPr/>
        <w:tc>
          <w:tcPr>
            <w:tcW w:w="7984"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Section 2. </w:t>
            </w:r>
            <w:r>
              <w:rPr>
                <w:caps/>
              </w:rPr>
              <w:t>THE COMMITMENT AND THE LOANS</w:t>
            </w:r>
            <w:r>
              <w:rPr>
                <w:caps/>
                <w:strike/>
                <w:color w:val="FF0000"/>
              </w:rPr>
              <w:t>; EQUITY INVESTMENT</w:t>
            </w:r>
          </w:p>
        </w:tc>
        <w:tc>
          <w:tcPr>
            <w:tcW w:w="485" w:type="dxa"/>
            <w:tcBorders/>
            <w:vAlign w:val="center"/>
          </w:tcPr>
          <w:p>
            <w:pPr>
              <w:pStyle w:val="TableContents"/>
              <w:bidi w:val="0"/>
              <w:spacing w:before="0" w:after="283"/>
              <w:jc w:val="right"/>
              <w:rPr/>
            </w:pPr>
            <w:r>
              <w:rPr>
                <w:rFonts w:ascii="Times New Roman;Times;Serif" w:hAnsi="Times New Roman;Times;Serif"/>
                <w:caps/>
                <w:strike/>
                <w:color w:val="FF0000"/>
                <w:sz w:val="20"/>
              </w:rPr>
              <w:t>39</w:t>
            </w:r>
            <w:r>
              <w:rPr>
                <w:caps/>
                <w:color w:val="0000FF"/>
                <w:u w:val="single"/>
              </w:rPr>
              <w:t>42</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39</w:t>
            </w:r>
            <w:r>
              <w:rPr>
                <w:color w:val="0000FF"/>
                <w:u w:val="single"/>
              </w:rPr>
              <w:t>42</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Borrowing Procedures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40</w:t>
            </w:r>
            <w:r>
              <w:rPr>
                <w:color w:val="0000FF"/>
                <w:u w:val="single"/>
              </w:rPr>
              <w:t>42</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Funding of Borrowings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40</w:t>
            </w:r>
            <w:r>
              <w:rPr>
                <w:color w:val="0000FF"/>
                <w:u w:val="single"/>
              </w:rPr>
              <w:t>42</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2.04</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41</w:t>
            </w:r>
            <w:r>
              <w:rPr>
                <w:color w:val="0000FF"/>
                <w:u w:val="single"/>
              </w:rPr>
              <w:t>43</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2.05</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41</w:t>
            </w:r>
            <w:r>
              <w:rPr>
                <w:color w:val="0000FF"/>
                <w:u w:val="single"/>
              </w:rPr>
              <w:t>43</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2.06</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Ticking Fees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41</w:t>
            </w:r>
            <w:r>
              <w:rPr>
                <w:color w:val="0000FF"/>
                <w:u w:val="single"/>
              </w:rPr>
              <w:t>43</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2.07</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Extension of Maturity Date</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41</w:t>
            </w:r>
            <w:r>
              <w:rPr>
                <w:color w:val="0000FF"/>
                <w:u w:val="single"/>
              </w:rPr>
              <w:t>43</w:t>
            </w:r>
          </w:p>
        </w:tc>
      </w:tr>
      <w:tr>
        <w:trPr/>
        <w:tc>
          <w:tcPr>
            <w:tcW w:w="1069" w:type="dxa"/>
            <w:tcBorders/>
            <w:vAlign w:val="center"/>
          </w:tcPr>
          <w:p>
            <w:pPr>
              <w:pStyle w:val="TableContents"/>
              <w:bidi w:val="0"/>
              <w:spacing w:before="0" w:after="283"/>
              <w:jc w:val="left"/>
              <w:rPr>
                <w:rFonts w:ascii="Times New Roman;Times;Serif" w:hAnsi="Times New Roman;Times;Serif"/>
                <w:strike/>
                <w:color w:val="FF0000"/>
                <w:sz w:val="20"/>
              </w:rPr>
            </w:pPr>
            <w:r>
              <w:rPr>
                <w:rFonts w:ascii="Times New Roman;Times;Serif" w:hAnsi="Times New Roman;Times;Serif"/>
                <w:strike/>
                <w:color w:val="FF0000"/>
                <w:sz w:val="20"/>
              </w:rPr>
              <w:t>2.08</w:t>
            </w:r>
          </w:p>
        </w:tc>
        <w:tc>
          <w:tcPr>
            <w:tcW w:w="6915" w:type="dxa"/>
            <w:tcBorders/>
            <w:vAlign w:val="center"/>
          </w:tcPr>
          <w:p>
            <w:pPr>
              <w:pStyle w:val="TableContents"/>
              <w:bidi w:val="0"/>
              <w:spacing w:before="0" w:after="283"/>
              <w:jc w:val="left"/>
              <w:rPr>
                <w:rFonts w:ascii="Times New Roman;Times;Serif" w:hAnsi="Times New Roman;Times;Serif"/>
                <w:strike/>
                <w:color w:val="FF0000"/>
                <w:sz w:val="20"/>
              </w:rPr>
            </w:pPr>
            <w:r>
              <w:rPr>
                <w:rFonts w:ascii="Times New Roman;Times;Serif" w:hAnsi="Times New Roman;Times;Serif"/>
                <w:strike/>
                <w:color w:val="FF0000"/>
                <w:sz w:val="20"/>
              </w:rPr>
              <w:t>Equity Investment</w:t>
            </w:r>
          </w:p>
        </w:tc>
        <w:tc>
          <w:tcPr>
            <w:tcW w:w="485" w:type="dxa"/>
            <w:tcBorders/>
            <w:vAlign w:val="center"/>
          </w:tcPr>
          <w:p>
            <w:pPr>
              <w:pStyle w:val="TableContents"/>
              <w:bidi w:val="0"/>
              <w:spacing w:before="0" w:after="283"/>
              <w:jc w:val="right"/>
              <w:rPr>
                <w:rFonts w:ascii="Times New Roman;Times;Serif" w:hAnsi="Times New Roman;Times;Serif"/>
                <w:strike/>
                <w:color w:val="FF0000"/>
                <w:sz w:val="20"/>
              </w:rPr>
            </w:pPr>
            <w:r>
              <w:rPr>
                <w:rFonts w:ascii="Times New Roman;Times;Serif" w:hAnsi="Times New Roman;Times;Serif"/>
                <w:strike/>
                <w:color w:val="FF0000"/>
                <w:sz w:val="20"/>
              </w:rPr>
              <w:t>42</w:t>
            </w:r>
          </w:p>
        </w:tc>
      </w:tr>
      <w:tr>
        <w:trPr/>
        <w:tc>
          <w:tcPr>
            <w:tcW w:w="7984"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Section 3. </w:t>
            </w:r>
            <w:r>
              <w:rPr>
                <w:caps/>
              </w:rPr>
              <w:t>PAYMENTS OF PRINCIPAL AND INTEREST, ETC.</w:t>
            </w:r>
          </w:p>
        </w:tc>
        <w:tc>
          <w:tcPr>
            <w:tcW w:w="485" w:type="dxa"/>
            <w:tcBorders/>
            <w:vAlign w:val="center"/>
          </w:tcPr>
          <w:p>
            <w:pPr>
              <w:pStyle w:val="TableContents"/>
              <w:bidi w:val="0"/>
              <w:spacing w:before="0" w:after="283"/>
              <w:jc w:val="right"/>
              <w:rPr/>
            </w:pPr>
            <w:r>
              <w:rPr>
                <w:rFonts w:ascii="Times New Roman;Times;Serif" w:hAnsi="Times New Roman;Times;Serif"/>
                <w:caps/>
                <w:strike/>
                <w:color w:val="FF0000"/>
                <w:sz w:val="20"/>
              </w:rPr>
              <w:t>42</w:t>
            </w:r>
            <w:r>
              <w:rPr>
                <w:caps/>
                <w:color w:val="0000FF"/>
                <w:u w:val="single"/>
              </w:rPr>
              <w:t>45</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3.01</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Scheduled Repayments and Prepayments Generally; Application</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42</w:t>
            </w:r>
            <w:r>
              <w:rPr>
                <w:color w:val="0000FF"/>
                <w:u w:val="single"/>
              </w:rPr>
              <w:t>45</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3.02</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3.03</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43</w:t>
            </w:r>
            <w:r>
              <w:rPr>
                <w:color w:val="0000FF"/>
                <w:u w:val="single"/>
              </w:rPr>
              <w:t>46</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3.04</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 Termination</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7984"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Section 4. </w:t>
            </w:r>
            <w:r>
              <w:rPr>
                <w:caps/>
              </w:rPr>
              <w:t>PAYMENTS, ETC.</w:t>
            </w:r>
          </w:p>
        </w:tc>
        <w:tc>
          <w:tcPr>
            <w:tcW w:w="48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49</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4.01</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4.02</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Computations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4.03</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Set-Off</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7984"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Section 5. </w:t>
            </w:r>
            <w:r>
              <w:rPr>
                <w:caps/>
              </w:rPr>
              <w:t>YIELD PROTECTION, TAXES, ETC.</w:t>
            </w:r>
          </w:p>
        </w:tc>
        <w:tc>
          <w:tcPr>
            <w:tcW w:w="48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51</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5.01</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Costs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5.02</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Illegality</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5.03</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5.04</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Mitigation Obligations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69"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5.05</w:t>
            </w:r>
          </w:p>
        </w:tc>
        <w:tc>
          <w:tcPr>
            <w:tcW w:w="6915"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[Reserved].</w:t>
            </w:r>
          </w:p>
        </w:tc>
        <w:tc>
          <w:tcPr>
            <w:tcW w:w="485" w:type="dxa"/>
            <w:tcBorders/>
            <w:vAlign w:val="center"/>
          </w:tcPr>
          <w:p>
            <w:pPr>
              <w:pStyle w:val="TableContents"/>
              <w:bidi w:val="0"/>
              <w:spacing w:before="0" w:after="283"/>
              <w:jc w:val="right"/>
              <w:rPr>
                <w:rFonts w:ascii="Times New Roman;Times;Serif" w:hAnsi="Times New Roman;Times;Serif"/>
                <w:color w:val="0000FF"/>
                <w:sz w:val="20"/>
                <w:u w:val="single"/>
              </w:rPr>
            </w:pPr>
            <w:r>
              <w:rPr>
                <w:rFonts w:ascii="Times New Roman;Times;Serif" w:hAnsi="Times New Roman;Times;Serif"/>
                <w:color w:val="0000FF"/>
                <w:sz w:val="20"/>
                <w:u w:val="single"/>
              </w:rPr>
              <w:t>56</w:t>
            </w:r>
          </w:p>
        </w:tc>
      </w:tr>
      <w:tr>
        <w:trPr/>
        <w:tc>
          <w:tcPr>
            <w:tcW w:w="1069" w:type="dxa"/>
            <w:tcBorders/>
            <w:vAlign w:val="center"/>
          </w:tcPr>
          <w:p>
            <w:pPr>
              <w:pStyle w:val="TableContents"/>
              <w:bidi w:val="0"/>
              <w:spacing w:before="0" w:after="283"/>
              <w:jc w:val="left"/>
              <w:rPr/>
            </w:pPr>
            <w:r>
              <w:rPr>
                <w:rFonts w:ascii="Times New Roman;Times;Serif" w:hAnsi="Times New Roman;Times;Serif"/>
                <w:strike/>
                <w:color w:val="FF0000"/>
                <w:sz w:val="20"/>
              </w:rPr>
              <w:t>5.05</w:t>
            </w:r>
            <w:r>
              <w:rPr>
                <w:color w:val="0000FF"/>
                <w:u w:val="single"/>
              </w:rPr>
              <w:t>5.06</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55</w:t>
            </w:r>
            <w:r>
              <w:rPr>
                <w:color w:val="0000FF"/>
                <w:u w:val="single"/>
              </w:rPr>
              <w:t>58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114" w:type="dxa"/>
        <w:jc w:val="left"/>
        <w:tblInd w:w="0" w:type="dxa"/>
        <w:tblLayout w:type="fixed"/>
        <w:tblCellMar>
          <w:top w:w="0" w:type="dxa"/>
          <w:left w:w="0" w:type="dxa"/>
          <w:bottom w:w="0" w:type="dxa"/>
          <w:right w:w="0" w:type="dxa"/>
        </w:tblCellMar>
      </w:tblPr>
      <w:tblGrid>
        <w:gridCol w:w="449"/>
        <w:gridCol w:w="5180"/>
        <w:gridCol w:w="485"/>
      </w:tblGrid>
      <w:tr>
        <w:trPr/>
        <w:tc>
          <w:tcPr>
            <w:tcW w:w="5629"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Section 6. </w:t>
            </w:r>
            <w:r>
              <w:rPr>
                <w:caps/>
              </w:rPr>
              <w:t>CONDITIONS</w:t>
            </w:r>
          </w:p>
        </w:tc>
        <w:tc>
          <w:tcPr>
            <w:tcW w:w="485" w:type="dxa"/>
            <w:tcBorders/>
            <w:vAlign w:val="center"/>
          </w:tcPr>
          <w:p>
            <w:pPr>
              <w:pStyle w:val="TableContents"/>
              <w:bidi w:val="0"/>
              <w:spacing w:before="0" w:after="283"/>
              <w:jc w:val="right"/>
              <w:rPr/>
            </w:pPr>
            <w:r>
              <w:rPr>
                <w:rFonts w:ascii="Times New Roman;Times;Serif" w:hAnsi="Times New Roman;Times;Serif"/>
                <w:caps/>
                <w:strike/>
                <w:color w:val="FF0000"/>
                <w:sz w:val="20"/>
              </w:rPr>
              <w:t>55</w:t>
            </w:r>
            <w:r>
              <w:rPr>
                <w:caps/>
                <w:color w:val="0000FF"/>
                <w:u w:val="single"/>
              </w:rPr>
              <w:t>58</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6.01</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Closing</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55</w:t>
            </w:r>
            <w:r>
              <w:rPr>
                <w:color w:val="0000FF"/>
                <w:u w:val="single"/>
              </w:rPr>
              <w:t>58</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6.02</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Borrowing of All Loans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58</w:t>
            </w:r>
            <w:r>
              <w:rPr>
                <w:color w:val="0000FF"/>
                <w:u w:val="single"/>
              </w:rPr>
              <w:t>61</w:t>
            </w:r>
          </w:p>
        </w:tc>
      </w:tr>
      <w:tr>
        <w:trPr/>
        <w:tc>
          <w:tcPr>
            <w:tcW w:w="5629"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Section 7. </w:t>
            </w:r>
            <w:r>
              <w:rPr>
                <w:caps/>
              </w:rPr>
              <w:t>REPRESENTATIONS AND WARRANTIES</w:t>
            </w:r>
          </w:p>
        </w:tc>
        <w:tc>
          <w:tcPr>
            <w:tcW w:w="485" w:type="dxa"/>
            <w:tcBorders/>
            <w:vAlign w:val="center"/>
          </w:tcPr>
          <w:p>
            <w:pPr>
              <w:pStyle w:val="TableContents"/>
              <w:bidi w:val="0"/>
              <w:spacing w:before="0" w:after="283"/>
              <w:jc w:val="right"/>
              <w:rPr/>
            </w:pPr>
            <w:r>
              <w:rPr>
                <w:rFonts w:ascii="Times New Roman;Times;Serif" w:hAnsi="Times New Roman;Times;Serif"/>
                <w:caps/>
                <w:strike/>
                <w:color w:val="FF0000"/>
                <w:sz w:val="20"/>
              </w:rPr>
              <w:t>60</w:t>
            </w:r>
            <w:r>
              <w:rPr>
                <w:caps/>
                <w:color w:val="0000FF"/>
                <w:u w:val="single"/>
              </w:rPr>
              <w:t>63</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7.01</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and Authority</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60</w:t>
            </w:r>
            <w:r>
              <w:rPr>
                <w:color w:val="0000FF"/>
                <w:u w:val="single"/>
              </w:rPr>
              <w:t>63</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7.02</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Enforceability</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61</w:t>
            </w:r>
            <w:r>
              <w:rPr>
                <w:color w:val="0000FF"/>
                <w:u w:val="single"/>
              </w:rPr>
              <w:t>63</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7.03</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and Other Approvals; No Conflicts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61</w:t>
            </w:r>
            <w:r>
              <w:rPr>
                <w:color w:val="0000FF"/>
                <w:u w:val="single"/>
              </w:rPr>
              <w:t>63</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7.04</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Material Adverse Change</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61</w:t>
            </w:r>
            <w:r>
              <w:rPr>
                <w:color w:val="0000FF"/>
                <w:u w:val="single"/>
              </w:rPr>
              <w:t>64</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7.05</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Properties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61</w:t>
            </w:r>
            <w:r>
              <w:rPr>
                <w:color w:val="0000FF"/>
                <w:u w:val="single"/>
              </w:rPr>
              <w:t>64</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7.06</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Actions or Proceedings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64</w:t>
            </w:r>
            <w:r>
              <w:rPr>
                <w:color w:val="0000FF"/>
                <w:u w:val="single"/>
              </w:rPr>
              <w:t>66</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7.07</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 and Agreements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64</w:t>
            </w:r>
            <w:r>
              <w:rPr>
                <w:color w:val="0000FF"/>
                <w:u w:val="single"/>
              </w:rPr>
              <w:t>67</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7.08</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65</w:t>
            </w:r>
            <w:r>
              <w:rPr>
                <w:color w:val="0000FF"/>
                <w:u w:val="single"/>
              </w:rPr>
              <w:t>68</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7.09</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Full Disclosure</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65</w:t>
            </w:r>
            <w:r>
              <w:rPr>
                <w:color w:val="0000FF"/>
                <w:u w:val="single"/>
              </w:rPr>
              <w:t>68</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Company Act and Margin Stock Regulation</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66</w:t>
            </w:r>
            <w:r>
              <w:rPr>
                <w:color w:val="0000FF"/>
                <w:u w:val="single"/>
              </w:rPr>
              <w:t>68</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66</w:t>
            </w:r>
            <w:r>
              <w:rPr>
                <w:color w:val="0000FF"/>
                <w:u w:val="single"/>
              </w:rPr>
              <w:t>69</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7.12</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66</w:t>
            </w:r>
            <w:r>
              <w:rPr>
                <w:color w:val="0000FF"/>
                <w:u w:val="single"/>
              </w:rPr>
              <w:t>69</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7.13</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Indebtedness and Liens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66</w:t>
            </w:r>
            <w:r>
              <w:rPr>
                <w:color w:val="0000FF"/>
                <w:u w:val="single"/>
              </w:rPr>
              <w:t>69</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7.14</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Agreements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66</w:t>
            </w:r>
            <w:r>
              <w:rPr>
                <w:color w:val="0000FF"/>
                <w:u w:val="single"/>
              </w:rPr>
              <w:t>69</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7.15</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Restrictive Agreements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66</w:t>
            </w:r>
            <w:r>
              <w:rPr>
                <w:color w:val="0000FF"/>
                <w:u w:val="single"/>
              </w:rPr>
              <w:t>69</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7.16</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66</w:t>
            </w:r>
            <w:r>
              <w:rPr>
                <w:color w:val="0000FF"/>
                <w:u w:val="single"/>
              </w:rPr>
              <w:t>69</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7.17</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Pension Matters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67</w:t>
            </w:r>
            <w:r>
              <w:rPr>
                <w:color w:val="0000FF"/>
                <w:u w:val="single"/>
              </w:rPr>
              <w:t>70</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7.18</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Approvals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67</w:t>
            </w:r>
            <w:r>
              <w:rPr>
                <w:color w:val="0000FF"/>
                <w:u w:val="single"/>
              </w:rPr>
              <w:t>70</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7.19</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68</w:t>
            </w:r>
            <w:r>
              <w:rPr>
                <w:color w:val="0000FF"/>
                <w:u w:val="single"/>
              </w:rPr>
              <w:t>71</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7.20</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OFAC; Anti-Terrorism Laws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68</w:t>
            </w:r>
            <w:r>
              <w:rPr>
                <w:color w:val="0000FF"/>
                <w:u w:val="single"/>
              </w:rPr>
              <w:t>71</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7.21</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69</w:t>
            </w:r>
            <w:r>
              <w:rPr>
                <w:color w:val="0000FF"/>
                <w:u w:val="single"/>
              </w:rPr>
              <w:t>72</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7.22</w:t>
            </w:r>
          </w:p>
        </w:tc>
        <w:tc>
          <w:tcPr>
            <w:tcW w:w="5180" w:type="dxa"/>
            <w:tcBorders/>
            <w:vAlign w:val="center"/>
          </w:tcPr>
          <w:p>
            <w:pPr>
              <w:pStyle w:val="TableContents"/>
              <w:bidi w:val="0"/>
              <w:spacing w:before="0" w:after="283"/>
              <w:jc w:val="left"/>
              <w:rPr/>
            </w:pPr>
            <w:r>
              <w:rPr>
                <w:rFonts w:ascii="Times New Roman;Times;Serif" w:hAnsi="Times New Roman;Times;Serif"/>
                <w:strike/>
                <w:color w:val="FF0000"/>
                <w:sz w:val="20"/>
              </w:rPr>
              <w:t>BXCL 701 Assets</w:t>
            </w:r>
            <w:r>
              <w:rPr>
                <w:color w:val="0000FF"/>
                <w:u w:val="single"/>
              </w:rPr>
              <w:t>[Reserved]</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69</w:t>
            </w:r>
            <w:r>
              <w:rPr>
                <w:color w:val="0000FF"/>
                <w:u w:val="single"/>
              </w:rPr>
              <w:t>72</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7.23</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Priority of Obligations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69</w:t>
            </w:r>
            <w:r>
              <w:rPr>
                <w:color w:val="0000FF"/>
                <w:u w:val="single"/>
              </w:rPr>
              <w:t>72</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7.24</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Royalty and Other Payments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69</w:t>
            </w:r>
            <w:r>
              <w:rPr>
                <w:color w:val="0000FF"/>
                <w:u w:val="single"/>
              </w:rPr>
              <w:t>72</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7.25</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Non-Competes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69</w:t>
            </w:r>
            <w:r>
              <w:rPr>
                <w:color w:val="0000FF"/>
                <w:u w:val="single"/>
              </w:rPr>
              <w:t>72</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7.26</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Interest</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69</w:t>
            </w:r>
            <w:r>
              <w:rPr>
                <w:color w:val="0000FF"/>
                <w:u w:val="single"/>
              </w:rPr>
              <w:t>72</w:t>
            </w:r>
          </w:p>
        </w:tc>
      </w:tr>
      <w:tr>
        <w:trPr/>
        <w:tc>
          <w:tcPr>
            <w:tcW w:w="4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7.27</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Data Privacy</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70</w:t>
            </w:r>
            <w:r>
              <w:rPr>
                <w:color w:val="0000FF"/>
                <w:u w:val="single"/>
              </w:rPr>
              <w:t>72</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50" w:type="dxa"/>
        <w:jc w:val="left"/>
        <w:tblInd w:w="0" w:type="dxa"/>
        <w:tblLayout w:type="fixed"/>
        <w:tblCellMar>
          <w:top w:w="0" w:type="dxa"/>
          <w:left w:w="0" w:type="dxa"/>
          <w:bottom w:w="0" w:type="dxa"/>
          <w:right w:w="0" w:type="dxa"/>
        </w:tblCellMar>
      </w:tblPr>
      <w:tblGrid>
        <w:gridCol w:w="395"/>
        <w:gridCol w:w="6170"/>
        <w:gridCol w:w="485"/>
      </w:tblGrid>
      <w:tr>
        <w:trPr/>
        <w:tc>
          <w:tcPr>
            <w:tcW w:w="6565"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Section 8. </w:t>
            </w:r>
            <w:r>
              <w:rPr>
                <w:caps/>
              </w:rPr>
              <w:t>AFFIRMATIVE COVENANTS</w:t>
            </w:r>
          </w:p>
        </w:tc>
        <w:tc>
          <w:tcPr>
            <w:tcW w:w="485" w:type="dxa"/>
            <w:tcBorders/>
            <w:vAlign w:val="center"/>
          </w:tcPr>
          <w:p>
            <w:pPr>
              <w:pStyle w:val="TableContents"/>
              <w:bidi w:val="0"/>
              <w:spacing w:before="0" w:after="283"/>
              <w:jc w:val="right"/>
              <w:rPr/>
            </w:pPr>
            <w:r>
              <w:rPr>
                <w:rFonts w:ascii="Times New Roman;Times;Serif" w:hAnsi="Times New Roman;Times;Serif"/>
                <w:caps/>
                <w:strike/>
                <w:color w:val="FF0000"/>
                <w:sz w:val="20"/>
              </w:rPr>
              <w:t>70</w:t>
            </w:r>
            <w:r>
              <w:rPr>
                <w:caps/>
                <w:color w:val="0000FF"/>
                <w:u w:val="single"/>
              </w:rPr>
              <w:t>73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and Other Information</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70</w:t>
            </w:r>
            <w:r>
              <w:rPr>
                <w:color w:val="0000FF"/>
                <w:u w:val="single"/>
              </w:rPr>
              <w:t>73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of Material Events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72</w:t>
            </w:r>
            <w:r>
              <w:rPr>
                <w:color w:val="0000FF"/>
                <w:u w:val="single"/>
              </w:rPr>
              <w:t>75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74</w:t>
            </w:r>
            <w:r>
              <w:rPr>
                <w:color w:val="0000FF"/>
                <w:u w:val="single"/>
              </w:rPr>
              <w:t>77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Obligations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74</w:t>
            </w:r>
            <w:r>
              <w:rPr>
                <w:color w:val="0000FF"/>
                <w:u w:val="single"/>
              </w:rPr>
              <w:t>77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74</w:t>
            </w:r>
            <w:r>
              <w:rPr>
                <w:color w:val="0000FF"/>
                <w:u w:val="single"/>
              </w:rPr>
              <w:t>78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Books and Records; Inspection Rights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75</w:t>
            </w:r>
            <w:r>
              <w:rPr>
                <w:color w:val="0000FF"/>
                <w:u w:val="single"/>
              </w:rPr>
              <w:t>78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 and Other Obligations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75</w:t>
            </w:r>
            <w:r>
              <w:rPr>
                <w:color w:val="0000FF"/>
                <w:u w:val="single"/>
              </w:rPr>
              <w:t>79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Properties, Etc.</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75</w:t>
            </w:r>
            <w:r>
              <w:rPr>
                <w:color w:val="0000FF"/>
                <w:u w:val="single"/>
              </w:rPr>
              <w:t>79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8.09</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Licenses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76</w:t>
            </w:r>
            <w:r>
              <w:rPr>
                <w:color w:val="0000FF"/>
                <w:u w:val="single"/>
              </w:rPr>
              <w:t>79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8.10</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76</w:t>
            </w:r>
            <w:r>
              <w:rPr>
                <w:color w:val="0000FF"/>
                <w:u w:val="single"/>
              </w:rPr>
              <w:t>79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Obligations Respecting Subsidiaries; Further Assurances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76</w:t>
            </w:r>
            <w:r>
              <w:rPr>
                <w:color w:val="0000FF"/>
                <w:u w:val="single"/>
              </w:rPr>
              <w:t>79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Non-Permitted Liens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78</w:t>
            </w:r>
            <w:r>
              <w:rPr>
                <w:color w:val="0000FF"/>
                <w:u w:val="single"/>
              </w:rPr>
              <w:t>82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 Materials; Oaktree Lender Board Observer</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78</w:t>
            </w:r>
            <w:r>
              <w:rPr>
                <w:color w:val="0000FF"/>
                <w:u w:val="single"/>
              </w:rPr>
              <w:t>82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79</w:t>
            </w:r>
            <w:r>
              <w:rPr>
                <w:color w:val="0000FF"/>
                <w:u w:val="single"/>
              </w:rPr>
              <w:t>83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Regulatory Approvals, Contracts, Intellectual Property, Etc.</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79</w:t>
            </w:r>
            <w:r>
              <w:rPr>
                <w:color w:val="0000FF"/>
                <w:u w:val="single"/>
              </w:rPr>
              <w:t>83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 Compliance</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80</w:t>
            </w:r>
            <w:r>
              <w:rPr>
                <w:color w:val="0000FF"/>
                <w:u w:val="single"/>
              </w:rPr>
              <w:t>83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Management</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80</w:t>
            </w:r>
            <w:r>
              <w:rPr>
                <w:color w:val="0000FF"/>
                <w:u w:val="single"/>
              </w:rPr>
              <w:t>83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to Agreements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80</w:t>
            </w:r>
            <w:r>
              <w:rPr>
                <w:color w:val="0000FF"/>
                <w:u w:val="single"/>
              </w:rPr>
              <w:t>84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8.19</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Post-Closing Obligations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80</w:t>
            </w:r>
            <w:r>
              <w:rPr>
                <w:color w:val="0000FF"/>
                <w:u w:val="single"/>
              </w:rPr>
              <w:t>84</w:t>
            </w:r>
          </w:p>
        </w:tc>
      </w:tr>
      <w:tr>
        <w:trPr/>
        <w:tc>
          <w:tcPr>
            <w:tcW w:w="395"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8.20</w:t>
            </w:r>
          </w:p>
        </w:tc>
        <w:tc>
          <w:tcPr>
            <w:tcW w:w="6170"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Enforcement of Trademark Rights</w:t>
            </w:r>
          </w:p>
        </w:tc>
        <w:tc>
          <w:tcPr>
            <w:tcW w:w="485" w:type="dxa"/>
            <w:tcBorders/>
            <w:vAlign w:val="center"/>
          </w:tcPr>
          <w:p>
            <w:pPr>
              <w:pStyle w:val="TableContents"/>
              <w:bidi w:val="0"/>
              <w:spacing w:before="0" w:after="283"/>
              <w:jc w:val="right"/>
              <w:rPr>
                <w:rFonts w:ascii="Times New Roman;Times;Serif" w:hAnsi="Times New Roman;Times;Serif"/>
                <w:color w:val="0000FF"/>
                <w:sz w:val="20"/>
                <w:u w:val="single"/>
              </w:rPr>
            </w:pPr>
            <w:r>
              <w:rPr>
                <w:rFonts w:ascii="Times New Roman;Times;Serif" w:hAnsi="Times New Roman;Times;Serif"/>
                <w:color w:val="0000FF"/>
                <w:sz w:val="20"/>
                <w:u w:val="single"/>
              </w:rPr>
              <w:t>85</w:t>
            </w:r>
          </w:p>
        </w:tc>
      </w:tr>
      <w:tr>
        <w:trPr/>
        <w:tc>
          <w:tcPr>
            <w:tcW w:w="395"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8.21</w:t>
            </w:r>
          </w:p>
        </w:tc>
        <w:tc>
          <w:tcPr>
            <w:tcW w:w="6170"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Budget Variance Covenant</w:t>
            </w:r>
          </w:p>
        </w:tc>
        <w:tc>
          <w:tcPr>
            <w:tcW w:w="485" w:type="dxa"/>
            <w:tcBorders/>
            <w:vAlign w:val="center"/>
          </w:tcPr>
          <w:p>
            <w:pPr>
              <w:pStyle w:val="TableContents"/>
              <w:bidi w:val="0"/>
              <w:spacing w:before="0" w:after="283"/>
              <w:jc w:val="right"/>
              <w:rPr>
                <w:rFonts w:ascii="Times New Roman;Times;Serif" w:hAnsi="Times New Roman;Times;Serif"/>
                <w:color w:val="0000FF"/>
                <w:sz w:val="20"/>
                <w:u w:val="single"/>
              </w:rPr>
            </w:pPr>
            <w:r>
              <w:rPr>
                <w:rFonts w:ascii="Times New Roman;Times;Serif" w:hAnsi="Times New Roman;Times;Serif"/>
                <w:color w:val="0000FF"/>
                <w:sz w:val="20"/>
                <w:u w:val="single"/>
              </w:rPr>
              <w:t>85</w:t>
            </w:r>
          </w:p>
        </w:tc>
      </w:tr>
      <w:tr>
        <w:trPr/>
        <w:tc>
          <w:tcPr>
            <w:tcW w:w="395"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8.22</w:t>
            </w:r>
          </w:p>
        </w:tc>
        <w:tc>
          <w:tcPr>
            <w:tcW w:w="6170"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Investment Bank</w:t>
            </w:r>
          </w:p>
        </w:tc>
        <w:tc>
          <w:tcPr>
            <w:tcW w:w="485" w:type="dxa"/>
            <w:tcBorders/>
            <w:vAlign w:val="center"/>
          </w:tcPr>
          <w:p>
            <w:pPr>
              <w:pStyle w:val="TableContents"/>
              <w:bidi w:val="0"/>
              <w:spacing w:before="0" w:after="283"/>
              <w:jc w:val="right"/>
              <w:rPr>
                <w:rFonts w:ascii="Times New Roman;Times;Serif" w:hAnsi="Times New Roman;Times;Serif"/>
                <w:color w:val="0000FF"/>
                <w:sz w:val="20"/>
                <w:u w:val="single"/>
              </w:rPr>
            </w:pPr>
            <w:r>
              <w:rPr>
                <w:rFonts w:ascii="Times New Roman;Times;Serif" w:hAnsi="Times New Roman;Times;Serif"/>
                <w:color w:val="0000FF"/>
                <w:sz w:val="20"/>
                <w:u w:val="single"/>
              </w:rPr>
              <w:t>85</w:t>
            </w:r>
          </w:p>
        </w:tc>
      </w:tr>
      <w:tr>
        <w:trPr/>
        <w:tc>
          <w:tcPr>
            <w:tcW w:w="395"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8.23</w:t>
            </w:r>
          </w:p>
        </w:tc>
        <w:tc>
          <w:tcPr>
            <w:tcW w:w="6170"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Payroll</w:t>
            </w:r>
          </w:p>
        </w:tc>
        <w:tc>
          <w:tcPr>
            <w:tcW w:w="485" w:type="dxa"/>
            <w:tcBorders/>
            <w:vAlign w:val="center"/>
          </w:tcPr>
          <w:p>
            <w:pPr>
              <w:pStyle w:val="TableContents"/>
              <w:bidi w:val="0"/>
              <w:spacing w:before="0" w:after="283"/>
              <w:jc w:val="right"/>
              <w:rPr>
                <w:rFonts w:ascii="Times New Roman;Times;Serif" w:hAnsi="Times New Roman;Times;Serif"/>
                <w:color w:val="0000FF"/>
                <w:sz w:val="20"/>
                <w:u w:val="single"/>
              </w:rPr>
            </w:pPr>
            <w:r>
              <w:rPr>
                <w:rFonts w:ascii="Times New Roman;Times;Serif" w:hAnsi="Times New Roman;Times;Serif"/>
                <w:color w:val="0000FF"/>
                <w:sz w:val="20"/>
                <w:u w:val="single"/>
              </w:rPr>
              <w:t>85</w:t>
            </w:r>
          </w:p>
        </w:tc>
      </w:tr>
      <w:tr>
        <w:trPr/>
        <w:tc>
          <w:tcPr>
            <w:tcW w:w="395"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8.24</w:t>
            </w:r>
          </w:p>
        </w:tc>
        <w:tc>
          <w:tcPr>
            <w:tcW w:w="6170"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Fifth Amendment Capital Raise</w:t>
            </w:r>
          </w:p>
        </w:tc>
        <w:tc>
          <w:tcPr>
            <w:tcW w:w="485" w:type="dxa"/>
            <w:tcBorders/>
            <w:vAlign w:val="center"/>
          </w:tcPr>
          <w:p>
            <w:pPr>
              <w:pStyle w:val="TableContents"/>
              <w:bidi w:val="0"/>
              <w:spacing w:before="0" w:after="283"/>
              <w:jc w:val="right"/>
              <w:rPr>
                <w:rFonts w:ascii="Times New Roman;Times;Serif" w:hAnsi="Times New Roman;Times;Serif"/>
                <w:color w:val="0000FF"/>
                <w:sz w:val="20"/>
                <w:u w:val="single"/>
              </w:rPr>
            </w:pPr>
            <w:r>
              <w:rPr>
                <w:rFonts w:ascii="Times New Roman;Times;Serif" w:hAnsi="Times New Roman;Times;Serif"/>
                <w:color w:val="0000FF"/>
                <w:sz w:val="20"/>
                <w:u w:val="single"/>
              </w:rPr>
              <w:t>86</w:t>
            </w:r>
          </w:p>
        </w:tc>
      </w:tr>
      <w:tr>
        <w:trPr/>
        <w:tc>
          <w:tcPr>
            <w:tcW w:w="395"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8.25</w:t>
            </w:r>
          </w:p>
        </w:tc>
        <w:tc>
          <w:tcPr>
            <w:tcW w:w="6170"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Fifth Amendment Warrant</w:t>
            </w:r>
          </w:p>
        </w:tc>
        <w:tc>
          <w:tcPr>
            <w:tcW w:w="485" w:type="dxa"/>
            <w:tcBorders/>
            <w:vAlign w:val="center"/>
          </w:tcPr>
          <w:p>
            <w:pPr>
              <w:pStyle w:val="TableContents"/>
              <w:bidi w:val="0"/>
              <w:spacing w:before="0" w:after="283"/>
              <w:jc w:val="right"/>
              <w:rPr>
                <w:rFonts w:ascii="Times New Roman;Times;Serif" w:hAnsi="Times New Roman;Times;Serif"/>
                <w:color w:val="0000FF"/>
                <w:sz w:val="20"/>
                <w:u w:val="single"/>
              </w:rPr>
            </w:pPr>
            <w:r>
              <w:rPr>
                <w:rFonts w:ascii="Times New Roman;Times;Serif" w:hAnsi="Times New Roman;Times;Serif"/>
                <w:color w:val="0000FF"/>
                <w:sz w:val="20"/>
                <w:u w:val="single"/>
              </w:rPr>
              <w:t>86</w:t>
            </w:r>
          </w:p>
        </w:tc>
      </w:tr>
      <w:tr>
        <w:trPr/>
        <w:tc>
          <w:tcPr>
            <w:tcW w:w="6565"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Section 9. </w:t>
            </w:r>
            <w:r>
              <w:rPr>
                <w:caps/>
              </w:rPr>
              <w:t>NEGATIVE COVENANTS</w:t>
            </w:r>
          </w:p>
        </w:tc>
        <w:tc>
          <w:tcPr>
            <w:tcW w:w="48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87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9.01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Indebtedness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82</w:t>
            </w:r>
            <w:r>
              <w:rPr>
                <w:color w:val="0000FF"/>
                <w:u w:val="single"/>
              </w:rPr>
              <w:t>87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9.02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Liens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9.03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Fundamental Changes and Acquisitions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9.04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Lines of Business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9.05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w:t>
            </w:r>
          </w:p>
        </w:tc>
        <w:tc>
          <w:tcPr>
            <w:tcW w:w="485" w:type="dxa"/>
            <w:tcBorders/>
            <w:vAlign w:val="center"/>
          </w:tcPr>
          <w:p>
            <w:pPr>
              <w:pStyle w:val="TableContents"/>
              <w:bidi w:val="0"/>
              <w:spacing w:before="0" w:after="283"/>
              <w:jc w:val="right"/>
              <w:rPr/>
            </w:pPr>
            <w:r>
              <w:rPr>
                <w:rFonts w:ascii="Times New Roman;Times;Serif" w:hAnsi="Times New Roman;Times;Serif"/>
                <w:strike/>
                <w:color w:val="FF0000"/>
                <w:sz w:val="20"/>
              </w:rPr>
              <w:t>87</w:t>
            </w:r>
            <w:r>
              <w:rPr>
                <w:color w:val="0000FF"/>
                <w:u w:val="single"/>
              </w:rPr>
              <w:t>92</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800" w:type="dxa"/>
        <w:jc w:val="left"/>
        <w:tblInd w:w="0" w:type="dxa"/>
        <w:tblLayout w:type="fixed"/>
        <w:tblCellMar>
          <w:top w:w="0" w:type="dxa"/>
          <w:left w:w="0" w:type="dxa"/>
          <w:bottom w:w="0" w:type="dxa"/>
          <w:right w:w="0" w:type="dxa"/>
        </w:tblCellMar>
      </w:tblPr>
      <w:tblGrid>
        <w:gridCol w:w="500"/>
        <w:gridCol w:w="6590"/>
        <w:gridCol w:w="710"/>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9.06</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Payments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88</w:t>
            </w:r>
            <w:r>
              <w:rPr>
                <w:color w:val="0000FF"/>
                <w:u w:val="single"/>
              </w:rPr>
              <w:t>94</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9.07</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of Indebtedness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89</w:t>
            </w:r>
            <w:r>
              <w:rPr>
                <w:color w:val="0000FF"/>
                <w:u w:val="single"/>
              </w:rPr>
              <w:t>95</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9.08</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Fiscal Year</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89</w:t>
            </w:r>
            <w:r>
              <w:rPr>
                <w:color w:val="0000FF"/>
                <w:u w:val="single"/>
              </w:rPr>
              <w:t>95</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9.09</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of Assets, Etc.</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89</w:t>
            </w:r>
            <w:r>
              <w:rPr>
                <w:color w:val="0000FF"/>
                <w:u w:val="single"/>
              </w:rPr>
              <w:t>95</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9.10</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91</w:t>
            </w:r>
            <w:r>
              <w:rPr>
                <w:color w:val="0000FF"/>
                <w:u w:val="single"/>
              </w:rPr>
              <w:t>97</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9.11</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Restrictive Agreements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91</w:t>
            </w:r>
            <w:r>
              <w:rPr>
                <w:color w:val="0000FF"/>
                <w:u w:val="single"/>
              </w:rPr>
              <w:t>98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9.12</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Modifications and Terminations of Material Agreements and Organic Documents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93</w:t>
            </w:r>
            <w:r>
              <w:rPr>
                <w:color w:val="0000FF"/>
                <w:u w:val="single"/>
              </w:rPr>
              <w:t>99</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9.13</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Outbound Licenses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93</w:t>
            </w:r>
            <w:r>
              <w:rPr>
                <w:color w:val="0000FF"/>
                <w:u w:val="single"/>
              </w:rPr>
              <w:t>99</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9.14</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and Leasebacks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94</w:t>
            </w:r>
            <w:r>
              <w:rPr>
                <w:color w:val="0000FF"/>
                <w:u w:val="single"/>
              </w:rPr>
              <w:t>99</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9.15</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Hazardous Material</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94</w:t>
            </w:r>
            <w:r>
              <w:rPr>
                <w:color w:val="0000FF"/>
                <w:u w:val="single"/>
              </w:rPr>
              <w:t>100</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9.16</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Changes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94</w:t>
            </w:r>
            <w:r>
              <w:rPr>
                <w:color w:val="0000FF"/>
                <w:u w:val="single"/>
              </w:rPr>
              <w:t>100</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9.17</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ERISA</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94</w:t>
            </w:r>
            <w:r>
              <w:rPr>
                <w:color w:val="0000FF"/>
                <w:u w:val="single"/>
              </w:rPr>
              <w:t>100</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9.18</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Sanctions; Anti-Corruption Use of Proceeds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94</w:t>
            </w:r>
            <w:r>
              <w:rPr>
                <w:color w:val="0000FF"/>
                <w:u w:val="single"/>
              </w:rPr>
              <w:t>100</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9.19</w:t>
            </w:r>
          </w:p>
        </w:tc>
        <w:tc>
          <w:tcPr>
            <w:tcW w:w="6590" w:type="dxa"/>
            <w:tcBorders/>
            <w:vAlign w:val="center"/>
          </w:tcPr>
          <w:p>
            <w:pPr>
              <w:pStyle w:val="TableContents"/>
              <w:bidi w:val="0"/>
              <w:spacing w:before="0" w:after="283"/>
              <w:jc w:val="left"/>
              <w:rPr/>
            </w:pPr>
            <w:r>
              <w:rPr>
                <w:rFonts w:ascii="Times New Roman;Times;Serif" w:hAnsi="Times New Roman;Times;Serif"/>
                <w:strike/>
                <w:color w:val="FF0000"/>
                <w:sz w:val="20"/>
              </w:rPr>
              <w:t>BXCL 701 Subsidiary Covenants</w:t>
            </w:r>
            <w:r>
              <w:rPr>
                <w:color w:val="0000FF"/>
                <w:u w:val="single"/>
              </w:rPr>
              <w:t>[Reserved]</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95</w:t>
            </w:r>
            <w:r>
              <w:rPr>
                <w:color w:val="0000FF"/>
                <w:u w:val="single"/>
              </w:rPr>
              <w:t>101</w:t>
            </w:r>
          </w:p>
        </w:tc>
      </w:tr>
      <w:tr>
        <w:trPr/>
        <w:tc>
          <w:tcPr>
            <w:tcW w:w="7090"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Section 10. </w:t>
            </w:r>
            <w:r>
              <w:rPr>
                <w:caps/>
              </w:rPr>
              <w:t>FINANCIAL COVENANTS</w:t>
            </w:r>
          </w:p>
        </w:tc>
        <w:tc>
          <w:tcPr>
            <w:tcW w:w="710" w:type="dxa"/>
            <w:tcBorders/>
            <w:vAlign w:val="center"/>
          </w:tcPr>
          <w:p>
            <w:pPr>
              <w:pStyle w:val="TableContents"/>
              <w:bidi w:val="0"/>
              <w:spacing w:before="0" w:after="283"/>
              <w:jc w:val="right"/>
              <w:rPr/>
            </w:pPr>
            <w:r>
              <w:rPr>
                <w:rFonts w:ascii="Times New Roman;Times;Serif" w:hAnsi="Times New Roman;Times;Serif"/>
                <w:caps/>
                <w:strike/>
                <w:color w:val="FF0000"/>
                <w:sz w:val="20"/>
              </w:rPr>
              <w:t>96</w:t>
            </w:r>
            <w:r>
              <w:rPr>
                <w:caps/>
                <w:color w:val="0000FF"/>
                <w:u w:val="single"/>
              </w:rPr>
              <w:t>102</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10.01</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Minimum Liquidity</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96</w:t>
            </w:r>
            <w:r>
              <w:rPr>
                <w:color w:val="0000FF"/>
                <w:u w:val="single"/>
              </w:rPr>
              <w:t>103</w:t>
            </w:r>
          </w:p>
        </w:tc>
      </w:tr>
      <w:tr>
        <w:trPr/>
        <w:tc>
          <w:tcPr>
            <w:tcW w:w="500" w:type="dxa"/>
            <w:tcBorders/>
            <w:vAlign w:val="center"/>
          </w:tcPr>
          <w:p>
            <w:pPr>
              <w:pStyle w:val="TableContents"/>
              <w:bidi w:val="0"/>
              <w:spacing w:before="0" w:after="283"/>
              <w:jc w:val="left"/>
              <w:rPr>
                <w:rFonts w:ascii="Times New Roman;Times;Serif" w:hAnsi="Times New Roman;Times;Serif"/>
                <w:strike/>
                <w:color w:val="FF0000"/>
                <w:sz w:val="20"/>
              </w:rPr>
            </w:pPr>
            <w:r>
              <w:rPr>
                <w:rFonts w:ascii="Times New Roman;Times;Serif" w:hAnsi="Times New Roman;Times;Serif"/>
                <w:strike/>
                <w:color w:val="FF0000"/>
                <w:sz w:val="20"/>
              </w:rPr>
              <w:t>10.02</w:t>
            </w:r>
          </w:p>
        </w:tc>
        <w:tc>
          <w:tcPr>
            <w:tcW w:w="6590" w:type="dxa"/>
            <w:tcBorders/>
            <w:vAlign w:val="center"/>
          </w:tcPr>
          <w:p>
            <w:pPr>
              <w:pStyle w:val="TableContents"/>
              <w:bidi w:val="0"/>
              <w:spacing w:before="0" w:after="283"/>
              <w:jc w:val="left"/>
              <w:rPr>
                <w:rFonts w:ascii="Times New Roman;Times;Serif" w:hAnsi="Times New Roman;Times;Serif"/>
                <w:strike/>
                <w:color w:val="FF0000"/>
                <w:sz w:val="20"/>
              </w:rPr>
            </w:pPr>
            <w:r>
              <w:rPr>
                <w:rFonts w:ascii="Times New Roman;Times;Serif" w:hAnsi="Times New Roman;Times;Serif"/>
                <w:strike/>
                <w:color w:val="FF0000"/>
                <w:sz w:val="20"/>
              </w:rPr>
              <w:t>Minimum Revenue</w:t>
            </w:r>
          </w:p>
        </w:tc>
        <w:tc>
          <w:tcPr>
            <w:tcW w:w="710" w:type="dxa"/>
            <w:tcBorders/>
            <w:vAlign w:val="center"/>
          </w:tcPr>
          <w:p>
            <w:pPr>
              <w:pStyle w:val="TableContents"/>
              <w:bidi w:val="0"/>
              <w:spacing w:before="0" w:after="283"/>
              <w:jc w:val="right"/>
              <w:rPr>
                <w:rFonts w:ascii="Times New Roman;Times;Serif" w:hAnsi="Times New Roman;Times;Serif"/>
                <w:strike/>
                <w:color w:val="FF0000"/>
                <w:sz w:val="20"/>
              </w:rPr>
            </w:pPr>
            <w:r>
              <w:rPr>
                <w:rFonts w:ascii="Times New Roman;Times;Serif" w:hAnsi="Times New Roman;Times;Serif"/>
                <w:strike/>
                <w:color w:val="FF0000"/>
                <w:sz w:val="20"/>
              </w:rPr>
              <w:t>96</w:t>
            </w:r>
          </w:p>
        </w:tc>
      </w:tr>
      <w:tr>
        <w:trPr/>
        <w:tc>
          <w:tcPr>
            <w:tcW w:w="7090"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Section 11. </w:t>
            </w:r>
            <w:r>
              <w:rPr>
                <w:caps/>
              </w:rPr>
              <w:t>EVENTS OF DEFAULT</w:t>
            </w:r>
          </w:p>
        </w:tc>
        <w:tc>
          <w:tcPr>
            <w:tcW w:w="710" w:type="dxa"/>
            <w:tcBorders/>
            <w:vAlign w:val="center"/>
          </w:tcPr>
          <w:p>
            <w:pPr>
              <w:pStyle w:val="TableContents"/>
              <w:bidi w:val="0"/>
              <w:spacing w:before="0" w:after="283"/>
              <w:jc w:val="right"/>
              <w:rPr/>
            </w:pPr>
            <w:r>
              <w:rPr>
                <w:rFonts w:ascii="Times New Roman;Times;Serif" w:hAnsi="Times New Roman;Times;Serif"/>
                <w:caps/>
                <w:strike/>
                <w:color w:val="FF0000"/>
                <w:sz w:val="20"/>
              </w:rPr>
              <w:t>97</w:t>
            </w:r>
            <w:r>
              <w:rPr>
                <w:caps/>
                <w:color w:val="0000FF"/>
                <w:u w:val="single"/>
              </w:rPr>
              <w:t>103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11.01</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97</w:t>
            </w:r>
            <w:r>
              <w:rPr>
                <w:color w:val="0000FF"/>
                <w:u w:val="single"/>
              </w:rPr>
              <w:t>103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11.02</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100</w:t>
            </w:r>
            <w:r>
              <w:rPr>
                <w:color w:val="0000FF"/>
                <w:u w:val="single"/>
              </w:rPr>
              <w:t>106</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11.03</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Remedies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101</w:t>
            </w:r>
            <w:r>
              <w:rPr>
                <w:color w:val="0000FF"/>
                <w:u w:val="single"/>
              </w:rPr>
              <w:t>106</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11.04</w:t>
            </w:r>
          </w:p>
        </w:tc>
        <w:tc>
          <w:tcPr>
            <w:tcW w:w="6590" w:type="dxa"/>
            <w:tcBorders/>
            <w:vAlign w:val="center"/>
          </w:tcPr>
          <w:p>
            <w:pPr>
              <w:pStyle w:val="TableContents"/>
              <w:bidi w:val="0"/>
              <w:spacing w:before="0" w:after="283"/>
              <w:jc w:val="left"/>
              <w:rPr/>
            </w:pPr>
            <w:r>
              <w:rPr>
                <w:rFonts w:ascii="Times New Roman;Times;Serif" w:hAnsi="Times New Roman;Times;Serif"/>
                <w:strike/>
                <w:color w:val="FF0000"/>
                <w:sz w:val="20"/>
              </w:rPr>
              <w:t>Minimum Revenue Covenant Cure</w:t>
            </w:r>
            <w:r>
              <w:rPr>
                <w:color w:val="0000FF"/>
                <w:u w:val="single"/>
              </w:rPr>
              <w:t>[Reserved]</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101</w:t>
            </w:r>
            <w:r>
              <w:rPr>
                <w:color w:val="0000FF"/>
                <w:u w:val="single"/>
              </w:rPr>
              <w:t>107</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11.05</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Prepayment Fee</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102</w:t>
            </w:r>
            <w:r>
              <w:rPr>
                <w:color w:val="0000FF"/>
                <w:u w:val="single"/>
              </w:rPr>
              <w:t>108</w:t>
            </w:r>
          </w:p>
        </w:tc>
      </w:tr>
      <w:tr>
        <w:trPr/>
        <w:tc>
          <w:tcPr>
            <w:tcW w:w="7090"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Section 12. </w:t>
            </w:r>
            <w:r>
              <w:rPr>
                <w:caps/>
              </w:rPr>
              <w:t>THE ADMINISTRATIVE AGENT</w:t>
            </w:r>
          </w:p>
        </w:tc>
        <w:tc>
          <w:tcPr>
            <w:tcW w:w="710" w:type="dxa"/>
            <w:tcBorders/>
            <w:vAlign w:val="center"/>
          </w:tcPr>
          <w:p>
            <w:pPr>
              <w:pStyle w:val="TableContents"/>
              <w:bidi w:val="0"/>
              <w:spacing w:before="0" w:after="283"/>
              <w:jc w:val="right"/>
              <w:rPr/>
            </w:pPr>
            <w:r>
              <w:rPr>
                <w:rFonts w:ascii="Times New Roman;Times;Serif" w:hAnsi="Times New Roman;Times;Serif"/>
                <w:caps/>
                <w:strike/>
                <w:color w:val="FF0000"/>
                <w:sz w:val="20"/>
              </w:rPr>
              <w:t>103</w:t>
            </w:r>
            <w:r>
              <w:rPr>
                <w:caps/>
                <w:color w:val="0000FF"/>
                <w:u w:val="single"/>
              </w:rPr>
              <w:t>108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12.01</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and Duties</w:t>
            </w:r>
          </w:p>
        </w:tc>
        <w:tc>
          <w:tcPr>
            <w:tcW w:w="710" w:type="dxa"/>
            <w:tcBorders/>
            <w:vAlign w:val="center"/>
          </w:tcPr>
          <w:p>
            <w:pPr>
              <w:pStyle w:val="TableContents"/>
              <w:bidi w:val="0"/>
              <w:spacing w:before="0" w:after="283"/>
              <w:jc w:val="right"/>
              <w:rPr>
                <w:rFonts w:ascii="Times New Roman;Times;Serif" w:hAnsi="Times New Roman;Times;Serif"/>
                <w:strike/>
                <w:color w:val="FF0000"/>
                <w:sz w:val="20"/>
              </w:rPr>
            </w:pPr>
            <w:r>
              <w:rPr>
                <w:rFonts w:ascii="Times New Roman;Times;Serif" w:hAnsi="Times New Roman;Times;Serif"/>
                <w:strike/>
                <w:color w:val="FF0000"/>
                <w:sz w:val="20"/>
              </w:rPr>
              <w:t>103108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12.02</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Binding Effect</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104</w:t>
            </w:r>
            <w:r>
              <w:rPr>
                <w:color w:val="0000FF"/>
                <w:u w:val="single"/>
              </w:rPr>
              <w:t>110</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12.03</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Discretion</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104</w:t>
            </w:r>
            <w:r>
              <w:rPr>
                <w:color w:val="0000FF"/>
                <w:u w:val="single"/>
              </w:rPr>
              <w:t>111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12.04</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Delegation of Rights and Duties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105</w:t>
            </w:r>
            <w:r>
              <w:rPr>
                <w:color w:val="0000FF"/>
                <w:u w:val="single"/>
              </w:rPr>
              <w:t>111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12.05</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Reliance and Liability</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105</w:t>
            </w:r>
            <w:r>
              <w:rPr>
                <w:color w:val="0000FF"/>
                <w:u w:val="single"/>
              </w:rPr>
              <w:t>111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12.06</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Agent Individually</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106</w:t>
            </w:r>
            <w:r>
              <w:rPr>
                <w:color w:val="0000FF"/>
                <w:u w:val="single"/>
              </w:rPr>
              <w:t>113</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-v-</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905" w:type="dxa"/>
        <w:jc w:val="left"/>
        <w:tblInd w:w="0" w:type="dxa"/>
        <w:tblLayout w:type="fixed"/>
        <w:tblCellMar>
          <w:top w:w="0" w:type="dxa"/>
          <w:left w:w="0" w:type="dxa"/>
          <w:bottom w:w="0" w:type="dxa"/>
          <w:right w:w="0" w:type="dxa"/>
        </w:tblCellMar>
      </w:tblPr>
      <w:tblGrid>
        <w:gridCol w:w="500"/>
        <w:gridCol w:w="3695"/>
        <w:gridCol w:w="710"/>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12.07</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Credit Decision</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107</w:t>
            </w:r>
            <w:r>
              <w:rPr>
                <w:color w:val="0000FF"/>
                <w:u w:val="single"/>
              </w:rPr>
              <w:t>113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12.08</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Indemnities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107</w:t>
            </w:r>
            <w:r>
              <w:rPr>
                <w:color w:val="0000FF"/>
                <w:u w:val="single"/>
              </w:rPr>
              <w:t>113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12.09</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of the Administrative Agent</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107</w:t>
            </w:r>
            <w:r>
              <w:rPr>
                <w:color w:val="0000FF"/>
                <w:u w:val="single"/>
              </w:rPr>
              <w:t>114</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12.10</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Collateral or Guarantors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108</w:t>
            </w:r>
            <w:r>
              <w:rPr>
                <w:color w:val="0000FF"/>
                <w:u w:val="single"/>
              </w:rPr>
              <w:t>115</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12.11</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Secured Parties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109</w:t>
            </w:r>
            <w:r>
              <w:rPr>
                <w:color w:val="0000FF"/>
                <w:u w:val="single"/>
              </w:rPr>
              <w:t>115</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12.12</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Agent May File Proofs of Claim</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109</w:t>
            </w:r>
            <w:r>
              <w:rPr>
                <w:color w:val="0000FF"/>
                <w:u w:val="single"/>
              </w:rPr>
              <w:t>116</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12.13</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Acknowledgements of Lenders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110</w:t>
            </w:r>
            <w:r>
              <w:rPr>
                <w:color w:val="0000FF"/>
                <w:u w:val="single"/>
              </w:rPr>
              <w:t>116</w:t>
            </w:r>
          </w:p>
        </w:tc>
      </w:tr>
      <w:tr>
        <w:trPr/>
        <w:tc>
          <w:tcPr>
            <w:tcW w:w="4195"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Section 13. </w:t>
            </w:r>
            <w:r>
              <w:rPr>
                <w:caps/>
              </w:rPr>
              <w:t>GUARANTY</w:t>
            </w:r>
          </w:p>
        </w:tc>
        <w:tc>
          <w:tcPr>
            <w:tcW w:w="710" w:type="dxa"/>
            <w:tcBorders/>
            <w:vAlign w:val="center"/>
          </w:tcPr>
          <w:p>
            <w:pPr>
              <w:pStyle w:val="TableContents"/>
              <w:bidi w:val="0"/>
              <w:spacing w:before="0" w:after="283"/>
              <w:jc w:val="right"/>
              <w:rPr/>
            </w:pPr>
            <w:r>
              <w:rPr>
                <w:rFonts w:ascii="Times New Roman;Times;Serif" w:hAnsi="Times New Roman;Times;Serif"/>
                <w:caps/>
                <w:strike/>
                <w:color w:val="FF0000"/>
                <w:sz w:val="20"/>
              </w:rPr>
              <w:t>112</w:t>
            </w:r>
            <w:r>
              <w:rPr>
                <w:caps/>
                <w:color w:val="0000FF"/>
                <w:u w:val="single"/>
              </w:rPr>
              <w:t>119</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13.01</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Guaranty</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112</w:t>
            </w:r>
            <w:r>
              <w:rPr>
                <w:color w:val="0000FF"/>
                <w:u w:val="single"/>
              </w:rPr>
              <w:t>119</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13.02</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Obligations Unconditional</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113</w:t>
            </w:r>
            <w:r>
              <w:rPr>
                <w:color w:val="0000FF"/>
                <w:u w:val="single"/>
              </w:rPr>
              <w:t>119</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13.05</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Reinstatement</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116</w:t>
            </w:r>
            <w:r>
              <w:rPr>
                <w:color w:val="0000FF"/>
                <w:u w:val="single"/>
              </w:rPr>
              <w:t>121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13.06</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Subrogation</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116</w:t>
            </w:r>
            <w:r>
              <w:rPr>
                <w:color w:val="0000FF"/>
                <w:u w:val="single"/>
              </w:rPr>
              <w:t>121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13.07</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117</w:t>
            </w:r>
            <w:r>
              <w:rPr>
                <w:color w:val="0000FF"/>
                <w:u w:val="single"/>
              </w:rPr>
              <w:t>123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13.08</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Instrument for the Payment of Money</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117</w:t>
            </w:r>
            <w:r>
              <w:rPr>
                <w:color w:val="0000FF"/>
                <w:u w:val="single"/>
              </w:rPr>
              <w:t>123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13.09</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Continuing Guarantee</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117</w:t>
            </w:r>
            <w:r>
              <w:rPr>
                <w:color w:val="0000FF"/>
                <w:u w:val="single"/>
              </w:rPr>
              <w:t>123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13.11</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Limitation on Guarantee Obligations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118</w:t>
            </w:r>
            <w:r>
              <w:rPr>
                <w:color w:val="0000FF"/>
                <w:u w:val="single"/>
              </w:rPr>
              <w:t>124</w:t>
            </w:r>
          </w:p>
        </w:tc>
      </w:tr>
      <w:tr>
        <w:trPr/>
        <w:tc>
          <w:tcPr>
            <w:tcW w:w="4195"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Section 14. </w:t>
            </w:r>
            <w:r>
              <w:rPr>
                <w:caps/>
              </w:rPr>
              <w:t>MISCELLANEOUS</w:t>
            </w:r>
          </w:p>
        </w:tc>
        <w:tc>
          <w:tcPr>
            <w:tcW w:w="710" w:type="dxa"/>
            <w:tcBorders/>
            <w:vAlign w:val="center"/>
          </w:tcPr>
          <w:p>
            <w:pPr>
              <w:pStyle w:val="TableContents"/>
              <w:bidi w:val="0"/>
              <w:spacing w:before="0" w:after="283"/>
              <w:jc w:val="right"/>
              <w:rPr/>
            </w:pPr>
            <w:r>
              <w:rPr>
                <w:rFonts w:ascii="Times New Roman;Times;Serif" w:hAnsi="Times New Roman;Times;Serif"/>
                <w:caps/>
                <w:strike/>
                <w:color w:val="FF0000"/>
                <w:sz w:val="20"/>
              </w:rPr>
              <w:t>118</w:t>
            </w:r>
            <w:r>
              <w:rPr>
                <w:caps/>
                <w:color w:val="0000FF"/>
                <w:u w:val="single"/>
              </w:rPr>
              <w:t>124</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14.01</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Waiver</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118</w:t>
            </w:r>
            <w:r>
              <w:rPr>
                <w:color w:val="0000FF"/>
                <w:u w:val="single"/>
              </w:rPr>
              <w:t>124</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14.02</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118</w:t>
            </w:r>
            <w:r>
              <w:rPr>
                <w:color w:val="0000FF"/>
                <w:u w:val="single"/>
              </w:rPr>
              <w:t>125</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14.03</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Indemnification, Etc.</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119</w:t>
            </w:r>
            <w:r>
              <w:rPr>
                <w:color w:val="0000FF"/>
                <w:u w:val="single"/>
              </w:rPr>
              <w:t>125</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14.04</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Etc.</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120</w:t>
            </w:r>
            <w:r>
              <w:rPr>
                <w:color w:val="0000FF"/>
                <w:u w:val="single"/>
              </w:rPr>
              <w:t>125</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14.05</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121</w:t>
            </w:r>
            <w:r>
              <w:rPr>
                <w:color w:val="0000FF"/>
                <w:u w:val="single"/>
              </w:rPr>
              <w:t>125</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14.06</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123</w:t>
            </w:r>
            <w:r>
              <w:rPr>
                <w:color w:val="0000FF"/>
                <w:u w:val="single"/>
              </w:rPr>
              <w:t>126</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14.07</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Captions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124</w:t>
            </w:r>
            <w:r>
              <w:rPr>
                <w:color w:val="0000FF"/>
                <w:u w:val="single"/>
              </w:rPr>
              <w:t>127</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14.08</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Effectiveness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124</w:t>
            </w:r>
            <w:r>
              <w:rPr>
                <w:color w:val="0000FF"/>
                <w:u w:val="single"/>
              </w:rPr>
              <w:t>128</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14.09</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124</w:t>
            </w:r>
            <w:r>
              <w:rPr>
                <w:color w:val="0000FF"/>
                <w:u w:val="single"/>
              </w:rPr>
              <w:t>130</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14.10</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Jurisdiction, Service of Process and Venue</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124</w:t>
            </w:r>
            <w:r>
              <w:rPr>
                <w:color w:val="0000FF"/>
                <w:u w:val="single"/>
              </w:rPr>
              <w:t>130</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14.11</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125</w:t>
            </w:r>
            <w:r>
              <w:rPr>
                <w:color w:val="0000FF"/>
                <w:u w:val="single"/>
              </w:rPr>
              <w:t>130</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14.12</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Immunity</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125</w:t>
            </w:r>
            <w:r>
              <w:rPr>
                <w:color w:val="0000FF"/>
                <w:u w:val="single"/>
              </w:rPr>
              <w:t>131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14.13</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125</w:t>
            </w:r>
            <w:r>
              <w:rPr>
                <w:color w:val="0000FF"/>
                <w:u w:val="single"/>
              </w:rPr>
              <w:t>131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14.14</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125</w:t>
            </w:r>
            <w:r>
              <w:rPr>
                <w:color w:val="0000FF"/>
                <w:u w:val="single"/>
              </w:rPr>
              <w:t>131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14.15</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Fiduciary Relationship</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125</w:t>
            </w:r>
            <w:r>
              <w:rPr>
                <w:color w:val="0000FF"/>
                <w:u w:val="single"/>
              </w:rPr>
              <w:t>131</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14.16</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125</w:t>
            </w:r>
            <w:r>
              <w:rPr>
                <w:color w:val="0000FF"/>
                <w:u w:val="single"/>
              </w:rPr>
              <w:t>132</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-vi-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380" w:type="dxa"/>
        <w:jc w:val="left"/>
        <w:tblInd w:w="0" w:type="dxa"/>
        <w:tblLayout w:type="fixed"/>
        <w:tblCellMar>
          <w:top w:w="0" w:type="dxa"/>
          <w:left w:w="0" w:type="dxa"/>
          <w:bottom w:w="0" w:type="dxa"/>
          <w:right w:w="0" w:type="dxa"/>
        </w:tblCellMar>
      </w:tblPr>
      <w:tblGrid>
        <w:gridCol w:w="500"/>
        <w:gridCol w:w="6170"/>
        <w:gridCol w:w="710"/>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 Limitation</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126</w:t>
            </w:r>
            <w:r>
              <w:rPr>
                <w:color w:val="0000FF"/>
                <w:u w:val="single"/>
              </w:rPr>
              <w:t>132</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Judgment Currency</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126</w:t>
            </w:r>
            <w:r>
              <w:rPr>
                <w:color w:val="0000FF"/>
                <w:u w:val="single"/>
              </w:rPr>
              <w:t>132</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14.19</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127</w:t>
            </w:r>
            <w:r>
              <w:rPr>
                <w:color w:val="0000FF"/>
                <w:u w:val="single"/>
              </w:rPr>
              <w:t>133</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14.20</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and Consent to Bail-In of Affected Financial Institutions</w:t>
            </w:r>
          </w:p>
        </w:tc>
        <w:tc>
          <w:tcPr>
            <w:tcW w:w="710" w:type="dxa"/>
            <w:tcBorders/>
            <w:vAlign w:val="center"/>
          </w:tcPr>
          <w:p>
            <w:pPr>
              <w:pStyle w:val="TableContents"/>
              <w:bidi w:val="0"/>
              <w:spacing w:before="0" w:after="283"/>
              <w:jc w:val="right"/>
              <w:rPr/>
            </w:pPr>
            <w:r>
              <w:rPr>
                <w:rFonts w:ascii="Times New Roman;Times;Serif" w:hAnsi="Times New Roman;Times;Serif"/>
                <w:strike/>
                <w:color w:val="FF0000"/>
                <w:sz w:val="20"/>
              </w:rPr>
              <w:t>127</w:t>
            </w:r>
            <w:r>
              <w:rPr>
                <w:color w:val="0000FF"/>
                <w:u w:val="single"/>
              </w:rPr>
              <w:t>134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 AND EXHIBITS</w:t>
      </w:r>
    </w:p>
    <w:p>
      <w:pPr>
        <w:pStyle w:val="TextBody"/>
        <w:bidi w:val="0"/>
        <w:spacing w:before="0" w:after="0"/>
        <w:ind w:left="0" w:right="0" w:hanging="0"/>
        <w:jc w:val="left"/>
        <w:rPr/>
      </w:pPr>
      <w:r>
        <w:rPr>
          <w:caps w:val="false"/>
          <w:smallCaps w:val="false"/>
        </w:rPr>
        <w:t> </w:t>
      </w:r>
      <w:r>
        <w:rPr/>
        <w:t xml:space="preserve"> </w:t>
      </w:r>
    </w:p>
    <w:tbl>
      <w:tblPr>
        <w:tblW w:w="5085" w:type="dxa"/>
        <w:jc w:val="left"/>
        <w:tblInd w:w="0" w:type="dxa"/>
        <w:tblLayout w:type="fixed"/>
        <w:tblCellMar>
          <w:top w:w="0" w:type="dxa"/>
          <w:left w:w="0" w:type="dxa"/>
          <w:bottom w:w="0" w:type="dxa"/>
          <w:right w:w="0" w:type="dxa"/>
        </w:tblCellMar>
      </w:tblPr>
      <w:tblGrid>
        <w:gridCol w:w="1415"/>
        <w:gridCol w:w="80"/>
        <w:gridCol w:w="359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 Schedule</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2</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pPr>
            <w:r>
              <w:rPr>
                <w:rFonts w:ascii="Times New Roman;Times;Serif" w:hAnsi="Times New Roman;Times;Serif"/>
                <w:strike/>
                <w:color w:val="FF0000"/>
                <w:sz w:val="20"/>
              </w:rPr>
              <w:t>Minimum Revenue</w:t>
            </w:r>
            <w:r>
              <w:rPr>
                <w:color w:val="0000FF"/>
                <w:u w:val="single"/>
              </w:rPr>
              <w:t>[Reserved]</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4</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pPr>
            <w:r>
              <w:rPr>
                <w:rFonts w:ascii="Times New Roman;Times;Serif" w:hAnsi="Times New Roman;Times;Serif"/>
                <w:strike/>
                <w:color w:val="FF0000"/>
                <w:sz w:val="20"/>
              </w:rPr>
              <w:t>BXCL 701 Assets</w:t>
            </w:r>
            <w:r>
              <w:rPr>
                <w:color w:val="0000FF"/>
                <w:u w:val="single"/>
              </w:rPr>
              <w:t>[Reserved]</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7.05(b)</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Intellectual Property</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7.06(b)</w:t>
            </w:r>
          </w:p>
        </w:tc>
        <w:tc>
          <w:tcPr>
            <w:tcW w:w="8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7.08</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7.12</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Regarding Subsidiaries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7.13(a)</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Indebtedness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7.13(b)</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Liens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7.14</w:t>
            </w:r>
          </w:p>
        </w:tc>
        <w:tc>
          <w:tcPr>
            <w:tcW w:w="8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Agreements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7.15</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Restrictive Agreements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7.16</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Owned or Leased by Obligors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7.17</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Pension Matters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7.18(c)</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Adverse Findings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7.19</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7.24</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Royalties and Other Payments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9.05</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Investments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9.09</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of Assets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78"/>
        <w:gridCol w:w="80"/>
        <w:gridCol w:w="9147"/>
      </w:tblGrid>
      <w:tr>
        <w:trPr/>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Note</w:t>
            </w:r>
          </w:p>
        </w:tc>
      </w:tr>
      <w:tr>
        <w:trPr/>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Borrowing Notice</w:t>
            </w:r>
          </w:p>
        </w:tc>
      </w:tr>
      <w:tr>
        <w:trPr/>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Guarantee Assumption Agreement</w:t>
            </w:r>
          </w:p>
        </w:tc>
      </w:tr>
      <w:tr>
        <w:trPr/>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D-1</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U.S. Tax Compliance Certificate (For Foreign Lenders That Are Not Partnerships For U.S. Federal Income Tax Purposes)</w:t>
            </w:r>
          </w:p>
        </w:tc>
      </w:tr>
      <w:tr>
        <w:trPr/>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D-2</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U.S. Tax Compliance Certificate (For Foreign Participants That Are Not Partnerships For U.S. Federal Income Tax Purposes)</w:t>
            </w:r>
          </w:p>
        </w:tc>
      </w:tr>
      <w:tr>
        <w:trPr/>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D-3</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U.S. Tax Compliance Certificate (For Foreign Participants That Are Partnerships For U.S. Federal Income Tax Purposes)</w:t>
            </w:r>
          </w:p>
        </w:tc>
      </w:tr>
      <w:tr>
        <w:trPr/>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D-4</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U.S. Tax Compliance Certificate (For Foreign Lenders That Are Partnerships For U.S. Federal Income Tax Purposes)</w:t>
            </w:r>
          </w:p>
        </w:tc>
      </w:tr>
      <w:tr>
        <w:trPr/>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Compliance Certificate</w:t>
            </w:r>
          </w:p>
        </w:tc>
      </w:tr>
      <w:tr>
        <w:trPr/>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Assignment and Assumption</w:t>
            </w:r>
          </w:p>
        </w:tc>
      </w:tr>
      <w:tr>
        <w:trPr/>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Landlord Consent</w:t>
            </w:r>
          </w:p>
        </w:tc>
      </w:tr>
      <w:tr>
        <w:trPr/>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H</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47" w:type="dxa"/>
            <w:tcBorders/>
            <w:vAlign w:val="center"/>
          </w:tcPr>
          <w:p>
            <w:pPr>
              <w:pStyle w:val="TableContents"/>
              <w:bidi w:val="0"/>
              <w:spacing w:before="0" w:after="283"/>
              <w:jc w:val="left"/>
              <w:rPr/>
            </w:pPr>
            <w:r>
              <w:rPr>
                <w:rFonts w:ascii="Times New Roman;Times;Serif" w:hAnsi="Times New Roman;Times;Serif"/>
                <w:strike/>
                <w:color w:val="FF0000"/>
                <w:sz w:val="20"/>
              </w:rPr>
              <w:t>Form of Stock Purchase Agreement</w:t>
            </w:r>
            <w:r>
              <w:rPr>
                <w:color w:val="0000FF"/>
                <w:u w:val="single"/>
              </w:rPr>
              <w:t>[Reserved]</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-vii-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115" w:type="dxa"/>
        <w:jc w:val="left"/>
        <w:tblInd w:w="0" w:type="dxa"/>
        <w:tblLayout w:type="fixed"/>
        <w:tblCellMar>
          <w:top w:w="0" w:type="dxa"/>
          <w:left w:w="0" w:type="dxa"/>
          <w:bottom w:w="0" w:type="dxa"/>
          <w:right w:w="0" w:type="dxa"/>
        </w:tblCellMar>
      </w:tblPr>
      <w:tblGrid>
        <w:gridCol w:w="935"/>
        <w:gridCol w:w="80"/>
        <w:gridCol w:w="4100"/>
      </w:tblGrid>
      <w:tr>
        <w:trPr/>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I</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Intercompany Subordination Agreement</w:t>
            </w:r>
          </w:p>
        </w:tc>
      </w:tr>
      <w:tr>
        <w:trPr/>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J-1</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Company Warrant</w:t>
            </w:r>
          </w:p>
        </w:tc>
      </w:tr>
      <w:tr>
        <w:trPr/>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J-2</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701 Warrant</w:t>
            </w:r>
          </w:p>
        </w:tc>
      </w:tr>
      <w:tr>
        <w:trPr/>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K</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Solvency Certificate</w:t>
            </w:r>
          </w:p>
        </w:tc>
      </w:tr>
      <w:tr>
        <w:trPr/>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L</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Funding Date Certificate</w:t>
            </w:r>
          </w:p>
        </w:tc>
      </w:tr>
      <w:tr>
        <w:trPr/>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M</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Tranche D Revenue Condition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-viii-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CREDIT AGREEMENT AND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CREDIT AGREEMENT AND GUARANTY, dated as of April 19, 2022, and amended as of November 13, 2023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 xml:space="preserve">, </w:t>
      </w:r>
      <w:r>
        <w:rPr>
          <w:rFonts w:ascii="Times New Roman;Times;Serif" w:hAnsi="Times New Roman;Times;Serif"/>
          <w:b w:val="false"/>
          <w:i w:val="false"/>
          <w:caps w:val="false"/>
          <w:smallCaps w:val="false"/>
          <w:sz w:val="20"/>
        </w:rPr>
        <w:t>December 5, 2023</w:t>
      </w:r>
      <w:r>
        <w:rPr>
          <w:rFonts w:ascii="Times New Roman;Times;Serif" w:hAnsi="Times New Roman;Times;Serif"/>
          <w:b w:val="false"/>
          <w:i w:val="false"/>
          <w:caps w:val="false"/>
          <w:smallCaps w:val="false"/>
          <w:color w:val="0000FF"/>
          <w:sz w:val="20"/>
          <w:u w:val="single"/>
        </w:rPr>
        <w:t>, February 12, 2024, March 20, 2024 and November 21, 2024</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among </w:t>
      </w:r>
      <w:r>
        <w:rPr>
          <w:rFonts w:ascii="Times New Roman;Times;Serif" w:hAnsi="Times New Roman;Times;Serif"/>
          <w:b/>
          <w:i w:val="false"/>
          <w:caps w:val="false"/>
          <w:smallCaps w:val="false"/>
          <w:sz w:val="20"/>
        </w:rPr>
        <w:t>BIOXCEL THERAPEUTICS,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certain Subsidiaries of the Borrower that may be required to provide Guarantees from time to time hereunder (each a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Guarantors</w:t>
      </w:r>
      <w:r>
        <w:rPr>
          <w:rFonts w:ascii="Times New Roman;Times;Serif" w:hAnsi="Times New Roman;Times;Serif"/>
          <w:b w:val="false"/>
          <w:i w:val="false"/>
          <w:caps w:val="false"/>
          <w:smallCaps w:val="false"/>
          <w:sz w:val="20"/>
        </w:rPr>
        <w:t>”), the lenders from time to time party hereto (each a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OAKTREE FUND ADMINISTRATION, LLC</w:t>
      </w:r>
      <w:r>
        <w:rPr>
          <w:rFonts w:ascii="Times New Roman;Times;Serif" w:hAnsi="Times New Roman;Times;Serif"/>
          <w:b w:val="false"/>
          <w:i w:val="false"/>
          <w:caps w:val="false"/>
          <w:smallCaps w:val="false"/>
          <w:sz w:val="20"/>
        </w:rPr>
        <w:t>, as administrative agent for the Lenders (in such capacity,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has requested that the Lenders provide a first-lien term loan facility to the Borrower in an aggregate principal amount of $202,319,447, consisting of (a) a $72,319,447 Tranche A-1 Term Loan extended on the Closing Date, (b) a $30,000,000 Tranche A-2 Term Loan extended on the Second Amendment Effective Date, (c) a $20,000,000 Tranche B Term Loan to be extended on the Applicable Funding Date for the Tranche B Term Loan, (d) a $30,000,000 Tranche C Term Loan to be extended on the Applicable Funding Date for the Tranche C Term Loan, and (d) a $50,000,000 Tranche D Term Loan to be extended on the Applicable Funding Date for the Tranche D Term Loan;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Lenders are willing, on the terms and subject to the conditions set forth herein, to provide such senior secured term loan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w:t>
      </w:r>
      <w:r>
        <w:rPr>
          <w:rFonts w:ascii="Times New Roman;Times;Serif" w:hAnsi="Times New Roman;Times;Serif"/>
          <w:b/>
          <w:i w:val="false"/>
          <w:caps w:val="false"/>
          <w:smallCaps w:val="false"/>
          <w:sz w:val="20"/>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Certain Defined Terms</w:t>
      </w:r>
      <w:r>
        <w:rPr>
          <w:rFonts w:ascii="Times New Roman;Times;Serif" w:hAnsi="Times New Roman;Times;Serif"/>
          <w:b w:val="false"/>
          <w:i w:val="false"/>
          <w:caps w:val="false"/>
          <w:smallCaps w:val="false"/>
          <w:sz w:val="20"/>
        </w:rPr>
        <w:t>. As used herein, the following terms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trike/>
          <w:color w:val="FF0000"/>
        </w:rPr>
        <w:t>“</w:t>
      </w:r>
      <w:r>
        <w:rPr>
          <w:rFonts w:ascii="Times New Roman;Times;Serif" w:hAnsi="Times New Roman;Times;Serif"/>
          <w:b/>
          <w:i/>
          <w:caps w:val="false"/>
          <w:smallCaps w:val="false"/>
          <w:strike/>
          <w:color w:val="FF0000"/>
          <w:sz w:val="20"/>
        </w:rPr>
        <w:t>30-day VWAP</w:t>
      </w:r>
      <w:r>
        <w:rPr>
          <w:rFonts w:ascii="Times New Roman;Times;Serif" w:hAnsi="Times New Roman;Times;Serif"/>
          <w:b w:val="false"/>
          <w:i w:val="false"/>
          <w:caps w:val="false"/>
          <w:smallCaps w:val="false"/>
          <w:strike/>
          <w:color w:val="008000"/>
          <w:sz w:val="20"/>
        </w:rPr>
        <w:t xml:space="preserve">” has the meaning set forth in </w:t>
      </w:r>
      <w:r>
        <w:rPr>
          <w:rFonts w:ascii="Times New Roman;Times;Serif" w:hAnsi="Times New Roman;Times;Serif"/>
          <w:b/>
          <w:i w:val="false"/>
          <w:caps w:val="false"/>
          <w:smallCaps w:val="false"/>
          <w:strike/>
          <w:color w:val="008000"/>
          <w:sz w:val="20"/>
        </w:rPr>
        <w:t>Section </w:t>
      </w:r>
      <w:r>
        <w:rPr>
          <w:rFonts w:ascii="Times New Roman;Times;Serif" w:hAnsi="Times New Roman;Times;Serif"/>
          <w:b/>
          <w:i w:val="false"/>
          <w:caps w:val="false"/>
          <w:smallCaps w:val="false"/>
          <w:strike/>
          <w:color w:val="FF0000"/>
          <w:sz w:val="20"/>
        </w:rPr>
        <w:t>2.08(a)</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701 Subsidiary Shared Services Agreement</w:t>
      </w:r>
      <w:r>
        <w:rPr>
          <w:rFonts w:ascii="Times New Roman;Times;Serif" w:hAnsi="Times New Roman;Times;Serif"/>
          <w:b w:val="false"/>
          <w:i w:val="false"/>
          <w:caps w:val="false"/>
          <w:smallCaps w:val="false"/>
          <w:strike/>
          <w:color w:val="FF0000"/>
          <w:sz w:val="20"/>
        </w:rPr>
        <w:t>” means the Shared Services Agreement, dated as of April 19, 2022, by and between OnkosXcel Therapeutics, LLC and the Borrower, as in effect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701 Warrant</w:t>
      </w:r>
      <w:r>
        <w:rPr>
          <w:rFonts w:ascii="Times New Roman;Times;Serif" w:hAnsi="Times New Roman;Times;Serif"/>
          <w:b w:val="false"/>
          <w:i w:val="false"/>
          <w:caps w:val="false"/>
          <w:smallCaps w:val="false"/>
          <w:sz w:val="20"/>
        </w:rPr>
        <w:t xml:space="preserve">” means any warrant delivered pursuant to </w:t>
      </w:r>
      <w:r>
        <w:rPr>
          <w:rFonts w:ascii="Times New Roman;Times;Serif" w:hAnsi="Times New Roman;Times;Serif"/>
          <w:b/>
          <w:i w:val="false"/>
          <w:caps w:val="false"/>
          <w:smallCaps w:val="false"/>
          <w:sz w:val="20"/>
        </w:rPr>
        <w:t>Section 6.02(h)</w:t>
      </w:r>
      <w:r>
        <w:rPr>
          <w:rFonts w:ascii="Times New Roman;Times;Serif" w:hAnsi="Times New Roman;Times;Serif"/>
          <w:b w:val="false"/>
          <w:i w:val="false"/>
          <w:caps w:val="false"/>
          <w:smallCaps w:val="false"/>
          <w:sz w:val="20"/>
        </w:rPr>
        <w:t xml:space="preserve">, evidenced by an instrument substantially in the form of </w:t>
      </w:r>
      <w:r>
        <w:rPr>
          <w:rFonts w:ascii="Times New Roman;Times;Serif" w:hAnsi="Times New Roman;Times;Serif"/>
          <w:b/>
          <w:i w:val="false"/>
          <w:caps w:val="false"/>
          <w:smallCaps w:val="false"/>
          <w:sz w:val="20"/>
        </w:rPr>
        <w:t xml:space="preserve">Exhibit J-2 </w:t>
      </w:r>
      <w:r>
        <w:rPr>
          <w:rFonts w:ascii="Times New Roman;Times;Serif" w:hAnsi="Times New Roman;Times;Serif"/>
          <w:b w:val="false"/>
          <w:i w:val="false"/>
          <w:caps w:val="false"/>
          <w:smallCaps w:val="false"/>
          <w:sz w:val="20"/>
        </w:rPr>
        <w:t>hereto, as amended, replaced or otherwise modified pursuant to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Account Control Agreement Completion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8.19(d)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Acquisition</w:t>
      </w:r>
      <w:r>
        <w:rPr>
          <w:rFonts w:ascii="Times New Roman;Times;Serif" w:hAnsi="Times New Roman;Times;Serif"/>
          <w:b w:val="false"/>
          <w:i w:val="false"/>
          <w:caps w:val="false"/>
          <w:smallCaps w:val="false"/>
          <w:sz w:val="20"/>
        </w:rPr>
        <w:t>” means any transaction, or any series of related transactions, by which any Person (for purposes of this definition, an “</w:t>
      </w:r>
      <w:r>
        <w:rPr>
          <w:rFonts w:ascii="Times New Roman;Times;Serif" w:hAnsi="Times New Roman;Times;Serif"/>
          <w:b/>
          <w:i/>
          <w:caps w:val="false"/>
          <w:smallCaps w:val="false"/>
          <w:sz w:val="20"/>
        </w:rPr>
        <w:t>acquirer</w:t>
      </w:r>
      <w:r>
        <w:rPr>
          <w:rFonts w:ascii="Times New Roman;Times;Serif" w:hAnsi="Times New Roman;Times;Serif"/>
          <w:b w:val="false"/>
          <w:i w:val="false"/>
          <w:caps w:val="false"/>
          <w:smallCaps w:val="false"/>
          <w:sz w:val="20"/>
        </w:rPr>
        <w:t>”) directly or indirectly, by means of amalgamation, consolidation, merger, purchase of assets, purchase of Equity Interests, or otherwise, (i) acquires all or substantially all of the assets of any other Person, (ii) acquires (including via licensing and in-licensing) an entire business line or unit or division of any other Person, (iii) with respect to any other Person that is managed or governed by a Board, acquires control of Equity Interests of such other Person representing more than fifty percent (50%) of the ordinary voting power (determined on a fully-diluted basis) for the election of directors of such Person’s Board, or (iv) acquires control of more than fifty percent (50%) of the Equity Interests in any other Person (determined on a fully-diluted basis) that is not managed by a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xml:space="preserve">” means, with respect to a specified Person, another Person that directly, or indirectly through one or more intermediaries, Controls or is Controlled by or is under common Control with the Person specified;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solely with respect to transfers by, or any other rights afforded to, the QIA Lender or any of its Affiliates, all references to “Affiliate” or “Affiliates” with respect to the QIA Lender shall include (i) Qatar Investment Authority and any individual, corporation, partnership, firm, joint venture, investment fund, association, trust, unincorporated association or organization, governmental body or other entity, which controls, is controlled by or is under common control with, the QIA Lender, and (ii) government entities or instrumentalities of, or entities that are wholly-owned or controlled by, the State of Qatar, the Amiri Diwan of the State of Qatar or any entities that are wholly-owned or controlled by any one or more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ANDA</w:t>
      </w:r>
      <w:r>
        <w:rPr>
          <w:rFonts w:ascii="Times New Roman;Times;Serif" w:hAnsi="Times New Roman;Times;Serif"/>
          <w:b w:val="false"/>
          <w:i w:val="false"/>
          <w:caps w:val="false"/>
          <w:smallCaps w:val="false"/>
          <w:sz w:val="20"/>
        </w:rPr>
        <w:t>” means (i) (x) an abbreviated new drug application (as defined in the FD&amp;C Act) and (y) any similar application or functional equivalent relating to any new drug application applicable to or required by any non-U.S. Governmental Authority, and (ii) all supplements and amendments that may be filed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Anti-Terrorism Laws</w:t>
      </w:r>
      <w:r>
        <w:rPr>
          <w:rFonts w:ascii="Times New Roman;Times;Serif" w:hAnsi="Times New Roman;Times;Serif"/>
          <w:b w:val="false"/>
          <w:i w:val="false"/>
          <w:caps w:val="false"/>
          <w:smallCaps w:val="false"/>
          <w:sz w:val="20"/>
        </w:rPr>
        <w:t>” means any laws relating to terrorism or money laundering, including (i) the Money Laundering Control Act of 1986 (e.g., 18 U.S.C. §§ 1956 and 1957), (ii) the Bank Secrecy Act of 1970 (e.g., 31 U.S.C. §§ 5311 – 5330), as amended by the Patriot Act, (iii) the laws, regulations and Executive Orders administered by the United States Department of the Treasury’s Office of Foreign Assets Control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(iv) the Comprehensive Iran Sanctions, Accountability, and Divestment Act of 2010 and implementing regulations by the United States Department of the Treasury, (v) any law prohibiting or directed against terrorist activities or the financing of terrorist activities (e.g., 18 U.S.C. §§ 2339A and 2339B), or (vi) any similar laws enacted in the United States, European Union or any other jurisdictions in which the parties to this agreement operate, and all other present and future legal requirements of any Governmental Authority, including His Majesty’s Treasury, governing, addressing, relating to, or attempting to eliminate, terrorist acts and acts of war.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Applicable Availability Period</w:t>
      </w:r>
      <w:r>
        <w:rPr>
          <w:rFonts w:ascii="Times New Roman;Times;Serif" w:hAnsi="Times New Roman;Times;Serif"/>
          <w:b w:val="false"/>
          <w:i w:val="false"/>
          <w:caps w:val="false"/>
          <w:smallCaps w:val="false"/>
          <w:sz w:val="20"/>
        </w:rPr>
        <w:t>”, with respect to a tranche of Loans, has the meaning set forth in the Loans Schedule for such tranche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Applicable Funding Condition</w:t>
      </w:r>
      <w:r>
        <w:rPr>
          <w:rFonts w:ascii="Times New Roman;Times;Serif" w:hAnsi="Times New Roman;Times;Serif"/>
          <w:b w:val="false"/>
          <w:i w:val="false"/>
          <w:caps w:val="false"/>
          <w:smallCaps w:val="false"/>
          <w:sz w:val="20"/>
        </w:rPr>
        <w:t>”, with respect to a tranche of Loans, has the meaning set forth in the Loans Schedule for such tranche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Applicable Funding Date</w:t>
      </w:r>
      <w:r>
        <w:rPr>
          <w:rFonts w:ascii="Times New Roman;Times;Serif" w:hAnsi="Times New Roman;Times;Serif"/>
          <w:b w:val="false"/>
          <w:i w:val="false"/>
          <w:caps w:val="false"/>
          <w:smallCaps w:val="false"/>
          <w:sz w:val="20"/>
        </w:rPr>
        <w:t xml:space="preserve">”, with respect to a tranche of Loans, means the date during the Applicable Availability Period for such tranche of Loans on which all conditions precedent set forth in </w:t>
      </w:r>
      <w:r>
        <w:rPr>
          <w:rFonts w:ascii="Times New Roman;Times;Serif" w:hAnsi="Times New Roman;Times;Serif"/>
          <w:b/>
          <w:i w:val="false"/>
          <w:caps w:val="false"/>
          <w:smallCaps w:val="false"/>
          <w:sz w:val="20"/>
        </w:rPr>
        <w:t>Section 6.02</w:t>
      </w:r>
      <w:r>
        <w:rPr>
          <w:rFonts w:ascii="Times New Roman;Times;Serif" w:hAnsi="Times New Roman;Times;Serif"/>
          <w:b w:val="false"/>
          <w:i w:val="false"/>
          <w:caps w:val="false"/>
          <w:smallCaps w:val="false"/>
          <w:sz w:val="20"/>
        </w:rPr>
        <w:t xml:space="preserve"> are satisfied or waived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70C0"/>
        </w:rPr>
      </w:pPr>
      <w:r>
        <w:rPr>
          <w:caps w:val="false"/>
          <w:smallCaps w:val="false"/>
          <w:color w:val="0000FF"/>
          <w:u w:val="single"/>
        </w:rPr>
        <w:t>“</w:t>
      </w:r>
      <w:r>
        <w:rPr>
          <w:rFonts w:ascii="Times New Roman;Times;Serif" w:hAnsi="Times New Roman;Times;Serif"/>
          <w:b/>
          <w:i/>
          <w:caps w:val="false"/>
          <w:smallCaps w:val="false"/>
          <w:color w:val="0000FF"/>
          <w:sz w:val="20"/>
          <w:u w:val="single"/>
        </w:rPr>
        <w:t>Approved Budget</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color w:val="0070C0"/>
          <w:sz w:val="20"/>
          <w:u w:val="single"/>
        </w:rPr>
        <w:t xml:space="preserve"> </w:t>
      </w:r>
      <w:r>
        <w:rPr>
          <w:rFonts w:ascii="Times New Roman;Times;Serif" w:hAnsi="Times New Roman;Times;Serif"/>
          <w:b w:val="false"/>
          <w:i w:val="false"/>
          <w:caps w:val="false"/>
          <w:smallCaps w:val="false"/>
          <w:color w:val="008000"/>
          <w:sz w:val="20"/>
          <w:u w:val="single"/>
        </w:rPr>
        <w:t xml:space="preserve">has the meaning set forth in </w:t>
      </w:r>
      <w:r>
        <w:rPr>
          <w:rFonts w:ascii="Times New Roman;Times;Serif" w:hAnsi="Times New Roman;Times;Serif"/>
          <w:b/>
          <w:i w:val="false"/>
          <w:caps w:val="false"/>
          <w:smallCaps w:val="false"/>
          <w:color w:val="008000"/>
          <w:sz w:val="20"/>
          <w:u w:val="single"/>
        </w:rPr>
        <w:t>Section</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8.01(k)</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Arm’s Length Transaction</w:t>
      </w:r>
      <w:r>
        <w:rPr>
          <w:rFonts w:ascii="Times New Roman;Times;Serif" w:hAnsi="Times New Roman;Times;Serif"/>
          <w:b w:val="false"/>
          <w:i w:val="false"/>
          <w:caps w:val="false"/>
          <w:smallCaps w:val="false"/>
          <w:sz w:val="20"/>
        </w:rPr>
        <w:t>” means, with respect to any transaction, the terms of such transaction shall not be less favorable to the Borrower or any of its Subsidiaries than commercially reasonable terms that would be obtained in a transaction not while in financial distress with a Person that is an unrelated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Asset Sale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assignee of such Lender substantially in the form of </w:t>
      </w:r>
      <w:r>
        <w:rPr>
          <w:rFonts w:ascii="Times New Roman;Times;Serif" w:hAnsi="Times New Roman;Times;Serif"/>
          <w:b/>
          <w:i w:val="false"/>
          <w:caps w:val="false"/>
          <w:smallCaps w:val="false"/>
          <w:sz w:val="20"/>
        </w:rPr>
        <w:t>Exhibit F</w:t>
      </w:r>
      <w:r>
        <w:rPr>
          <w:rFonts w:ascii="Times New Roman;Times;Serif" w:hAnsi="Times New Roman;Times;Serif"/>
          <w:b w:val="false"/>
          <w:i w:val="false"/>
          <w:caps w:val="false"/>
          <w:smallCaps w:val="false"/>
          <w:sz w:val="20"/>
        </w:rPr>
        <w:t>, or such other form as agreed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Bailee Letter</w:t>
      </w:r>
      <w:r>
        <w:rPr>
          <w:rFonts w:ascii="Times New Roman;Times;Serif" w:hAnsi="Times New Roman;Times;Serif"/>
          <w:b w:val="false"/>
          <w:i w:val="false"/>
          <w:caps w:val="false"/>
          <w:smallCaps w:val="false"/>
          <w:sz w:val="20"/>
        </w:rPr>
        <w:t>” means a bailee letter substantially in the form of Exhibit F to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Bail-In Action</w:t>
      </w:r>
      <w:r>
        <w:rPr>
          <w:rFonts w:ascii="Times New Roman;Times;Serif" w:hAnsi="Times New Roman;Times;Serif"/>
          <w:b w:val="false"/>
          <w:i w:val="false"/>
          <w:caps w:val="false"/>
          <w:smallCaps w:val="false"/>
          <w:sz w:val="20"/>
        </w:rPr>
        <w:t>” means the exercise of any Write-Down and Conversion Powers by the applicable EEA Resolution Authority in respect of any liability of an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Bankruptcy Code</w:t>
      </w:r>
      <w:r>
        <w:rPr>
          <w:rFonts w:ascii="Times New Roman;Times;Serif" w:hAnsi="Times New Roman;Times;Serif"/>
          <w:b w:val="false"/>
          <w:i w:val="false"/>
          <w:caps w:val="false"/>
          <w:smallCaps w:val="false"/>
          <w:sz w:val="20"/>
        </w:rPr>
        <w:t>” means Title 11 of the United States Code entitled “Bankruptcy.”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Beneficial Ownership Certification</w:t>
      </w:r>
      <w:r>
        <w:rPr>
          <w:rFonts w:ascii="Times New Roman;Times;Serif" w:hAnsi="Times New Roman;Times;Serif"/>
          <w:b w:val="false"/>
          <w:i w:val="false"/>
          <w:caps w:val="false"/>
          <w:smallCaps w:val="false"/>
          <w:sz w:val="20"/>
        </w:rPr>
        <w:t>” means a certification regarding beneficial ownership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Benefit Plan</w:t>
      </w:r>
      <w:r>
        <w:rPr>
          <w:rFonts w:ascii="Times New Roman;Times;Serif" w:hAnsi="Times New Roman;Times;Serif"/>
          <w:b w:val="false"/>
          <w:i w:val="false"/>
          <w:caps w:val="false"/>
          <w:smallCaps w:val="false"/>
          <w:sz w:val="20"/>
        </w:rPr>
        <w:t>” means any employee benefit plan as defined in Section 3(3) of ERISA (whether governed by the laws of the United States or otherwise) to which any Obligor or Subsidiary thereof incurs or otherwise has any obligation or liability, contingent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BioXcel LLC</w:t>
      </w:r>
      <w:r>
        <w:rPr>
          <w:rFonts w:ascii="Times New Roman;Times;Serif" w:hAnsi="Times New Roman;Times;Serif"/>
          <w:b w:val="false"/>
          <w:i w:val="false"/>
          <w:caps w:val="false"/>
          <w:smallCaps w:val="false"/>
          <w:sz w:val="20"/>
        </w:rPr>
        <w:t>” means BioXcel LLC, a Delaware limited liability company (formerly known as BioXcel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BioXcel Trademark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6.02(j)(ii)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with respect to any Person, the board of directors or equivalent management or oversight body of such Person or any committee thereof authorized to act on behalf of such board (or equivalent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Board Observer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8.13(b)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Borrower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Borrowing</w:t>
      </w:r>
      <w:r>
        <w:rPr>
          <w:rFonts w:ascii="Times New Roman;Times;Serif" w:hAnsi="Times New Roman;Times;Serif"/>
          <w:b w:val="false"/>
          <w:i w:val="false"/>
          <w:caps w:val="false"/>
          <w:smallCaps w:val="false"/>
          <w:sz w:val="20"/>
        </w:rPr>
        <w:t>” means the borrowing of the Loans on each Applicable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Borrowing Notice</w:t>
      </w:r>
      <w:r>
        <w:rPr>
          <w:rFonts w:ascii="Times New Roman;Times;Serif" w:hAnsi="Times New Roman;Times;Serif"/>
          <w:b w:val="false"/>
          <w:i w:val="false"/>
          <w:caps w:val="false"/>
          <w:smallCaps w:val="false"/>
          <w:sz w:val="20"/>
        </w:rPr>
        <w:t xml:space="preserve">” means a written notice substantially in the form of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Budget</w:t>
      </w:r>
      <w:r>
        <w:rPr>
          <w:rFonts w:ascii="Times New Roman;Times;Serif" w:hAnsi="Times New Roman;Times;Serif"/>
          <w:b w:val="false"/>
          <w:i w:val="false"/>
          <w:caps w:val="false"/>
          <w:smallCaps w:val="false"/>
          <w:color w:val="0000FF"/>
          <w:sz w:val="20"/>
          <w:u w:val="single"/>
        </w:rPr>
        <w:t xml:space="preserve">” means the Initial Budget, as amended, modified, supplemented or replaced from time to time in accordance with </w:t>
      </w:r>
      <w:r>
        <w:rPr>
          <w:rFonts w:ascii="Times New Roman;Times;Serif" w:hAnsi="Times New Roman;Times;Serif"/>
          <w:b/>
          <w:i w:val="false"/>
          <w:caps w:val="false"/>
          <w:smallCaps w:val="false"/>
          <w:color w:val="0000FF"/>
          <w:sz w:val="20"/>
          <w:u w:val="single"/>
        </w:rPr>
        <w:t>Section 8.01(k)</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Budget Variance Report</w:t>
      </w:r>
      <w:r>
        <w:rPr>
          <w:rFonts w:ascii="Times New Roman;Times;Serif" w:hAnsi="Times New Roman;Times;Serif"/>
          <w:b w:val="false"/>
          <w:i w:val="false"/>
          <w:caps w:val="false"/>
          <w:smallCaps w:val="false"/>
          <w:color w:val="0000FF"/>
          <w:sz w:val="20"/>
          <w:u w:val="single"/>
        </w:rPr>
        <w:t>” means a report prepared by a Responsible Officer of the Borrower, comparing for each applicable Budget Variance Test Period the actual results against anticipated results under the applicable Approved Budget(s), on an aggregate basis and in the same level of detail set forth in the applicable Approved Budget(s), together with a written explanation for all disbursement variances of greater than 15% for any given Budget Variance Test Period and such other information as the Administrative Agent or the Majority Lenders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Budget Variance Test Period</w:t>
      </w:r>
      <w:r>
        <w:rPr>
          <w:rFonts w:ascii="Times New Roman;Times;Serif" w:hAnsi="Times New Roman;Times;Serif"/>
          <w:b w:val="false"/>
          <w:i w:val="false"/>
          <w:caps w:val="false"/>
          <w:smallCaps w:val="false"/>
          <w:color w:val="0000FF"/>
          <w:sz w:val="20"/>
          <w:u w:val="single"/>
        </w:rPr>
        <w:t>” means the two-week period most recently ended on the last Saturday prior to the delivery of each Budget Variance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xml:space="preserve">” means a day (other than a Saturday or Sunday) on which commercial banks are not authorized or required to close in New York City;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any notices to a QIA Lender or any obligation for a QIA Lender to fund any Borrowings, “Business Day” shall not include any day on which commercial banks in Qatar are authorized or required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BXCL 501</w:t>
      </w:r>
      <w:r>
        <w:rPr>
          <w:rFonts w:ascii="Times New Roman;Times;Serif" w:hAnsi="Times New Roman;Times;Serif"/>
          <w:b w:val="false"/>
          <w:i w:val="false"/>
          <w:caps w:val="false"/>
          <w:smallCaps w:val="false"/>
          <w:sz w:val="20"/>
        </w:rPr>
        <w:t>” means a proprietary, orally dissolving thin film formulation of dexmedetomidine, a selective alpha-2a receptor agonist, as further described on Schedule 2, including all improvements and modifications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BXCL 701</w:t>
      </w:r>
      <w:r>
        <w:rPr>
          <w:rFonts w:ascii="Times New Roman;Times;Serif" w:hAnsi="Times New Roman;Times;Serif"/>
          <w:b w:val="false"/>
          <w:i w:val="false"/>
          <w:caps w:val="false"/>
          <w:smallCaps w:val="false"/>
          <w:sz w:val="20"/>
        </w:rPr>
        <w:t>” means an orally administered talabostat formulation, as further described on Schedule 2, including all improvements and modifications thereto, or any other formulation of talabostat.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BXCL 701 Asset Contribution</w:t>
      </w:r>
      <w:r>
        <w:rPr>
          <w:rFonts w:ascii="Times New Roman;Times;Serif" w:hAnsi="Times New Roman;Times;Serif"/>
          <w:b w:val="false"/>
          <w:i w:val="false"/>
          <w:caps w:val="false"/>
          <w:smallCaps w:val="false"/>
          <w:strike/>
          <w:color w:val="FF0000"/>
          <w:sz w:val="20"/>
        </w:rPr>
        <w:t>” means the contribution by the Borrower of the BXCL 701 Assets to the BXCL 701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BXCL 701 Assets</w:t>
      </w:r>
      <w:r>
        <w:rPr>
          <w:rFonts w:ascii="Times New Roman;Times;Serif" w:hAnsi="Times New Roman;Times;Serif"/>
          <w:b w:val="false"/>
          <w:i w:val="false"/>
          <w:caps w:val="false"/>
          <w:smallCaps w:val="false"/>
          <w:strike/>
          <w:color w:val="FF0000"/>
          <w:sz w:val="20"/>
        </w:rPr>
        <w:t xml:space="preserve">” means the assets listed on </w:t>
      </w:r>
      <w:r>
        <w:rPr>
          <w:rFonts w:ascii="Times New Roman;Times;Serif" w:hAnsi="Times New Roman;Times;Serif"/>
          <w:b/>
          <w:i w:val="false"/>
          <w:caps w:val="false"/>
          <w:smallCaps w:val="false"/>
          <w:strike/>
          <w:color w:val="FF0000"/>
          <w:sz w:val="20"/>
        </w:rPr>
        <w:t>Schedule 4</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trike/>
          <w:color w:val="FF0000"/>
        </w:rPr>
        <w:t>“</w:t>
      </w:r>
      <w:r>
        <w:rPr>
          <w:rFonts w:ascii="Times New Roman;Times;Serif" w:hAnsi="Times New Roman;Times;Serif"/>
          <w:b/>
          <w:i/>
          <w:caps w:val="false"/>
          <w:smallCaps w:val="false"/>
          <w:strike/>
          <w:color w:val="FF0000"/>
          <w:sz w:val="20"/>
        </w:rPr>
        <w:t>BXCL 701 Disposition Proceeds Account</w:t>
      </w:r>
      <w:r>
        <w:rPr>
          <w:rFonts w:ascii="Times New Roman;Times;Serif" w:hAnsi="Times New Roman;Times;Serif"/>
          <w:b w:val="false"/>
          <w:i w:val="false"/>
          <w:caps w:val="false"/>
          <w:smallCaps w:val="false"/>
          <w:strike/>
          <w:color w:val="008000"/>
          <w:sz w:val="20"/>
        </w:rPr>
        <w:t xml:space="preserve">” has the meaning set forth in </w:t>
      </w:r>
      <w:r>
        <w:rPr>
          <w:rFonts w:ascii="Times New Roman;Times;Serif" w:hAnsi="Times New Roman;Times;Serif"/>
          <w:b/>
          <w:i w:val="false"/>
          <w:caps w:val="false"/>
          <w:smallCaps w:val="false"/>
          <w:strike/>
          <w:color w:val="008000"/>
          <w:sz w:val="20"/>
        </w:rPr>
        <w:t>Section </w:t>
      </w:r>
      <w:r>
        <w:rPr>
          <w:rFonts w:ascii="Times New Roman;Times;Serif" w:hAnsi="Times New Roman;Times;Serif"/>
          <w:b/>
          <w:i w:val="false"/>
          <w:caps w:val="false"/>
          <w:smallCaps w:val="false"/>
          <w:strike/>
          <w:color w:val="FF0000"/>
          <w:sz w:val="20"/>
        </w:rPr>
        <w:t>3.03(b)(i)(B)</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BXCL 701 Primary Disposition Proceeds</w:t>
      </w:r>
      <w:r>
        <w:rPr>
          <w:rFonts w:ascii="Times New Roman;Times;Serif" w:hAnsi="Times New Roman;Times;Serif"/>
          <w:b w:val="false"/>
          <w:i w:val="false"/>
          <w:caps w:val="false"/>
          <w:smallCaps w:val="false"/>
          <w:strike/>
          <w:color w:val="FF0000"/>
          <w:sz w:val="20"/>
        </w:rPr>
        <w:t>” means Net Cash Proceeds from a Permitted BXCL 701 Primary Disposition Event; provided that, at the time that a Permitted BXCL 701 Primary Disposition Event occurs, any Net Cash Proceeds from any exclusive license previously granted for the use of the Intellectual Property of an Obligor or any of its Subsidiaries for the promotion, manufacture or sale of BXCL 701 should be included in BXCL 701 Primary Disposition Proceeds, except to the extent such proceeds were used for research and development activities for oncology products and no incentive payments were made with respect to any employee equity incentive or similar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BXCL 701 Release Date</w:t>
      </w:r>
      <w:r>
        <w:rPr>
          <w:rFonts w:ascii="Times New Roman;Times;Serif" w:hAnsi="Times New Roman;Times;Serif"/>
          <w:b w:val="false"/>
          <w:i w:val="false"/>
          <w:caps w:val="false"/>
          <w:smallCaps w:val="false"/>
          <w:strike/>
          <w:color w:val="FF0000"/>
          <w:sz w:val="20"/>
        </w:rPr>
        <w:t>” means the date on which a Permitted BXCL 701 Release Event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BXCL 701 Secondary Disposition Proceeds</w:t>
      </w:r>
      <w:r>
        <w:rPr>
          <w:rFonts w:ascii="Times New Roman;Times;Serif" w:hAnsi="Times New Roman;Times;Serif"/>
          <w:b w:val="false"/>
          <w:i w:val="false"/>
          <w:caps w:val="false"/>
          <w:smallCaps w:val="false"/>
          <w:strike/>
          <w:color w:val="FF0000"/>
          <w:sz w:val="20"/>
        </w:rPr>
        <w:t>” means Net Cash Proceeds from a Permitted BXCL 701 Secondary Disposition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BXCL 701 Subsidiaries</w:t>
      </w:r>
      <w:r>
        <w:rPr>
          <w:rFonts w:ascii="Times New Roman;Times;Serif" w:hAnsi="Times New Roman;Times;Serif"/>
          <w:b w:val="false"/>
          <w:i w:val="false"/>
          <w:caps w:val="false"/>
          <w:smallCaps w:val="false"/>
          <w:strike/>
          <w:color w:val="FF0000"/>
          <w:sz w:val="20"/>
        </w:rPr>
        <w:t>” means (i) OnkosXcel Therapeutics, LLC and OnkosXcel Employee Holdings, LLC, each a Delaware limited liability company and each formed solely for the purpose of acquiring, developing and commercializing the BXCL 701 Assets, (ii) any Subsidiary created solely for the purpose of holding the Equity Interests and/or Indebtedness of the other BXCL 701 Subsidiaries, (iii) each subsidiary of the foregoing from time to time, and (iv) any IPO Co., in each case of clauses (i) through (iv), so long as such Person is a Subsidiary of the Borrower. For the avoidance of doubt, any Person that is not a Subsidiary of the Borrower shall not constitute a BXCL 701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Capital Lease Obligations</w:t>
      </w:r>
      <w:r>
        <w:rPr>
          <w:rFonts w:ascii="Times New Roman;Times;Serif" w:hAnsi="Times New Roman;Times;Serif"/>
          <w:b w:val="false"/>
          <w:i w:val="false"/>
          <w:caps w:val="false"/>
          <w:smallCaps w:val="false"/>
          <w:sz w:val="20"/>
        </w:rPr>
        <w:t xml:space="preserve">” means, as to any Person, the obligations of such Person to pay rent or other amounts under a lease of (or other agreement conveying the right to use) real and/or personal property, the amount of the liability in respect thereof that would at that time be required to be capitalized on a balance sheet in accordance with GAAP as in effect on December 31, 2018, subject to </w:t>
      </w:r>
      <w:r>
        <w:rPr>
          <w:rFonts w:ascii="Times New Roman;Times;Serif" w:hAnsi="Times New Roman;Times;Serif"/>
          <w:b/>
          <w:i w:val="false"/>
          <w:caps w:val="false"/>
          <w:smallCaps w:val="false"/>
          <w:sz w:val="20"/>
        </w:rPr>
        <w:t>Section 1.02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Casualty Event</w:t>
      </w:r>
      <w:r>
        <w:rPr>
          <w:rFonts w:ascii="Times New Roman;Times;Serif" w:hAnsi="Times New Roman;Times;Serif"/>
          <w:b w:val="false"/>
          <w:i w:val="false"/>
          <w:caps w:val="false"/>
          <w:smallCaps w:val="false"/>
          <w:sz w:val="20"/>
        </w:rPr>
        <w:t>” means the damage, destruction or condemnation, as the case may be, of property of the Borrower or any of its Subsidiaries in excess of $2,000,000 (or the Equivalent Amount in other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CFC</w:t>
      </w:r>
      <w:r>
        <w:rPr>
          <w:rFonts w:ascii="Times New Roman;Times;Serif" w:hAnsi="Times New Roman;Times;Serif"/>
          <w:b w:val="false"/>
          <w:i w:val="false"/>
          <w:caps w:val="false"/>
          <w:smallCaps w:val="false"/>
          <w:sz w:val="20"/>
        </w:rPr>
        <w:t>” means a Subsidiary that is a “controlled foreign corporation” within the meaning of Section 957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CFC Holding Company</w:t>
      </w:r>
      <w:r>
        <w:rPr>
          <w:rFonts w:ascii="Times New Roman;Times;Serif" w:hAnsi="Times New Roman;Times;Serif"/>
          <w:b w:val="false"/>
          <w:i w:val="false"/>
          <w:caps w:val="false"/>
          <w:smallCaps w:val="false"/>
          <w:sz w:val="20"/>
        </w:rPr>
        <w:t>” means any Domestic Subsidiary that owns no material assets (directly or indirectly) other than Equity Interests and debt of one or more CFCs or Domestic Subsidiaries that are themselves CFC Holding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xml:space="preserve">” means an event or series of events (i) as a result of which any “person” or “group” (as such terms are used in Sections 13(d) and 14(d) of the Securities Act, but excluding any of such person or its Subsidiaries, and any Person acting in its capacity as trustee, agent or other fiduciary or administrator of any such Plan and excluding any Permitted Holder) becomes the “beneficial owner”, directly or indirectly, of thirty-five percent (35%) or more of the Equity Interests of the Borrower entitled to vote for members of the Board of the Borrower on a fully-diluted basis (and taking into account all such Equity Interests that such person or group has the right to acquire pursuant to any Option Right); (ii) as a result of which any Permitted Holder or “group” (as such terms are used in Sections 13(d) and 14(d) of the Securities Act) including any Permitted Holder becomes the “beneficial owner”, directly or indirectly, of forty-five percent (45%) or more of the Equity Interests of the Borrower entitled to vote for members of the Board of the Borrower on a fully-diluted basis (and taking into account all such Equity Interests that such Permitted Holder or group has the right to acquire pursuant to any Option Right); (iii) that results in the sale of all or substantially all of the assets or businesses of the Borrower and its Subsidiaries, taken as a whole, or (iv) that results in the Borrower’s failure to own, directly or indirectly, beneficially and of record, one-hundred percent (100%) of all issued and outstanding Equity Interests of each Subsidiary Guarantor (other than, in the case of this clause (iv), as a result of any Asset Sale permitted by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 xml:space="preserve">, liquidation or dissolution permitted by </w:t>
      </w:r>
      <w:r>
        <w:rPr>
          <w:rFonts w:ascii="Times New Roman;Times;Serif" w:hAnsi="Times New Roman;Times;Serif"/>
          <w:b/>
          <w:i w:val="false"/>
          <w:caps w:val="false"/>
          <w:smallCaps w:val="false"/>
          <w:sz w:val="20"/>
        </w:rPr>
        <w:t>Section 9.03(b)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the issuance of any Equity Interests in BXCL 701 Subsidiaries pursuant to </w:t>
      </w:r>
      <w:r>
        <w:rPr>
          <w:rFonts w:ascii="Times New Roman;Times;Serif" w:hAnsi="Times New Roman;Times;Serif"/>
          <w:b/>
          <w:i w:val="false"/>
          <w:caps w:val="false"/>
          <w:smallCaps w:val="false"/>
          <w:strike/>
          <w:color w:val="FF0000"/>
          <w:sz w:val="20"/>
        </w:rPr>
        <w:t>Section 9.09(o)</w:t>
      </w:r>
      <w:r>
        <w:rPr>
          <w:rFonts w:ascii="Times New Roman;Times;Serif" w:hAnsi="Times New Roman;Times;Serif"/>
          <w:b w:val="false"/>
          <w:i w:val="false"/>
          <w:caps w:val="false"/>
          <w:smallCaps w:val="false"/>
          <w:strike/>
          <w:color w:val="FF0000"/>
          <w:sz w:val="20"/>
        </w:rPr>
        <w:t xml:space="preserve">, a Permitted BXCL 701 Disposition Event, </w:t>
      </w:r>
      <w:r>
        <w:rPr>
          <w:rFonts w:ascii="Times New Roman;Times;Serif" w:hAnsi="Times New Roman;Times;Serif"/>
          <w:b w:val="false"/>
          <w:i w:val="false"/>
          <w:caps w:val="false"/>
          <w:smallCaps w:val="false"/>
          <w:sz w:val="20"/>
        </w:rPr>
        <w:t>or any interest in or exercise of any 701 Warrant). For purposes of this definition, “beneficial owner” is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w:t>
      </w:r>
      <w:r>
        <w:rPr>
          <w:rFonts w:ascii="Times New Roman;Times;Serif" w:hAnsi="Times New Roman;Times;Serif"/>
          <w:b/>
          <w:i/>
          <w:caps w:val="false"/>
          <w:smallCaps w:val="false"/>
          <w:sz w:val="20"/>
        </w:rPr>
        <w:t>Option Right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Claims</w:t>
      </w:r>
      <w:r>
        <w:rPr>
          <w:rFonts w:ascii="Times New Roman;Times;Serif" w:hAnsi="Times New Roman;Times;Serif"/>
          <w:b w:val="false"/>
          <w:i w:val="false"/>
          <w:caps w:val="false"/>
          <w:smallCaps w:val="false"/>
          <w:sz w:val="20"/>
        </w:rPr>
        <w:t>” means (and includes) any claim, demand, complaint, grievance, action, application, suit, cause of action, order, charge, indictment, prosecution, judgement or other similar process, whether in respect of assessments or reassessments,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and all costs incurred in investigating or pursuing any of the foregoing or any proceeding relating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xml:space="preserve">” means the date on which the conditions precedent specified in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xml:space="preserve"> are satisfied (or waived in accordance with </w:t>
      </w:r>
      <w:r>
        <w:rPr>
          <w:rFonts w:ascii="Times New Roman;Times;Serif" w:hAnsi="Times New Roman;Times;Serif"/>
          <w:b/>
          <w:i w:val="false"/>
          <w:caps w:val="false"/>
          <w:smallCaps w:val="false"/>
          <w:sz w:val="20"/>
        </w:rPr>
        <w:t>Section 14.04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from time to time, and the rules and regulations promulgated thereunder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Collaboration Agreement Option</w:t>
      </w:r>
      <w:r>
        <w:rPr>
          <w:rFonts w:ascii="Times New Roman;Times;Serif" w:hAnsi="Times New Roman;Times;Serif"/>
          <w:b w:val="false"/>
          <w:i w:val="false"/>
          <w:caps w:val="false"/>
          <w:smallCaps w:val="false"/>
          <w:sz w:val="20"/>
        </w:rPr>
        <w:t>” means Borrower’s option, pursuant to the Shared Services Agreement, to enter into a collaborative services agreement with BioXcel LLC by which BioXcel LLC shall perform product identification and related services for the Borrower utilizing the EvolverAI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Collateral</w:t>
      </w:r>
      <w:r>
        <w:rPr>
          <w:rFonts w:ascii="Times New Roman;Times;Serif" w:hAnsi="Times New Roman;Times;Serif"/>
          <w:b w:val="false"/>
          <w:i w:val="false"/>
          <w:caps w:val="false"/>
          <w:smallCaps w:val="false"/>
          <w:sz w:val="20"/>
        </w:rPr>
        <w:t xml:space="preserve">” means any real, personal and mixed property (including Equity Interests), whether tangible or intangible, in which Liens are granted or purported to be granted to the Administrative Agent as security for the Obligations under any Loan Document on or after the Closing Date, including future acquired or created assets or property (or collectively, all such real, personal and mixed property, as the context may require); provided, “Collateral” shall not include </w:t>
      </w:r>
      <w:r>
        <w:rPr>
          <w:rFonts w:ascii="Times New Roman;Times;Serif" w:hAnsi="Times New Roman;Times;Serif"/>
          <w:b w:val="false"/>
          <w:i w:val="false"/>
          <w:caps w:val="false"/>
          <w:smallCaps w:val="false"/>
          <w:strike/>
          <w:color w:val="FF0000"/>
          <w:sz w:val="20"/>
        </w:rPr>
        <w:t>(i) </w:t>
      </w:r>
      <w:r>
        <w:rPr>
          <w:rFonts w:ascii="Times New Roman;Times;Serif" w:hAnsi="Times New Roman;Times;Serif"/>
          <w:b w:val="false"/>
          <w:i w:val="false"/>
          <w:caps w:val="false"/>
          <w:smallCaps w:val="false"/>
          <w:sz w:val="20"/>
        </w:rPr>
        <w:t xml:space="preserve">Equity Interests of any Subsidiary representing, in the aggregate, more than sixty-five percent (65%) of the Equity Interests of any CFC or CFC Holding Company </w:t>
      </w:r>
      <w:r>
        <w:rPr>
          <w:rFonts w:ascii="Times New Roman;Times;Serif" w:hAnsi="Times New Roman;Times;Serif"/>
          <w:b w:val="false"/>
          <w:i w:val="false"/>
          <w:caps w:val="false"/>
          <w:smallCaps w:val="false"/>
          <w:strike/>
          <w:color w:val="FF0000"/>
          <w:sz w:val="20"/>
        </w:rPr>
        <w:t>or (ii) any assets owned by the BXCL 701 Subsidiaries (but shall include a pledge of 100% of the Equity Interests of the BXCL 701 Subsidiaries that are directly owned by the Borrower or any of the Borrower’s other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Commercial Supply Agreement</w:t>
      </w:r>
      <w:r>
        <w:rPr>
          <w:rFonts w:ascii="Times New Roman;Times;Serif" w:hAnsi="Times New Roman;Times;Serif"/>
          <w:b w:val="false"/>
          <w:i w:val="false"/>
          <w:caps w:val="false"/>
          <w:smallCaps w:val="false"/>
          <w:sz w:val="20"/>
        </w:rPr>
        <w:t>” means the commercial supply agreement, dated as of April 1, 2022, by and between the Borrower and ARx, LLC, as it may be amended or modified from time to time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Commitment</w:t>
      </w:r>
      <w:r>
        <w:rPr>
          <w:rFonts w:ascii="Times New Roman;Times;Serif" w:hAnsi="Times New Roman;Times;Serif"/>
          <w:b w:val="false"/>
          <w:i w:val="false"/>
          <w:caps w:val="false"/>
          <w:smallCaps w:val="false"/>
          <w:sz w:val="20"/>
        </w:rPr>
        <w:t xml:space="preserve">” means, with respect to each Lender, the obligation of such Lender to make Loans to the Borrower on each Applicable Funding Date in accordance with the terms and conditions of this Agreement, which commitment is in the amount set forth opposite such Lender’s name on </w:t>
      </w:r>
      <w:r>
        <w:rPr>
          <w:rFonts w:ascii="Times New Roman;Times;Serif" w:hAnsi="Times New Roman;Times;Serif"/>
          <w:b/>
          <w:i w:val="false"/>
          <w:caps w:val="false"/>
          <w:smallCaps w:val="false"/>
          <w:sz w:val="20"/>
        </w:rPr>
        <w:t xml:space="preserve">Schedule 1 </w:t>
      </w:r>
      <w:r>
        <w:rPr>
          <w:rFonts w:ascii="Times New Roman;Times;Serif" w:hAnsi="Times New Roman;Times;Serif"/>
          <w:b w:val="false"/>
          <w:i w:val="false"/>
          <w:caps w:val="false"/>
          <w:smallCaps w:val="false"/>
          <w:sz w:val="20"/>
        </w:rPr>
        <w:t>under the caption “Applicable Commitment”, as such Schedule may be amended from time to time pursuant to an Assignment and Assumption or otherwise. The aggregate amount of Commitments outstanding on the Second Amendment Effective Date (after giving effect to the Second Amendment) equals $100,000,000.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Commitment Termination Date</w:t>
      </w:r>
      <w:r>
        <w:rPr>
          <w:rFonts w:ascii="Times New Roman;Times;Serif" w:hAnsi="Times New Roman;Times;Serif"/>
          <w:b w:val="false"/>
          <w:i w:val="false"/>
          <w:caps w:val="false"/>
          <w:smallCaps w:val="false"/>
          <w:sz w:val="20"/>
        </w:rPr>
        <w:t>” means (a) with respect to the Commitments to make Tranche B Term Loans, December 31, 2024, (b) with respect to the Commitments to make Tranche C Term Loans, December 31, 2025 and (c) with respect to the Commitments to make Tranche D Term Loans,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the common stock, $0.001 par value,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Competitor</w:t>
      </w:r>
      <w:r>
        <w:rPr>
          <w:rFonts w:ascii="Times New Roman;Times;Serif" w:hAnsi="Times New Roman;Times;Serif"/>
          <w:b w:val="false"/>
          <w:i w:val="false"/>
          <w:caps w:val="false"/>
          <w:smallCaps w:val="false"/>
          <w:sz w:val="20"/>
        </w:rPr>
        <w:t>” means (i) any competitor of the Borrower or any of its Subsidiaries primarily operating in the same line of business as the Borrower or any of its Subsidiaries and (ii) any of such competitor’s Affiliates (other than any Person that is a bona fide debt fund primarily engaged in the making, purchasing, holding or other investing in commercial loans, notes, bonds or similar extensions of credit or securities in the Ordinary Course) that are either (x) identified by name in writing by the Borrower to the Administrative Agent from time to time or (y) clearly identifiable on the basis of such Affiliate’s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Warrants</w:t>
      </w:r>
      <w:r>
        <w:rPr>
          <w:rFonts w:ascii="Times New Roman;Times;Serif" w:hAnsi="Times New Roman;Times;Serif"/>
          <w:b w:val="false"/>
          <w:i w:val="false"/>
          <w:caps w:val="false"/>
          <w:smallCaps w:val="false"/>
          <w:sz w:val="20"/>
        </w:rPr>
        <w:t xml:space="preserve">” means (i) those certain warrants, dated as of the Closing Date and delivered pursuant to Section 6.01(h), evidenced by an instrument substantially the form of Exhibit J-1 hereto, as amended on the Second Amendment Effective Date </w:t>
      </w:r>
      <w:r>
        <w:rPr>
          <w:rFonts w:ascii="Times New Roman;Times;Serif" w:hAnsi="Times New Roman;Times;Serif"/>
          <w:b w:val="false"/>
          <w:i w:val="false"/>
          <w:caps w:val="false"/>
          <w:smallCaps w:val="false"/>
          <w:strike/>
          <w:color w:val="FF0000"/>
          <w:sz w:val="20"/>
        </w:rPr>
        <w:t>and as further amended, replaced or otherwise modified pursuant to the terms thereof</w:t>
      </w:r>
      <w:r>
        <w:rPr>
          <w:rFonts w:ascii="Times New Roman;Times;Serif" w:hAnsi="Times New Roman;Times;Serif"/>
          <w:b w:val="false"/>
          <w:i w:val="false"/>
          <w:caps w:val="false"/>
          <w:smallCaps w:val="false"/>
          <w:sz w:val="20"/>
        </w:rPr>
        <w:t xml:space="preserve">, (ii) those certain warrants, dated as of the Second Amendment Effective Date, evidenced by an instrument substantially the form of Exhibit J-1 hereto, </w:t>
      </w:r>
      <w:r>
        <w:rPr>
          <w:rFonts w:ascii="Times New Roman;Times;Serif" w:hAnsi="Times New Roman;Times;Serif"/>
          <w:b w:val="false"/>
          <w:i w:val="false"/>
          <w:caps w:val="false"/>
          <w:smallCaps w:val="false"/>
          <w:strike/>
          <w:color w:val="008000"/>
          <w:sz w:val="20"/>
        </w:rPr>
        <w:t xml:space="preserve">as amended, replaced or otherwise modified pursuant to the terms thereof,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(iii) those certain warrants, dated March 20, 2024, evidenced by an instrument substantially the form of Exhibit A to the Fourth Amendment to Credit Agreement and Guaranty, dated March 20, 2024, by and among the Borrower, the Lenders and the Administrative Agent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and (iv) those certain warrants, to be dated on or around the date of Fifth Amendment Capital Raise One, evidenced by an instrument substantially the form of Exhibit B to the Fifth Amendment, in each case ((i) through (iv)), as amended, replaced or otherwise modified from time to time pursuant to the terms thereof, including pursuant to the Fifth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w:t>
      </w:r>
      <w:r>
        <w:rPr>
          <w:rFonts w:ascii="Times New Roman;Times;Serif" w:hAnsi="Times New Roman;Times;Serif"/>
          <w:b/>
          <w:i w:val="false"/>
          <w:caps w:val="false"/>
          <w:smallCaps w:val="false"/>
          <w:strike/>
          <w:color w:val="FF0000"/>
          <w:sz w:val="20"/>
        </w:rPr>
        <w:t>8.01(c)</w:t>
      </w:r>
      <w:r>
        <w:rPr>
          <w:rFonts w:ascii="Times New Roman;Times;Serif" w:hAnsi="Times New Roman;Times;Serif"/>
          <w:b/>
          <w:i w:val="false"/>
          <w:caps w:val="false"/>
          <w:smallCaps w:val="false"/>
          <w:color w:val="0000FF"/>
          <w:sz w:val="20"/>
          <w:u w:val="single"/>
        </w:rPr>
        <w:t>8.01(a)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trike/>
          <w:color w:val="FF0000"/>
        </w:rPr>
        <w:t>“</w:t>
      </w:r>
      <w:r>
        <w:rPr>
          <w:rFonts w:ascii="Times New Roman;Times;Serif" w:hAnsi="Times New Roman;Times;Serif"/>
          <w:b/>
          <w:i/>
          <w:caps w:val="false"/>
          <w:smallCaps w:val="false"/>
          <w:strike/>
          <w:color w:val="FF0000"/>
          <w:sz w:val="20"/>
        </w:rPr>
        <w:t>Conforming Changes</w:t>
      </w:r>
      <w:r>
        <w:rPr>
          <w:rFonts w:ascii="Times New Roman;Times;Serif" w:hAnsi="Times New Roman;Times;Serif"/>
          <w:b w:val="false"/>
          <w:i w:val="false"/>
          <w:caps w:val="false"/>
          <w:smallCaps w:val="false"/>
          <w:strike/>
          <w:color w:val="FF0000"/>
          <w:sz w:val="20"/>
        </w:rPr>
        <w:t xml:space="preserve">” means, with respect to the use, administration of or any conventions associated with Term SOFR or any proposed Successor Rate, as applicable, any conforming changes to the definitions of “Term SOFR” and “Interest Period”, timing and frequency of determining rates and making payments of interest and other technical, administrative or operational matters (including, </w:t>
      </w:r>
      <w:r>
        <w:rPr>
          <w:rFonts w:ascii="Times New Roman;Times;Serif" w:hAnsi="Times New Roman;Times;Serif"/>
          <w:b w:val="false"/>
          <w:i w:val="false"/>
          <w:caps w:val="false"/>
          <w:smallCaps w:val="false"/>
          <w:strike/>
          <w:color w:val="008000"/>
          <w:sz w:val="20"/>
        </w:rPr>
        <w:t xml:space="preserve">for the avoidance of doubt, </w:t>
      </w:r>
      <w:r>
        <w:rPr>
          <w:rFonts w:ascii="Times New Roman;Times;Serif" w:hAnsi="Times New Roman;Times;Serif"/>
          <w:b w:val="false"/>
          <w:i w:val="false"/>
          <w:caps w:val="false"/>
          <w:smallCaps w:val="false"/>
          <w:strike/>
          <w:color w:val="FF0000"/>
          <w:sz w:val="20"/>
        </w:rPr>
        <w:t>the definitions of “Business Day” and “U.S. Government Securities Business Day”, timing of borrowing requests or prepayment, conversion or continuation notices and length of lookback periods) as may be appropriate, in the discretion of the Administrative Agent (in consultation with the Borrower),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(in consultation with the Borrower) is reasonably necessary in connection with the administration of this Agreement and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Contracts</w:t>
      </w:r>
      <w:r>
        <w:rPr>
          <w:rFonts w:ascii="Times New Roman;Times;Serif" w:hAnsi="Times New Roman;Times;Serif"/>
          <w:b w:val="false"/>
          <w:i w:val="false"/>
          <w:caps w:val="false"/>
          <w:smallCaps w:val="false"/>
          <w:sz w:val="20"/>
        </w:rPr>
        <w:t>” means any contract, license, lease, agreement, obligation, promise, undertaking, understanding, 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means, in respect of a particular Person, the possession by one or more other Persons, directly or indirectly, of the power to direct or cause the direction of the management or policies of such particular Person, whether through the ability to exercise voting power, by contract or otherwise. “Controlling” and “Controlled”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Controlled Account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Copyright</w:t>
      </w:r>
      <w:r>
        <w:rPr>
          <w:rFonts w:ascii="Times New Roman;Times;Serif" w:hAnsi="Times New Roman;Times;Serif"/>
          <w:b w:val="false"/>
          <w:i w:val="false"/>
          <w:caps w:val="false"/>
          <w:smallCaps w:val="false"/>
          <w:sz w:val="20"/>
        </w:rPr>
        <w:t>” means published and unpublished works of authorship whether or not copyrightable, including software, website and mobile content, data, databases, and other compilations of information, in each case, whether or not registered, and any and all copyrights in and to the foregoing, together with all common law rights and moral rights therein, and all copyrights, copyright registrations and applications for copyright registrations, including all renewals, extensions, restorations, derivative works and reversions thereof and all common law rights, moral rights and other rights whatsoever accruing thereunder or pertaining thereto throughout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Daily Simple SOFR</w:t>
      </w:r>
      <w:r>
        <w:rPr>
          <w:rFonts w:ascii="Times New Roman;Times;Serif" w:hAnsi="Times New Roman;Times;Serif"/>
          <w:b w:val="false"/>
          <w:i w:val="false"/>
          <w:caps w:val="false"/>
          <w:smallCaps w:val="false"/>
          <w:strike/>
          <w:color w:val="FF0000"/>
          <w:sz w:val="20"/>
        </w:rPr>
        <w:t>” means, with respect to any applicable determination date, the SOFR published on such date on the Federal Reserve Bank of New York’s website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means any Event of Default and any event that, upon the giving of notice, the lapse of time or both,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Default Rate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Deferred Acquisition Consideration</w:t>
      </w:r>
      <w:r>
        <w:rPr>
          <w:rFonts w:ascii="Times New Roman;Times;Serif" w:hAnsi="Times New Roman;Times;Serif"/>
          <w:b w:val="false"/>
          <w:i w:val="false"/>
          <w:caps w:val="false"/>
          <w:smallCaps w:val="false"/>
          <w:strike/>
          <w:color w:val="FF0000"/>
          <w:sz w:val="20"/>
        </w:rPr>
        <w:t>” means any purchase price adjustments, royalty, earn-out, milestone payments, contingent or other deferred payment payments of a similar nature (including any non-compete payments and consulting payments) made in connection with any Permitted Acquisition or other acquisition or investment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Designated Jurisdiction</w:t>
      </w:r>
      <w:r>
        <w:rPr>
          <w:rFonts w:ascii="Times New Roman;Times;Serif" w:hAnsi="Times New Roman;Times;Serif"/>
          <w:b w:val="false"/>
          <w:i w:val="false"/>
          <w:caps w:val="false"/>
          <w:smallCaps w:val="false"/>
          <w:sz w:val="20"/>
        </w:rPr>
        <w:t>” means any country or territory to the extent that such country or territory is the subject of country- or territory-wide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Disqualified Equity Interests</w:t>
      </w:r>
      <w:r>
        <w:rPr>
          <w:rFonts w:ascii="Times New Roman;Times;Serif" w:hAnsi="Times New Roman;Times;Serif"/>
          <w:b w:val="false"/>
          <w:i w:val="false"/>
          <w:caps w:val="false"/>
          <w:smallCaps w:val="false"/>
          <w:sz w:val="20"/>
        </w:rPr>
        <w:t xml:space="preserve">” means, with respect to any Person, any Equity Interest of such Person that, by its terms (or by the terms of any security or other Equity Interest into which it is convertible or for which it is exchangeable), or upon the happening of any event or condition (i) matures or is mandatorily redeemable or requires such Person to use efforts to redeem such Equity Interests (in each case, other than solely for Qualified Equity Interests), including pursuant to a sinking fund obligation or otherwise, (ii) is redeemable at the option of the holder thereof (other than solely for Qualified Equity Interests), in whole or in part, (iii) provides for the scheduled payments of dividends or other distributions in cash or other securities that would constitute Disqualified Equity Interests, or (iv) is or becomes convertible into or exchangeable for Indebtedness or any other Equity Interests that would constitute Disqualified Equity Interests, in each case, prior to the date that is ninety-one (91) days after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Equity Interests are issued to any employee or any plan for the benefit of employees of Borrower or its Subsidiaries or by any such plan to such employees, such Equity Interests shall not constitute Disqualified Equity Interests solely because they may be required to be repurchased by Borrower or its Subsidiaries in order to satisfy applicable statutory or regulatory obligations or as a result of any such employee’s termination, death or disability;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Equity Interests held by any future, present or former employee, director, officer or consultant (or their respective Affiliates or immediate family members) of Borrower issued pursuant to customary terms in the Ordinary Course shall be considered Disqualified Equity Interests solely because such Equity Interests are redeemable or subject to repurchase pursuant to a customary management equity subscription agreement, stock option, stock appreciation right or other stock award agreement or similar agreement that may be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Distressed Debt Investor</w:t>
      </w:r>
      <w:r>
        <w:rPr>
          <w:rFonts w:ascii="Times New Roman;Times;Serif" w:hAnsi="Times New Roman;Times;Serif"/>
          <w:b w:val="false"/>
          <w:i w:val="false"/>
          <w:caps w:val="false"/>
          <w:smallCaps w:val="false"/>
          <w:sz w:val="20"/>
        </w:rPr>
        <w:t>” means any investor or investment fund specializing in distressed debt and a majority of whose investment portfolio at all times consists of distressed debt. In no event shall any Oaktree Lender be deemed to be a Distressed Debt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Division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means lawful money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Domestic Subsidiary</w:t>
      </w:r>
      <w:r>
        <w:rPr>
          <w:rFonts w:ascii="Times New Roman;Times;Serif" w:hAnsi="Times New Roman;Times;Serif"/>
          <w:b w:val="false"/>
          <w:i w:val="false"/>
          <w:caps w:val="false"/>
          <w:smallCaps w:val="false"/>
          <w:sz w:val="20"/>
        </w:rPr>
        <w:t>” means any Subsidiary that is a corporation, limited liability company, partnership or similar business entity incorporated, formed or organized under the laws of the United States, any state of the United States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EEA Financial Institution</w:t>
      </w:r>
      <w:r>
        <w:rPr>
          <w:rFonts w:ascii="Times New Roman;Times;Serif" w:hAnsi="Times New Roman;Times;Serif"/>
          <w:b w:val="false"/>
          <w:i w:val="false"/>
          <w:caps w:val="false"/>
          <w:smallCaps w:val="false"/>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Times;Serif" w:hAnsi="Times New Roman;Times;Serif"/>
          <w:b/>
          <w:i w:val="false"/>
          <w:caps w:val="false"/>
          <w:smallCaps w:val="false"/>
          <w:sz w:val="20"/>
        </w:rPr>
        <w:t>clause (a) </w:t>
      </w:r>
      <w:r>
        <w:rPr>
          <w:rFonts w:ascii="Times New Roman;Times;Serif" w:hAnsi="Times New Roman;Times;Serif"/>
          <w:b w:val="false"/>
          <w:i w:val="false"/>
          <w:caps w:val="false"/>
          <w:smallCaps w:val="false"/>
          <w:sz w:val="20"/>
        </w:rPr>
        <w:t xml:space="preserve">of this definition, or (c) any financial institution established in an EEA Member Country which is a subsidiary of an institution described in </w:t>
      </w:r>
      <w:r>
        <w:rPr>
          <w:rFonts w:ascii="Times New Roman;Times;Serif" w:hAnsi="Times New Roman;Times;Serif"/>
          <w:b/>
          <w:i w:val="false"/>
          <w:caps w:val="false"/>
          <w:smallCaps w:val="false"/>
          <w:sz w:val="20"/>
        </w:rPr>
        <w:t>clause (a)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Eligible Transferee</w:t>
      </w:r>
      <w:r>
        <w:rPr>
          <w:rFonts w:ascii="Times New Roman;Times;Serif" w:hAnsi="Times New Roman;Times;Serif"/>
          <w:b w:val="false"/>
          <w:i w:val="false"/>
          <w:caps w:val="false"/>
          <w:smallCaps w:val="false"/>
          <w:sz w:val="20"/>
        </w:rPr>
        <w:t xml:space="preserve">” means and includes (i) any commercial bank, (ii) any insurance company, (iii) any finance company, (iv) any financial institution, (v) any Person that is a bona fide debt fund primarily engaged in the making, purchasing, holding or other investing in commercial loans, notes, bonds or similar extensions of credit or securities in the Ordinary Course, (vi) with respect to any Lender, any of its Affiliates or such Lender’s or Affiliate’s managed funds or accounts, and (vii) any other “accredited investor” (as defined in Regulation D of the Securities Act) that is principally in the business of managing investments or holding assets for investment purposes;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Distressed Debt Investor or Company Competitor shall be an Eligible Transferee.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Emerging 701 Pipeline</w:t>
      </w:r>
      <w:r>
        <w:rPr>
          <w:rFonts w:ascii="Times New Roman;Times;Serif" w:hAnsi="Times New Roman;Times;Serif"/>
          <w:b w:val="false"/>
          <w:i w:val="false"/>
          <w:caps w:val="false"/>
          <w:smallCaps w:val="false"/>
          <w:sz w:val="20"/>
        </w:rPr>
        <w:t>” means oncology drug concepts and candidates identified using AI platform approaches, including synthetic lethality pairs.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Environmental Claims</w:t>
      </w:r>
      <w:r>
        <w:rPr>
          <w:rFonts w:ascii="Times New Roman;Times;Serif" w:hAnsi="Times New Roman;Times;Serif"/>
          <w:b w:val="false"/>
          <w:i w:val="false"/>
          <w:caps w:val="false"/>
          <w:smallCaps w:val="false"/>
          <w:sz w:val="20"/>
        </w:rPr>
        <w:t>” means any investigation, notice, notice of violation, claim, action, suit, proceeding, demand, information request, abatement order or other order or directive (conditional or otherwise), by any Governmental Authority or any other Person, arising (i) pursuant to or in connection with any actual or alleged violation of, or liability relating to, any Environmental Law; (ii) in connection with any Hazardous Material or any actual or alleged Hazardous Materials Activity; or (iii) in connection with any actual or alleged damage, injury, threat or harm to health, safety, natural resources or the environment, arising out of a violation of Environmental Law or any Hazardous Materials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Environmental Law</w:t>
      </w:r>
      <w:r>
        <w:rPr>
          <w:rFonts w:ascii="Times New Roman;Times;Serif" w:hAnsi="Times New Roman;Times;Serif"/>
          <w:b w:val="false"/>
          <w:i w:val="false"/>
          <w:caps w:val="false"/>
          <w:smallCaps w:val="false"/>
          <w:sz w:val="20"/>
        </w:rPr>
        <w:t>” means all laws (including common law and any federal, state, provincial or local governmental law), rule, regulation, order, writ, judgment, notice, requirement, binding agreement, injunction or decree, whether U.S. or non-U.S., relating in any way to (i) environmental matters, including those relating to any Hazardous Materials Activity; (ii) the generation, use, storage, transportation or disposal of Hazardous Materials; or (iii) to the extent related to Hazardous Materials Activity, occupational safety and health, industrial hygiene, land use, natural resources or the protection of human, plant or animal health or welfare, in any manner applicable to the Borrower or any of its Subsidiaries or any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Environmental Liability</w:t>
      </w:r>
      <w:r>
        <w:rPr>
          <w:rFonts w:ascii="Times New Roman;Times;Serif" w:hAnsi="Times New Roman;Times;Serif"/>
          <w:b w:val="false"/>
          <w:i w:val="false"/>
          <w:caps w:val="false"/>
          <w:smallCaps w:val="false"/>
          <w:sz w:val="20"/>
        </w:rPr>
        <w:t>” means any liability, contingent or otherwise (including any liability for damages, costs of environmental remediation, fines, penalties or indemnities), of any Obligor or any of its Subsidiaries directly or indirectly resulting from or based upon (i) violation of any Environmental Law, (ii) the generation, use, presence, emission, discharge, handling, transportation, storage, treatment or disposal of any Hazardous Materials, (iii) exposure to any Hazardous Materials, (iv) the release or threatened release of any Hazardous Materials into the environment or (v) any contract, agreement or other consensual arrangement pursuant to which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Equity Interests</w:t>
      </w:r>
      <w:r>
        <w:rPr>
          <w:rFonts w:ascii="Times New Roman;Times;Serif" w:hAnsi="Times New Roman;Times;Serif"/>
          <w:b w:val="false"/>
          <w:i w:val="false"/>
          <w:caps w:val="false"/>
          <w:smallCaps w:val="false"/>
          <w:sz w:val="20"/>
        </w:rPr>
        <w:t>” means, with respect to any Person (for purposes of this defined term, an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all shares of, interests or participations in, or other equivalents in respect of such issuer’s capital stock, including all membership interests, partnership interests or equivalent, whether now outstanding or issued after the Closing Date, and in each case, however designated and whether voting or non-voting. Notwithstanding the foregoing, in no event shall any Indebtedness convertible or exchangeable into Equity Interests constitute “Equity Interests”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Equity Investment</w:t>
      </w:r>
      <w:r>
        <w:rPr>
          <w:rFonts w:ascii="Times New Roman;Times;Serif" w:hAnsi="Times New Roman;Times;Serif"/>
          <w:b w:val="false"/>
          <w:i w:val="false"/>
          <w:caps w:val="false"/>
          <w:smallCaps w:val="false"/>
          <w:strike/>
          <w:color w:val="FF0000"/>
          <w:sz w:val="20"/>
        </w:rPr>
        <w:t xml:space="preserve">” has the meaning set forth in </w:t>
      </w:r>
      <w:r>
        <w:rPr>
          <w:rFonts w:ascii="Times New Roman;Times;Serif" w:hAnsi="Times New Roman;Times;Serif"/>
          <w:b/>
          <w:i w:val="false"/>
          <w:caps w:val="false"/>
          <w:smallCaps w:val="false"/>
          <w:strike/>
          <w:color w:val="FF0000"/>
          <w:sz w:val="20"/>
        </w:rPr>
        <w:t>Section 2.08(b)</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Equity Purchase Right</w:t>
      </w:r>
      <w:r>
        <w:rPr>
          <w:rFonts w:ascii="Times New Roman;Times;Serif" w:hAnsi="Times New Roman;Times;Serif"/>
          <w:b w:val="false"/>
          <w:i w:val="false"/>
          <w:caps w:val="false"/>
          <w:smallCaps w:val="false"/>
          <w:strike/>
          <w:color w:val="FF0000"/>
          <w:sz w:val="20"/>
        </w:rPr>
        <w:t xml:space="preserve">” means, with respect to each Lender, the right of such Lender to purchase Common Stock pursuant to an Equity Investment in the amounts set forth opposite such Lender’s name on </w:t>
      </w:r>
      <w:r>
        <w:rPr>
          <w:rFonts w:ascii="Times New Roman;Times;Serif" w:hAnsi="Times New Roman;Times;Serif"/>
          <w:b/>
          <w:i w:val="false"/>
          <w:caps w:val="false"/>
          <w:smallCaps w:val="false"/>
          <w:strike/>
          <w:color w:val="FF0000"/>
          <w:sz w:val="20"/>
        </w:rPr>
        <w:t>Schedule 1</w:t>
      </w:r>
      <w:r>
        <w:rPr>
          <w:rFonts w:ascii="Times New Roman;Times;Serif" w:hAnsi="Times New Roman;Times;Serif"/>
          <w:b w:val="false"/>
          <w:i w:val="false"/>
          <w:caps w:val="false"/>
          <w:smallCaps w:val="false"/>
          <w:strike/>
          <w:color w:val="FF0000"/>
          <w:sz w:val="20"/>
        </w:rPr>
        <w:t xml:space="preserve"> under the caption “</w:t>
      </w:r>
      <w:r>
        <w:rPr>
          <w:rFonts w:ascii="Times New Roman;Times;Serif" w:hAnsi="Times New Roman;Times;Serif"/>
          <w:b/>
          <w:i w:val="false"/>
          <w:caps w:val="false"/>
          <w:smallCaps w:val="false"/>
          <w:strike/>
          <w:color w:val="FF0000"/>
          <w:sz w:val="20"/>
        </w:rPr>
        <w:t>Equity Purchase Right</w:t>
      </w:r>
      <w:r>
        <w:rPr>
          <w:rFonts w:ascii="Times New Roman;Times;Serif" w:hAnsi="Times New Roman;Times;Serif"/>
          <w:b w:val="false"/>
          <w:i w:val="false"/>
          <w:caps w:val="false"/>
          <w:smallCaps w:val="false"/>
          <w:strike/>
          <w:color w:val="FF0000"/>
          <w:sz w:val="20"/>
        </w:rPr>
        <w:t>”, as such schedule may be amended from time to time pursuant to an Assignment and Assumption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Equivalent Amount</w:t>
      </w:r>
      <w:r>
        <w:rPr>
          <w:rFonts w:ascii="Times New Roman;Times;Serif" w:hAnsi="Times New Roman;Times;Serif"/>
          <w:b w:val="false"/>
          <w:i w:val="false"/>
          <w:caps w:val="false"/>
          <w:smallCaps w:val="false"/>
          <w:sz w:val="20"/>
        </w:rPr>
        <w:t>” means, with respect to an amount denominated in one currency, the amount in another currency that could be purchased by the amount in the first currency determined by reference to the Exchange Rate at the time of determination. Where the permissibility of a transaction, accuracy of a representation or warranty or compliance with a covenant hereunder is determined by reference to amounts stated in Dollars (or the Equivalent Amount in other currencies), the time of determination shall, in each case, be the time at which any applicable transaction is entered into (e.g. the time at which Indebtedness is incurred or at which an Investment or Asset Sale is made), financial covenant is tested, or representation or warranty is made, and the permissibility of actions taken under this Agreement shall not be affected by, and no Default or Event of Default shall arise as a result of, subsequent fluctuations in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means the United States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ERISA Affiliate</w:t>
      </w:r>
      <w:r>
        <w:rPr>
          <w:rFonts w:ascii="Times New Roman;Times;Serif" w:hAnsi="Times New Roman;Times;Serif"/>
          <w:b w:val="false"/>
          <w:i w:val="false"/>
          <w:caps w:val="false"/>
          <w:smallCaps w:val="false"/>
          <w:sz w:val="20"/>
        </w:rPr>
        <w:t>” means, collectively, any Obligor, Subsidiary thereof, and any Person under common control, or treated as a single employer, with any Obligor or Subsidiary thereof, within the meaning of Section 414(b), (c), (m) or (o)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ERISA Event</w:t>
      </w:r>
      <w:r>
        <w:rPr>
          <w:rFonts w:ascii="Times New Roman;Times;Serif" w:hAnsi="Times New Roman;Times;Serif"/>
          <w:b w:val="false"/>
          <w:i w:val="false"/>
          <w:caps w:val="false"/>
          <w:smallCaps w:val="false"/>
          <w:sz w:val="20"/>
        </w:rPr>
        <w:t>” means (i)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(ii) the applicability of the requirements of Section 4043(b) of ERISA with respect to a contributing sponsor, as defined in Section 4001(a)(13) of ERISA, to any Title IV Plan where an event described in paragraph (9), (10), (11), (12) or (13) of Section 4043(c) of ERISA is reasonably expected to occur with respect to such plan within the following thirty (30) days; (iii) a withdrawal by any Obligor or any ERISA Affiliate thereof from a Title IV Plan or the termination of any Title IV Plan resulting in liability under Sections 4063 or 4064 of ERISA; (iv) the withdrawal of any Obligor or any ERISA Affiliate thereof in a complete or partial withdrawal (within the meaning of Sections 4203 and 4205 of ERISA) from any Multiemployer Plan if there is any potential liability therefore, or the receipt by any Obligor or any ERISA Affiliate thereof of notice from any Multiemployer Plan that it is insolvent pursuant to Section 4245 of ERISA; (v) the filing of a notice of intent to terminate, the treatment of a plan amendment as a termination under Section 4041 or 4041A of ERISA, or the commencement of proceedings by the PBGC to terminate a Title IV Plan or Multiemployer Plan; (vi) the imposition of liability on any Obligor or any ERISA Affiliate thereof pursuant to Section 4062(e) or 4069 of ERISA or by reason of the application of Section 4212(c) of ERISA; (vii) the failure by any Obligor or any ERISA Affiliate thereof to make any required contribution to a Plan, or the failure to meet the minimum funding standard of Section 412 of the Code with respect to any Title IV Plan (whether or not waived in accordance with Section 412(c) of the Code) or the failure to make by its due date a required installment under Section 430 of the Code with respect to any Title IV Plan or the failure to make any required contribution to a Multiemployer Plan; (viii) the determination that any Title IV Plan is considered an at-risk plan or a plan in endangered to critical status within the meaning of Sections 430, 431 and 432 of the Code or Sections 303, 304 and 305 of ERISA; (ix) an event or condition which might reasonably be expected to constitute grounds under Section 4042 of ERISA for the termination of, or the appointment of a trustee to administer, any Title IV Plan or Multiemployer Plan; (x) the imposition of any liability under Title I or Title IV of ERISA, other than PBGC premiums due but not delinquent under Section 4007 of ERISA, upon any Obligor or any ERISA Affiliate thereof; (xi) an application for a funding waiver under Section 303 of ERISA or an extension of any amortization period pursuant to Section 412 of the Code with respect to any Title IV Plan; (xii) the occurrence of a non-exempt prohibited transaction under Section 406 or 407 of ERISA for which any Obligor or any Subsidiary thereof may be directly or indirectly liable; (xiii) a violation of the applicable requirements of Section 404 or 405 of ERISA or the exclusive benefit rule under Section 401(a) of the Code by any fiduciary or disqualified person for which any Obligor or any ERISA Affiliate thereof may be directly or indirectly liable; (xiv) the occurrence of an act or omission which could give rise to the imposition on any Obligor or any ERISA Affiliate thereof of fines, penalties, taxes or related charges under Chapter 43 of the Code or under Sections 409, 502(c), (i) or (1) or 4071 of ERISA; (xv) the assertion of a material claim (other than routine claims for benefits) against any Plan or the assets thereof, or against any Obligor or any Subsidiary thereof in connection with any such plan; (xvi) receipt from the IRS of notice of the failure of any Qualified Plan to qualify under Section 401(a) of the Code, or the failure of any trust forming part of any Qualified Plan to fail to qualify for exemption from taxation under Section 501(a) of the Code; (xvii) the imposition of any lien (or the fulfillment of the conditions for the imposition of any lien) on any of the rights, properties or assets of any Obligor or any ERISA Affiliate thereof, in either case pursuant to Title I or IV, including Section 302(f) or 303(k) of ERISA or to Section 401(a)(29) or 430(k) of the Code; or (xviii) the establishment or amendment by any Obligor or any Subsidiary thereof of any “welfare plan”, as such term is defined in Section 3(1) of ERISA, that provides post-employment welfare benefits in a manner that would increase the liability of any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ERISA Funding Rules</w:t>
      </w:r>
      <w:r>
        <w:rPr>
          <w:rFonts w:ascii="Times New Roman;Times;Serif" w:hAnsi="Times New Roman;Times;Serif"/>
          <w:b w:val="false"/>
          <w:i w:val="false"/>
          <w:caps w:val="false"/>
          <w:smallCaps w:val="false"/>
          <w:sz w:val="20"/>
        </w:rPr>
        <w:t>” means the rules regarding minimum required contributions (including any installment payment thereof) to Title IV Plans, as set forth in Sections 412, 430, 431, 432 and 436 of the Code and Sections 302, 303, 304 and 305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Erroneous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12.13(a)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Erroneous Payment Deficiency Assignment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12.13(d)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Erroneous Payment Impacted Loans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12.13(d)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Erroneous Payment Return Deficiency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12.13(d)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Exchange Rate</w:t>
      </w:r>
      <w:r>
        <w:rPr>
          <w:rFonts w:ascii="Times New Roman;Times;Serif" w:hAnsi="Times New Roman;Times;Serif"/>
          <w:b w:val="false"/>
          <w:i w:val="false"/>
          <w:caps w:val="false"/>
          <w:smallCaps w:val="false"/>
          <w:sz w:val="20"/>
        </w:rPr>
        <w:t>” means, as of any date, the rate at which any currency may be exchanged into another currency, as set forth on the relevant Reuters screen at or about 11:00 a.m. (Eastern time) on such date. In the event that such rate does not appear on the Reuters screen, the “Exchange Rate” shall be determined by reference to such other publicly available service for displaying exchange rates as may be reasonably designated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Excluded Accounts</w:t>
      </w:r>
      <w:r>
        <w:rPr>
          <w:rFonts w:ascii="Times New Roman;Times;Serif" w:hAnsi="Times New Roman;Times;Serif"/>
          <w:b w:val="false"/>
          <w:i w:val="false"/>
          <w:caps w:val="false"/>
          <w:smallCaps w:val="false"/>
          <w:sz w:val="20"/>
        </w:rPr>
        <w:t xml:space="preserve">” means (i) deposit accounts exclusively used for payroll, payroll Taxes and other employee wage and benefit payments to or for the benefit of any Obligor’s employees, (ii) zero balance accounts that are swept no less frequently than weekly to a Controlled Account, (iii) accounts (including trust accounts) used exclusively for bona fide escrow, insurance or fiduciary purposes, </w:t>
      </w:r>
      <w:r>
        <w:rPr>
          <w:rFonts w:ascii="Times New Roman;Times;Serif" w:hAnsi="Times New Roman;Times;Serif"/>
          <w:b w:val="false"/>
          <w:i w:val="false"/>
          <w:caps w:val="false"/>
          <w:smallCaps w:val="false"/>
          <w:color w:val="0000FF"/>
          <w:sz w:val="20"/>
          <w:u w:val="single"/>
        </w:rPr>
        <w:t xml:space="preserve">and </w:t>
      </w:r>
      <w:r>
        <w:rPr>
          <w:rFonts w:ascii="Times New Roman;Times;Serif" w:hAnsi="Times New Roman;Times;Serif"/>
          <w:b w:val="false"/>
          <w:i w:val="false"/>
          <w:caps w:val="false"/>
          <w:smallCaps w:val="false"/>
          <w:sz w:val="20"/>
        </w:rPr>
        <w:t xml:space="preserve">(iv) cash collateral for (x) Permitted Liens incurred pursuant to </w:t>
      </w:r>
      <w:r>
        <w:rPr>
          <w:rFonts w:ascii="Times New Roman;Times;Serif" w:hAnsi="Times New Roman;Times;Serif"/>
          <w:b/>
          <w:i w:val="false"/>
          <w:caps w:val="false"/>
          <w:smallCaps w:val="false"/>
          <w:sz w:val="20"/>
        </w:rPr>
        <w:t>Sections 9.02(i)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(r)</w:t>
      </w:r>
      <w:r>
        <w:rPr>
          <w:rFonts w:ascii="Times New Roman;Times;Serif" w:hAnsi="Times New Roman;Times;Serif"/>
          <w:b w:val="false"/>
          <w:i w:val="false"/>
          <w:caps w:val="false"/>
          <w:smallCaps w:val="false"/>
          <w:sz w:val="20"/>
        </w:rPr>
        <w:t xml:space="preserve"> and (y) Permitted Liens securing Indebtedness incurred pursuant to </w:t>
      </w:r>
      <w:r>
        <w:rPr>
          <w:rFonts w:ascii="Times New Roman;Times;Serif" w:hAnsi="Times New Roman;Times;Serif"/>
          <w:b/>
          <w:i w:val="false"/>
          <w:caps w:val="false"/>
          <w:smallCaps w:val="false"/>
          <w:sz w:val="20"/>
        </w:rPr>
        <w:t>Sections 9.01(p)</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strike/>
          <w:color w:val="FF0000"/>
          <w:sz w:val="20"/>
        </w:rPr>
        <w:t>r)</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sz w:val="20"/>
        </w:rPr>
        <w:t>s)(iii)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(s)(iv)</w:t>
      </w:r>
      <w:r>
        <w:rPr>
          <w:rFonts w:ascii="Times New Roman;Times;Serif" w:hAnsi="Times New Roman;Times;Serif"/>
          <w:b w:val="false"/>
          <w:i w:val="false"/>
          <w:caps w:val="false"/>
          <w:smallCaps w:val="false"/>
          <w:strike/>
          <w:color w:val="FF0000"/>
          <w:sz w:val="20"/>
        </w:rPr>
        <w:t>, (v) all deposit accounts, securities accounts or commodity accounts of the BXCL 701 Subsidiaries, and (vi) any other deposit accounts established after the Closing Date only for so long as the amounts of deposit therein do not exceed $500,000 (or the Equivalent Amount in other currencies) in the aggregate.</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(i) Taxes imposed on or measured by net income (however denominated), franchise Taxes and branch profits Taxes, in each case, (x) imposed as a result of such Recipient being organized under the laws of, or having its principal office or, in the case of any Lender, its applicable lending office located in, the jurisdiction imposing such Tax (or any political subdivisions thereof) or (y) that are Other Connection Taxes, (ii) in the case of a Lender, U.S. federal withholding Taxes imposed on amounts payable to or for the account of such Lender with respect to an applicable interest in a Loan or Commitment pursuant to a law in effect on the date on which (1) such Lender acquires such interest in the Loan or Commitment or (2) such Lender changes its lending office, except in each case to the extent that, pursuant to this Agreement, amounts with respect to such Taxes were payable either to such Lender’s assignor immediately before such Lender became a party hereto or to such Lender immediately before it changed its lending office, (iii) Taxes attributable to such Recipient’s failure to comply with </w:t>
      </w:r>
      <w:r>
        <w:rPr>
          <w:rFonts w:ascii="Times New Roman;Times;Serif" w:hAnsi="Times New Roman;Times;Serif"/>
          <w:b/>
          <w:i w:val="false"/>
          <w:caps w:val="false"/>
          <w:smallCaps w:val="false"/>
          <w:sz w:val="20"/>
        </w:rPr>
        <w:t>Section 5.03(f)</w:t>
      </w:r>
      <w:r>
        <w:rPr>
          <w:rFonts w:ascii="Times New Roman;Times;Serif" w:hAnsi="Times New Roman;Times;Serif"/>
          <w:b w:val="false"/>
          <w:i w:val="false"/>
          <w:caps w:val="false"/>
          <w:smallCaps w:val="false"/>
          <w:sz w:val="20"/>
        </w:rPr>
        <w:t>, and (iv) any U.S. federal withholding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Facility</w:t>
      </w:r>
      <w:r>
        <w:rPr>
          <w:rFonts w:ascii="Times New Roman;Times;Serif" w:hAnsi="Times New Roman;Times;Serif"/>
          <w:b w:val="false"/>
          <w:i w:val="false"/>
          <w:caps w:val="false"/>
          <w:smallCaps w:val="false"/>
          <w:sz w:val="20"/>
        </w:rPr>
        <w:t>” means any real property (including all buildings, fixtures or other improvements located thereon) now, hereafter or heretofore owned, leased or operated by any Obligor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FD&amp;C Act</w:t>
      </w:r>
      <w:r>
        <w:rPr>
          <w:rFonts w:ascii="Times New Roman;Times;Serif" w:hAnsi="Times New Roman;Times;Serif"/>
          <w:b w:val="false"/>
          <w:i w:val="false"/>
          <w:caps w:val="false"/>
          <w:smallCaps w:val="false"/>
          <w:sz w:val="20"/>
        </w:rPr>
        <w:t>” means the U.S. Food, Drug and Cosmetic Act of 1938, 21 U.S.C. §§ 301 et seq. (or any successor thereto), as amended from time to time, and the rules, regulations, guidelines, guidance documents and compliance policy guides issued or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FDA</w:t>
      </w:r>
      <w:r>
        <w:rPr>
          <w:rFonts w:ascii="Times New Roman;Times;Serif" w:hAnsi="Times New Roman;Times;Serif"/>
          <w:b w:val="false"/>
          <w:i w:val="false"/>
          <w:caps w:val="false"/>
          <w:smallCaps w:val="false"/>
          <w:sz w:val="20"/>
        </w:rPr>
        <w:t>” means the U.S. Food and Drug Administration and any successor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Federal Funds Effective Rate</w:t>
      </w:r>
      <w:r>
        <w:rPr>
          <w:rFonts w:ascii="Times New Roman;Times;Serif" w:hAnsi="Times New Roman;Times;Serif"/>
          <w:b w:val="false"/>
          <w:i w:val="false"/>
          <w:caps w:val="false"/>
          <w:smallCaps w:val="false"/>
          <w:sz w:val="20"/>
        </w:rPr>
        <w:t xml:space="preserve">” means, for any day,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Federal Funds Effective Rate as so determined would be less than zero, such rate shall be deemed to be zero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Fee Letter</w:t>
      </w:r>
      <w:r>
        <w:rPr>
          <w:rFonts w:ascii="Times New Roman;Times;Serif" w:hAnsi="Times New Roman;Times;Serif"/>
          <w:b w:val="false"/>
          <w:i w:val="false"/>
          <w:caps w:val="false"/>
          <w:smallCaps w:val="false"/>
          <w:sz w:val="20"/>
        </w:rPr>
        <w:t>” means the amended and restated Fee Letter, dated as of the Second Amendment Effective Date, among the Borrower, the Lenders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Fifth Amendment</w:t>
      </w:r>
      <w:r>
        <w:rPr>
          <w:rFonts w:ascii="Times New Roman;Times;Serif" w:hAnsi="Times New Roman;Times;Serif"/>
          <w:b w:val="false"/>
          <w:i w:val="false"/>
          <w:caps w:val="false"/>
          <w:smallCaps w:val="false"/>
          <w:color w:val="0000FF"/>
          <w:sz w:val="20"/>
          <w:u w:val="single"/>
        </w:rPr>
        <w:t>” means the Fifth Amendment to this Agreement and First Amendment to the Fourth Amendment, dated as of November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trike/>
          <w:color w:val="FF0000"/>
          <w:sz w:val="20"/>
        </w:rPr>
        <w:t>First Offer</w:t>
      </w:r>
      <w:r>
        <w:rPr>
          <w:rFonts w:ascii="Times New Roman;Times;Serif" w:hAnsi="Times New Roman;Times;Serif"/>
          <w:b/>
          <w:i/>
          <w:caps w:val="false"/>
          <w:smallCaps w:val="false"/>
          <w:color w:val="0000FF"/>
          <w:sz w:val="20"/>
          <w:u w:val="single"/>
        </w:rPr>
        <w:t>Fifth Amendment Capital Raise One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w:t>
      </w:r>
      <w:r>
        <w:rPr>
          <w:rFonts w:ascii="Times New Roman;Times;Serif" w:hAnsi="Times New Roman;Times;Serif"/>
          <w:b/>
          <w:i w:val="false"/>
          <w:caps w:val="false"/>
          <w:smallCaps w:val="false"/>
          <w:strike/>
          <w:color w:val="FF0000"/>
          <w:sz w:val="20"/>
        </w:rPr>
        <w:t>9.19(d)</w:t>
      </w:r>
      <w:r>
        <w:rPr>
          <w:rFonts w:ascii="Times New Roman;Times;Serif" w:hAnsi="Times New Roman;Times;Serif"/>
          <w:b/>
          <w:i w:val="false"/>
          <w:caps w:val="false"/>
          <w:smallCaps w:val="false"/>
          <w:color w:val="0000FF"/>
          <w:sz w:val="20"/>
          <w:u w:val="single"/>
        </w:rPr>
        <w:t>8.24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70C0"/>
        </w:rPr>
      </w:pPr>
      <w:r>
        <w:rPr>
          <w:caps w:val="false"/>
          <w:smallCaps w:val="false"/>
          <w:color w:val="0000FF"/>
          <w:u w:val="single"/>
        </w:rPr>
        <w:t>“</w:t>
      </w:r>
      <w:r>
        <w:rPr>
          <w:rFonts w:ascii="Times New Roman;Times;Serif" w:hAnsi="Times New Roman;Times;Serif"/>
          <w:b/>
          <w:i/>
          <w:caps w:val="false"/>
          <w:smallCaps w:val="false"/>
          <w:color w:val="0000FF"/>
          <w:sz w:val="20"/>
          <w:u w:val="single"/>
        </w:rPr>
        <w:t xml:space="preserve">Fifth Amendment Capital Raise Two” </w:t>
      </w:r>
      <w:r>
        <w:rPr>
          <w:rFonts w:ascii="Times New Roman;Times;Serif" w:hAnsi="Times New Roman;Times;Serif"/>
          <w:b w:val="false"/>
          <w:i w:val="false"/>
          <w:caps w:val="false"/>
          <w:smallCaps w:val="false"/>
          <w:color w:val="008000"/>
          <w:sz w:val="20"/>
          <w:u w:val="single"/>
        </w:rPr>
        <w:t xml:space="preserve">has the meaning set forth in </w:t>
      </w:r>
      <w:r>
        <w:rPr>
          <w:rFonts w:ascii="Times New Roman;Times;Serif" w:hAnsi="Times New Roman;Times;Serif"/>
          <w:b/>
          <w:i w:val="false"/>
          <w:caps w:val="false"/>
          <w:smallCaps w:val="false"/>
          <w:color w:val="008000"/>
          <w:sz w:val="20"/>
          <w:u w:val="single"/>
        </w:rPr>
        <w:t>Section</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8.24</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70C0"/>
        </w:rPr>
      </w:pPr>
      <w:r>
        <w:rPr>
          <w:caps w:val="false"/>
          <w:smallCaps w:val="false"/>
          <w:color w:val="0000FF"/>
          <w:u w:val="single"/>
        </w:rPr>
        <w:t>“</w:t>
      </w:r>
      <w:r>
        <w:rPr>
          <w:rFonts w:ascii="Times New Roman;Times;Serif" w:hAnsi="Times New Roman;Times;Serif"/>
          <w:b/>
          <w:i/>
          <w:caps w:val="false"/>
          <w:smallCaps w:val="false"/>
          <w:color w:val="0000FF"/>
          <w:sz w:val="20"/>
          <w:u w:val="single"/>
        </w:rPr>
        <w:t xml:space="preserve">Fifth Amendment </w:t>
      </w:r>
      <w:r>
        <w:rPr>
          <w:rFonts w:ascii="Times New Roman;Times;Serif" w:hAnsi="Times New Roman;Times;Serif"/>
          <w:b/>
          <w:i/>
          <w:caps w:val="false"/>
          <w:smallCaps w:val="false"/>
          <w:color w:val="008000"/>
          <w:sz w:val="20"/>
          <w:u w:val="single"/>
        </w:rPr>
        <w:t>Date</w:t>
      </w:r>
      <w:r>
        <w:rPr>
          <w:rFonts w:ascii="Times New Roman;Times;Serif" w:hAnsi="Times New Roman;Times;Serif"/>
          <w:b w:val="false"/>
          <w:i w:val="false"/>
          <w:caps w:val="false"/>
          <w:smallCaps w:val="false"/>
          <w:color w:val="008000"/>
          <w:sz w:val="20"/>
          <w:u w:val="single"/>
        </w:rPr>
        <w:t>” has the meaning set forth in the</w:t>
      </w:r>
      <w:r>
        <w:rPr>
          <w:rFonts w:ascii="Times New Roman;Times;Serif" w:hAnsi="Times New Roman;Times;Serif"/>
          <w:b w:val="false"/>
          <w:i w:val="false"/>
          <w:caps w:val="false"/>
          <w:smallCaps w:val="false"/>
          <w:color w:val="0070C0"/>
          <w:sz w:val="20"/>
          <w:u w:val="single"/>
        </w:rPr>
        <w:t xml:space="preserve"> </w:t>
      </w:r>
      <w:r>
        <w:rPr>
          <w:rFonts w:ascii="Times New Roman;Times;Serif" w:hAnsi="Times New Roman;Times;Serif"/>
          <w:b w:val="false"/>
          <w:i w:val="false"/>
          <w:caps w:val="false"/>
          <w:smallCaps w:val="false"/>
          <w:color w:val="0000FF"/>
          <w:sz w:val="20"/>
          <w:u w:val="single"/>
        </w:rPr>
        <w:t>Fifth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First Amendment</w:t>
      </w:r>
      <w:r>
        <w:rPr>
          <w:rFonts w:ascii="Times New Roman;Times;Serif" w:hAnsi="Times New Roman;Times;Serif"/>
          <w:b w:val="false"/>
          <w:i w:val="false"/>
          <w:caps w:val="false"/>
          <w:smallCaps w:val="false"/>
          <w:color w:val="0000FF"/>
          <w:sz w:val="20"/>
          <w:u w:val="single"/>
        </w:rPr>
        <w:t>” means the Waiver and First Amendment to this Agreement, dated as of November 13,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Foreign Lender</w:t>
      </w:r>
      <w:r>
        <w:rPr>
          <w:rFonts w:ascii="Times New Roman;Times;Serif" w:hAnsi="Times New Roman;Times;Serif"/>
          <w:b w:val="false"/>
          <w:i w:val="false"/>
          <w:caps w:val="false"/>
          <w:smallCaps w:val="false"/>
          <w:sz w:val="20"/>
        </w:rPr>
        <w:t>” means a Lender that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Fourth Amendment</w:t>
      </w:r>
      <w:r>
        <w:rPr>
          <w:rFonts w:ascii="Times New Roman;Times;Serif" w:hAnsi="Times New Roman;Times;Serif"/>
          <w:b w:val="false"/>
          <w:i w:val="false"/>
          <w:caps w:val="false"/>
          <w:smallCaps w:val="false"/>
          <w:color w:val="0000FF"/>
          <w:sz w:val="20"/>
          <w:u w:val="single"/>
        </w:rPr>
        <w:t>” means the Fourth Amendment to this Agreement, dated as of March 20,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Funding Date Certificate</w:t>
      </w:r>
      <w:r>
        <w:rPr>
          <w:rFonts w:ascii="Times New Roman;Times;Serif" w:hAnsi="Times New Roman;Times;Serif"/>
          <w:b w:val="false"/>
          <w:i w:val="false"/>
          <w:caps w:val="false"/>
          <w:smallCaps w:val="false"/>
          <w:sz w:val="20"/>
        </w:rPr>
        <w:t>” means a certificate substantially in the form of Exhibit 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xml:space="preserve">” means generally accepted accounting principles in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All references to “GAAP” shall be to GAAP applied consistently with the principles used in the preparation of the financial statements delivered pursuant to </w:t>
      </w:r>
      <w:r>
        <w:rPr>
          <w:rFonts w:ascii="Times New Roman;Times;Serif" w:hAnsi="Times New Roman;Times;Serif"/>
          <w:b/>
          <w:i w:val="false"/>
          <w:caps w:val="false"/>
          <w:smallCaps w:val="false"/>
          <w:sz w:val="20"/>
        </w:rPr>
        <w:t>Section 6.01(d)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Governmental Approval</w:t>
      </w:r>
      <w:r>
        <w:rPr>
          <w:rFonts w:ascii="Times New Roman;Times;Serif" w:hAnsi="Times New Roman;Times;Serif"/>
          <w:b w:val="false"/>
          <w:i w:val="false"/>
          <w:caps w:val="false"/>
          <w:smallCaps w:val="false"/>
          <w:sz w:val="20"/>
        </w:rPr>
        <w:t>” means any consent, authorization, approval, order, license, franchise, permit, certification, accreditation, registration, clearance or exemption that is issued or granted by or from (or pursuant to any act of) any Governmental Authority, including any application or submission related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nation, government, branch of power (whether executive, legislative or judicial), state, province or municipality or other political subdivision thereof and any entity exercising executive, legislative, judicial, monetary, regulatory or administrative functions of or pertaining to government, including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any country, in each case whether U.S. or non-U.S.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or other obligation of any other Person (the “</w:t>
      </w:r>
      <w:r>
        <w:rPr>
          <w:rFonts w:ascii="Times New Roman;Times;Serif" w:hAnsi="Times New Roman;Times;Serif"/>
          <w:b/>
          <w:i/>
          <w:caps w:val="false"/>
          <w:smallCaps w:val="false"/>
          <w:sz w:val="20"/>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(i) to purchase or pay (or advance or supply funds for the purchase or payment of) such Indebtedness or other obligation or to purchase (or to advance or supply funds for the purchase of) any security for the payment thereof,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as an account party in respect of any letter of credit or letter of guaranty issued to support such Indebtedness or other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term Guarantee shall not include endorsements for collection or deposit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Guarantee Assumption Agreement</w:t>
      </w:r>
      <w:r>
        <w:rPr>
          <w:rFonts w:ascii="Times New Roman;Times;Serif" w:hAnsi="Times New Roman;Times;Serif"/>
          <w:b w:val="false"/>
          <w:i w:val="false"/>
          <w:caps w:val="false"/>
          <w:smallCaps w:val="false"/>
          <w:sz w:val="20"/>
        </w:rPr>
        <w:t xml:space="preserve">” means a Guarantee Assumption Agreement substantially in the form of </w:t>
      </w:r>
      <w:r>
        <w:rPr>
          <w:rFonts w:ascii="Times New Roman;Times;Serif" w:hAnsi="Times New Roman;Times;Serif"/>
          <w:b/>
          <w:i w:val="false"/>
          <w:caps w:val="false"/>
          <w:smallCaps w:val="false"/>
          <w:sz w:val="20"/>
        </w:rPr>
        <w:t xml:space="preserve">Exhibit C </w:t>
      </w:r>
      <w:r>
        <w:rPr>
          <w:rFonts w:ascii="Times New Roman;Times;Serif" w:hAnsi="Times New Roman;Times;Serif"/>
          <w:b w:val="false"/>
          <w:i w:val="false"/>
          <w:caps w:val="false"/>
          <w:smallCaps w:val="false"/>
          <w:sz w:val="20"/>
        </w:rPr>
        <w:t xml:space="preserve">by an entity that, pursuant to </w:t>
      </w:r>
      <w:r>
        <w:rPr>
          <w:rFonts w:ascii="Times New Roman;Times;Serif" w:hAnsi="Times New Roman;Times;Serif"/>
          <w:b/>
          <w:i w:val="false"/>
          <w:caps w:val="false"/>
          <w:smallCaps w:val="false"/>
          <w:sz w:val="20"/>
        </w:rPr>
        <w:t>Section 8.11(a)</w:t>
      </w:r>
      <w:r>
        <w:rPr>
          <w:rFonts w:ascii="Times New Roman;Times;Serif" w:hAnsi="Times New Roman;Times;Serif"/>
          <w:b w:val="false"/>
          <w:i w:val="false"/>
          <w:caps w:val="false"/>
          <w:smallCaps w:val="false"/>
          <w:sz w:val="20"/>
        </w:rPr>
        <w:t>, is required to become a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Guaranteed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13.01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Guaranty</w:t>
      </w:r>
      <w:r>
        <w:rPr>
          <w:rFonts w:ascii="Times New Roman;Times;Serif" w:hAnsi="Times New Roman;Times;Serif"/>
          <w:b w:val="false"/>
          <w:i w:val="false"/>
          <w:caps w:val="false"/>
          <w:smallCaps w:val="false"/>
          <w:sz w:val="20"/>
        </w:rPr>
        <w:t xml:space="preserve">” means the Guaranty made by the Subsidiary Guarantors under </w:t>
      </w:r>
      <w:r>
        <w:rPr>
          <w:rFonts w:ascii="Times New Roman;Times;Serif" w:hAnsi="Times New Roman;Times;Serif"/>
          <w:b/>
          <w:i w:val="false"/>
          <w:caps w:val="false"/>
          <w:smallCaps w:val="false"/>
          <w:sz w:val="20"/>
        </w:rPr>
        <w:t xml:space="preserve">Section 13 </w:t>
      </w:r>
      <w:r>
        <w:rPr>
          <w:rFonts w:ascii="Times New Roman;Times;Serif" w:hAnsi="Times New Roman;Times;Serif"/>
          <w:b w:val="false"/>
          <w:i w:val="false"/>
          <w:caps w:val="false"/>
          <w:smallCaps w:val="false"/>
          <w:sz w:val="20"/>
        </w:rPr>
        <w:t>in favor of the Secured Parties (including any Guaranty assumed by an entity that is required to become a “Subsidiary Guarantor” pursuant to a Guarantee Assumption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Hazardous Material</w:t>
      </w:r>
      <w:r>
        <w:rPr>
          <w:rFonts w:ascii="Times New Roman;Times;Serif" w:hAnsi="Times New Roman;Times;Serif"/>
          <w:b w:val="false"/>
          <w:i w:val="false"/>
          <w:caps w:val="false"/>
          <w:smallCaps w:val="false"/>
          <w:sz w:val="20"/>
        </w:rPr>
        <w:t>” means any chemical, material or substance, exposure to which is prohibited, limited or regulated by any Governmental Authority or which may or would reasonably be expected to pose a hazard to the health and safety of the owners, occupants or any Persons in the vicinity of any Facility or to the indoor or outdoor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Hazardous Materials Activity</w:t>
      </w:r>
      <w:r>
        <w:rPr>
          <w:rFonts w:ascii="Times New Roman;Times;Serif" w:hAnsi="Times New Roman;Times;Serif"/>
          <w:b w:val="false"/>
          <w:i w:val="false"/>
          <w:caps w:val="false"/>
          <w:smallCaps w:val="false"/>
          <w:sz w:val="20"/>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recycling, disposition or handling of any Hazardous Materials, and any investigation, monitoring, corrective action or response action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Healthcare Laws</w:t>
      </w:r>
      <w:r>
        <w:rPr>
          <w:rFonts w:ascii="Times New Roman;Times;Serif" w:hAnsi="Times New Roman;Times;Serif"/>
          <w:b w:val="false"/>
          <w:i w:val="false"/>
          <w:caps w:val="false"/>
          <w:smallCaps w:val="false"/>
          <w:sz w:val="20"/>
        </w:rPr>
        <w:t>” means, collectively, all Laws and Product Authorizations applicable to the business, any Product or the Product Commercialization and Development Activities of any Obligor, whether U.S. or non-U.S., regulating the distribution, dispensing, importation, exportation, quality, manufacturing, labeling, promotion and provision of and payment for drugs, medical or healthcare products, items and services, including 45 C.F.R. et seq. (“</w:t>
      </w:r>
      <w:r>
        <w:rPr>
          <w:rFonts w:ascii="Times New Roman;Times;Serif" w:hAnsi="Times New Roman;Times;Serif"/>
          <w:b/>
          <w:i/>
          <w:caps w:val="false"/>
          <w:smallCaps w:val="false"/>
          <w:sz w:val="20"/>
        </w:rPr>
        <w:t>HIPAA</w:t>
      </w:r>
      <w:r>
        <w:rPr>
          <w:rFonts w:ascii="Times New Roman;Times;Serif" w:hAnsi="Times New Roman;Times;Serif"/>
          <w:b w:val="false"/>
          <w:i w:val="false"/>
          <w:caps w:val="false"/>
          <w:smallCaps w:val="false"/>
          <w:sz w:val="20"/>
        </w:rPr>
        <w:t>”); Section 1128B(b) of the Social Security Act, as amended; 42 U.S.C. § 1320a-7b (Criminal Penalties Involving Medicare or State Health Care Programs), commonly referred to as the “Federal Anti-Kickback Statute”; § 1877 of the Social Security Act, as amended; 42 U.S.C. § 1395nn (Limitation on Certain Physician Referrals), commonly referred to as “Stark Statute”; the FD&amp;C Act; all rules, regulations and guidance with respect to the provision of Medicare and Medicaid programs or services (42 C.F.R. Chapter IV et seq.); 10 U.S.C. §§1071 – 1110(b); 5 U.S.C. §§ 8901 – 8914; and all rules, regulations and guidance promulgated under or pursuant to any of the foregoing, including any non-U.S.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Hedging Agreement</w:t>
      </w:r>
      <w:r>
        <w:rPr>
          <w:rFonts w:ascii="Times New Roman;Times;Serif" w:hAnsi="Times New Roman;Times;Serif"/>
          <w:b w:val="false"/>
          <w:i w:val="false"/>
          <w:caps w:val="false"/>
          <w:smallCaps w:val="false"/>
          <w:sz w:val="20"/>
        </w:rPr>
        <w:t xml:space="preserve">” means any interest rate exchange agreement, foreign currency exchange agreement, commodity price protection agreement or other interest or currency exchange rate or commodity price hedging arrangement. </w:t>
      </w:r>
      <w:r>
        <w:rPr>
          <w:rFonts w:ascii="Times New Roman;Times;Serif" w:hAnsi="Times New Roman;Times;Serif"/>
          <w:b w:val="false"/>
          <w:i w:val="false"/>
          <w:caps w:val="false"/>
          <w:smallCaps w:val="false"/>
          <w:strike/>
          <w:color w:val="FF0000"/>
          <w:sz w:val="20"/>
        </w:rPr>
        <w:t>Notwithstanding anything to the contrary in the foregoing, neither any Permitted Bond Hedge Transaction nor any Permitted Warrant Transaction shall be a Hedging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HIPAA</w:t>
      </w:r>
      <w:r>
        <w:rPr>
          <w:rFonts w:ascii="Times New Roman;Times;Serif" w:hAnsi="Times New Roman;Times;Serif"/>
          <w:b w:val="false"/>
          <w:i w:val="false"/>
          <w:caps w:val="false"/>
          <w:smallCaps w:val="false"/>
          <w:sz w:val="20"/>
        </w:rPr>
        <w:t>” has the meaning set forth in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Immaterial Subsidiary</w:t>
      </w:r>
      <w:r>
        <w:rPr>
          <w:rFonts w:ascii="Times New Roman;Times;Serif" w:hAnsi="Times New Roman;Times;Serif"/>
          <w:b w:val="false"/>
          <w:i w:val="false"/>
          <w:caps w:val="false"/>
          <w:smallCaps w:val="false"/>
          <w:sz w:val="20"/>
        </w:rPr>
        <w:t xml:space="preserve">” means any Subsidiary of the Borrower that (i) individually constitutes or holds less than five percent (5%) of the Borrower’s consolidated total assets and generates less than five percent (5%) of the Borrower’s consolidated total revenue, and (ii) when taken together with all then existing Immaterial Subsidiaries, such Subsidiary and such Immaterial Subsidiaries, in the aggregate, would constitute or hold less than five percent (5%) of the Borrower’s consolidated total assets and generate less than five percent (5%) of the Borrower’s consolidated total revenue, in each case as pursuant to the most recent fiscal period for which financial statements were required to have been delivered pursuant to </w:t>
      </w:r>
      <w:r>
        <w:rPr>
          <w:rFonts w:ascii="Times New Roman;Times;Serif" w:hAnsi="Times New Roman;Times;Serif"/>
          <w:b/>
          <w:i w:val="false"/>
          <w:caps w:val="false"/>
          <w:smallCaps w:val="false"/>
          <w:sz w:val="20"/>
        </w:rPr>
        <w:t>Section 8.01(a)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Subsidiary of the Borrower shall be an Immaterial Subsidiary if such Subsidiary holds Material Intellectual Property (other than, for the avoidance of doubt, foreign Product Authorizations). If at any time the aggregate amount of the Borrower’s consolidated total assets or consolidated total revenue attributable to Immaterial Subsidiaries exceeds five percent (5%) of the Borrower’s consolidated total assets or consolidated total revenue, the Borrower shall promptly (and in any event within thirty (30) days of becoming aware of such excess) designate sufficient Subsidiaries as ceasing to constitute “Immaterial Subsidiaries” to eliminate such excess, and such designated Subsidiaries shall be required to become Guarantors in accordance with </w:t>
      </w:r>
      <w:r>
        <w:rPr>
          <w:rFonts w:ascii="Times New Roman;Times;Serif" w:hAnsi="Times New Roman;Times;Serif"/>
          <w:b/>
          <w:i w:val="false"/>
          <w:caps w:val="false"/>
          <w:smallCaps w:val="false"/>
          <w:sz w:val="20"/>
        </w:rPr>
        <w:t>Section 8.11(a)</w:t>
      </w:r>
      <w:r>
        <w:rPr>
          <w:rFonts w:ascii="Times New Roman;Times;Serif" w:hAnsi="Times New Roman;Times;Serif"/>
          <w:b w:val="false"/>
          <w:i w:val="false"/>
          <w:caps w:val="false"/>
          <w:smallCaps w:val="false"/>
          <w:sz w:val="20"/>
        </w:rPr>
        <w:t xml:space="preserve">. If at any time any Subsidiary designated as an Immaterial Subsidiary individually constitutes or holds five percent (5%) or more of the Borrower’s consolidated total assets or generates five percent (5%) or more of the Borrower’s consolidated total revenue, such Subsidiary shall cease to constitute an Immaterial Subsidiary and the Borrower shall promptly (and in any event within thirty (30) days of becoming aware thereof) cause such Subsidiary to become a Guarantor in accordance with </w:t>
      </w:r>
      <w:r>
        <w:rPr>
          <w:rFonts w:ascii="Times New Roman;Times;Serif" w:hAnsi="Times New Roman;Times;Serif"/>
          <w:b/>
          <w:i w:val="false"/>
          <w:caps w:val="false"/>
          <w:smallCaps w:val="false"/>
          <w:sz w:val="20"/>
        </w:rPr>
        <w:t>Section 8.11(a)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IND</w:t>
      </w:r>
      <w:r>
        <w:rPr>
          <w:rFonts w:ascii="Times New Roman;Times;Serif" w:hAnsi="Times New Roman;Times;Serif"/>
          <w:b w:val="false"/>
          <w:i w:val="false"/>
          <w:caps w:val="false"/>
          <w:smallCaps w:val="false"/>
          <w:sz w:val="20"/>
        </w:rPr>
        <w:t>” means (i) (x) an investigational new drug application (as defined in the FD&amp;C Act) that is required to be filed with the FDA before beginning clinical testing in human subjects, or any successor application or procedure and (y) any similar application or functional equivalent relating to any investigational new drug application applicable to or required by any non-U.S. Governmental Authority, and (ii) all supplements and amendments that may be filed with respect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Indebtedness</w:t>
      </w:r>
      <w:r>
        <w:rPr>
          <w:rFonts w:ascii="Times New Roman;Times;Serif" w:hAnsi="Times New Roman;Times;Serif"/>
          <w:b w:val="false"/>
          <w:i w:val="false"/>
          <w:caps w:val="false"/>
          <w:smallCaps w:val="false"/>
          <w:sz w:val="20"/>
        </w:rPr>
        <w:t xml:space="preserve">” of any Person means, without duplication, (i) all obligations of such Person for borrowed money, (ii) all obligations of such Person evidenced by bonds, debentures, notes, loan agreements or similar instruments, (iii) all obligations of such Person upon which interest charges are customarily paid, (iv) all obligations of such Person under conditional sale or other title retention agreements relating to property acquired by such Person, (v) all obligations of such Person in respect of the deferred purchase price of property or services, (vi) all Indebtedness of others secured by (or for which the holder of such Indebtedness has an existing right, contingent or otherwise, to be secured by) any Lien on property owned or acquired by such Person, whether or not the Indebtedness secured thereby has been assumed, (vii) all Guarantees by such Person of Indebtedness of others, (viii) all Capital Lease Obligations of such Person, (ix) all obligations, contingent or otherwise, of such Person as an account party in respect of letters of credit and letters of guaranty, (x) obligations under any Hedging Agreement, currency swaps, forwards, futures or derivatives transactions, (xi) all obligations, contingent or otherwise, of such Person in respect of bankers’ acceptances, (xii) all obligations under any earn-out and guaranteed minimum milestone and other payments of such Person under any license or other agreements (but excluding any payments based on sales under any such license or other agreement), (xiii) any Disqualified Equity Interests of such Person and (xiv) any Off-Balance Sheet Liability;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Indebtedness shall not include (A) accrued expenses, deferred rent, deferred Taxes, deferred compensation or customary obligations under employment agreements, and (B) accounts payable incurred in the ordinary course of business and either (i) not overdue by more than ninety (90) days or (ii) being contested in good faith by appropriate proceedings and reserved for in accordance with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Indemnified Taxes</w:t>
      </w:r>
      <w:r>
        <w:rPr>
          <w:rFonts w:ascii="Times New Roman;Times;Serif" w:hAnsi="Times New Roman;Times;Serif"/>
          <w:b w:val="false"/>
          <w:i w:val="false"/>
          <w:caps w:val="false"/>
          <w:smallCaps w:val="false"/>
          <w:sz w:val="20"/>
        </w:rPr>
        <w:t xml:space="preserve">” means (i) Taxes, other than Excluded Taxes, imposed on or with respect to any payment made by or on account of any Obligation and (ii) to the extent not otherwise described in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Information Certificate</w:t>
      </w:r>
      <w:r>
        <w:rPr>
          <w:rFonts w:ascii="Times New Roman;Times;Serif" w:hAnsi="Times New Roman;Times;Serif"/>
          <w:b w:val="false"/>
          <w:i w:val="false"/>
          <w:caps w:val="false"/>
          <w:smallCaps w:val="false"/>
          <w:sz w:val="20"/>
        </w:rPr>
        <w:t xml:space="preserve">” means the Information Certificate delivered pursuant to </w:t>
      </w:r>
      <w:r>
        <w:rPr>
          <w:rFonts w:ascii="Times New Roman;Times;Serif" w:hAnsi="Times New Roman;Times;Serif"/>
          <w:b/>
          <w:i w:val="false"/>
          <w:caps w:val="false"/>
          <w:smallCaps w:val="false"/>
          <w:sz w:val="20"/>
        </w:rPr>
        <w:t>Section 6.01(c)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Initial Budget</w:t>
      </w:r>
      <w:r>
        <w:rPr>
          <w:rFonts w:ascii="Times New Roman;Times;Serif" w:hAnsi="Times New Roman;Times;Serif"/>
          <w:b w:val="false"/>
          <w:i w:val="false"/>
          <w:caps w:val="false"/>
          <w:smallCaps w:val="false"/>
          <w:color w:val="0000FF"/>
          <w:sz w:val="20"/>
          <w:u w:val="single"/>
        </w:rPr>
        <w:t>” means the cash flow budget delivered pursuant to Section 5(d) of the Fifth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Initial Period</w:t>
      </w:r>
      <w:r>
        <w:rPr>
          <w:rFonts w:ascii="Times New Roman;Times;Serif" w:hAnsi="Times New Roman;Times;Serif"/>
          <w:b w:val="false"/>
          <w:i w:val="false"/>
          <w:caps w:val="false"/>
          <w:smallCaps w:val="false"/>
          <w:sz w:val="20"/>
        </w:rPr>
        <w:t>” has the meaning ascribed to such term in the BioXcel Trademark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Insolvency Proceeding</w:t>
      </w:r>
      <w:r>
        <w:rPr>
          <w:rFonts w:ascii="Times New Roman;Times;Serif" w:hAnsi="Times New Roman;Times;Serif"/>
          <w:b w:val="false"/>
          <w:i w:val="false"/>
          <w:caps w:val="false"/>
          <w:smallCaps w:val="false"/>
          <w:sz w:val="20"/>
        </w:rPr>
        <w:t>” means (i) any case, action or proceeding before any court or other Governmental Authority relating to bankruptcy, reorganization, insolvency, liquidation, receivership, dissolution, winding-up or relief of debtors, or (ii) 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means all intellectual property or proprietary rights of any kind anywhere in the world, including any rights in or to Patents, Trademarks, Copyrights, and Trade Secrets, whether U.S. or non-U.S.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Intercompany Subordination Agreement</w:t>
      </w:r>
      <w:r>
        <w:rPr>
          <w:rFonts w:ascii="Times New Roman;Times;Serif" w:hAnsi="Times New Roman;Times;Serif"/>
          <w:b w:val="false"/>
          <w:i w:val="false"/>
          <w:caps w:val="false"/>
          <w:smallCaps w:val="false"/>
          <w:sz w:val="20"/>
        </w:rPr>
        <w:t xml:space="preserve">” means a subordination agreement to be executed and delivered by each Obligor and each of its Subsidiaries, pursuant to which all obligations in respect of any Indebtedness owing to any such Person by an Obligor shall be subordinated to the prior payment in full in cash of all Obligations, such agreement to be in substantially the form attached hereto as </w:t>
      </w:r>
      <w:r>
        <w:rPr>
          <w:rFonts w:ascii="Times New Roman;Times;Serif" w:hAnsi="Times New Roman;Times;Serif"/>
          <w:b/>
          <w:i w:val="false"/>
          <w:caps w:val="false"/>
          <w:smallCaps w:val="false"/>
          <w:sz w:val="20"/>
        </w:rPr>
        <w:t>Exhibit 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trike/>
          <w:color w:val="FF0000"/>
        </w:rPr>
        <w:t>“</w:t>
      </w:r>
      <w:r>
        <w:rPr>
          <w:rFonts w:ascii="Times New Roman;Times;Serif" w:hAnsi="Times New Roman;Times;Serif"/>
          <w:b/>
          <w:i/>
          <w:caps w:val="false"/>
          <w:smallCaps w:val="false"/>
          <w:strike/>
          <w:color w:val="FF0000"/>
          <w:sz w:val="20"/>
        </w:rPr>
        <w:t>Interest Period</w:t>
      </w:r>
      <w:r>
        <w:rPr>
          <w:rFonts w:ascii="Times New Roman;Times;Serif" w:hAnsi="Times New Roman;Times;Serif"/>
          <w:b w:val="false"/>
          <w:i w:val="false"/>
          <w:caps w:val="false"/>
          <w:smallCaps w:val="false"/>
          <w:strike/>
          <w:color w:val="FF0000"/>
          <w:sz w:val="20"/>
        </w:rPr>
        <w:t xml:space="preserve">” means (a) the period commencing on and including the Second Amendment Effective Date and ending on but excluding the immediately subsequent Payment Date and (b) subsequently, each period commencing on and excluding the last day of the previous Interest Period for such Loan and ending on but excluding the immediately subsequent Payment Date; provided however if such period shall end on a day that </w:t>
      </w:r>
      <w:r>
        <w:rPr>
          <w:rFonts w:ascii="Times New Roman;Times;Serif" w:hAnsi="Times New Roman;Times;Serif"/>
          <w:b w:val="false"/>
          <w:i w:val="false"/>
          <w:caps w:val="false"/>
          <w:smallCaps w:val="false"/>
          <w:strike/>
          <w:color w:val="008000"/>
          <w:sz w:val="20"/>
        </w:rPr>
        <w:t xml:space="preserve">is not a Business Day, </w:t>
      </w:r>
      <w:r>
        <w:rPr>
          <w:rFonts w:ascii="Times New Roman;Times;Serif" w:hAnsi="Times New Roman;Times;Serif"/>
          <w:b w:val="false"/>
          <w:i w:val="false"/>
          <w:caps w:val="false"/>
          <w:smallCaps w:val="false"/>
          <w:strike/>
          <w:color w:val="FF0000"/>
          <w:sz w:val="20"/>
        </w:rPr>
        <w:t>it shall be deemed to end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Interest Rate</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color w:val="0000FF"/>
          <w:sz w:val="20"/>
          <w:u w:val="single"/>
        </w:rPr>
        <w:t xml:space="preserve">(i) prior to September 30, 2024, </w:t>
      </w:r>
      <w:r>
        <w:rPr>
          <w:rFonts w:ascii="Times New Roman;Times;Serif" w:hAnsi="Times New Roman;Times;Serif"/>
          <w:b w:val="false"/>
          <w:i w:val="false"/>
          <w:caps w:val="false"/>
          <w:smallCaps w:val="false"/>
          <w:sz w:val="20"/>
        </w:rPr>
        <w:t xml:space="preserve">Term SOFR </w:t>
      </w:r>
      <w:r>
        <w:rPr>
          <w:rFonts w:ascii="Times New Roman;Times;Serif" w:hAnsi="Times New Roman;Times;Serif"/>
          <w:b w:val="false"/>
          <w:i w:val="false"/>
          <w:caps w:val="false"/>
          <w:smallCaps w:val="false"/>
          <w:color w:val="0000FF"/>
          <w:sz w:val="20"/>
          <w:u w:val="single"/>
        </w:rPr>
        <w:t xml:space="preserve">(as defined in this Agreement prior to giving effect to the Fifth Amendment)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7.50% per annum </w:t>
      </w:r>
      <w:r>
        <w:rPr>
          <w:rFonts w:ascii="Times New Roman;Times;Serif" w:hAnsi="Times New Roman;Times;Serif"/>
          <w:b w:val="false"/>
          <w:i w:val="false"/>
          <w:caps w:val="false"/>
          <w:smallCaps w:val="false"/>
          <w:color w:val="0000FF"/>
          <w:sz w:val="20"/>
          <w:u w:val="single"/>
        </w:rPr>
        <w:t>and (ii) on or after September 30, 2024, 13.00% per annum, in each case</w:t>
      </w:r>
      <w:r>
        <w:rPr>
          <w:rFonts w:ascii="Times New Roman;Times;Serif" w:hAnsi="Times New Roman;Times;Serif"/>
          <w:b w:val="false"/>
          <w:i w:val="false"/>
          <w:caps w:val="false"/>
          <w:smallCaps w:val="false"/>
          <w:sz w:val="20"/>
        </w:rPr>
        <w:t xml:space="preserve">, as may be increased pursuant to </w:t>
      </w:r>
      <w:r>
        <w:rPr>
          <w:rFonts w:ascii="Times New Roman;Times;Serif" w:hAnsi="Times New Roman;Times;Serif"/>
          <w:b/>
          <w:i w:val="false"/>
          <w:caps w:val="false"/>
          <w:smallCaps w:val="false"/>
          <w:sz w:val="20"/>
        </w:rPr>
        <w:t>Section 3.02(b)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Invention</w:t>
      </w:r>
      <w:r>
        <w:rPr>
          <w:rFonts w:ascii="Times New Roman;Times;Serif" w:hAnsi="Times New Roman;Times;Serif"/>
          <w:b w:val="false"/>
          <w:i w:val="false"/>
          <w:caps w:val="false"/>
          <w:smallCaps w:val="false"/>
          <w:sz w:val="20"/>
        </w:rPr>
        <w:t>” means any novel, inventive or useful art, apparatus, method, process, machine (including any article or device), manufacture or composition of matter, or any novel, inventive and useful improvement in any art, method, process, machine (including article or device), manufacture or composition of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Investment</w:t>
      </w:r>
      <w:r>
        <w:rPr>
          <w:rFonts w:ascii="Times New Roman;Times;Serif" w:hAnsi="Times New Roman;Times;Serif"/>
          <w:b w:val="false"/>
          <w:i w:val="false"/>
          <w:caps w:val="false"/>
          <w:smallCaps w:val="false"/>
          <w:sz w:val="20"/>
        </w:rPr>
        <w:t xml:space="preserve">” means, for any Person: (i) the acquisition (whether for cash, property, services or securities or otherwise) of any debt or Equity Interests, bonds, notes, debentures, partnership or other ownership interests or other securities of any other Person or any agreement to make any such acquisition (including any “short sale” or any sale of any securities at a time when such securities are not owned by the Person entering into such sale); (ii) the making of any deposit with, or advance, loan, assumption of debt or other extension of credit to, or capital contribution in any other Person (including the purchase of property from another Person subject to an understanding or agreement, contingent or otherwise, to resell such property to such Person), but excluding any such advance, loan or extension of credit having a term not exceeding ninety (90) days arising in connection with the sale of inventory or supplies by such Person in the Ordinary Course; or (iii) the entering into of any Guarantee of, or other contingent obligation with respect to, Indebtedness of any other Person and (without duplication) any amount committed to be advanced, lent or extended to such Person. The amount of an Investment shall be the amount actually invested (which, in the case of any Investment constituting the contribution of an asset or property, shall be based on such Person’s good faith estimate of the fair market value of such asset or property at the time such Investment is made), less the amount of cash received or returned for such Investment, without adjustment for subsequent increases or decreases in the value of such Investment or write-ups, write-downs or write-offs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such amount be less than zero or increase any basket or amount pursuant to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 xml:space="preserve"> above the fixed amount set forth therein. </w:t>
      </w:r>
      <w:r>
        <w:rPr>
          <w:rFonts w:ascii="Times New Roman;Times;Serif" w:hAnsi="Times New Roman;Times;Serif"/>
          <w:b w:val="false"/>
          <w:i w:val="false"/>
          <w:caps w:val="false"/>
          <w:smallCaps w:val="false"/>
          <w:strike/>
          <w:color w:val="FF0000"/>
          <w:sz w:val="20"/>
        </w:rPr>
        <w:t xml:space="preserve">Notwithstanding anything to the contrary in the foregoing, the purchase of any Permitted Bond Hedge Transaction by </w:t>
      </w:r>
      <w:r>
        <w:rPr>
          <w:rFonts w:ascii="Times New Roman;Times;Serif" w:hAnsi="Times New Roman;Times;Serif"/>
          <w:b w:val="false"/>
          <w:i w:val="false"/>
          <w:caps w:val="false"/>
          <w:smallCaps w:val="false"/>
          <w:strike/>
          <w:color w:val="008000"/>
          <w:sz w:val="20"/>
        </w:rPr>
        <w:t xml:space="preserve">the Borrower or any of its Subsidiaries </w:t>
      </w:r>
      <w:r>
        <w:rPr>
          <w:rFonts w:ascii="Times New Roman;Times;Serif" w:hAnsi="Times New Roman;Times;Serif"/>
          <w:b w:val="false"/>
          <w:i w:val="false"/>
          <w:caps w:val="false"/>
          <w:smallCaps w:val="false"/>
          <w:strike/>
          <w:color w:val="FF0000"/>
          <w:sz w:val="20"/>
        </w:rPr>
        <w:t>and the performance of its obligations thereunder shall not be an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trike/>
          <w:color w:val="FF0000"/>
        </w:rPr>
        <w:t>“</w:t>
      </w:r>
      <w:r>
        <w:rPr>
          <w:rFonts w:ascii="Times New Roman;Times;Serif" w:hAnsi="Times New Roman;Times;Serif"/>
          <w:b/>
          <w:i/>
          <w:caps w:val="false"/>
          <w:smallCaps w:val="false"/>
          <w:strike/>
          <w:color w:val="FF0000"/>
          <w:sz w:val="20"/>
        </w:rPr>
        <w:t>IPO Co.</w:t>
      </w:r>
      <w:r>
        <w:rPr>
          <w:rFonts w:ascii="Times New Roman;Times;Serif" w:hAnsi="Times New Roman;Times;Serif"/>
          <w:b w:val="false"/>
          <w:i w:val="false"/>
          <w:caps w:val="false"/>
          <w:smallCaps w:val="false"/>
          <w:strike/>
          <w:color w:val="FF0000"/>
          <w:sz w:val="20"/>
        </w:rPr>
        <w:t xml:space="preserve">” means a corporation created in contemplation of a Qualifying IPO which shall become the direct or indirect parent or managing member of a BXCL 701 Subsidiary and which shall have no assets other than direct or indirect Equity Interests in such BXCL 701 Subsidiary and other assets that BXCL 701 Subsidiaries are permitted to own </w:t>
      </w:r>
      <w:r>
        <w:rPr>
          <w:rFonts w:ascii="Times New Roman;Times;Serif" w:hAnsi="Times New Roman;Times;Serif"/>
          <w:b w:val="false"/>
          <w:i w:val="false"/>
          <w:caps w:val="false"/>
          <w:smallCaps w:val="false"/>
          <w:strike/>
          <w:color w:val="008000"/>
          <w:sz w:val="20"/>
        </w:rPr>
        <w:t>pursuant to the terms of this Agreement</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means the U.S. Internal Revenue Service or any successor agency, and to the extent relevant, the U.S. Department of the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Landlord Consent</w:t>
      </w:r>
      <w:r>
        <w:rPr>
          <w:rFonts w:ascii="Times New Roman;Times;Serif" w:hAnsi="Times New Roman;Times;Serif"/>
          <w:b w:val="false"/>
          <w:i w:val="false"/>
          <w:caps w:val="false"/>
          <w:smallCaps w:val="false"/>
          <w:sz w:val="20"/>
        </w:rPr>
        <w:t xml:space="preserve">” means a Landlord Consent substantially in the form of </w:t>
      </w:r>
      <w:r>
        <w:rPr>
          <w:rFonts w:ascii="Times New Roman;Times;Serif" w:hAnsi="Times New Roman;Times;Serif"/>
          <w:b/>
          <w:i w:val="false"/>
          <w:caps w:val="false"/>
          <w:smallCaps w:val="false"/>
          <w:sz w:val="20"/>
        </w:rPr>
        <w:t>Exhibit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collectively, all U.S. or non-U.S. federal, state, provincial, territorial, municipal or local statute, treaty, rule, guideline, regulation, ordinance, code or administrative or judicial precedent or authority, including any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(a) any mortgage, lien, license, pledge, hypothecation, charge, security interest, or other encumbrance of any kind or character whatsoever, whether or not filed, recorded or otherwise perfected under applicable Law, or any lease, title retention agreement, mortgage, restriction, easement, right-of-way, option or adverse claim (of ownership or possession) (including any conditional sale or other title retention agreement, any lease in the nature thereof, and any other encumbrance on title to real property, any option or other agreement to sell, or give a security interest in, such asset and any filing of or agreement to give any financing statement under the Uniform Commercial Code (or equivalent statutes of any jurisdiction)) or any preferential arrangement that has the practical effect of creating a security interest and (b) in the case of Equity Interests, any purchase option, call or similar right of a third party with respect to such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Loan</w:t>
      </w:r>
      <w:r>
        <w:rPr>
          <w:rFonts w:ascii="Times New Roman;Times;Serif" w:hAnsi="Times New Roman;Times;Serif"/>
          <w:b w:val="false"/>
          <w:i w:val="false"/>
          <w:caps w:val="false"/>
          <w:smallCaps w:val="false"/>
          <w:sz w:val="20"/>
        </w:rPr>
        <w:t xml:space="preserve">” means each loan advanced by a Lender pursuant to </w:t>
      </w:r>
      <w:r>
        <w:rPr>
          <w:rFonts w:ascii="Times New Roman;Times;Serif" w:hAnsi="Times New Roman;Times;Serif"/>
          <w:b/>
          <w:i w:val="false"/>
          <w:caps w:val="false"/>
          <w:smallCaps w:val="false"/>
          <w:sz w:val="20"/>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Loan Documents</w:t>
      </w:r>
      <w:r>
        <w:rPr>
          <w:rFonts w:ascii="Times New Roman;Times;Serif" w:hAnsi="Times New Roman;Times;Serif"/>
          <w:b w:val="false"/>
          <w:i w:val="false"/>
          <w:caps w:val="false"/>
          <w:smallCaps w:val="false"/>
          <w:sz w:val="20"/>
        </w:rPr>
        <w:t xml:space="preserve">” means, collectively, this Agreement, the </w:t>
      </w:r>
      <w:r>
        <w:rPr>
          <w:rFonts w:ascii="Times New Roman;Times;Serif" w:hAnsi="Times New Roman;Times;Serif"/>
          <w:b w:val="false"/>
          <w:i w:val="false"/>
          <w:caps w:val="false"/>
          <w:smallCaps w:val="false"/>
          <w:strike/>
          <w:color w:val="FF0000"/>
          <w:sz w:val="20"/>
        </w:rPr>
        <w:t>Second</w:t>
      </w:r>
      <w:r>
        <w:rPr>
          <w:rFonts w:ascii="Times New Roman;Times;Serif" w:hAnsi="Times New Roman;Times;Serif"/>
          <w:b w:val="false"/>
          <w:i w:val="false"/>
          <w:caps w:val="false"/>
          <w:smallCaps w:val="false"/>
          <w:color w:val="0000FF"/>
          <w:sz w:val="20"/>
          <w:u w:val="single"/>
        </w:rPr>
        <w:t>First Amendment, the Second Amendment, the Third Amendment, the Fourth Amendment, the Fifth</w:t>
      </w:r>
      <w:r>
        <w:rPr>
          <w:rFonts w:ascii="Times New Roman;Times;Serif" w:hAnsi="Times New Roman;Times;Serif"/>
          <w:b w:val="false"/>
          <w:i w:val="false"/>
          <w:caps w:val="false"/>
          <w:smallCaps w:val="false"/>
          <w:sz w:val="20"/>
        </w:rPr>
        <w:t xml:space="preserve"> Amendment, the Notes, the Security Documents, the Company Warrants, the 701 Warrants, the Fee Letter, any Guarantee Assumption Agreement, the Intercompany Subordination Agreement and any subordination agreement, intercreditor agreement or other present or future document, instrument, agreement or certificate delivered to the Administrative Agent (for itself or for the benefit of any other Secured Party) in connection with this Agreement or any of the other Loan Documents, in each case, as amended or otherwise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Loss</w:t>
      </w:r>
      <w:r>
        <w:rPr>
          <w:rFonts w:ascii="Times New Roman;Times;Serif" w:hAnsi="Times New Roman;Times;Serif"/>
          <w:b w:val="false"/>
          <w:i w:val="false"/>
          <w:caps w:val="false"/>
          <w:smallCaps w:val="false"/>
          <w:sz w:val="20"/>
        </w:rPr>
        <w:t>” means judgments,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on a full indemnity basis, and all costs incurred in investigating or pursuing any Claim or any proceeding relating to any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Majority Lenders</w:t>
      </w:r>
      <w:r>
        <w:rPr>
          <w:rFonts w:ascii="Times New Roman;Times;Serif" w:hAnsi="Times New Roman;Times;Serif"/>
          <w:b w:val="false"/>
          <w:i w:val="false"/>
          <w:caps w:val="false"/>
          <w:smallCaps w:val="false"/>
          <w:sz w:val="20"/>
        </w:rPr>
        <w:t>” means, at any time, Lenders having at such time in excess of fifty percent (50%) of the aggregate Commitments (or, if such Commitments are terminated, the outstanding principal amount of the Loans)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Margin Stock</w:t>
      </w:r>
      <w:r>
        <w:rPr>
          <w:rFonts w:ascii="Times New Roman;Times;Serif" w:hAnsi="Times New Roman;Times;Serif"/>
          <w:b w:val="false"/>
          <w:i w:val="false"/>
          <w:caps w:val="false"/>
          <w:smallCaps w:val="false"/>
          <w:sz w:val="20"/>
        </w:rPr>
        <w:t>” means “margin stock” within the meaning of Regulations U and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Material Adverse Change</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mean a material adverse change in or effect on (i) the business, financial performance, operations, condition of the assets or liabilities of the Borrower and its Subsidiaries taken as a whole, (ii) the ability of any Obligor to perform its obligations under the Loan Documents, as and when due, (iii) the legality, validity, binding effect or enforceability of the Loan Documents or (iv) the rights, remedies and benefits available to, or conferred upon, the Administrative Agent or the Secured Parties under any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Material Agreement</w:t>
      </w:r>
      <w:r>
        <w:rPr>
          <w:rFonts w:ascii="Times New Roman;Times;Serif" w:hAnsi="Times New Roman;Times;Serif"/>
          <w:b w:val="false"/>
          <w:i w:val="false"/>
          <w:caps w:val="false"/>
          <w:smallCaps w:val="false"/>
          <w:sz w:val="20"/>
        </w:rPr>
        <w:t>” means any Contract required to be disclosed (including amendments thereto) under regulations promulgated under the Securities Act of 1933 or Securities Exchange Act of 1934, as may be amended. For the avoidance of doubt, employment and management contracts shall not be Material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Material Indebtedness</w:t>
      </w:r>
      <w:r>
        <w:rPr>
          <w:rFonts w:ascii="Times New Roman;Times;Serif" w:hAnsi="Times New Roman;Times;Serif"/>
          <w:b w:val="false"/>
          <w:i w:val="false"/>
          <w:caps w:val="false"/>
          <w:smallCaps w:val="false"/>
          <w:sz w:val="20"/>
        </w:rPr>
        <w:t>” means, at any time, any Indebtedness of any Obligor or Subsidiary thereof, the outstanding principal amount of which, individually or in the aggregate, exceeds $15,000,000 (or the Equivalent Amount in other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Material Intellectual Property</w:t>
      </w:r>
      <w:r>
        <w:rPr>
          <w:rFonts w:ascii="Times New Roman;Times;Serif" w:hAnsi="Times New Roman;Times;Serif"/>
          <w:b w:val="false"/>
          <w:i w:val="false"/>
          <w:caps w:val="false"/>
          <w:smallCaps w:val="false"/>
          <w:sz w:val="20"/>
        </w:rPr>
        <w:t>” means all Intellectual Property, whether currently owned by (or purported to be owned by) or licensed to (or purported to be licensed to) the Borrower or any of its Subsidiaries, or acquired, developed or obtained by or otherwise licensed to the Borrower or any of its Subsidiaries after the Closing Date that is, in each case, material to any current, planned or anticipated business of the Borrower or any of its Subsidiaries. Material Intellectual Property includes all Intellectual Property that is material to, or specifically related to or directed toward, (i) BXCL 501 or</w:t>
      </w:r>
      <w:r>
        <w:rPr>
          <w:rFonts w:ascii="Times New Roman;Times;Serif" w:hAnsi="Times New Roman;Times;Serif"/>
          <w:b w:val="false"/>
          <w:i w:val="false"/>
          <w:caps w:val="false"/>
          <w:smallCaps w:val="false"/>
          <w:strike/>
          <w:color w:val="FF0000"/>
          <w:sz w:val="20"/>
        </w:rPr>
        <w:t xml:space="preserve">, prior to a Permitted BXCL 701 Release Event, </w:t>
      </w:r>
      <w:r>
        <w:rPr>
          <w:rFonts w:ascii="Times New Roman;Times;Serif" w:hAnsi="Times New Roman;Times;Serif"/>
          <w:b w:val="false"/>
          <w:i w:val="false"/>
          <w:caps w:val="false"/>
          <w:smallCaps w:val="false"/>
          <w:sz w:val="20"/>
        </w:rPr>
        <w:t>BXCL 701 or (ii) Product Commercialization and Development Activities with respect to BXCL 501 or</w:t>
      </w:r>
      <w:r>
        <w:rPr>
          <w:rFonts w:ascii="Times New Roman;Times;Serif" w:hAnsi="Times New Roman;Times;Serif"/>
          <w:b w:val="false"/>
          <w:i w:val="false"/>
          <w:caps w:val="false"/>
          <w:smallCaps w:val="false"/>
          <w:strike/>
          <w:color w:val="FF0000"/>
          <w:sz w:val="20"/>
        </w:rPr>
        <w:t xml:space="preserve">, prior to a Permitted BXCL 701 Release Event, </w:t>
      </w:r>
      <w:r>
        <w:rPr>
          <w:rFonts w:ascii="Times New Roman;Times;Serif" w:hAnsi="Times New Roman;Times;Serif"/>
          <w:b w:val="false"/>
          <w:i w:val="false"/>
          <w:caps w:val="false"/>
          <w:smallCaps w:val="false"/>
          <w:sz w:val="20"/>
        </w:rPr>
        <w:t>BXCL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Material Software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7.05(b)(G)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Material Subsidiary</w:t>
      </w:r>
      <w:r>
        <w:rPr>
          <w:rFonts w:ascii="Times New Roman;Times;Serif" w:hAnsi="Times New Roman;Times;Serif"/>
          <w:b w:val="false"/>
          <w:i w:val="false"/>
          <w:caps w:val="false"/>
          <w:smallCaps w:val="false"/>
          <w:sz w:val="20"/>
        </w:rPr>
        <w:t>” means any Subsidiary of the Borrower that is not an Immaterial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Maturity Date</w:t>
      </w:r>
      <w:r>
        <w:rPr>
          <w:rFonts w:ascii="Times New Roman;Times;Serif" w:hAnsi="Times New Roman;Times;Serif"/>
          <w:b w:val="false"/>
          <w:i w:val="false"/>
          <w:caps w:val="false"/>
          <w:smallCaps w:val="false"/>
          <w:sz w:val="20"/>
        </w:rPr>
        <w:t xml:space="preserve">” means April 19, 2027 (as it may be extended pursuant to </w:t>
      </w:r>
      <w:r>
        <w:rPr>
          <w:rFonts w:ascii="Times New Roman;Times;Serif" w:hAnsi="Times New Roman;Times;Serif"/>
          <w:b/>
          <w:i w:val="false"/>
          <w:caps w:val="false"/>
          <w:smallCaps w:val="false"/>
          <w:sz w:val="20"/>
        </w:rPr>
        <w:t>Section 2.07</w:t>
      </w:r>
      <w:r>
        <w:rPr>
          <w:rFonts w:ascii="Times New Roman;Times;Serif" w:hAnsi="Times New Roman;Times;Serif"/>
          <w:b w:val="false"/>
          <w:i w:val="false"/>
          <w:caps w:val="false"/>
          <w:smallCaps w:val="false"/>
          <w:sz w:val="20"/>
        </w:rPr>
        <w:t>) or, if such date is not a Business Day,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Medicaid</w:t>
      </w:r>
      <w:r>
        <w:rPr>
          <w:rFonts w:ascii="Times New Roman;Times;Serif" w:hAnsi="Times New Roman;Times;Serif"/>
          <w:b w:val="false"/>
          <w:i w:val="false"/>
          <w:caps w:val="false"/>
          <w:smallCaps w:val="false"/>
          <w:sz w:val="20"/>
        </w:rPr>
        <w:t>” means that government-sponsored entitlement program under Title XIX, P.L. 89-97 of the Social Security Act, which provides federal grants to states for medical assistance based on specific eligibility criteria, as set forth on Section 1396, et seq. of Title 42 of the United States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Medicare</w:t>
      </w:r>
      <w:r>
        <w:rPr>
          <w:rFonts w:ascii="Times New Roman;Times;Serif" w:hAnsi="Times New Roman;Times;Serif"/>
          <w:b w:val="false"/>
          <w:i w:val="false"/>
          <w:caps w:val="false"/>
          <w:smallCaps w:val="false"/>
          <w:sz w:val="20"/>
        </w:rPr>
        <w:t>” means that government-sponsored insurance program under Title XVIII, P.L. 89-97, of the Social Security Act, which provides for a health insurance system for eligible elderly and disabled individuals, as set forth at Section 1395, et seq. of Title 42 of the United States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Minimum Liquidity Amount</w:t>
      </w:r>
      <w:r>
        <w:rPr>
          <w:rFonts w:ascii="Times New Roman;Times;Serif" w:hAnsi="Times New Roman;Times;Serif"/>
          <w:b w:val="false"/>
          <w:i w:val="false"/>
          <w:caps w:val="false"/>
          <w:smallCaps w:val="false"/>
          <w:sz w:val="20"/>
        </w:rPr>
        <w:t>” means (i) </w:t>
      </w:r>
      <w:r>
        <w:rPr>
          <w:rFonts w:ascii="Times New Roman;Times;Serif" w:hAnsi="Times New Roman;Times;Serif"/>
          <w:b w:val="false"/>
          <w:i w:val="false"/>
          <w:caps w:val="false"/>
          <w:smallCaps w:val="false"/>
          <w:strike/>
          <w:color w:val="FF0000"/>
          <w:sz w:val="20"/>
        </w:rPr>
        <w:t>from the Closing Date until the date on which the Tranche B Term Loans are funded (the “</w:t>
      </w:r>
      <w:r>
        <w:rPr>
          <w:rFonts w:ascii="Times New Roman;Times;Serif" w:hAnsi="Times New Roman;Times;Serif"/>
          <w:b/>
          <w:i/>
          <w:caps w:val="false"/>
          <w:smallCaps w:val="false"/>
          <w:strike/>
          <w:color w:val="FF0000"/>
          <w:sz w:val="20"/>
        </w:rPr>
        <w:t>Step-Up Date</w:t>
      </w:r>
      <w:r>
        <w:rPr>
          <w:rFonts w:ascii="Times New Roman;Times;Serif" w:hAnsi="Times New Roman;Times;Serif"/>
          <w:b w:val="false"/>
          <w:i w:val="false"/>
          <w:caps w:val="false"/>
          <w:smallCaps w:val="false"/>
          <w:strike/>
          <w:color w:val="FF0000"/>
          <w:sz w:val="20"/>
        </w:rPr>
        <w:t xml:space="preserve">”), $15,000,000; </w:t>
      </w:r>
      <w:r>
        <w:rPr>
          <w:rFonts w:ascii="Times New Roman;Times;Serif" w:hAnsi="Times New Roman;Times;Serif"/>
          <w:b w:val="false"/>
          <w:i/>
          <w:caps w:val="false"/>
          <w:smallCaps w:val="false"/>
          <w:strike/>
          <w:color w:val="FF0000"/>
          <w:sz w:val="20"/>
        </w:rPr>
        <w:t>provided</w:t>
      </w:r>
      <w:r>
        <w:rPr>
          <w:rFonts w:ascii="Times New Roman;Times;Serif" w:hAnsi="Times New Roman;Times;Serif"/>
          <w:b w:val="false"/>
          <w:i w:val="false"/>
          <w:caps w:val="false"/>
          <w:smallCaps w:val="false"/>
          <w:strike/>
          <w:color w:val="FF0000"/>
          <w:sz w:val="20"/>
        </w:rPr>
        <w:t xml:space="preserve">, that upon and following the occurrence of a Permitted BXCL 701 Release Event, the Minimum Liquidity Amount shall be $27,500,000; </w:t>
      </w:r>
      <w:r>
        <w:rPr>
          <w:rFonts w:ascii="Times New Roman;Times;Serif" w:hAnsi="Times New Roman;Times;Serif"/>
          <w:b w:val="false"/>
          <w:i/>
          <w:caps w:val="false"/>
          <w:smallCaps w:val="false"/>
          <w:strike/>
          <w:color w:val="FF0000"/>
          <w:sz w:val="20"/>
        </w:rPr>
        <w:t>provided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caps w:val="false"/>
          <w:smallCaps w:val="false"/>
          <w:strike/>
          <w:color w:val="FF0000"/>
          <w:sz w:val="20"/>
        </w:rPr>
        <w:t>further</w:t>
      </w:r>
      <w:r>
        <w:rPr>
          <w:rFonts w:ascii="Times New Roman;Times;Serif" w:hAnsi="Times New Roman;Times;Serif"/>
          <w:b w:val="false"/>
          <w:i w:val="false"/>
          <w:caps w:val="false"/>
          <w:smallCaps w:val="false"/>
          <w:strike/>
          <w:color w:val="FF0000"/>
          <w:sz w:val="20"/>
        </w:rPr>
        <w:t xml:space="preserve">, that upon and following the occurrence of a Permitted BXCL 701 Control Event, the Minimum Liquidity Amount shall be $32,500,000; (ii) from and after the Step-Up Date, $20,000,000; </w:t>
      </w:r>
      <w:r>
        <w:rPr>
          <w:rFonts w:ascii="Times New Roman;Times;Serif" w:hAnsi="Times New Roman;Times;Serif"/>
          <w:b w:val="false"/>
          <w:i/>
          <w:caps w:val="false"/>
          <w:smallCaps w:val="false"/>
          <w:strike/>
          <w:color w:val="FF0000"/>
          <w:sz w:val="20"/>
        </w:rPr>
        <w:t>provided</w:t>
      </w:r>
      <w:r>
        <w:rPr>
          <w:rFonts w:ascii="Times New Roman;Times;Serif" w:hAnsi="Times New Roman;Times;Serif"/>
          <w:b w:val="false"/>
          <w:i w:val="false"/>
          <w:caps w:val="false"/>
          <w:smallCaps w:val="false"/>
          <w:strike/>
          <w:color w:val="FF0000"/>
          <w:sz w:val="20"/>
        </w:rPr>
        <w:t xml:space="preserve">, that upon and following the occurrence of a Permitted BXCL 701 Release Event, the Minimum Liquidity Amount shall be $32,500,000; </w:t>
      </w:r>
      <w:r>
        <w:rPr>
          <w:rFonts w:ascii="Times New Roman;Times;Serif" w:hAnsi="Times New Roman;Times;Serif"/>
          <w:b w:val="false"/>
          <w:i/>
          <w:caps w:val="false"/>
          <w:smallCaps w:val="false"/>
          <w:strike/>
          <w:color w:val="FF0000"/>
          <w:sz w:val="20"/>
        </w:rPr>
        <w:t>provided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caps w:val="false"/>
          <w:smallCaps w:val="false"/>
          <w:strike/>
          <w:color w:val="FF0000"/>
          <w:sz w:val="20"/>
        </w:rPr>
        <w:t>further</w:t>
      </w:r>
      <w:r>
        <w:rPr>
          <w:rFonts w:ascii="Times New Roman;Times;Serif" w:hAnsi="Times New Roman;Times;Serif"/>
          <w:b w:val="false"/>
          <w:i w:val="false"/>
          <w:caps w:val="false"/>
          <w:smallCaps w:val="false"/>
          <w:strike/>
          <w:color w:val="FF0000"/>
          <w:sz w:val="20"/>
        </w:rPr>
        <w:t>, that upon and following the occurrence of a Permitted BXCL 701 Control Event, the Minimum Liquidity Amount shall be $37,500,000; and (iii) from and after the Applicable Funding Condition for Tranche C Term Loans is satisfied (as evidenced by an officer’s certificate delivered by the Borrower to the Administrative Agent) (the “</w:t>
      </w:r>
      <w:r>
        <w:rPr>
          <w:rFonts w:ascii="Times New Roman;Times;Serif" w:hAnsi="Times New Roman;Times;Serif"/>
          <w:b/>
          <w:i/>
          <w:caps w:val="false"/>
          <w:smallCaps w:val="false"/>
          <w:strike/>
          <w:color w:val="FF0000"/>
          <w:sz w:val="20"/>
        </w:rPr>
        <w:t>Step-Down Date</w:t>
      </w:r>
      <w:r>
        <w:rPr>
          <w:rFonts w:ascii="Times New Roman;Times;Serif" w:hAnsi="Times New Roman;Times;Serif"/>
          <w:b w:val="false"/>
          <w:i w:val="false"/>
          <w:caps w:val="false"/>
          <w:smallCaps w:val="false"/>
          <w:strike/>
          <w:color w:val="FF0000"/>
          <w:sz w:val="20"/>
        </w:rPr>
        <w:t xml:space="preserve">”), $15,000,000; </w:t>
      </w:r>
      <w:r>
        <w:rPr>
          <w:rFonts w:ascii="Times New Roman;Times;Serif" w:hAnsi="Times New Roman;Times;Serif"/>
          <w:b w:val="false"/>
          <w:i/>
          <w:caps w:val="false"/>
          <w:smallCaps w:val="false"/>
          <w:strike/>
          <w:color w:val="FF0000"/>
          <w:sz w:val="20"/>
        </w:rPr>
        <w:t>provided</w:t>
      </w:r>
      <w:r>
        <w:rPr>
          <w:rFonts w:ascii="Times New Roman;Times;Serif" w:hAnsi="Times New Roman;Times;Serif"/>
          <w:b w:val="false"/>
          <w:i w:val="false"/>
          <w:caps w:val="false"/>
          <w:smallCaps w:val="false"/>
          <w:strike/>
          <w:color w:val="FF0000"/>
          <w:sz w:val="20"/>
        </w:rPr>
        <w:t xml:space="preserve">, that upon and following the occurrence of a Permitted BXCL 701 Release Event, the Minimum Liquidity Amount shall be $27,500,000; </w:t>
      </w:r>
      <w:r>
        <w:rPr>
          <w:rFonts w:ascii="Times New Roman;Times;Serif" w:hAnsi="Times New Roman;Times;Serif"/>
          <w:b w:val="false"/>
          <w:i/>
          <w:caps w:val="false"/>
          <w:smallCaps w:val="false"/>
          <w:strike/>
          <w:color w:val="FF0000"/>
          <w:sz w:val="20"/>
        </w:rPr>
        <w:t>provided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caps w:val="false"/>
          <w:smallCaps w:val="false"/>
          <w:strike/>
          <w:color w:val="FF0000"/>
          <w:sz w:val="20"/>
        </w:rPr>
        <w:t>further</w:t>
      </w:r>
      <w:r>
        <w:rPr>
          <w:rFonts w:ascii="Times New Roman;Times;Serif" w:hAnsi="Times New Roman;Times;Serif"/>
          <w:b w:val="false"/>
          <w:i w:val="false"/>
          <w:caps w:val="false"/>
          <w:smallCaps w:val="false"/>
          <w:strike/>
          <w:color w:val="FF0000"/>
          <w:sz w:val="20"/>
        </w:rPr>
        <w:t>, that upon and following the occurrence of a Permitted BXCL 701 Control Event, the Minimum Liquidity Amount shall be $32,500,000. For the avoidance of doubt, the Minimum Liquidity Amount shall be the highest applicable amount at any time. Notwithstanding the foregoing or anything to the contrary herein, the Minimum Liquidity Amount shall in no event exceed 50% of the aggregate amount of Loans outstanding at any time.</w:t>
      </w:r>
      <w:r>
        <w:rPr>
          <w:rFonts w:ascii="Times New Roman;Times;Serif" w:hAnsi="Times New Roman;Times;Serif"/>
          <w:b w:val="false"/>
          <w:i w:val="false"/>
          <w:caps w:val="false"/>
          <w:smallCaps w:val="false"/>
          <w:color w:val="0000FF"/>
          <w:sz w:val="20"/>
          <w:u w:val="single"/>
        </w:rPr>
        <w:t>prior to consummation of the Fifth Amendment Equity Raise One, $25,000,000, (ii) upon consummation of the Fifth Amendment Equity Raise One to but excluding March 31, 2025, $7,500,000, (ii) from March 31, 2025 to but excluding September 30, 2025, $10,000,000, and (iii) from and after September 30, 2025, $15,000,000.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Minimum Liquidity Covenant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Minimum Revenue</w:t>
      </w:r>
      <w:r>
        <w:rPr>
          <w:rFonts w:ascii="Times New Roman;Times;Serif" w:hAnsi="Times New Roman;Times;Serif"/>
          <w:b w:val="false"/>
          <w:i w:val="false"/>
          <w:caps w:val="false"/>
          <w:smallCaps w:val="false"/>
          <w:strike/>
          <w:color w:val="FF0000"/>
          <w:sz w:val="20"/>
        </w:rPr>
        <w:t xml:space="preserve">” means, with respect to any period, the minimum revenue for such period as set forth on </w:t>
      </w:r>
      <w:r>
        <w:rPr>
          <w:rFonts w:ascii="Times New Roman;Times;Serif" w:hAnsi="Times New Roman;Times;Serif"/>
          <w:b/>
          <w:i w:val="false"/>
          <w:caps w:val="false"/>
          <w:smallCaps w:val="false"/>
          <w:strike/>
          <w:color w:val="FF0000"/>
          <w:sz w:val="20"/>
        </w:rPr>
        <w:t>Schedule 3</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Minimum Revenue Covenant</w:t>
      </w:r>
      <w:r>
        <w:rPr>
          <w:rFonts w:ascii="Times New Roman;Times;Serif" w:hAnsi="Times New Roman;Times;Serif"/>
          <w:b w:val="false"/>
          <w:i w:val="false"/>
          <w:caps w:val="false"/>
          <w:smallCaps w:val="false"/>
          <w:strike/>
          <w:color w:val="FF0000"/>
          <w:sz w:val="20"/>
        </w:rPr>
        <w:t xml:space="preserve">” has the meaning set forth in </w:t>
      </w:r>
      <w:r>
        <w:rPr>
          <w:rFonts w:ascii="Times New Roman;Times;Serif" w:hAnsi="Times New Roman;Times;Serif"/>
          <w:b/>
          <w:i w:val="false"/>
          <w:caps w:val="false"/>
          <w:smallCaps w:val="false"/>
          <w:strike/>
          <w:color w:val="FF0000"/>
          <w:sz w:val="20"/>
        </w:rPr>
        <w:t>Section 10.02</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Minimum Revenue Cure Right</w:t>
      </w:r>
      <w:r>
        <w:rPr>
          <w:rFonts w:ascii="Times New Roman;Times;Serif" w:hAnsi="Times New Roman;Times;Serif"/>
          <w:b w:val="false"/>
          <w:i w:val="false"/>
          <w:caps w:val="false"/>
          <w:smallCaps w:val="false"/>
          <w:strike/>
          <w:color w:val="FF0000"/>
          <w:sz w:val="20"/>
        </w:rPr>
        <w:t xml:space="preserve">” has the meaning set forth in </w:t>
      </w:r>
      <w:r>
        <w:rPr>
          <w:rFonts w:ascii="Times New Roman;Times;Serif" w:hAnsi="Times New Roman;Times;Serif"/>
          <w:b/>
          <w:i w:val="false"/>
          <w:caps w:val="false"/>
          <w:smallCaps w:val="false"/>
          <w:strike/>
          <w:color w:val="FF0000"/>
          <w:sz w:val="20"/>
        </w:rPr>
        <w:t>Section 11.04(a)</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Mortgage Deliverables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8.11(b)(iv)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Multiemployer Plan</w:t>
      </w:r>
      <w:r>
        <w:rPr>
          <w:rFonts w:ascii="Times New Roman;Times;Serif" w:hAnsi="Times New Roman;Times;Serif"/>
          <w:b w:val="false"/>
          <w:i w:val="false"/>
          <w:caps w:val="false"/>
          <w:smallCaps w:val="false"/>
          <w:sz w:val="20"/>
        </w:rPr>
        <w:t>” means any multiemployer plan, as defined in Section 400l(a)(3) of ERISA, to which any ERISA Affiliate incurs or otherwise has any obligation or liability, contingent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NDA</w:t>
      </w:r>
      <w:r>
        <w:rPr>
          <w:rFonts w:ascii="Times New Roman;Times;Serif" w:hAnsi="Times New Roman;Times;Serif"/>
          <w:b w:val="false"/>
          <w:i w:val="false"/>
          <w:caps w:val="false"/>
          <w:smallCaps w:val="false"/>
          <w:sz w:val="20"/>
        </w:rPr>
        <w:t>” means (i) (x) a new drug application (as defined in the FD&amp;C Act) and (y) any similar application or functional equivalent relating to any new drug application applicable to or required by any non-U.S. country, jurisdiction or Governmental Authority, and (ii) all supplements and amendments that may be filed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Net Cash Proceeds</w:t>
      </w:r>
      <w:r>
        <w:rPr>
          <w:rFonts w:ascii="Times New Roman;Times;Serif" w:hAnsi="Times New Roman;Times;Serif"/>
          <w:b w:val="false"/>
          <w:i w:val="false"/>
          <w:caps w:val="false"/>
          <w:smallCaps w:val="false"/>
          <w:sz w:val="20"/>
        </w:rPr>
        <w:t xml:space="preserve">” means, (i) with respect to any Casualty Event experienced or suffered by any Obligor or any of its Subsidiaries, the amount of cash proceeds received (directly or indirectly) from time to time by or on behalf of such Person after deducting therefrom only (w) reasonable costs and expenses related thereto incurred by such Obligor or such Subsidiary in connection therewith, (x) Taxes (including transfer Taxes or net income Taxes) paid or payable in connection therewith, (y) reasonable reserves established for liabilities estimated to be payable in respect of such Casualty Event and deposited into escrow with a third party escrow agent on customary terms or set aside in a Controlled Account and (z) any amounts required to be used to prepay Permitted Indebtedness pursuant to </w:t>
      </w:r>
      <w:r>
        <w:rPr>
          <w:rFonts w:ascii="Times New Roman;Times;Serif" w:hAnsi="Times New Roman;Times;Serif"/>
          <w:b/>
          <w:i w:val="false"/>
          <w:caps w:val="false"/>
          <w:smallCaps w:val="false"/>
          <w:strike/>
          <w:color w:val="FF0000"/>
          <w:sz w:val="20"/>
        </w:rPr>
        <w:t>Sections</w:t>
      </w:r>
      <w:r>
        <w:rPr>
          <w:rFonts w:ascii="Times New Roman;Times;Serif" w:hAnsi="Times New Roman;Times;Serif"/>
          <w:b/>
          <w:i w:val="false"/>
          <w:caps w:val="false"/>
          <w:smallCaps w:val="false"/>
          <w:color w:val="0000FF"/>
          <w:sz w:val="20"/>
          <w:u w:val="single"/>
        </w:rPr>
        <w:t>Section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9.01(j) </w:t>
      </w:r>
      <w:r>
        <w:rPr>
          <w:rFonts w:ascii="Times New Roman;Times;Serif" w:hAnsi="Times New Roman;Times;Serif"/>
          <w:b/>
          <w:i w:val="false"/>
          <w:caps w:val="false"/>
          <w:smallCaps w:val="false"/>
          <w:strike/>
          <w:color w:val="FF0000"/>
          <w:sz w:val="20"/>
        </w:rPr>
        <w:t>and 9.01(l)</w:t>
      </w:r>
      <w:r>
        <w:rPr>
          <w:rFonts w:ascii="Times New Roman;Times;Serif" w:hAnsi="Times New Roman;Times;Serif"/>
          <w:b w:val="false"/>
          <w:i w:val="false"/>
          <w:caps w:val="false"/>
          <w:smallCaps w:val="false"/>
          <w:strike/>
          <w:color w:val="FF0000"/>
          <w:sz w:val="20"/>
        </w:rPr>
        <w:t> </w:t>
      </w:r>
      <w:r>
        <w:rPr>
          <w:rFonts w:ascii="Times New Roman;Times;Serif" w:hAnsi="Times New Roman;Times;Serif"/>
          <w:b w:val="false"/>
          <w:i w:val="false"/>
          <w:caps w:val="false"/>
          <w:smallCaps w:val="false"/>
          <w:sz w:val="20"/>
        </w:rPr>
        <w:t xml:space="preserve">secured by the assets subject to such Casualty Event (other than (A) Indebtedness owing to the Administrative Agent or any Lender under this Agreement or the other Loan Documents and (B) Indebtedness assumed by the purchaser of such asset); and (ii) with respect to any Asset Sale by any Obligor or any of its Subsidiaries, the amount of cash proceeds received (directly or indirectly) from time to time by or on behalf of such Person after deducting therefrom only (w) reasonable costs and expenses related thereto incurred by such Obligor or such Subsidiary in connection therewith, (x) Taxes (including transfer Taxes or net income Taxes) paid or payable in connection therewith, (y) reasonable reserves established for liabilities estimated to be payable in respect of such Asset Sale and deposited into escrow with a third party escrow agent on customary terms or set aside in a Controlled Account and (z) any amounts required to be used to prepay Permitted Indebtedness pursuant to </w:t>
      </w:r>
      <w:r>
        <w:rPr>
          <w:rFonts w:ascii="Times New Roman;Times;Serif" w:hAnsi="Times New Roman;Times;Serif"/>
          <w:b/>
          <w:i w:val="false"/>
          <w:caps w:val="false"/>
          <w:smallCaps w:val="false"/>
          <w:strike/>
          <w:color w:val="FF0000"/>
          <w:sz w:val="20"/>
        </w:rPr>
        <w:t>Sections</w:t>
      </w:r>
      <w:r>
        <w:rPr>
          <w:rFonts w:ascii="Times New Roman;Times;Serif" w:hAnsi="Times New Roman;Times;Serif"/>
          <w:b/>
          <w:i w:val="false"/>
          <w:caps w:val="false"/>
          <w:smallCaps w:val="false"/>
          <w:color w:val="0000FF"/>
          <w:sz w:val="20"/>
          <w:u w:val="single"/>
        </w:rPr>
        <w:t>Section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9.01(j)</w:t>
      </w:r>
      <w:r>
        <w:rPr>
          <w:rFonts w:ascii="Times New Roman;Times;Serif" w:hAnsi="Times New Roman;Times;Serif"/>
          <w:b w:val="false"/>
          <w:i w:val="false"/>
          <w:caps w:val="false"/>
          <w:smallCaps w:val="false"/>
          <w:strike/>
          <w:color w:val="FF0000"/>
          <w:sz w:val="20"/>
        </w:rPr>
        <w:t xml:space="preserve"> and </w:t>
      </w:r>
      <w:r>
        <w:rPr>
          <w:rFonts w:ascii="Times New Roman;Times;Serif" w:hAnsi="Times New Roman;Times;Serif"/>
          <w:b/>
          <w:i w:val="false"/>
          <w:caps w:val="false"/>
          <w:smallCaps w:val="false"/>
          <w:strike/>
          <w:color w:val="FF0000"/>
          <w:sz w:val="20"/>
        </w:rPr>
        <w:t>9.01(l)</w:t>
      </w:r>
      <w:r>
        <w:rPr>
          <w:rFonts w:ascii="Times New Roman;Times;Serif" w:hAnsi="Times New Roman;Times;Serif"/>
          <w:b w:val="false"/>
          <w:i w:val="false"/>
          <w:caps w:val="false"/>
          <w:smallCaps w:val="false"/>
          <w:strike/>
          <w:color w:val="FF0000"/>
          <w:sz w:val="20"/>
        </w:rPr>
        <w:t> </w:t>
      </w:r>
      <w:r>
        <w:rPr>
          <w:rFonts w:ascii="Times New Roman;Times;Serif" w:hAnsi="Times New Roman;Times;Serif"/>
          <w:b w:val="false"/>
          <w:i w:val="false"/>
          <w:caps w:val="false"/>
          <w:smallCaps w:val="false"/>
          <w:sz w:val="20"/>
        </w:rPr>
        <w:t xml:space="preserve">secured by the assets subject to such Asset Sale (other than (A) Indebtedness owing to the Administrative Agent or any Lender under this Agreement or the other Loan Documents and (B) Indebtedness assumed by the purchaser of such asset);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of </w:t>
      </w:r>
      <w:r>
        <w:rPr>
          <w:rFonts w:ascii="Times New Roman;Times;Serif" w:hAnsi="Times New Roman;Times;Serif"/>
          <w:b/>
          <w:i w:val="false"/>
          <w:caps w:val="false"/>
          <w:smallCaps w:val="false"/>
          <w:sz w:val="20"/>
        </w:rPr>
        <w:t>clauses (i)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costs and expenses shall only be deducted to the extent, that the amounts so deducted are (x) actually paid to a Person that is not an Affiliate of any Obligor or any of its Subsidiaries and (y) properly attributable to such Casualty Event or Asset Sale, as the case may be. </w:t>
      </w:r>
      <w:r>
        <w:rPr>
          <w:rFonts w:ascii="Times New Roman;Times;Serif" w:hAnsi="Times New Roman;Times;Serif"/>
          <w:b w:val="false"/>
          <w:i w:val="false"/>
          <w:caps w:val="false"/>
          <w:smallCaps w:val="false"/>
          <w:strike/>
          <w:color w:val="FF0000"/>
          <w:sz w:val="20"/>
        </w:rPr>
        <w:t xml:space="preserve">Notwithstanding the foregoing, Net Cash Proceeds exclude any cash proceeds received by any BXCL 701 Subsidiary arising from a Casualty Event affecting, or Asset Sale by, such Subsidiary (or other BXCL 701 Subsidiary);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that any such excluded cash proceeds shall constitute Net Cash Proceeds as, and to the extent, distributed to Borrower or any Subsidiary that is not a BXCL 701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Note</w:t>
      </w:r>
      <w:r>
        <w:rPr>
          <w:rFonts w:ascii="Times New Roman;Times;Serif" w:hAnsi="Times New Roman;Times;Serif"/>
          <w:b w:val="false"/>
          <w:i w:val="false"/>
          <w:caps w:val="false"/>
          <w:smallCaps w:val="false"/>
          <w:sz w:val="20"/>
        </w:rPr>
        <w:t xml:space="preserve">” means a promissory note, in substantially the form of </w:t>
      </w:r>
      <w:r>
        <w:rPr>
          <w:rFonts w:ascii="Times New Roman;Times;Serif" w:hAnsi="Times New Roman;Times;Serif"/>
          <w:b/>
          <w:i w:val="false"/>
          <w:caps w:val="false"/>
          <w:smallCaps w:val="false"/>
          <w:sz w:val="20"/>
        </w:rPr>
        <w:t xml:space="preserve">Exhibit A </w:t>
      </w:r>
      <w:r>
        <w:rPr>
          <w:rFonts w:ascii="Times New Roman;Times;Serif" w:hAnsi="Times New Roman;Times;Serif"/>
          <w:b w:val="false"/>
          <w:i w:val="false"/>
          <w:caps w:val="false"/>
          <w:smallCaps w:val="false"/>
          <w:sz w:val="20"/>
        </w:rPr>
        <w:t xml:space="preserve">hereto, executed and delivered by the Borrower to any Lender in accordance with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Notice of Intent to Cure Revenue Covenant</w:t>
      </w:r>
      <w:r>
        <w:rPr>
          <w:rFonts w:ascii="Times New Roman;Times;Serif" w:hAnsi="Times New Roman;Times;Serif"/>
          <w:b w:val="false"/>
          <w:i w:val="false"/>
          <w:caps w:val="false"/>
          <w:smallCaps w:val="false"/>
          <w:strike/>
          <w:color w:val="FF0000"/>
          <w:sz w:val="20"/>
        </w:rPr>
        <w:t xml:space="preserve">” has the meaning set forth in </w:t>
      </w:r>
      <w:r>
        <w:rPr>
          <w:rFonts w:ascii="Times New Roman;Times;Serif" w:hAnsi="Times New Roman;Times;Serif"/>
          <w:b/>
          <w:i w:val="false"/>
          <w:caps w:val="false"/>
          <w:smallCaps w:val="false"/>
          <w:strike/>
          <w:color w:val="FF0000"/>
          <w:sz w:val="20"/>
        </w:rPr>
        <w:t>Section 11.04(b)</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NY UCC</w:t>
      </w:r>
      <w:r>
        <w:rPr>
          <w:rFonts w:ascii="Times New Roman;Times;Serif" w:hAnsi="Times New Roman;Times;Serif"/>
          <w:b w:val="false"/>
          <w:i w:val="false"/>
          <w:caps w:val="false"/>
          <w:smallCaps w:val="false"/>
          <w:sz w:val="20"/>
        </w:rPr>
        <w:t>” means the UCC as in effect from time to time in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Oaktree Lender</w:t>
      </w:r>
      <w:r>
        <w:rPr>
          <w:rFonts w:ascii="Times New Roman;Times;Serif" w:hAnsi="Times New Roman;Times;Serif"/>
          <w:b w:val="false"/>
          <w:i w:val="false"/>
          <w:caps w:val="false"/>
          <w:smallCaps w:val="false"/>
          <w:sz w:val="20"/>
        </w:rPr>
        <w:t>” means any Lender that is an Affiliate or managed fund or account of Oaktree Capital Management,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Obligations</w:t>
      </w:r>
      <w:r>
        <w:rPr>
          <w:rFonts w:ascii="Times New Roman;Times;Serif" w:hAnsi="Times New Roman;Times;Serif"/>
          <w:b w:val="false"/>
          <w:i w:val="false"/>
          <w:caps w:val="false"/>
          <w:smallCaps w:val="false"/>
          <w:sz w:val="20"/>
        </w:rPr>
        <w:t>” means, with respect to any Obligor, all amounts, obligations, liabilities, covenants and duties of every type and description owing by such Obligor to any Secured Party (including all Guaranteed Obligations) any other indemnitee hereunder or any participant,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or for the payment of money, including, without duplication, (i) if such Obligor is the Borrower, all Loans, (ii) all interest, whether or not accruing after the filing of any petition in bankruptcy or after the commencement of any insolvency, reorganization or similar proceeding, and whether or not a claim for post-filing or post-petition interest is allowed in any such proceeding, and (iii) all other fees, expenses (including fees, charges and disbursement of counsel), interest, Ticking Fees, Prepayment Fee, commissions, charges, costs, disbursements, indemnities and reimbursement of amounts paid and other sums chargeable to such Obligor under any Loan Document. Notwithstanding the foregoing, the Obligations shall not include any Warrant Obligations</w:t>
      </w:r>
      <w:r>
        <w:rPr>
          <w:rFonts w:ascii="Times New Roman;Times;Serif" w:hAnsi="Times New Roman;Times;Serif"/>
          <w:b w:val="false"/>
          <w:i w:val="false"/>
          <w:caps w:val="false"/>
          <w:smallCaps w:val="false"/>
          <w:strike/>
          <w:color w:val="FF0000"/>
          <w:sz w:val="20"/>
        </w:rPr>
        <w:t xml:space="preserve">, obligations under the Stock Purchase Agreement or obligations of the Borrower to issue Common Stock pursuant to </w:t>
      </w:r>
      <w:r>
        <w:rPr>
          <w:rFonts w:ascii="Times New Roman;Times;Serif" w:hAnsi="Times New Roman;Times;Serif"/>
          <w:b/>
          <w:i w:val="false"/>
          <w:caps w:val="false"/>
          <w:smallCaps w:val="false"/>
          <w:strike/>
          <w:color w:val="FF0000"/>
          <w:sz w:val="20"/>
        </w:rPr>
        <w:t xml:space="preserve">Section 2.08 </w:t>
      </w:r>
      <w:r>
        <w:rPr>
          <w:rFonts w:ascii="Times New Roman;Times;Serif" w:hAnsi="Times New Roman;Times;Serif"/>
          <w:b w:val="false"/>
          <w:i w:val="false"/>
          <w:caps w:val="false"/>
          <w:smallCaps w:val="false"/>
          <w:strike/>
          <w:color w:val="FF0000"/>
          <w:sz w:val="20"/>
        </w:rPr>
        <w:t>or the Stock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Obligors</w:t>
      </w:r>
      <w:r>
        <w:rPr>
          <w:rFonts w:ascii="Times New Roman;Times;Serif" w:hAnsi="Times New Roman;Times;Serif"/>
          <w:b w:val="false"/>
          <w:i w:val="false"/>
          <w:caps w:val="false"/>
          <w:smallCaps w:val="false"/>
          <w:sz w:val="20"/>
        </w:rPr>
        <w:t xml:space="preserve">” means, collectively, the Borrower and the Subsidiary Guarantors and their respective successors and permitted assigns. </w:t>
      </w:r>
      <w:r>
        <w:rPr>
          <w:rFonts w:ascii="Times New Roman;Times;Serif" w:hAnsi="Times New Roman;Times;Serif"/>
          <w:b w:val="false"/>
          <w:i w:val="false"/>
          <w:caps w:val="false"/>
          <w:smallCaps w:val="false"/>
          <w:strike/>
          <w:color w:val="FF0000"/>
          <w:sz w:val="20"/>
        </w:rPr>
        <w:t>At all times prior to the BXCL 701 Release Date, each of the BXCL 701 Subsidiaries shall be Subsidiary Guarantors on an unsecured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has the meaning assigned to such term in the definition of “Anti-Terrorism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Off-Balance Sheet Liability</w:t>
      </w:r>
      <w:r>
        <w:rPr>
          <w:rFonts w:ascii="Times New Roman;Times;Serif" w:hAnsi="Times New Roman;Times;Serif"/>
          <w:b w:val="false"/>
          <w:i w:val="false"/>
          <w:caps w:val="false"/>
          <w:smallCaps w:val="false"/>
          <w:sz w:val="20"/>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Option Right</w:t>
      </w:r>
      <w:r>
        <w:rPr>
          <w:rFonts w:ascii="Times New Roman;Times;Serif" w:hAnsi="Times New Roman;Times;Serif"/>
          <w:b w:val="false"/>
          <w:i w:val="false"/>
          <w:caps w:val="false"/>
          <w:smallCaps w:val="false"/>
          <w:sz w:val="20"/>
        </w:rPr>
        <w:t>” has the meaning set forth in the definition of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Ordinary Course</w:t>
      </w:r>
      <w:r>
        <w:rPr>
          <w:rFonts w:ascii="Times New Roman;Times;Serif" w:hAnsi="Times New Roman;Times;Serif"/>
          <w:b w:val="false"/>
          <w:i w:val="false"/>
          <w:caps w:val="false"/>
          <w:smallCaps w:val="false"/>
          <w:sz w:val="20"/>
        </w:rPr>
        <w:t>” means ordinary course of business or ordinary trade activities that are customary for similar businesses in the normal course of their ordinary operations and not while in financial distress.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Organic Document</w:t>
      </w:r>
      <w:r>
        <w:rPr>
          <w:rFonts w:ascii="Times New Roman;Times;Serif" w:hAnsi="Times New Roman;Times;Serif"/>
          <w:b w:val="false"/>
          <w:i w:val="false"/>
          <w:caps w:val="false"/>
          <w:smallCaps w:val="false"/>
          <w:sz w:val="20"/>
        </w:rPr>
        <w:t>” means, for any Person, such Person’s formation documents, including, as applicable, its certificate of incorporation, by-laws, certificate of partnership, partnership agreement, certificate of formation, limited liability agreement, operating agreement and all shareholder agreements, voting trusts and similar arrangements applicable to such Person’s Equity Interests, or any equivalent document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Other Taxes</w:t>
      </w:r>
      <w:r>
        <w:rPr>
          <w:rFonts w:ascii="Times New Roman;Times;Serif" w:hAnsi="Times New Roman;Times;Serif"/>
          <w:b w:val="false"/>
          <w:i w:val="false"/>
          <w:caps w:val="false"/>
          <w:smallCaps w:val="false"/>
          <w:sz w:val="20"/>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Entity</w:t>
      </w:r>
      <w:r>
        <w:rPr>
          <w:rFonts w:ascii="Times New Roman;Times;Serif" w:hAnsi="Times New Roman;Times;Serif"/>
          <w:b w:val="false"/>
          <w:i w:val="false"/>
          <w:caps w:val="false"/>
          <w:smallCaps w:val="false"/>
          <w:sz w:val="20"/>
        </w:rPr>
        <w:t>” means any direct or indirect parent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Patents</w:t>
      </w:r>
      <w:r>
        <w:rPr>
          <w:rFonts w:ascii="Times New Roman;Times;Serif" w:hAnsi="Times New Roman;Times;Serif"/>
          <w:b w:val="false"/>
          <w:i w:val="false"/>
          <w:caps w:val="false"/>
          <w:smallCaps w:val="false"/>
          <w:sz w:val="20"/>
        </w:rPr>
        <w:t>” means (i) all domestic, national, regional and foreign patents, patent rights, patent applications, provisional applications, patent disclosures and Invention disclosures issued or filed, (ii) any patent applications filed from such patents, patent rights, patent applications, provisional applications, patent disclosures and Invention disclosures claiming priority to any of these, including renewals, divisionals, continuations, continuations-in-part, substitutions, provisionals, converted provisionals, and continued prosecution applications, (iii) any patents that have issued or in the future issue from the foregoing described in clauses (i) and (ii), including utility models, petty patents and design patents and certificates of invention; and (iv) all extensions or restorations by existing or future extension or restoration mechanisms, including revalidations, reissues, re-examinations, revisions, and term extensions (including any supplementary protection certificates and the like) of the foregoing patents or patent applications described in clauses (i), (ii) and (iii), including the Inventions claimed in any of the foregoing and any priority rights arising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Patriot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Payment Date</w:t>
      </w:r>
      <w:r>
        <w:rPr>
          <w:rFonts w:ascii="Times New Roman;Times;Serif" w:hAnsi="Times New Roman;Times;Serif"/>
          <w:b w:val="false"/>
          <w:i w:val="false"/>
          <w:caps w:val="false"/>
          <w:smallCaps w:val="false"/>
          <w:sz w:val="20"/>
        </w:rPr>
        <w:t>” means (i) March 31, June 30, September 30 and December 31 of each year, commencing on the first such date to occur after the Closing Date (provided, that if such date is not a Business Day, then on the immediately preceding Business Day); and (ii)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PBGC</w:t>
      </w:r>
      <w:r>
        <w:rPr>
          <w:rFonts w:ascii="Times New Roman;Times;Serif" w:hAnsi="Times New Roman;Times;Serif"/>
          <w:b w:val="false"/>
          <w:i w:val="false"/>
          <w:caps w:val="false"/>
          <w:smallCaps w:val="false"/>
          <w:sz w:val="20"/>
        </w:rPr>
        <w:t>” means the United States Pension Benefit Guaranty Corporation referred to and defined in ERISA and any successor entity performing similar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Perfection Requirements</w:t>
      </w:r>
      <w:r>
        <w:rPr>
          <w:rFonts w:ascii="Times New Roman;Times;Serif" w:hAnsi="Times New Roman;Times;Serif"/>
          <w:b w:val="false"/>
          <w:i w:val="false"/>
          <w:caps w:val="false"/>
          <w:smallCaps w:val="false"/>
          <w:sz w:val="20"/>
        </w:rPr>
        <w:t>” means the filing of appropriate financing statements with the applicable filing office and the filing of appropriate assignments or notices with the U.S. Patent and Trademark Office and the U.S. Copyright Office, in each case in favor of Administrative Agent, the delivery to Administrative Agent of any stock certificates or promissory notes (and any corresponding stock powers or allonges), control agreements and any other Security Documents required to be delivered or actions to be taken pursuant to the applicable Loan Documents and the making or procuring of any other registrations, filings, endorsements, notarizations, stampings and/or notifications of the Security Documents or the Liens created thereunder necessary for the validity and enforceability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Permitted Capital Raise Activities</w:t>
      </w:r>
      <w:r>
        <w:rPr>
          <w:rFonts w:ascii="Times New Roman;Times;Serif" w:hAnsi="Times New Roman;Times;Serif"/>
          <w:b w:val="false"/>
          <w:i w:val="false"/>
          <w:caps w:val="false"/>
          <w:smallCaps w:val="false"/>
          <w:color w:val="0000FF"/>
          <w:sz w:val="20"/>
          <w:u w:val="single"/>
        </w:rPr>
        <w:t xml:space="preserve">” has the meaning set forth in </w:t>
      </w:r>
      <w:r>
        <w:rPr>
          <w:rFonts w:ascii="Times New Roman;Times;Serif" w:hAnsi="Times New Roman;Times;Serif"/>
          <w:b/>
          <w:i/>
          <w:caps w:val="false"/>
          <w:smallCaps w:val="false"/>
          <w:color w:val="0000FF"/>
          <w:sz w:val="20"/>
          <w:u w:val="single"/>
        </w:rPr>
        <w:t>Section 8.24</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Permitted Acquisition</w:t>
      </w:r>
      <w:r>
        <w:rPr>
          <w:rFonts w:ascii="Times New Roman;Times;Serif" w:hAnsi="Times New Roman;Times;Serif"/>
          <w:b w:val="false"/>
          <w:i w:val="false"/>
          <w:caps w:val="false"/>
          <w:smallCaps w:val="false"/>
          <w:strike/>
          <w:color w:val="FF0000"/>
          <w:sz w:val="20"/>
        </w:rPr>
        <w:t xml:space="preserve">” means any Acquisition by the Borrower or any of its Subsidiaries, whether by purchase, merger or otherwise; </w:t>
      </w:r>
      <w:r>
        <w:rPr>
          <w:rFonts w:ascii="Times New Roman;Times;Serif" w:hAnsi="Times New Roman;Times;Serif"/>
          <w:b w:val="false"/>
          <w:i w:val="false"/>
          <w:caps w:val="false"/>
          <w:smallCaps w:val="false"/>
          <w:strike/>
          <w:color w:val="FF0000"/>
          <w:sz w:val="20"/>
          <w:u w:val="single"/>
        </w:rPr>
        <w:t xml:space="preserve">provided </w:t>
      </w:r>
      <w:r>
        <w:rPr>
          <w:rFonts w:ascii="Times New Roman;Times;Serif" w:hAnsi="Times New Roman;Times;Serif"/>
          <w:b w:val="false"/>
          <w:i w:val="false"/>
          <w:caps w:val="false"/>
          <w:smallCaps w:val="false"/>
          <w:strike/>
          <w:color w:val="FF0000"/>
          <w:sz w:val="20"/>
        </w:rPr>
        <w:t>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immediately prior to, and immediately after giving effect thereto, no Default or Event of Default shall have occurred and be continuing or would reasonably be expected to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such Acquisition shall comply in all material respects with all applicable Laws and all applicable Governmental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in the case of any Acquisition of Equity Interests of another Person, after giving effect to such Acquisition, all Equity Interests of such other Person acquired by the Borrower or any of its Subsidiaries shall be owned, directly or indirectly, beneficially and of record, by the Borrower or any of its Subsidiaries, and, the Borrower shall cause such acquired Person to satisfy each of the actions set forth in </w:t>
      </w:r>
      <w:r>
        <w:rPr>
          <w:rFonts w:ascii="Times New Roman;Times;Serif" w:hAnsi="Times New Roman;Times;Serif"/>
          <w:b/>
          <w:i w:val="false"/>
          <w:caps w:val="false"/>
          <w:smallCaps w:val="false"/>
          <w:strike/>
          <w:color w:val="FF0000"/>
          <w:sz w:val="20"/>
        </w:rPr>
        <w:t xml:space="preserve">Section 8.11 </w:t>
      </w:r>
      <w:r>
        <w:rPr>
          <w:rFonts w:ascii="Times New Roman;Times;Serif" w:hAnsi="Times New Roman;Times;Serif"/>
          <w:b w:val="false"/>
          <w:i w:val="false"/>
          <w:caps w:val="false"/>
          <w:smallCaps w:val="false"/>
          <w:strike/>
          <w:color w:val="FF0000"/>
          <w:sz w:val="20"/>
        </w:rPr>
        <w:t>as required by such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if such Acquisition is structured as an in-license of Intellectual Property, all actions shall have been taken that are necessary or reasonably requested by the Administrative Agent to provide and perfect a first priority Lien to the Administrative Agent in such in-license (in each case, subject to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on a </w:t>
      </w:r>
      <w:r>
        <w:rPr>
          <w:rFonts w:ascii="Times New Roman;Times;Serif" w:hAnsi="Times New Roman;Times;Serif"/>
          <w:b w:val="false"/>
          <w:i/>
          <w:caps w:val="false"/>
          <w:smallCaps w:val="false"/>
          <w:strike/>
          <w:color w:val="FF0000"/>
          <w:sz w:val="20"/>
        </w:rPr>
        <w:t xml:space="preserve">pro forma </w:t>
      </w:r>
      <w:r>
        <w:rPr>
          <w:rFonts w:ascii="Times New Roman;Times;Serif" w:hAnsi="Times New Roman;Times;Serif"/>
          <w:b w:val="false"/>
          <w:i w:val="false"/>
          <w:caps w:val="false"/>
          <w:smallCaps w:val="false"/>
          <w:strike/>
          <w:color w:val="FF0000"/>
          <w:sz w:val="20"/>
        </w:rPr>
        <w:t xml:space="preserve">basis after giving effect to such Acquisition, the Borrower and its Subsidiaries shall be in compliance with the financial covenants set forth in </w:t>
      </w:r>
      <w:r>
        <w:rPr>
          <w:rFonts w:ascii="Times New Roman;Times;Serif" w:hAnsi="Times New Roman;Times;Serif"/>
          <w:b/>
          <w:i w:val="false"/>
          <w:caps w:val="false"/>
          <w:smallCaps w:val="false"/>
          <w:strike/>
          <w:color w:val="FF0000"/>
          <w:sz w:val="20"/>
        </w:rPr>
        <w:t>Section 10</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(f)</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to the extent that the purchase price for any such Acquisition is paid in cash, the amount thereof does not exceed $10,000,000 (or the Equivalent Amount in other currencies) in any fiscal year (excluding any Deferred Acquisition Consideration consisting of milestone and royalty payments that are calculated on the basis of future revenues pursuant to an agreement entered as an Arm’s Length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(g)</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to the extent that the purchase price for any such Acquisition is paid in Equity Interests, all such Equity Interests shall be 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(h)</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in the case of any such Acquisition that has a purchase price (excluding any Deferred Acquisition Consideration consisting of milestone and royalty payments that are in each case calculated on the basis of future revenues pursuant to an agreement entered as an Arm’s Length Transaction) in excess of $35,000,000 (or the Equivalent Amount in other currencies), (A) the Borrower shall provide to the Administrative Agent (i) at least ten (10) Business Day’s prior written notice of any such Acquisition, together with summaries, prepared in reasonable detail, of all due diligence conducted by or on behalf of the Borrower or the applicable Subsidiary, as applicable, prior to such Acquisition, in each case subject to customary confidentiality restrictions, (ii) subject to customary confidentiality restrictions, a copy of the draft purchase agreement related to the proposed Acquisition (and any related documents requested by the Administrative Agent), (iii) pro forma financial statements of the Borrower and its Subsidiaries (</w:t>
      </w:r>
      <w:r>
        <w:rPr>
          <w:rFonts w:ascii="Times New Roman;Times;Serif" w:hAnsi="Times New Roman;Times;Serif"/>
          <w:b w:val="false"/>
          <w:i w:val="false"/>
          <w:caps w:val="false"/>
          <w:smallCaps w:val="false"/>
          <w:strike/>
          <w:color w:val="008000"/>
          <w:sz w:val="20"/>
        </w:rPr>
        <w:t xml:space="preserve">as of the last day of </w:t>
      </w:r>
      <w:r>
        <w:rPr>
          <w:rFonts w:ascii="Times New Roman;Times;Serif" w:hAnsi="Times New Roman;Times;Serif"/>
          <w:b w:val="false"/>
          <w:i w:val="false"/>
          <w:caps w:val="false"/>
          <w:smallCaps w:val="false"/>
          <w:strike/>
          <w:color w:val="FF0000"/>
          <w:sz w:val="20"/>
        </w:rPr>
        <w:t xml:space="preserve">the most recently ended fiscal quarter prior to the date of consummation of such Acquisition for which financial statements are required to be delivered pursuant to </w:t>
      </w:r>
      <w:r>
        <w:rPr>
          <w:rFonts w:ascii="Times New Roman;Times;Serif" w:hAnsi="Times New Roman;Times;Serif"/>
          <w:b/>
          <w:i w:val="false"/>
          <w:caps w:val="false"/>
          <w:smallCaps w:val="false"/>
          <w:strike/>
          <w:color w:val="FF0000"/>
          <w:sz w:val="20"/>
        </w:rPr>
        <w:t>Section</w:t>
      </w:r>
      <w:r>
        <w:rPr>
          <w:rFonts w:ascii="Times New Roman;Times;Serif" w:hAnsi="Times New Roman;Times;Serif"/>
          <w:b w:val="false"/>
          <w:i w:val="false"/>
          <w:caps w:val="false"/>
          <w:smallCaps w:val="false"/>
          <w:strike/>
          <w:color w:val="FF0000"/>
          <w:sz w:val="20"/>
        </w:rPr>
        <w:t> </w:t>
      </w:r>
      <w:r>
        <w:rPr>
          <w:rFonts w:ascii="Times New Roman;Times;Serif" w:hAnsi="Times New Roman;Times;Serif"/>
          <w:b/>
          <w:i w:val="false"/>
          <w:caps w:val="false"/>
          <w:smallCaps w:val="false"/>
          <w:strike/>
          <w:color w:val="FF0000"/>
          <w:sz w:val="20"/>
        </w:rPr>
        <w:t>8.01(a) </w:t>
      </w:r>
      <w:r>
        <w:rPr>
          <w:rFonts w:ascii="Times New Roman;Times;Serif" w:hAnsi="Times New Roman;Times;Serif"/>
          <w:b w:val="false"/>
          <w:i w:val="false"/>
          <w:caps w:val="false"/>
          <w:smallCaps w:val="false"/>
          <w:strike/>
          <w:color w:val="FF0000"/>
          <w:sz w:val="20"/>
        </w:rPr>
        <w:t xml:space="preserve">or </w:t>
      </w:r>
      <w:r>
        <w:rPr>
          <w:rFonts w:ascii="Times New Roman;Times;Serif" w:hAnsi="Times New Roman;Times;Serif"/>
          <w:b/>
          <w:i w:val="false"/>
          <w:caps w:val="false"/>
          <w:smallCaps w:val="false"/>
          <w:strike/>
          <w:color w:val="FF0000"/>
          <w:sz w:val="20"/>
        </w:rPr>
        <w:t>(b)</w:t>
      </w:r>
      <w:r>
        <w:rPr>
          <w:rFonts w:ascii="Times New Roman;Times;Serif" w:hAnsi="Times New Roman;Times;Serif"/>
          <w:b w:val="false"/>
          <w:i w:val="false"/>
          <w:caps w:val="false"/>
          <w:smallCaps w:val="false"/>
          <w:strike/>
          <w:color w:val="FF0000"/>
          <w:sz w:val="20"/>
        </w:rPr>
        <w:t>) after giving effect to such Acquisition, and (iv) subject to customary confidentiality restrictions, any other information reasonably requested (to the extent available), by the Administrative Agent and available to the Obligors and (B) to the extent the cash purchase price exceeds $35,000,000 (or the Equivalent Amount in other currencies) (excluding any Deferred Acquisition Consideration consisting of milestone and royalty payments that are calculated on the basis of future revenues pursuant to an agreement entered as an Arm’s Length Transaction), the Administrative Agent shall have consented to in writing to such Acquisition (such consent not to be unreasonably delayed, withheld or conditioned);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no Obligor or any of its Subsidiaries (including any acquired Person) shall, in connection with any such Acquisition, assume or remain liable with respect to (x) any Indebtedness of the related seller or the business, Person or assets acquired, except to the extent permitted pursuant to </w:t>
      </w:r>
      <w:r>
        <w:rPr>
          <w:rFonts w:ascii="Times New Roman;Times;Serif" w:hAnsi="Times New Roman;Times;Serif"/>
          <w:b/>
          <w:i w:val="false"/>
          <w:caps w:val="false"/>
          <w:smallCaps w:val="false"/>
          <w:strike/>
          <w:color w:val="FF0000"/>
          <w:sz w:val="20"/>
        </w:rPr>
        <w:t>Section 9.01(l)</w:t>
      </w:r>
      <w:r>
        <w:rPr>
          <w:rFonts w:ascii="Times New Roman;Times;Serif" w:hAnsi="Times New Roman;Times;Serif"/>
          <w:b w:val="false"/>
          <w:i w:val="false"/>
          <w:caps w:val="false"/>
          <w:smallCaps w:val="false"/>
          <w:strike/>
          <w:color w:val="FF0000"/>
          <w:sz w:val="20"/>
        </w:rPr>
        <w:t xml:space="preserve">, (y) any Lien on any business, Person or assets acquired, except to the extent permitted pursuant to </w:t>
      </w:r>
      <w:r>
        <w:rPr>
          <w:rFonts w:ascii="Times New Roman;Times;Serif" w:hAnsi="Times New Roman;Times;Serif"/>
          <w:b/>
          <w:i w:val="false"/>
          <w:caps w:val="false"/>
          <w:smallCaps w:val="false"/>
          <w:strike/>
          <w:color w:val="FF0000"/>
          <w:sz w:val="20"/>
        </w:rPr>
        <w:t>Section 9.02</w:t>
      </w:r>
      <w:r>
        <w:rPr>
          <w:rFonts w:ascii="Times New Roman;Times;Serif" w:hAnsi="Times New Roman;Times;Serif"/>
          <w:b w:val="false"/>
          <w:i w:val="false"/>
          <w:caps w:val="false"/>
          <w:smallCaps w:val="false"/>
          <w:strike/>
          <w:color w:val="FF0000"/>
          <w:sz w:val="20"/>
        </w:rPr>
        <w:t>, (z) any other liabilities (including Tax, ERISA and environmental liabilities), except to the extent the assumption of such liability would not reasonably be expected to result in a Material Adverse Effect. Any other such Indebtedness, liabilities or Liens not permitted to be assumed, continued or otherwise supported by any Obligor or Subsidiary thereof hereunder shall be paid in full or released within sixty (60) days of the acquisition date as to the business, Persons or properties being so acquired on or before the consummation of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trike/>
          <w:color w:val="FF0000"/>
        </w:rPr>
        <w:t>“</w:t>
      </w:r>
      <w:r>
        <w:rPr>
          <w:rFonts w:ascii="Times New Roman;Times;Serif" w:hAnsi="Times New Roman;Times;Serif"/>
          <w:b/>
          <w:i/>
          <w:caps w:val="false"/>
          <w:smallCaps w:val="false"/>
          <w:strike/>
          <w:color w:val="FF0000"/>
          <w:sz w:val="20"/>
        </w:rPr>
        <w:t>Permitted Bond Hedge Transaction</w:t>
      </w:r>
      <w:r>
        <w:rPr>
          <w:rFonts w:ascii="Times New Roman;Times;Serif" w:hAnsi="Times New Roman;Times;Serif"/>
          <w:b w:val="false"/>
          <w:i w:val="false"/>
          <w:caps w:val="false"/>
          <w:smallCaps w:val="false"/>
          <w:strike/>
          <w:color w:val="FF0000"/>
          <w:sz w:val="20"/>
        </w:rPr>
        <w:t xml:space="preserve">” means any call or capped call option (or substantively equivalent derivative transaction) relating to the Borrower’s common stock (or other securities or property following a merger event, reclassification or other change of the common stock of the Borrower) that is (A) purchased by the Borrower in connection with the issuance of any Permitted Convertible Debt, (B) settled in common stock of the Borrower (or such other securities or property), cash or a combination thereof (such amount of cash determined by reference to the price of the Borrower’s common stock or such other securities or property), and cash in lieu of fractional </w:t>
      </w:r>
      <w:r>
        <w:rPr>
          <w:rFonts w:ascii="Times New Roman;Times;Serif" w:hAnsi="Times New Roman;Times;Serif"/>
          <w:b w:val="false"/>
          <w:i w:val="false"/>
          <w:caps w:val="false"/>
          <w:smallCaps w:val="false"/>
          <w:strike/>
          <w:color w:val="008000"/>
          <w:sz w:val="20"/>
        </w:rPr>
        <w:t xml:space="preserve">shares of common stock of the Borrower </w:t>
      </w:r>
      <w:r>
        <w:rPr>
          <w:rFonts w:ascii="Times New Roman;Times;Serif" w:hAnsi="Times New Roman;Times;Serif"/>
          <w:b w:val="false"/>
          <w:i w:val="false"/>
          <w:caps w:val="false"/>
          <w:smallCaps w:val="false"/>
          <w:strike/>
          <w:color w:val="FF0000"/>
          <w:sz w:val="20"/>
        </w:rPr>
        <w:t>and (C) on terms and conditions customary for bond hedge transactions in respect of broadly distributed 144A convertible bond transactions as reasonably determined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Permitted BXCL 701 Control Event</w:t>
      </w:r>
      <w:r>
        <w:rPr>
          <w:rFonts w:ascii="Times New Roman;Times;Serif" w:hAnsi="Times New Roman;Times;Serif"/>
          <w:b w:val="false"/>
          <w:i w:val="false"/>
          <w:caps w:val="false"/>
          <w:smallCaps w:val="false"/>
          <w:strike/>
          <w:color w:val="FF0000"/>
          <w:sz w:val="20"/>
        </w:rPr>
        <w:t xml:space="preserve">” means a Permitted BXCL 701 Disposition Event that (taken together with all prior Permitted BXCL 701 Disposition Events) results in one or more unaffiliated third parties owning, in the aggregate, more than 30% of the Equity Interests in the BXCL 701 Subsidiaries (excluding any Equity Interests issued pursuant to </w:t>
      </w:r>
      <w:r>
        <w:rPr>
          <w:rFonts w:ascii="Times New Roman;Times;Serif" w:hAnsi="Times New Roman;Times;Serif"/>
          <w:b/>
          <w:i w:val="false"/>
          <w:caps w:val="false"/>
          <w:smallCaps w:val="false"/>
          <w:strike/>
          <w:color w:val="FF0000"/>
          <w:sz w:val="20"/>
        </w:rPr>
        <w:t>Section 9.09(o)</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Permitted BXCL 701 Disposition Event</w:t>
      </w:r>
      <w:r>
        <w:rPr>
          <w:rFonts w:ascii="Times New Roman;Times;Serif" w:hAnsi="Times New Roman;Times;Serif"/>
          <w:b w:val="false"/>
          <w:i w:val="false"/>
          <w:caps w:val="false"/>
          <w:smallCaps w:val="false"/>
          <w:strike/>
          <w:color w:val="FF0000"/>
          <w:sz w:val="20"/>
        </w:rPr>
        <w:t>” means a Permitted BXCL 701 Primary Disposition Event or a Permitted BXCL 701 Secondary Disposition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Permitted BXCL 701 Primary Disposition Event</w:t>
      </w:r>
      <w:r>
        <w:rPr>
          <w:rFonts w:ascii="Times New Roman;Times;Serif" w:hAnsi="Times New Roman;Times;Serif"/>
          <w:b w:val="false"/>
          <w:i w:val="false"/>
          <w:caps w:val="false"/>
          <w:smallCaps w:val="false"/>
          <w:strike/>
          <w:color w:val="FF0000"/>
          <w:sz w:val="20"/>
        </w:rPr>
        <w:t xml:space="preserve">” means (i) any investment in the BXCL 701 Subsidiaries by an unaffiliated third-party institutional investor or licensee or collaboration partner on arm’s length terms and for fair market value or (ii) a Qualifying IPO;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that, after giving effect to such Permitted BXCL 701 Primary Disposition Event and any related transactions, the Borrower shall be in pro forma compliance with the Minimum Liquidity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Permitted BXCL 701 Release Event</w:t>
      </w:r>
      <w:r>
        <w:rPr>
          <w:rFonts w:ascii="Times New Roman;Times;Serif" w:hAnsi="Times New Roman;Times;Serif"/>
          <w:b w:val="false"/>
          <w:i w:val="false"/>
          <w:caps w:val="false"/>
          <w:smallCaps w:val="false"/>
          <w:strike/>
          <w:color w:val="FF0000"/>
          <w:sz w:val="20"/>
        </w:rPr>
        <w:t xml:space="preserve">” means a Permitted BXCL 701 Disposition Event that (taken together with all prior Permitted BXCL 701 Disposition Events) (i) results in one or more unaffiliated third parties owning, in the aggregate, more than 20% of the Equity Interests in the BXCL 701 Subsidiaries (excluding any Equity Interests issued pursuant to </w:t>
      </w:r>
      <w:r>
        <w:rPr>
          <w:rFonts w:ascii="Times New Roman;Times;Serif" w:hAnsi="Times New Roman;Times;Serif"/>
          <w:b/>
          <w:i w:val="false"/>
          <w:caps w:val="false"/>
          <w:smallCaps w:val="false"/>
          <w:strike/>
          <w:color w:val="FF0000"/>
          <w:sz w:val="20"/>
        </w:rPr>
        <w:t>Section 9.09(o)</w:t>
      </w:r>
      <w:r>
        <w:rPr>
          <w:rFonts w:ascii="Times New Roman;Times;Serif" w:hAnsi="Times New Roman;Times;Serif"/>
          <w:b w:val="false"/>
          <w:i w:val="false"/>
          <w:caps w:val="false"/>
          <w:smallCaps w:val="false"/>
          <w:strike/>
          <w:color w:val="FF0000"/>
          <w:sz w:val="20"/>
        </w:rPr>
        <w:t>) or (ii) is a Qualifying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Permitted BXCL 701 Secondary Disposition Event</w:t>
      </w:r>
      <w:r>
        <w:rPr>
          <w:rFonts w:ascii="Times New Roman;Times;Serif" w:hAnsi="Times New Roman;Times;Serif"/>
          <w:b w:val="false"/>
          <w:i w:val="false"/>
          <w:caps w:val="false"/>
          <w:smallCaps w:val="false"/>
          <w:strike/>
          <w:color w:val="FF0000"/>
          <w:sz w:val="20"/>
        </w:rPr>
        <w:t xml:space="preserve">” means (i) any sale by the Borrower or a Subsidiary (other than a BXCL 701 Subsidiary) of Equity Interests in a BXCL 701 Subsidiary to an unaffiliated third-party institutional investor or licensee or collaboration partner on arm’s length terms and for fair market value or (ii) the transfer, on arm’s length terms and for fair market value, to an unaffiliated third party, of all or substantially all of the BXCL 701 Assets (whether by sale, license, joint venture, reverse merger or otherwise);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that, after giving effect to any Permitted BXCL 701 Secondary Disposition Event and any related transactions, the Borrower shall be in pro forma compliance with the Minimum Liquidity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Cash Equivalent Investments</w:t>
      </w:r>
      <w:r>
        <w:rPr>
          <w:rFonts w:ascii="Times New Roman;Times;Serif" w:hAnsi="Times New Roman;Times;Serif"/>
          <w:b w:val="false"/>
          <w:i w:val="false"/>
          <w:caps w:val="false"/>
          <w:smallCaps w:val="false"/>
          <w:sz w:val="20"/>
        </w:rPr>
        <w:t>” means (i) marketable direct obligations issued or unconditionally guaranteed by the United States or any member states of the European Union or any agency or any state thereof having maturities of not more than one (1) year from the date of acquisition, (ii) commercial paper maturing no more than two hundred seventy (270) days after the date of acquisition thereof and having the highest rating from either Standard &amp; Poor’s Ratings Group or Moody’s Investors Service, Inc., (iii) certificates of deposit maturing no more than one (1) year after issue that are issued by any bank organized under the Laws of the United States, or any state thereof, or the District of Columbia, or any U.S. branch of a foreign bank having, at the date of acquisition thereof, combined capital and surplus of not less than $500,000,000 (or the Equivalent Amount in other currencies), (iv) any Investments compliant with the Borrower’s investment policy in the form provided to the Administrative Agent prior to the Closing Date, subject to amendments to such investment policy approved by the Administrative Agent in writing (such approval not to be unreasonably withheld, conditioned or delayed), and (v) any money market or similar funds that exclusively hold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trike/>
          <w:color w:val="FF0000"/>
        </w:rPr>
        <w:t>“</w:t>
      </w:r>
      <w:r>
        <w:rPr>
          <w:rFonts w:ascii="Times New Roman;Times;Serif" w:hAnsi="Times New Roman;Times;Serif"/>
          <w:b/>
          <w:i/>
          <w:caps w:val="false"/>
          <w:smallCaps w:val="false"/>
          <w:strike/>
          <w:color w:val="FF0000"/>
          <w:sz w:val="20"/>
        </w:rPr>
        <w:t>Permitted Convertible Debt</w:t>
      </w:r>
      <w:r>
        <w:rPr>
          <w:rFonts w:ascii="Times New Roman;Times;Serif" w:hAnsi="Times New Roman;Times;Serif"/>
          <w:b w:val="false"/>
          <w:i w:val="false"/>
          <w:caps w:val="false"/>
          <w:smallCaps w:val="false"/>
          <w:strike/>
          <w:color w:val="FF0000"/>
          <w:sz w:val="20"/>
        </w:rPr>
        <w:t xml:space="preserve">” means unsecured Indebtedness of the Borrower that (i) contains customary conversion rights for broadly distributed 144A convertible bond transactions as of the date of issuance and (ii) is convertible into shares of common stock of the Borrower, cash or a combination thereof (such amount of cash determined by reference to the price </w:t>
      </w:r>
      <w:r>
        <w:rPr>
          <w:rFonts w:ascii="Times New Roman;Times;Serif" w:hAnsi="Times New Roman;Times;Serif"/>
          <w:b w:val="false"/>
          <w:i w:val="false"/>
          <w:caps w:val="false"/>
          <w:smallCaps w:val="false"/>
          <w:strike/>
          <w:color w:val="008000"/>
          <w:sz w:val="20"/>
        </w:rPr>
        <w:t xml:space="preserve">of the Borrower’s common stock </w:t>
      </w:r>
      <w:r>
        <w:rPr>
          <w:rFonts w:ascii="Times New Roman;Times;Serif" w:hAnsi="Times New Roman;Times;Serif"/>
          <w:b w:val="false"/>
          <w:i w:val="false"/>
          <w:caps w:val="false"/>
          <w:smallCaps w:val="false"/>
          <w:strike/>
          <w:color w:val="FF0000"/>
          <w:sz w:val="20"/>
        </w:rPr>
        <w:t xml:space="preserve">or such other securities or property), or cash in lieu of fractional shares of common stock of the Borrower;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that any such indebtedness shall (A) mature, and not be subject to mandatory repurchase or redemption (other than in connection with a customary change of control or “fundamental change” provision), at least 270 days after the Maturity Date, (B) have recourse only to the Borrower and (C) not have an all-in-yield greater than 550 basis points as determined in good faith by the Administrative Agent (with any original issue discount equated to interest based on the convertible debt maturity date and excluding any additional or special interest that may become payable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Hedging Agreement</w:t>
      </w:r>
      <w:r>
        <w:rPr>
          <w:rFonts w:ascii="Times New Roman;Times;Serif" w:hAnsi="Times New Roman;Times;Serif"/>
          <w:b w:val="false"/>
          <w:i w:val="false"/>
          <w:caps w:val="false"/>
          <w:smallCaps w:val="false"/>
          <w:sz w:val="20"/>
        </w:rPr>
        <w:t>” means a Hedging Agreement entered into by any Obligor in such Obligor’s Ordinary Course for the purpose of hedging currency risks or interest rate risks (and not for speculative purposes) and (x) with respect to hedging currency risks, in an aggregate notional amount for all such Hedging Agreements not in excess of $10,000,000 (or the Equivalent Amount in other currencies) and (y) with respect to hedging interest rate risks, in an aggregate notional amount for all such Hedging Agreements in excess of 50%, but not more than 100%, of the aggregate principal amount of Loans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Holder</w:t>
      </w:r>
      <w:r>
        <w:rPr>
          <w:rFonts w:ascii="Times New Roman;Times;Serif" w:hAnsi="Times New Roman;Times;Serif"/>
          <w:b w:val="false"/>
          <w:i w:val="false"/>
          <w:caps w:val="false"/>
          <w:smallCaps w:val="false"/>
          <w:sz w:val="20"/>
        </w:rPr>
        <w:t>” means BioXcel LLC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Indebtedness</w:t>
      </w:r>
      <w:r>
        <w:rPr>
          <w:rFonts w:ascii="Times New Roman;Times;Serif" w:hAnsi="Times New Roman;Times;Serif"/>
          <w:b w:val="false"/>
          <w:i w:val="false"/>
          <w:caps w:val="false"/>
          <w:smallCaps w:val="false"/>
          <w:sz w:val="20"/>
        </w:rPr>
        <w:t xml:space="preserve">” means any Indebtedness permitted under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Licenses</w:t>
      </w:r>
      <w:r>
        <w:rPr>
          <w:rFonts w:ascii="Times New Roman;Times;Serif" w:hAnsi="Times New Roman;Times;Serif"/>
          <w:b w:val="false"/>
          <w:i w:val="false"/>
          <w:caps w:val="false"/>
          <w:smallCaps w:val="false"/>
          <w:sz w:val="20"/>
        </w:rPr>
        <w:t xml:space="preserve">” means (A) outbound non-exclusive licenses for the use of the Intellectual Property of any Obligor or any of its Subsidiaries entered into in the Ordinary Course, (B) exclusive licenses limited </w:t>
      </w:r>
      <w:r>
        <w:rPr>
          <w:rFonts w:ascii="Times New Roman;Times;Serif" w:hAnsi="Times New Roman;Times;Serif"/>
          <w:b w:val="false"/>
          <w:i w:val="false"/>
          <w:caps w:val="false"/>
          <w:smallCaps w:val="false"/>
          <w:strike/>
          <w:color w:val="FF0000"/>
          <w:sz w:val="20"/>
        </w:rPr>
        <w:t>(i) </w:t>
      </w:r>
      <w:r>
        <w:rPr>
          <w:rFonts w:ascii="Times New Roman;Times;Serif" w:hAnsi="Times New Roman;Times;Serif"/>
          <w:b w:val="false"/>
          <w:i w:val="false"/>
          <w:caps w:val="false"/>
          <w:smallCaps w:val="false"/>
          <w:sz w:val="20"/>
        </w:rPr>
        <w:t xml:space="preserve">in territory solely with respect to a specific geographic country or region outside of the United States </w:t>
      </w:r>
      <w:r>
        <w:rPr>
          <w:rFonts w:ascii="Times New Roman;Times;Serif" w:hAnsi="Times New Roman;Times;Serif"/>
          <w:b w:val="false"/>
          <w:i w:val="false"/>
          <w:caps w:val="false"/>
          <w:smallCaps w:val="false"/>
          <w:strike/>
          <w:color w:val="FF0000"/>
          <w:sz w:val="20"/>
        </w:rPr>
        <w:t>or (ii) to BXCL 701 and the Emerging 701 Pipeline so long as such exclusive license is not in substance a sale of BXCL 701 or any Products in the Emerging 701 Pipeline (because it conveys to the licensee or sublicensee exclusive rights to practice such Intellectual Property in the United States for consideration that is not based upon (1) the future development or commercialization of Product in the United States (e.g., pursuant to so-called earn-out payments or royalties based on net sales), or (2) the performance of services by the licensee or sublicensee (other than transition services), such as, for example, consideration of only upfront advances or initial license fees or similar initial payments in consideration of such rights with no anticipated subsequent payments or only de minimis subsequent payments to the BXCL 701 Subsidiaries), (</w:t>
      </w:r>
      <w:r>
        <w:rPr>
          <w:rFonts w:ascii="Times New Roman;Times;Serif" w:hAnsi="Times New Roman;Times;Serif"/>
          <w:b w:val="false"/>
          <w:i w:val="false"/>
          <w:caps w:val="false"/>
          <w:smallCaps w:val="false"/>
          <w:color w:val="0000FF"/>
          <w:sz w:val="20"/>
          <w:u w:val="single"/>
        </w:rPr>
        <w:t>, and (</w:t>
      </w:r>
      <w:r>
        <w:rPr>
          <w:rFonts w:ascii="Times New Roman;Times;Serif" w:hAnsi="Times New Roman;Times;Serif"/>
          <w:b w:val="false"/>
          <w:i w:val="false"/>
          <w:caps w:val="false"/>
          <w:smallCaps w:val="false"/>
          <w:sz w:val="20"/>
        </w:rPr>
        <w:t xml:space="preserve">C) promotion, manufacture or other collaborative arrangements with a third party in which an Obligor or any of its Subsidiaries grants a third party licenses under any of its Intellectual Property, but does not grant such third party the right to sell (unless the Administrative Agent shall otherwise consent, which consent shall not be unreasonably delayed, withheld or conditioned;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event Borrower requests such consent in writing to Administrative Agent, accompanied by a reasonably detailed description of the proposed arrangement, Administrative Agent shall respond to such request within ten (10) Business Days)</w:t>
      </w:r>
      <w:r>
        <w:rPr>
          <w:rFonts w:ascii="Times New Roman;Times;Serif" w:hAnsi="Times New Roman;Times;Serif"/>
          <w:b w:val="false"/>
          <w:i w:val="false"/>
          <w:caps w:val="false"/>
          <w:smallCaps w:val="false"/>
          <w:strike/>
          <w:color w:val="FF0000"/>
          <w:sz w:val="20"/>
        </w:rPr>
        <w:t>, and (D) subject to the applicable terms in this Agreement, licenses to a BXCL 701 Subsidiary for the use of the AI immune-oncology platform within the immune oncology field but excluding the neuroscience field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each license described in clauses (A) through (</w:t>
      </w:r>
      <w:r>
        <w:rPr>
          <w:rFonts w:ascii="Times New Roman;Times;Serif" w:hAnsi="Times New Roman;Times;Serif"/>
          <w:b w:val="false"/>
          <w:i w:val="false"/>
          <w:caps w:val="false"/>
          <w:smallCaps w:val="false"/>
          <w:strike/>
          <w:color w:val="FF0000"/>
          <w:sz w:val="20"/>
        </w:rPr>
        <w:t>D</w:t>
      </w: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rPr>
        <w:t>), such license constitutes an Arm’s Length Transaction, the terms of which (x) do not provide for a sale or assignment of any Intellectual Property, (y) do not restrict the ability of Borrower or any of its Subsidiaries, as applicable, to pledge or grant a security interest in or Lien on any Intellectual Property, and (z) are commercially reasonable (as determined in good faith by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Liens</w:t>
      </w:r>
      <w:r>
        <w:rPr>
          <w:rFonts w:ascii="Times New Roman;Times;Serif" w:hAnsi="Times New Roman;Times;Serif"/>
          <w:b w:val="false"/>
          <w:i w:val="false"/>
          <w:caps w:val="false"/>
          <w:smallCaps w:val="false"/>
          <w:sz w:val="20"/>
        </w:rPr>
        <w:t xml:space="preserve">” means any Liens permitted under </w:t>
      </w:r>
      <w:r>
        <w:rPr>
          <w:rFonts w:ascii="Times New Roman;Times;Serif" w:hAnsi="Times New Roman;Times;Serif"/>
          <w:b/>
          <w:i w:val="false"/>
          <w:caps w:val="false"/>
          <w:smallCaps w:val="false"/>
          <w:sz w:val="20"/>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Priority Liens</w:t>
      </w:r>
      <w:r>
        <w:rPr>
          <w:rFonts w:ascii="Times New Roman;Times;Serif" w:hAnsi="Times New Roman;Times;Serif"/>
          <w:b w:val="false"/>
          <w:i w:val="false"/>
          <w:caps w:val="false"/>
          <w:smallCaps w:val="false"/>
          <w:sz w:val="20"/>
        </w:rPr>
        <w:t xml:space="preserve">” means (a) Liens permitted under </w:t>
      </w:r>
      <w:r>
        <w:rPr>
          <w:rFonts w:ascii="Times New Roman;Times;Serif" w:hAnsi="Times New Roman;Times;Serif"/>
          <w:b/>
          <w:i w:val="false"/>
          <w:caps w:val="false"/>
          <w:smallCaps w:val="false"/>
          <w:sz w:val="20"/>
        </w:rPr>
        <w:t>Section 9.02 (c)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strike/>
          <w:color w:val="FF0000"/>
          <w:sz w:val="20"/>
        </w:rPr>
        <w:t>j)</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sz w:val="20"/>
        </w:rPr>
        <w:t>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(q)</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xml:space="preserve"> and (b) Liens permitted under </w:t>
      </w:r>
      <w:r>
        <w:rPr>
          <w:rFonts w:ascii="Times New Roman;Times;Serif" w:hAnsi="Times New Roman;Times;Serif"/>
          <w:b/>
          <w:i w:val="false"/>
          <w:caps w:val="false"/>
          <w:smallCaps w:val="false"/>
          <w:strike/>
          <w:color w:val="FF0000"/>
          <w:sz w:val="20"/>
        </w:rPr>
        <w:t>Sections</w:t>
      </w:r>
      <w:r>
        <w:rPr>
          <w:rFonts w:ascii="Times New Roman;Times;Serif" w:hAnsi="Times New Roman;Times;Serif"/>
          <w:b/>
          <w:i w:val="false"/>
          <w:caps w:val="false"/>
          <w:smallCaps w:val="false"/>
          <w:color w:val="0000FF"/>
          <w:sz w:val="20"/>
          <w:u w:val="single"/>
        </w:rPr>
        <w:t>Section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9.02(b)</w:t>
      </w:r>
      <w:r>
        <w:rPr>
          <w:rFonts w:ascii="Times New Roman;Times;Serif" w:hAnsi="Times New Roman;Times;Serif"/>
          <w:b/>
          <w:i w:val="false"/>
          <w:caps w:val="false"/>
          <w:smallCaps w:val="false"/>
          <w:strike/>
          <w:color w:val="FF0000"/>
          <w:sz w:val="20"/>
        </w:rPr>
        <w:t>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i w:val="false"/>
          <w:caps w:val="false"/>
          <w:smallCaps w:val="false"/>
          <w:strike/>
          <w:color w:val="FF0000"/>
          <w:sz w:val="20"/>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Liens are also of the type described in clause (a)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Refinancing</w:t>
      </w:r>
      <w:r>
        <w:rPr>
          <w:rFonts w:ascii="Times New Roman;Times;Serif" w:hAnsi="Times New Roman;Times;Serif"/>
          <w:b w:val="false"/>
          <w:i w:val="false"/>
          <w:caps w:val="false"/>
          <w:smallCaps w:val="false"/>
          <w:sz w:val="20"/>
        </w:rPr>
        <w:t xml:space="preserve">” means, with respect to any Indebtedness permitted to be refinanced, extended, renewed or replaced hereunder, any refinancings, extensions, renewals and replacements of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refinancing, extension, renewal or replacement shall not (i) increase the outstanding principal amount of the Indebtedness being refinanced, extended, renewed or replaced, except by an amount equal to accrued interest, any required prepayment premium and customary fees and expenses reasonably incurred, in connection therewith, (ii) contain terms relating to outstanding principal amount, amortization, maturity, collateral security (if any) or subordination (if any), or other material terms that, taken as a whole, are less favorable in any material respect to the Obligors and their respective Subsidiaries or the Secured Parties than the terms of any agreement or instrument governing such existing Indebtedness (as determined in good faith by the Borrower), (iii) have an applicable interest rate which does not exceed the greater of (A) the rate of interest of the Indebtedness being replaced and (B) the then applicable market interest rate, (iv) contain any new requirement to grant any Lien or to give any Guarantee that was not an existing requirement of such Indebtedness and (v) after giving effect to such refinancing, extension, renewal or replacement, no Default shall have occurred (or would reasonably be expected to occur) as a result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Permitted Tax Distributions</w:t>
      </w:r>
      <w:r>
        <w:rPr>
          <w:rFonts w:ascii="Times New Roman;Times;Serif" w:hAnsi="Times New Roman;Times;Serif"/>
          <w:b w:val="false"/>
          <w:i w:val="false"/>
          <w:caps w:val="false"/>
          <w:smallCaps w:val="false"/>
          <w:strike/>
          <w:color w:val="FF0000"/>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(A) for any taxable period ending prior to any Qualifying IPO and after the Closing Date for which the BXCL 701 Subsidiary is treated as a partnership (or disregarded as an entity separate from a partnership) that is not wholly-owned by a corporation </w:t>
      </w:r>
      <w:r>
        <w:rPr>
          <w:rFonts w:ascii="Times New Roman;Times;Serif" w:hAnsi="Times New Roman;Times;Serif"/>
          <w:b w:val="false"/>
          <w:i w:val="false"/>
          <w:caps w:val="false"/>
          <w:smallCaps w:val="false"/>
          <w:strike/>
          <w:color w:val="008000"/>
          <w:sz w:val="20"/>
        </w:rPr>
        <w:t>for U.S. federal income tax purposes</w:t>
      </w:r>
      <w:r>
        <w:rPr>
          <w:rFonts w:ascii="Times New Roman;Times;Serif" w:hAnsi="Times New Roman;Times;Serif"/>
          <w:b w:val="false"/>
          <w:i w:val="false"/>
          <w:caps w:val="false"/>
          <w:smallCaps w:val="false"/>
          <w:strike/>
          <w:color w:val="FF0000"/>
          <w:sz w:val="20"/>
        </w:rPr>
        <w:t>, in an aggregate amount for such taxable period not to exceed the product of (1) the taxable income of the BXCL 701 Subsidiary for such taxable period and (2) the highest combined marginal U.S. federal, state and/or local income tax rate (taking into account the character of the taxable income in question (e.g., long term capital gain, qualified dividend income, etc.)) applicable to any equityholder of the BXCL 701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 for any taxable period (or portion thereof) ending after any Qualifying IPO for which a BXCL 701 Subsidiary is treated as a partnership (or disregarded as an entity separate from a partnership) that is not wholly-owned by a corporation for U.S. federal income tax purposes, in an aggregate amount for such taxable period not to exceed the product of (1) the taxable income of the BXCL 701 Subsidiary for such taxable period (determined without regard to any adjustments pursuant to Section 734 or 743 of the Code), and (2) the highest combined marginal U.S. federal, state and/or local income tax rate (taking into account the character of the taxable income in question (e.g., long term capital gain, qualified dividend income, etc.)) applicable to any equityholder of the BXCL 701 Subsidiary; provided that, to the extent an equityholder a BXCL 701 Subsidiary would be entitled to receive less than its pro rata share (in accordance with relative economic ownership of the BXCL 701 Subsidiary) of the amounts of tax distributions otherwise distributable to the BXCL 701 Subsidiary pursuant to this clause (B) on any given date, the amounts of Permitted Tax Distributions otherwise permitted pursuant to this clause (B) shall be increased to ensure that the equityholders of the BXCL 701 Subsidiary shall receive an amount pursuant to this clause (B) so that all tax distributions by the BXCL 701 Subsidiary are made to its equityholders pro rata in accordance with relative economic ownership;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(C) for any taxable year ending after the Closing Date for which (i) the BXCL 701 Subsidiary is treated as a corporation that is a member of a consolidated, combined, unitary or similar income tax group for U.S. federal or applicable foreign, state and/or local income tax purposes (a “Tax Group”) of which a direct or indirect parent company of the BXCL 701 Subsidiary is the common parent or (ii) the BXCL 701 Subsidiary is a pass-through or disregarded entity for U.S. federal or applicable foreign, state or local income tax purposes that is wholly-owned (directly or indirectly) by a corporation for U.S. federal income tax purposes, any payments and distributions to fund the portion of the U.S. federal, foreign, state and/or local income taxes of such Tax Group or such corporation (as applicable) for such taxable period that is attributable to the taxable income of the BXCL 701 Subsidiary and/or the applicable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Permitted Warrant Transaction</w:t>
      </w:r>
      <w:r>
        <w:rPr>
          <w:rFonts w:ascii="Times New Roman;Times;Serif" w:hAnsi="Times New Roman;Times;Serif"/>
          <w:b w:val="false"/>
          <w:i w:val="false"/>
          <w:caps w:val="false"/>
          <w:smallCaps w:val="false"/>
          <w:strike/>
          <w:color w:val="FF0000"/>
          <w:sz w:val="20"/>
        </w:rPr>
        <w:t>” means any call option, warrant or right to purchase (or substantively equivalent derivative transaction) relating to the Borrower’s common stock (or other securities or property following a merger event, reclassification or other change of the common stock of the Borrower) sold by the Borrower and with recourse to the Borrower only, substantially concurrently with any purchase by the Borrower of a Permitted Bond Hedge Transaction and settled in common stock of the Borrower, cash or a combination thereof (such amount of cash determined by reference to the price of the Borrower’s common stock or such other securities or property), and cash in lieu of fractional shares of common stock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company, voluntary association, partnership, limited liability company, joint venture, trust, unincorporated organization or Governmental Authority or other entity of whatever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PIK Interest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Prepayment Fee</w:t>
      </w:r>
      <w:r>
        <w:rPr>
          <w:rFonts w:ascii="Times New Roman;Times;Serif" w:hAnsi="Times New Roman;Times;Serif"/>
          <w:b w:val="false"/>
          <w:i w:val="false"/>
          <w:caps w:val="false"/>
          <w:smallCaps w:val="false"/>
          <w:sz w:val="20"/>
        </w:rPr>
        <w:t xml:space="preserve">” means with respect to any prepayment of all or any portion of the Loans, whether by optional or mandatory prepayment, acceleration or otherwise (in each case, other than any scheduled amortization payment and other than any prepayment made pursuant to </w:t>
      </w:r>
      <w:r>
        <w:rPr>
          <w:rFonts w:ascii="Times New Roman;Times;Serif" w:hAnsi="Times New Roman;Times;Serif"/>
          <w:b/>
          <w:i w:val="false"/>
          <w:caps w:val="false"/>
          <w:smallCaps w:val="false"/>
          <w:sz w:val="20"/>
        </w:rPr>
        <w:t>Section 5.02</w:t>
      </w:r>
      <w:r>
        <w:rPr>
          <w:rFonts w:ascii="Times New Roman;Times;Serif" w:hAnsi="Times New Roman;Times;Serif"/>
          <w:b w:val="false"/>
          <w:i w:val="false"/>
          <w:caps w:val="false"/>
          <w:smallCaps w:val="false"/>
          <w:sz w:val="20"/>
        </w:rPr>
        <w:t xml:space="preserve">), occurring (i) on or prior to the second anniversary of the Closing Date, an amount equal to the amount of interest that would have been paid on the principal amount of the Loans being so repaid or prepaid for the period from and including the date of such repayment or prepayment to but excluding the date that is the two (2) year anniversary of the Closing Date,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four percent (4%) of the principal amount of the Loans being so repaid or prepaid and the Commitments being so terminated, provided that, with respect to any prepayment in connection with a Change of Control event, the Prepayment Fee shall be (A) twelve and one half percent (12.5%) of the aggregate outstanding principal amount of the Loans being so repaid or prepaid if such prepayment occurs on or prior to the first anniversary of the Closing Date, and (B) ten percent (10%) of the aggregate outstanding principal amount of the Loans being so repaid or prepaid if such prepayment occurs after the first anniversary of the Closing Date but on or prior to the second anniversary of the Closing Date, (ii) at any time after the second anniversary of the Closing Date but on or prior to the third anniversary of the Closing Date, an amount equal to four percent (4%) of the aggregate outstanding principal amount of the Loans being so repaid or prepaid, (iii) at any time after the third anniversary of the Closing Date but on or prior to the fourth anniversary of the Closing Date, an amount equal to two percent (2%) of the aggregate outstanding principal amount of the Loans being so repaid or prepaid and (iv) if the prepayment is made after the fourth anniversary of the Closing Date,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Prepayment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3.03(a)(i)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Pro Forma Basis</w:t>
      </w:r>
      <w:r>
        <w:rPr>
          <w:rFonts w:ascii="Times New Roman;Times;Serif" w:hAnsi="Times New Roman;Times;Serif"/>
          <w:b w:val="false"/>
          <w:i w:val="false"/>
          <w:caps w:val="false"/>
          <w:smallCaps w:val="false"/>
          <w:sz w:val="20"/>
        </w:rPr>
        <w:t xml:space="preserve">” means, with respect to the calculation of any financial ratio, as of any date, that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will be given to the Transactions</w:t>
      </w:r>
      <w:r>
        <w:rPr>
          <w:rFonts w:ascii="Times New Roman;Times;Serif" w:hAnsi="Times New Roman;Times;Serif"/>
          <w:b w:val="false"/>
          <w:i w:val="false"/>
          <w:caps w:val="false"/>
          <w:smallCaps w:val="false"/>
          <w:strike/>
          <w:color w:val="FF0000"/>
          <w:sz w:val="20"/>
        </w:rPr>
        <w:t>, any Permitted Acquisition</w:t>
      </w:r>
      <w:r>
        <w:rPr>
          <w:rFonts w:ascii="Times New Roman;Times;Serif" w:hAnsi="Times New Roman;Times;Serif"/>
          <w:b w:val="false"/>
          <w:i w:val="false"/>
          <w:caps w:val="false"/>
          <w:smallCaps w:val="false"/>
          <w:sz w:val="20"/>
        </w:rPr>
        <w:t>, any issuance, incurrence, assumption or permanent repayment of Indebtedness (including Indebtedness issued, incurred or assumed as a result of, or to finance, any relevant transaction and for which any such financial ratio is being calculated) and all sales, transfers and other dispositions or discontinuance of any subsidiary, line of business or division, in each case that have occurred during the four consecutive fiscal quarter period of the Borrower being used to calculate such financial ratio (the “</w:t>
      </w:r>
      <w:r>
        <w:rPr>
          <w:rFonts w:ascii="Times New Roman;Times;Serif" w:hAnsi="Times New Roman;Times;Serif"/>
          <w:b w:val="false"/>
          <w:i w:val="false"/>
          <w:caps w:val="false"/>
          <w:smallCaps w:val="false"/>
          <w:sz w:val="20"/>
          <w:u w:val="single"/>
        </w:rPr>
        <w:t>Reference Period</w:t>
      </w:r>
      <w:r>
        <w:rPr>
          <w:rFonts w:ascii="Times New Roman;Times;Serif" w:hAnsi="Times New Roman;Times;Serif"/>
          <w:b w:val="false"/>
          <w:i w:val="false"/>
          <w:caps w:val="false"/>
          <w:smallCaps w:val="false"/>
          <w:sz w:val="20"/>
        </w:rPr>
        <w:t>”), or subsequent to the end of the Reference Period but prior to such date or prior to or simultaneously with the event for which a determination under this definition is made, as if each such event occurred on the first day of the Reference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Product</w:t>
      </w:r>
      <w:r>
        <w:rPr>
          <w:rFonts w:ascii="Times New Roman;Times;Serif" w:hAnsi="Times New Roman;Times;Serif"/>
          <w:b w:val="false"/>
          <w:i w:val="false"/>
          <w:caps w:val="false"/>
          <w:smallCaps w:val="false"/>
          <w:sz w:val="20"/>
        </w:rPr>
        <w:t xml:space="preserve">” means (i) those pharmaceutical or biological products (and described in reasonable detail) on </w:t>
      </w:r>
      <w:r>
        <w:rPr>
          <w:rFonts w:ascii="Times New Roman;Times;Serif" w:hAnsi="Times New Roman;Times;Serif"/>
          <w:b/>
          <w:i w:val="false"/>
          <w:caps w:val="false"/>
          <w:smallCaps w:val="false"/>
          <w:sz w:val="20"/>
        </w:rPr>
        <w:t xml:space="preserve">Schedule 2 </w:t>
      </w:r>
      <w:r>
        <w:rPr>
          <w:rFonts w:ascii="Times New Roman;Times;Serif" w:hAnsi="Times New Roman;Times;Serif"/>
          <w:b w:val="false"/>
          <w:i w:val="false"/>
          <w:caps w:val="false"/>
          <w:smallCaps w:val="false"/>
          <w:sz w:val="20"/>
        </w:rPr>
        <w:t>attached hereto, and (ii) any current or future pharmaceutical or biological product developed, distributed, dispensed, imported, exported, labeled, promoted, manufactured, licensed, marketed, sold or otherwise commercialized by any Obligor or any of its Subsidiaries, including any such product in development or which may be developed.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Product Authorizations</w:t>
      </w:r>
      <w:r>
        <w:rPr>
          <w:rFonts w:ascii="Times New Roman;Times;Serif" w:hAnsi="Times New Roman;Times;Serif"/>
          <w:b w:val="false"/>
          <w:i w:val="false"/>
          <w:caps w:val="false"/>
          <w:smallCaps w:val="false"/>
          <w:sz w:val="20"/>
        </w:rPr>
        <w:t>” means any and all Governmental Approvals, whether U.S. or non-U.S. (including all applicable ANDAs, NDAs, INDs, Product Standards, supplements, amendments, pre- and post- approvals, governmental price and reimbursement approvals and approvals of applications for regulatory exclusivity) of any Regulatory Authority, in each case, necessary to be held or maintained by, or for the benefit of, any Obligor or any of its Subsidiaries for the ownership, use or commercialization of any Product or for any Product Commercialization and Development Activities with respect thereto in any country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Product Commercialization and Development Activities</w:t>
      </w:r>
      <w:r>
        <w:rPr>
          <w:rFonts w:ascii="Times New Roman;Times;Serif" w:hAnsi="Times New Roman;Times;Serif"/>
          <w:b w:val="false"/>
          <w:i w:val="false"/>
          <w:caps w:val="false"/>
          <w:smallCaps w:val="false"/>
          <w:sz w:val="20"/>
        </w:rPr>
        <w:t>” means, with respect to any Product, any combination of research, development, manufacture, import, use, sale, licensing, importation, exportation, shipping, storage, handling, design, labeling, marketing, promotion, supply, distribution, testing, packaging, purchasing or other commercialization activities, receipt of payment in respect of any of the foregoing (including in respect of licensing, royalty or similar payments), or any similar or other activities the purpose of which is to commercially exploit such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Product Standards</w:t>
      </w:r>
      <w:r>
        <w:rPr>
          <w:rFonts w:ascii="Times New Roman;Times;Serif" w:hAnsi="Times New Roman;Times;Serif"/>
          <w:b w:val="false"/>
          <w:i w:val="false"/>
          <w:caps w:val="false"/>
          <w:smallCaps w:val="false"/>
          <w:sz w:val="20"/>
        </w:rPr>
        <w:t>” means all safety, quality and other specifications and standards applicable to any Product, including all pharmaceutical, biological and other standards promulgated by Standards Bodies.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Prohibited Payment</w:t>
      </w:r>
      <w:r>
        <w:rPr>
          <w:rFonts w:ascii="Times New Roman;Times;Serif" w:hAnsi="Times New Roman;Times;Serif"/>
          <w:b w:val="false"/>
          <w:i w:val="false"/>
          <w:caps w:val="false"/>
          <w:smallCaps w:val="false"/>
          <w:sz w:val="20"/>
        </w:rPr>
        <w:t>” means any bribe, rebate, payoff, influence payment, kickback or other payment or gift of money or anything of value (including meals or entertainment) to any 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that is prohibited under any Law for the purpose of influencing any act or decision of such payee in his official capacity, inducing such payee to do or omit to do any act in violation of his lawful duty, securing any improper advantage or inducing such payee to use his influence with a government or instrumentality thereof to affect or influence any act or decision of such government or instrumentality.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Proportionate Share</w:t>
      </w:r>
      <w:r>
        <w:rPr>
          <w:rFonts w:ascii="Times New Roman;Times;Serif" w:hAnsi="Times New Roman;Times;Serif"/>
          <w:b w:val="false"/>
          <w:i w:val="false"/>
          <w:caps w:val="false"/>
          <w:smallCaps w:val="false"/>
          <w:sz w:val="20"/>
        </w:rPr>
        <w:t>” means, with respect to any Lender, the percentage obtained by dividing (i) the sum of the Commitments (or, if the Commitments are terminated, the outstanding principal amount of the Loans) of such Lender then in effect by (ii) the sum of the Commitments (or, if the Commitments are terminated, the outstanding principal amount of the Loans) of all Lenders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Qatari Business Day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QIA Lender</w:t>
      </w:r>
      <w:r>
        <w:rPr>
          <w:rFonts w:ascii="Times New Roman;Times;Serif" w:hAnsi="Times New Roman;Times;Serif"/>
          <w:b w:val="false"/>
          <w:i w:val="false"/>
          <w:caps w:val="false"/>
          <w:smallCaps w:val="false"/>
          <w:sz w:val="20"/>
        </w:rPr>
        <w:t>” means any Lender that is an Affiliate of Qatar Investment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QIA Lender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Qualified Equity Interest</w:t>
      </w:r>
      <w:r>
        <w:rPr>
          <w:rFonts w:ascii="Times New Roman;Times;Serif" w:hAnsi="Times New Roman;Times;Serif"/>
          <w:b w:val="false"/>
          <w:i w:val="false"/>
          <w:caps w:val="false"/>
          <w:smallCaps w:val="false"/>
          <w:sz w:val="20"/>
        </w:rPr>
        <w:t>” means, with respect to any Person, any Equity Interest of such Person that is not a Disqualified Equity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Qualified Plan</w:t>
      </w:r>
      <w:r>
        <w:rPr>
          <w:rFonts w:ascii="Times New Roman;Times;Serif" w:hAnsi="Times New Roman;Times;Serif"/>
          <w:b w:val="false"/>
          <w:i w:val="false"/>
          <w:caps w:val="false"/>
          <w:smallCaps w:val="false"/>
          <w:sz w:val="20"/>
        </w:rPr>
        <w:t>” means an employee benefit plan (as defined in Section 3(3) of ERISA) other than a Multiemployer Plan (i) that is or was at any time maintained or sponsored by any Obligor or any ERISA Affiliate thereof or to which any Obligor or any ERISA Affiliate thereof has ever made, or was ever obligated to make, contributions, and (ii) that is intended to be tax qualified under Section 401(a)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Qualifying IPO</w:t>
      </w:r>
      <w:r>
        <w:rPr>
          <w:rFonts w:ascii="Times New Roman;Times;Serif" w:hAnsi="Times New Roman;Times;Serif"/>
          <w:b w:val="false"/>
          <w:i w:val="false"/>
          <w:caps w:val="false"/>
          <w:smallCaps w:val="false"/>
          <w:strike/>
          <w:color w:val="FF0000"/>
          <w:sz w:val="20"/>
        </w:rPr>
        <w:t xml:space="preserve">” means (a) a transaction in which the common Equity Interests of a BXCL 701 Subsidiary or an IPO Co. are publicly-listed (whether through an initial public offering, a direct listing or otherwise) on a major stock exchange in the United States, Canada, the United Kingdom or the Kingdom of the Netherlands (including the New York Stock Exchange, NASDAQ Stock Market or London Stock Exchange) or (b) the consummation of any merger, acquisition, contribution, equity purchase or similar reorganization transaction or series of transactions resulting in the combination of a BXCL 701 Subsidiary and any special purpose acquisition company or similar entity, where the common Equity Interests of such surviving entity (or any direct or indirect parent thereof) are publicly listed on a major stock exchange in the United States, Canada, the United Kingdom or the Kingdom of the Netherlands (including the New York Stock Exchange, NASDAQ Stock Market or London Stock Exchange);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strike/>
          <w:color w:val="FF0000"/>
          <w:sz w:val="20"/>
        </w:rPr>
        <w:t>, that in the case of each of the foregoing, (i) the applicable BXCL 701 Subsidiary shall receive proceeds from such transaction of no less than $50,000,000 and (ii) more than 50% of the economic and voting equity interests of the applicable BXCL 701 Subsidiary must be held at all times by the Obligors and subject to a first priority Lien in favor of the Administrative Agent, until such time as a Qualifying IPO is consummated. For purposes of the foregoing proviso, the applicable BXCL 701 Subsidiary shall be the BXCL 701 Subsidiary whose common Equity Interests will be publicly listed, the BXCL 701 Subsidiary party to such merger, acquisition, contribution, equity purchase or similar reorganization or, in the case of a public offering of common Equity Interests by an IPO Co., the BXCL 701 Subsidiary of which the IPO Co. will be the direct parent or managing member after giving effect to such Qualifying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Real Property Security Documents</w:t>
      </w:r>
      <w:r>
        <w:rPr>
          <w:rFonts w:ascii="Times New Roman;Times;Serif" w:hAnsi="Times New Roman;Times;Serif"/>
          <w:b w:val="false"/>
          <w:i w:val="false"/>
          <w:caps w:val="false"/>
          <w:smallCaps w:val="false"/>
          <w:sz w:val="20"/>
        </w:rPr>
        <w:t>” means any Mortgage Deliverables, Landlord Consents or Bailee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Recipient</w:t>
      </w:r>
      <w:r>
        <w:rPr>
          <w:rFonts w:ascii="Times New Roman;Times;Serif" w:hAnsi="Times New Roman;Times;Serif"/>
          <w:b w:val="false"/>
          <w:i w:val="false"/>
          <w:caps w:val="false"/>
          <w:smallCaps w:val="false"/>
          <w:sz w:val="20"/>
        </w:rPr>
        <w:t>” means any Lender or any other recipient of any payment to be made by or on account of any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Referral Source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7.07(b)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14.05(d)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means that certain Second Amended and Restated Registration Rights Agreement, dated March 20, 2024, by and among the Borrower and the purchasers identified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Regulation T</w:t>
      </w:r>
      <w:r>
        <w:rPr>
          <w:rFonts w:ascii="Times New Roman;Times;Serif" w:hAnsi="Times New Roman;Times;Serif"/>
          <w:b w:val="false"/>
          <w:i w:val="false"/>
          <w:caps w:val="false"/>
          <w:smallCaps w:val="false"/>
          <w:sz w:val="20"/>
        </w:rPr>
        <w:t>” means Regulation T of the Board of Governors of the Federal Reserve System,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Regulation U</w:t>
      </w:r>
      <w:r>
        <w:rPr>
          <w:rFonts w:ascii="Times New Roman;Times;Serif" w:hAnsi="Times New Roman;Times;Serif"/>
          <w:b w:val="false"/>
          <w:i w:val="false"/>
          <w:caps w:val="false"/>
          <w:smallCaps w:val="false"/>
          <w:sz w:val="20"/>
        </w:rPr>
        <w:t>” means Regulation U of the Board of Governors of the Federal Reserve System,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Regulation X</w:t>
      </w:r>
      <w:r>
        <w:rPr>
          <w:rFonts w:ascii="Times New Roman;Times;Serif" w:hAnsi="Times New Roman;Times;Serif"/>
          <w:b w:val="false"/>
          <w:i w:val="false"/>
          <w:caps w:val="false"/>
          <w:smallCaps w:val="false"/>
          <w:sz w:val="20"/>
        </w:rPr>
        <w:t>” means Regulation X of the Board of Governors of the Federal Reserve System,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Regulatory Approvals</w:t>
      </w:r>
      <w:r>
        <w:rPr>
          <w:rFonts w:ascii="Times New Roman;Times;Serif" w:hAnsi="Times New Roman;Times;Serif"/>
          <w:b w:val="false"/>
          <w:i w:val="false"/>
          <w:caps w:val="false"/>
          <w:smallCaps w:val="false"/>
          <w:sz w:val="20"/>
        </w:rPr>
        <w:t>” mean, with respect to a Product, the approval of the applicable Regulatory Authority necessary for the testing, manufacturing, use, storage, supply, promotion, marketing or sale of such Product for a particular indication in a particular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Regulatory Authority</w:t>
      </w:r>
      <w:r>
        <w:rPr>
          <w:rFonts w:ascii="Times New Roman;Times;Serif" w:hAnsi="Times New Roman;Times;Serif"/>
          <w:b w:val="false"/>
          <w:i w:val="false"/>
          <w:caps w:val="false"/>
          <w:smallCaps w:val="false"/>
          <w:sz w:val="20"/>
        </w:rPr>
        <w:t>” means any Governmental Authority, whether U.S. or non-U.S., that is concerned with or has regulatory or supervisory oversight with respect to any Product or any Product Commercialization and Development Activities relating to any Product, including the FDA and all equivalent Governmental Authorities, whether U.S. or non-U.S.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Reinvestment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3.03(b)(i)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Related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Resignation Effective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12.09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of any Person means each of the president, chief executive officer, chief financial officer and similar officer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Restricted Payment</w:t>
      </w:r>
      <w:r>
        <w:rPr>
          <w:rFonts w:ascii="Times New Roman;Times;Serif" w:hAnsi="Times New Roman;Times;Serif"/>
          <w:b w:val="false"/>
          <w:i w:val="false"/>
          <w:caps w:val="false"/>
          <w:smallCaps w:val="false"/>
          <w:sz w:val="20"/>
        </w:rPr>
        <w:t xml:space="preserve">” means any dividend or other distribution (whether in cash, Equity Interests or other property) with respect to any Equity Interests of any Obligor or any of its Subsidiaries, or any payment (whether in cash, Equity Interests or other property), including any sinking fund or similar deposit, on account of the purchase, redemption, retirement, acquisition, cancellation or termination of any such Equity Interests of any Obligor or any of its Subsidiaries, or any option, warrant or other right to acquire any such Equity Interests of any Obligor or any of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payments on Indebtedness convertible or exchangeable into Equity Interests shall not be Restricted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Restrictive Agreement</w:t>
      </w:r>
      <w:r>
        <w:rPr>
          <w:rFonts w:ascii="Times New Roman;Times;Serif" w:hAnsi="Times New Roman;Times;Serif"/>
          <w:b w:val="false"/>
          <w:i w:val="false"/>
          <w:caps w:val="false"/>
          <w:smallCaps w:val="false"/>
          <w:sz w:val="20"/>
        </w:rPr>
        <w:t xml:space="preserve">” means any Contract or other arrangement that prohibits, restricts or imposes any condition upon (i) the ability of any Obligor or any of its Subsidiaries to create, incur or permit to exist any Lien in favor of the Administrative Agent or the Lenders upon any of its properties or assets (other than (x) customary provisions in Contracts (including leases and in-bound licenses of Intellectual Property) restricting the assignment thereof and (y) restrictions or conditions imposed by any Contract governing secured Permitted Indebtedness permitted under </w:t>
      </w:r>
      <w:r>
        <w:rPr>
          <w:rFonts w:ascii="Times New Roman;Times;Serif" w:hAnsi="Times New Roman;Times;Serif"/>
          <w:b/>
          <w:i w:val="false"/>
          <w:caps w:val="false"/>
          <w:smallCaps w:val="false"/>
          <w:sz w:val="20"/>
        </w:rPr>
        <w:t>Section 9.01(j)</w:t>
      </w:r>
      <w:r>
        <w:rPr>
          <w:rFonts w:ascii="Times New Roman;Times;Serif" w:hAnsi="Times New Roman;Times;Serif"/>
          <w:b w:val="false"/>
          <w:i w:val="false"/>
          <w:caps w:val="false"/>
          <w:smallCaps w:val="false"/>
          <w:sz w:val="20"/>
        </w:rPr>
        <w:t>, to the extent that such restrictions or conditions apply only to the property or assets securing such Indebtedness), or (ii) the ability of any Obligor or any of its Subsidiaries to make Restricted Payments with respect to any of their respective Equity Interests or to make or repay loans or advances to any other Obligor or any of its Subsidiaries or such other Obligor or to Guarantee Indebtedness of any other Obligor or any of its Subsidiaries thereof or such other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Revenue</w:t>
      </w:r>
      <w:r>
        <w:rPr>
          <w:rFonts w:ascii="Times New Roman;Times;Serif" w:hAnsi="Times New Roman;Times;Serif"/>
          <w:b w:val="false"/>
          <w:i w:val="false"/>
          <w:caps w:val="false"/>
          <w:smallCaps w:val="false"/>
          <w:strike/>
          <w:color w:val="FF0000"/>
          <w:sz w:val="20"/>
        </w:rPr>
        <w:t>” means, for any relevant fiscal period, the consolidated net revenues of the Borrower and its Subsidiaries attributable to BXCL 501 for such fiscal period, as recognized on the income statement of the Borrower and its Subsidiaries, determined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Revenue Cure Payment</w:t>
      </w:r>
      <w:r>
        <w:rPr>
          <w:rFonts w:ascii="Times New Roman;Times;Serif" w:hAnsi="Times New Roman;Times;Serif"/>
          <w:b w:val="false"/>
          <w:i w:val="false"/>
          <w:caps w:val="false"/>
          <w:smallCaps w:val="false"/>
          <w:strike/>
          <w:color w:val="FF0000"/>
          <w:sz w:val="20"/>
        </w:rPr>
        <w:t>” means, with respect to any fiscal quarter of the Borrower to which the Minimum Revenue Covenant applies, the amount, if positive, by which Revenue for the applicable six (6) consecutive month period ending on the last day of such fiscal quarter is less than the Minimum Revenue for such period; provided that the Revenue Cure Payment shall in no event be less than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Sanction</w:t>
      </w:r>
      <w:r>
        <w:rPr>
          <w:rFonts w:ascii="Times New Roman;Times;Serif" w:hAnsi="Times New Roman;Times;Serif"/>
          <w:b w:val="false"/>
          <w:i w:val="false"/>
          <w:caps w:val="false"/>
          <w:smallCaps w:val="false"/>
          <w:sz w:val="20"/>
        </w:rPr>
        <w:t>” means any international economic or financial sanction or trade embargo imposed, administered or enforced from time to time by the United States Government (including OFAC), the United Nations Security Council, the European Union or its Member States, His Majesty’s Treasury or other relevant sanctions authority where the Borrower is located or conducts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Sanctioned Person</w:t>
      </w:r>
      <w:r>
        <w:rPr>
          <w:rFonts w:ascii="Times New Roman;Times;Serif" w:hAnsi="Times New Roman;Times;Serif"/>
          <w:b w:val="false"/>
          <w:i w:val="false"/>
          <w:caps w:val="false"/>
          <w:smallCaps w:val="false"/>
          <w:sz w:val="20"/>
        </w:rPr>
        <w:t xml:space="preserve">” means, at any time, (i) any Person listed in any Sanctions-related list of designated Persons maintained by the United States Government (including OFAC), the United Nations Security Council, the European Union or its Member States, His Majesty’s Treasury, or other relevant sanctions authority, (ii) any Person organized or resident in a Designated Jurisdiction or (iii) any Person fifty percent (50%) or more owned or is controlled by any such Person or Persons described in the foregoing </w:t>
      </w:r>
      <w:r>
        <w:rPr>
          <w:rFonts w:ascii="Times New Roman;Times;Serif" w:hAnsi="Times New Roman;Times;Serif"/>
          <w:b/>
          <w:i w:val="false"/>
          <w:caps w:val="false"/>
          <w:smallCaps w:val="false"/>
          <w:sz w:val="20"/>
        </w:rPr>
        <w:t>clause (i) or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Scheduled Unavailability Date</w:t>
      </w:r>
      <w:r>
        <w:rPr>
          <w:rFonts w:ascii="Times New Roman;Times;Serif" w:hAnsi="Times New Roman;Times;Serif"/>
          <w:b w:val="false"/>
          <w:i w:val="false"/>
          <w:caps w:val="false"/>
          <w:smallCaps w:val="false"/>
          <w:strike/>
          <w:color w:val="FF0000"/>
          <w:sz w:val="20"/>
        </w:rPr>
        <w:t xml:space="preserve">” has the meaning set forth in </w:t>
      </w:r>
      <w:r>
        <w:rPr>
          <w:rFonts w:ascii="Times New Roman;Times;Serif" w:hAnsi="Times New Roman;Times;Serif"/>
          <w:b/>
          <w:i w:val="false"/>
          <w:caps w:val="false"/>
          <w:smallCaps w:val="false"/>
          <w:strike/>
          <w:color w:val="FF0000"/>
          <w:sz w:val="20"/>
        </w:rPr>
        <w:t>Section 5.05(a)(ii).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Second Amendment</w:t>
      </w:r>
      <w:r>
        <w:rPr>
          <w:rFonts w:ascii="Times New Roman;Times;Serif" w:hAnsi="Times New Roman;Times;Serif"/>
          <w:b w:val="false"/>
          <w:i w:val="false"/>
          <w:caps w:val="false"/>
          <w:smallCaps w:val="false"/>
          <w:sz w:val="20"/>
        </w:rPr>
        <w:t>” means the Second Amendment to this Agreement, dated as of December 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Second Amendment Effective Date</w:t>
      </w:r>
      <w:r>
        <w:rPr>
          <w:rFonts w:ascii="Times New Roman;Times;Serif" w:hAnsi="Times New Roman;Times;Serif"/>
          <w:b w:val="false"/>
          <w:i w:val="false"/>
          <w:caps w:val="false"/>
          <w:smallCaps w:val="false"/>
          <w:sz w:val="20"/>
        </w:rPr>
        <w:t>” has the meaning set forth in the Second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means the U.S. Securities and Exchange Commission and any successor agency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Secured Parties</w:t>
      </w:r>
      <w:r>
        <w:rPr>
          <w:rFonts w:ascii="Times New Roman;Times;Serif" w:hAnsi="Times New Roman;Times;Serif"/>
          <w:b w:val="false"/>
          <w:i w:val="false"/>
          <w:caps w:val="false"/>
          <w:smallCaps w:val="false"/>
          <w:sz w:val="20"/>
        </w:rPr>
        <w:t>” means the Lenders, the Administrative Agent and any of their respective permitted transferees or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Security Agreement</w:t>
      </w:r>
      <w:r>
        <w:rPr>
          <w:rFonts w:ascii="Times New Roman;Times;Serif" w:hAnsi="Times New Roman;Times;Serif"/>
          <w:b w:val="false"/>
          <w:i w:val="false"/>
          <w:caps w:val="false"/>
          <w:smallCaps w:val="false"/>
          <w:sz w:val="20"/>
        </w:rPr>
        <w:t xml:space="preserve">” means the Security Agreement, delivered pursuant to </w:t>
      </w:r>
      <w:r>
        <w:rPr>
          <w:rFonts w:ascii="Times New Roman;Times;Serif" w:hAnsi="Times New Roman;Times;Serif"/>
          <w:b/>
          <w:i w:val="false"/>
          <w:caps w:val="false"/>
          <w:smallCaps w:val="false"/>
          <w:sz w:val="20"/>
        </w:rPr>
        <w:t>Section 6.01(f)</w:t>
      </w:r>
      <w:r>
        <w:rPr>
          <w:rFonts w:ascii="Times New Roman;Times;Serif" w:hAnsi="Times New Roman;Times;Serif"/>
          <w:b w:val="false"/>
          <w:i w:val="false"/>
          <w:caps w:val="false"/>
          <w:smallCaps w:val="false"/>
          <w:sz w:val="20"/>
        </w:rPr>
        <w:t>, among the Obligors and the Administrative Agent, granting a security interest in the Obligors’ personal property in favor of the Administrative Agent, for the benefit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Security Documents</w:t>
      </w:r>
      <w:r>
        <w:rPr>
          <w:rFonts w:ascii="Times New Roman;Times;Serif" w:hAnsi="Times New Roman;Times;Serif"/>
          <w:b w:val="false"/>
          <w:i w:val="false"/>
          <w:caps w:val="false"/>
          <w:smallCaps w:val="false"/>
          <w:sz w:val="20"/>
        </w:rPr>
        <w:t>” means, collectively, the Security Agreement, each Short-Form IP Security Agreement, each Real Property Security Document, and each other security document, control agreement or financing statement required or recommended to perfect Liens in favor of the Secured Parties for purposes of securing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Shared Services Agreement</w:t>
      </w:r>
      <w:r>
        <w:rPr>
          <w:rFonts w:ascii="Times New Roman;Times;Serif" w:hAnsi="Times New Roman;Times;Serif"/>
          <w:b w:val="false"/>
          <w:i w:val="false"/>
          <w:caps w:val="false"/>
          <w:smallCaps w:val="false"/>
          <w:sz w:val="20"/>
        </w:rPr>
        <w:t>” means the Second Amended and Restated Separation and Shared Services Agreement, dated as of March 6, 2020, by and between BioXcel LLC and the Borrower, as in effect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Short-Form IP Security Agreements</w:t>
      </w:r>
      <w:r>
        <w:rPr>
          <w:rFonts w:ascii="Times New Roman;Times;Serif" w:hAnsi="Times New Roman;Times;Serif"/>
          <w:b w:val="false"/>
          <w:i w:val="false"/>
          <w:caps w:val="false"/>
          <w:smallCaps w:val="false"/>
          <w:sz w:val="20"/>
        </w:rPr>
        <w:t>” means short-form copyright, patent or trademark (as the case may be) security agreements, dated as of the Closing Date and substantially in the form of Exhibit C, D and E to the Security Agreement, entered into by one or more Obligors in favor of the Secured Parties, each in form and substance satisfactory to the Administrative Agent (and as amended, modified or replaced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Solvent</w:t>
      </w:r>
      <w:r>
        <w:rPr>
          <w:rFonts w:ascii="Times New Roman;Times;Serif" w:hAnsi="Times New Roman;Times;Serif"/>
          <w:b w:val="false"/>
          <w:i w:val="false"/>
          <w:caps w:val="false"/>
          <w:smallCaps w:val="false"/>
          <w:sz w:val="20"/>
        </w:rPr>
        <w:t>” means, as to any Person as of any date of determination, that on such date (i) the fair value of the property of such Person is greater than the total amount of liabilities, including contingent liabilities, of such Person, (ii) the present fair saleable value of such Person is not less than the amount that will be required to pay the probable liability of such Person on its debts as they become absolute and matured, (iii) such Person does not intend to, and does not believe that it will, incur debts or liabilities beyond such Person’s ability to pay such debts and liabilities as they mature and (iv) such Person is not engaged in a business or transaction, and is not about to engage in a business or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Standard Bodies</w:t>
      </w:r>
      <w:r>
        <w:rPr>
          <w:rFonts w:ascii="Times New Roman;Times;Serif" w:hAnsi="Times New Roman;Times;Serif"/>
          <w:b w:val="false"/>
          <w:i w:val="false"/>
          <w:caps w:val="false"/>
          <w:smallCaps w:val="false"/>
          <w:sz w:val="20"/>
        </w:rPr>
        <w:t>” means any of the organizations that create, sponsor or maintain safety, quality or other standards, including ISO, ANSI, CEN and SCC and the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trike/>
          <w:color w:val="FF0000"/>
        </w:rPr>
        <w:t>“</w:t>
      </w:r>
      <w:r>
        <w:rPr>
          <w:rFonts w:ascii="Times New Roman;Times;Serif" w:hAnsi="Times New Roman;Times;Serif"/>
          <w:b/>
          <w:i/>
          <w:caps w:val="false"/>
          <w:smallCaps w:val="false"/>
          <w:strike/>
          <w:color w:val="FF0000"/>
          <w:sz w:val="20"/>
        </w:rPr>
        <w:t xml:space="preserve">Step-Down </w:t>
      </w:r>
      <w:r>
        <w:rPr>
          <w:rFonts w:ascii="Times New Roman;Times;Serif" w:hAnsi="Times New Roman;Times;Serif"/>
          <w:b/>
          <w:i/>
          <w:caps w:val="false"/>
          <w:smallCaps w:val="false"/>
          <w:strike/>
          <w:color w:val="008000"/>
          <w:sz w:val="20"/>
        </w:rPr>
        <w:t>Date</w:t>
      </w:r>
      <w:r>
        <w:rPr>
          <w:rFonts w:ascii="Times New Roman;Times;Serif" w:hAnsi="Times New Roman;Times;Serif"/>
          <w:b w:val="false"/>
          <w:i w:val="false"/>
          <w:caps w:val="false"/>
          <w:smallCaps w:val="false"/>
          <w:strike/>
          <w:color w:val="008000"/>
          <w:sz w:val="20"/>
        </w:rPr>
        <w:t xml:space="preserve">” has the meaning set forth in the </w:t>
      </w:r>
      <w:r>
        <w:rPr>
          <w:rFonts w:ascii="Times New Roman;Times;Serif" w:hAnsi="Times New Roman;Times;Serif"/>
          <w:b w:val="false"/>
          <w:i w:val="false"/>
          <w:caps w:val="false"/>
          <w:smallCaps w:val="false"/>
          <w:strike/>
          <w:color w:val="FF0000"/>
          <w:sz w:val="20"/>
        </w:rPr>
        <w:t>definition of “Minimum Liquidity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Step-Up Date</w:t>
      </w:r>
      <w:r>
        <w:rPr>
          <w:rFonts w:ascii="Times New Roman;Times;Serif" w:hAnsi="Times New Roman;Times;Serif"/>
          <w:b w:val="false"/>
          <w:i w:val="false"/>
          <w:caps w:val="false"/>
          <w:smallCaps w:val="false"/>
          <w:strike/>
          <w:color w:val="FF0000"/>
          <w:sz w:val="20"/>
        </w:rPr>
        <w:t>” has the meaning set forth in the definition of “Minimum Liquidity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Stock Purchase Agreement</w:t>
      </w:r>
      <w:r>
        <w:rPr>
          <w:rFonts w:ascii="Times New Roman;Times;Serif" w:hAnsi="Times New Roman;Times;Serif"/>
          <w:b w:val="false"/>
          <w:i w:val="false"/>
          <w:caps w:val="false"/>
          <w:smallCaps w:val="false"/>
          <w:strike/>
          <w:color w:val="FF0000"/>
          <w:sz w:val="20"/>
        </w:rPr>
        <w:t xml:space="preserve">” has the meaning set forth in </w:t>
      </w:r>
      <w:r>
        <w:rPr>
          <w:rFonts w:ascii="Times New Roman;Times;Serif" w:hAnsi="Times New Roman;Times;Serif"/>
          <w:b/>
          <w:i w:val="false"/>
          <w:caps w:val="false"/>
          <w:smallCaps w:val="false"/>
          <w:strike/>
          <w:color w:val="FF0000"/>
          <w:sz w:val="20"/>
        </w:rPr>
        <w:t>Section 2.08(a)</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(the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at any date, any corporation, limited liability company, partnership, association or other entity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directly or indirectly. Unless otherwise specified, all references herein to a “Subsidiary” or to “Subsidiaries” shall refer to a Subsidiary or Subsidiaries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Subsidiary Guarantors</w:t>
      </w:r>
      <w:r>
        <w:rPr>
          <w:rFonts w:ascii="Times New Roman;Times;Serif" w:hAnsi="Times New Roman;Times;Serif"/>
          <w:b w:val="false"/>
          <w:i w:val="false"/>
          <w:caps w:val="false"/>
          <w:smallCaps w:val="false"/>
          <w:sz w:val="20"/>
        </w:rPr>
        <w:t xml:space="preserve">” means each Subsidiary of the Borrower identified under the caption “SUBSIDIARY GUARANTORS” on the signature pages hereto and each Subsidiary of the Borrower that becomes, or is required to become, a “Subsidiary Guarantor” after the Closing Date pursuant to </w:t>
      </w:r>
      <w:r>
        <w:rPr>
          <w:rFonts w:ascii="Times New Roman;Times;Serif" w:hAnsi="Times New Roman;Times;Serif"/>
          <w:b/>
          <w:i w:val="false"/>
          <w:caps w:val="false"/>
          <w:smallCaps w:val="false"/>
          <w:sz w:val="20"/>
        </w:rPr>
        <w:t>Section 8.11(a)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8.11(b)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Successor Rate</w:t>
      </w:r>
      <w:r>
        <w:rPr>
          <w:rFonts w:ascii="Times New Roman;Times;Serif" w:hAnsi="Times New Roman;Times;Serif"/>
          <w:b w:val="false"/>
          <w:i w:val="false"/>
          <w:caps w:val="false"/>
          <w:smallCaps w:val="false"/>
          <w:strike/>
          <w:color w:val="FF0000"/>
          <w:sz w:val="20"/>
        </w:rPr>
        <w:t xml:space="preserve">” has the meaning set forth in </w:t>
      </w:r>
      <w:r>
        <w:rPr>
          <w:rFonts w:ascii="Times New Roman;Times;Serif" w:hAnsi="Times New Roman;Times;Serif"/>
          <w:b/>
          <w:i w:val="false"/>
          <w:caps w:val="false"/>
          <w:smallCaps w:val="false"/>
          <w:strike/>
          <w:color w:val="FF0000"/>
          <w:sz w:val="20"/>
        </w:rPr>
        <w:t>Section 5.05(a)(iii)(B)</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Termination Conditions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13.03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Third Amendment</w:t>
      </w:r>
      <w:r>
        <w:rPr>
          <w:rFonts w:ascii="Times New Roman;Times;Serif" w:hAnsi="Times New Roman;Times;Serif"/>
          <w:b w:val="false"/>
          <w:i w:val="false"/>
          <w:caps w:val="false"/>
          <w:smallCaps w:val="false"/>
          <w:color w:val="0000FF"/>
          <w:sz w:val="20"/>
          <w:u w:val="single"/>
        </w:rPr>
        <w:t>” means the Third Amendment to this Agreement, dated as of February 12,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Term SOFR</w:t>
      </w:r>
      <w:r>
        <w:rPr>
          <w:rFonts w:ascii="Times New Roman;Times;Serif" w:hAnsi="Times New Roman;Times;Serif"/>
          <w:b w:val="false"/>
          <w:i w:val="false"/>
          <w:caps w:val="false"/>
          <w:smallCaps w:val="false"/>
          <w:strike/>
          <w:color w:val="FF0000"/>
          <w:sz w:val="20"/>
        </w:rPr>
        <w:t xml:space="preserve">” means for any Interest Period the rate per annum equal to the Term SOFR Screen Rate two U.S. Government Securities Business Days prior to the commencement of such Interest Period with a term equivalent to three months; </w:t>
      </w:r>
      <w:r>
        <w:rPr>
          <w:rFonts w:ascii="Times New Roman;Times;Serif" w:hAnsi="Times New Roman;Times;Serif"/>
          <w:b w:val="false"/>
          <w:i w:val="false"/>
          <w:caps w:val="false"/>
          <w:smallCaps w:val="false"/>
          <w:strike/>
          <w:color w:val="FF0000"/>
          <w:sz w:val="20"/>
          <w:u w:val="single"/>
        </w:rPr>
        <w:t>provided that</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if the rate is not published prior to 11:00 a.m. on such determination date then Term SOFR means the Term SOFR Screen Rate on the first U.S. Government Securities Business Day immediately prior thereto; </w:t>
      </w:r>
      <w:r>
        <w:rPr>
          <w:rFonts w:ascii="Times New Roman;Times;Serif" w:hAnsi="Times New Roman;Times;Serif"/>
          <w:b w:val="false"/>
          <w:i w:val="false"/>
          <w:caps w:val="false"/>
          <w:smallCaps w:val="false"/>
          <w:strike/>
          <w:color w:val="FF0000"/>
          <w:sz w:val="20"/>
          <w:u w:val="single"/>
        </w:rPr>
        <w:t>provided that</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if the Term SOFR Screen Rate determined in accordance with the foregoing would otherwise be less than 2.50% or greater than 5.50%, the Term SOFR shall be deemed to be 2.50% or 5.50%, as applicable,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Term SOFR Replacement Date</w:t>
      </w:r>
      <w:r>
        <w:rPr>
          <w:rFonts w:ascii="Times New Roman;Times;Serif" w:hAnsi="Times New Roman;Times;Serif"/>
          <w:b w:val="false"/>
          <w:i w:val="false"/>
          <w:caps w:val="false"/>
          <w:smallCaps w:val="false"/>
          <w:strike/>
          <w:color w:val="FF0000"/>
          <w:sz w:val="20"/>
        </w:rPr>
        <w:t xml:space="preserve">” has the meaning assigned to such term in </w:t>
      </w:r>
      <w:r>
        <w:rPr>
          <w:rFonts w:ascii="Times New Roman;Times;Serif" w:hAnsi="Times New Roman;Times;Serif"/>
          <w:b/>
          <w:i w:val="false"/>
          <w:caps w:val="false"/>
          <w:smallCaps w:val="false"/>
          <w:strike/>
          <w:color w:val="FF0000"/>
          <w:sz w:val="20"/>
        </w:rPr>
        <w:t>Section 5.05(a)(iii)(A).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Term SOFR Screen Rate</w:t>
      </w:r>
      <w:r>
        <w:rPr>
          <w:rFonts w:ascii="Times New Roman;Times;Serif" w:hAnsi="Times New Roman;Times;Serif"/>
          <w:b w:val="false"/>
          <w:i w:val="false"/>
          <w:caps w:val="false"/>
          <w:smallCaps w:val="false"/>
          <w:strike/>
          <w:color w:val="FF0000"/>
          <w:sz w:val="20"/>
        </w:rPr>
        <w:t>” means the forward-looking SOFR term rate administered by CME (or any successor administrator satisfactory to the Administrative Agent) and published on the applicable Bloomberg screen page (or such other commercially available source providing such quotations as may be designated by the Administrative Agent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Ticking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Title IV Plan</w:t>
      </w:r>
      <w:r>
        <w:rPr>
          <w:rFonts w:ascii="Times New Roman;Times;Serif" w:hAnsi="Times New Roman;Times;Serif"/>
          <w:b w:val="false"/>
          <w:i w:val="false"/>
          <w:caps w:val="false"/>
          <w:smallCaps w:val="false"/>
          <w:sz w:val="20"/>
        </w:rPr>
        <w:t>” means an employee benefit plan (as defined in Section 3(3) of ERISA) other than a Multiemployer Plan (i) that is or was at any time maintained or sponsored by any Obligor or any ERISA Affiliate thereof or to which any Obligor or any ERISA Affiliate thereof has ever made, or was obligated to make, contributions, and (ii) that is or was subject to Section 412 of the Code, Section 302 of ERISA or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Trade Secrets</w:t>
      </w:r>
      <w:r>
        <w:rPr>
          <w:rFonts w:ascii="Times New Roman;Times;Serif" w:hAnsi="Times New Roman;Times;Serif"/>
          <w:b w:val="false"/>
          <w:i w:val="false"/>
          <w:caps w:val="false"/>
          <w:smallCaps w:val="false"/>
          <w:sz w:val="20"/>
        </w:rPr>
        <w:t>” means all know-how, trade secrets and other proprietary or confidential information, any information of a scientific, technical, or business nature in any form or medium, Inventions and Invention disclosures, all documented research, developmental, demonstration or engineering work (including all novel manufacturing methods), and all other technical data, clinical data and information related thereto, including laboratory notebooks, chemical and biological materials (including any compounds, DNA, RNA, clones, vectors, cells and any expression product, progeny, derivatives or improvements thereto) and the results of experimentation and testing, including samples.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Trademarks</w:t>
      </w:r>
      <w:r>
        <w:rPr>
          <w:rFonts w:ascii="Times New Roman;Times;Serif" w:hAnsi="Times New Roman;Times;Serif"/>
          <w:b w:val="false"/>
          <w:i w:val="false"/>
          <w:caps w:val="false"/>
          <w:smallCaps w:val="false"/>
          <w:sz w:val="20"/>
        </w:rPr>
        <w:t>” means all trade names, trademarks and service marks, trade dress, corporate names, logos, Internet domain names, IP addresses, social media handles, uniform resource locators and other indicia of origin, trademark and service mark registrations, and applications for trademark and service mark registrations, whether or not registered, and any and all common law rights thereto, including (i) all renewals of trademark and service mark registrations and (ii) all rights whatsoever accruing thereunder or pertaining thereto throughout the world, together, in each case, with the goodwill of the business connected with the use thereof and symbolized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 day on which the Common Stock is traded on a Trading Market or, if the Common Stock is not traded on a Trading Market, then on the principal securities exchange or securities market on which the Common Stock is then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Market</w:t>
      </w:r>
      <w:r>
        <w:rPr>
          <w:rFonts w:ascii="Times New Roman;Times;Serif" w:hAnsi="Times New Roman;Times;Serif"/>
          <w:b w:val="false"/>
          <w:i w:val="false"/>
          <w:caps w:val="false"/>
          <w:smallCaps w:val="false"/>
          <w:sz w:val="20"/>
        </w:rPr>
        <w:t>” means any market or exchange of The Nasdaq Stock Market LLC or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Tranche A-1 Term Loans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2.01(a)(i)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Tranche A-2 Term Loans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2.01(a)(ii)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Tranche B Term Loans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has the meaning assigned to such term in </w:t>
      </w:r>
      <w:r>
        <w:rPr>
          <w:rFonts w:ascii="Times New Roman;Times;Serif" w:hAnsi="Times New Roman;Times;Serif"/>
          <w:b/>
          <w:i w:val="false"/>
          <w:caps w:val="false"/>
          <w:smallCaps w:val="false"/>
          <w:sz w:val="20"/>
        </w:rPr>
        <w:t>Section 2.01(a)(iii)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Tranche C Term Loans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2.01(a)(iv)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Tranche D Term Loans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2.01(a)(v)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Transactions</w:t>
      </w:r>
      <w:r>
        <w:rPr>
          <w:rFonts w:ascii="Times New Roman;Times;Serif" w:hAnsi="Times New Roman;Times;Serif"/>
          <w:b w:val="false"/>
          <w:i w:val="false"/>
          <w:caps w:val="false"/>
          <w:smallCaps w:val="false"/>
          <w:sz w:val="20"/>
        </w:rPr>
        <w:t>” means (a) the negotiation, preparation, execution, delivery and performance by each Obligor of this Agreement and the other Loan Documents to which such Obligor is (or is intended to be) a party, the making of the Loans hereunder, and all other transactions contemplated pursuant to this Agreement and the other Loan Documents, including the creation of the Liens pursuant to the Security Documents, and (b) the payment of all fees and expenses incurred or paid by the Obligors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UCC</w:t>
      </w:r>
      <w:r>
        <w:rPr>
          <w:rFonts w:ascii="Times New Roman;Times;Serif" w:hAnsi="Times New Roman;Times;Serif"/>
          <w:b w:val="false"/>
          <w:i w:val="false"/>
          <w:caps w:val="false"/>
          <w:smallCaps w:val="false"/>
          <w:sz w:val="20"/>
        </w:rPr>
        <w:t>” means, with respect to any applicable jurisdictions, the Uniform Commercial Code as in effect in such jurisdiction, as may be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UK Financial Institutions</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United States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means the United States of America, its fifty states and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U.S. Government Securities Business Day</w:t>
      </w:r>
      <w:r>
        <w:rPr>
          <w:rFonts w:ascii="Times New Roman;Times;Serif" w:hAnsi="Times New Roman;Times;Serif"/>
          <w:b w:val="false"/>
          <w:i w:val="false"/>
          <w:caps w:val="false"/>
          <w:smallCaps w:val="false"/>
          <w:strike/>
          <w:color w:val="FF0000"/>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U.S. Person</w:t>
      </w:r>
      <w:r>
        <w:rPr>
          <w:rFonts w:ascii="Times New Roman;Times;Serif" w:hAnsi="Times New Roman;Times;Serif"/>
          <w:b w:val="false"/>
          <w:i w:val="false"/>
          <w:caps w:val="false"/>
          <w:smallCaps w:val="false"/>
          <w:sz w:val="20"/>
        </w:rPr>
        <w:t>” means a “United States Person” within the meaning of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U.S. Tax Compliance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5.03(f)(ii)(B)(3)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USPTO</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8.19(a)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means, for any date, the price determined by the first of the following clauses that applies: (i)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4:00 p.m. (New York City time)), (ii) if the Common Stock is not then listed on a Trading Market or quoted for trading on the OTC Bulletin Board and if prices for the Common Stock are then reported in the “Pink Sheets” published by OTC Markets Group Inc. (or a similar organization or agency succeeding to its functions of reporting prices), the most recent bid price per share of the Common Stock so reported or (iii) in all other cases, the fair market value of a share of Common Stock as determined by an independent nationally recognized investment banking, accounting or valuation firm selected in good faith by the Borrower and reasonably acceptable to the Administrative Agent, the fees and expenses of which shall be paid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Warrant Obligations</w:t>
      </w:r>
      <w:r>
        <w:rPr>
          <w:rFonts w:ascii="Times New Roman;Times;Serif" w:hAnsi="Times New Roman;Times;Serif"/>
          <w:b w:val="false"/>
          <w:i w:val="false"/>
          <w:caps w:val="false"/>
          <w:smallCaps w:val="false"/>
          <w:sz w:val="20"/>
        </w:rPr>
        <w:t>” means all Obligations of Borrower arising out of, under or in connection with the Company Warrants or the 701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Withdrawal Liability</w:t>
      </w:r>
      <w:r>
        <w:rPr>
          <w:rFonts w:ascii="Times New Roman;Times;Serif" w:hAnsi="Times New Roman;Times;Serif"/>
          <w:b w:val="false"/>
          <w:i w:val="false"/>
          <w:caps w:val="false"/>
          <w:smallCaps w:val="false"/>
          <w:sz w:val="20"/>
        </w:rPr>
        <w:t>” means, at any time, any liability incurred (whether or not assessed) by any ERISA Affiliate and not yet satisfied or paid in full at such time with respect to any Multiemployer Plan pursuant to Section 4201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Withholding Agent</w:t>
      </w:r>
      <w:r>
        <w:rPr>
          <w:rFonts w:ascii="Times New Roman;Times;Serif" w:hAnsi="Times New Roman;Times;Serif"/>
          <w:b w:val="false"/>
          <w:i w:val="false"/>
          <w:caps w:val="false"/>
          <w:smallCaps w:val="false"/>
          <w:sz w:val="20"/>
        </w:rPr>
        <w:t>” means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Accounting Terms and Principles</w:t>
      </w:r>
      <w:r>
        <w:rPr>
          <w:rFonts w:ascii="Times New Roman;Times;Serif" w:hAnsi="Times New Roman;Times;Serif"/>
          <w:b w:val="false"/>
          <w:i w:val="false"/>
          <w:caps w:val="false"/>
          <w:smallCaps w:val="false"/>
          <w:sz w:val="20"/>
        </w:rPr>
        <w:t xml:space="preserve">. Unless otherwise specified, all accounting terms used in each Loan Document shall be interpreted, and all accounting determinations and computations thereunder (including under </w:t>
      </w:r>
      <w:r>
        <w:rPr>
          <w:rFonts w:ascii="Times New Roman;Times;Serif" w:hAnsi="Times New Roman;Times;Serif"/>
          <w:b/>
          <w:i w:val="false"/>
          <w:caps w:val="false"/>
          <w:smallCaps w:val="false"/>
          <w:sz w:val="20"/>
        </w:rPr>
        <w:t>Section 10</w:t>
      </w:r>
      <w:r>
        <w:rPr>
          <w:rFonts w:ascii="Times New Roman;Times;Serif" w:hAnsi="Times New Roman;Times;Serif"/>
          <w:b w:val="false"/>
          <w:i w:val="false"/>
          <w:caps w:val="false"/>
          <w:smallCaps w:val="false"/>
          <w:sz w:val="20"/>
        </w:rPr>
        <w:t xml:space="preserve"> and any definitions used in such calculations) shall be made, in accordance with GAAP. Unless otherwise expressly provided, all financial covenants and defined financial terms shall be computed on a consolidated basis for the Borrower and its Subsidiaries, in each case without duplication. If the Borrower requests an amendment to any provision hereof to eliminate the effect of (a) any change in GAAP or the application thereof or (b) the issuance of any new accounting rule or guidance or in the application thereof, in each case, occurring after the date of this Agreement, then the Lenders and Borrower agree that they will negotiate in good faith amendments to the provisions of this Agreement that are directly affected by such change or issuance with the intent of having the respective positions of the Lenders and Borrower after such change or issuance conform as nearly as possible to their respective positions as of the date of this Agreement and, until any such amendments have been agreed upon, (i) the provisions in this Agreement shall be calculated as if no such change or issuance has occurred and (ii) the Borrower shall provide to the Lenders a written reconciliation in form and substance reasonably satisfactory to the Lenders, between calculations of any baskets and other requirements hereunder before and after giving effect to such change or issuance. Notwithstanding anything to the contrary in this Agreement, all obligations of any Person that would have been treated as operating leases pursuant to GAAP prior to the effectiveness of Accounting Standards Codification 842 shall continue to be treated as operating leases for purposes of the definitions of “Capital Lease Obligations”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Interpretation</w:t>
      </w:r>
      <w:r>
        <w:rPr>
          <w:rFonts w:ascii="Times New Roman;Times;Serif" w:hAnsi="Times New Roman;Times;Serif"/>
          <w:b w:val="false"/>
          <w:i w:val="false"/>
          <w:caps w:val="false"/>
          <w:smallCaps w:val="false"/>
          <w:sz w:val="20"/>
        </w:rPr>
        <w:t>. For all purposes of this Agreement, except as otherwise expressly provided herein or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terms defined in this Agreement include the plural as well as the singular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words importing gender include all genders;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reference to a Section, Annex, Schedule or Exhibit refers to a Section of, or Annex, Schedule or Exhibit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Annex, Schedule, Exhibit or any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references to days, months and years refer to calendar days, months and years,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references herein to “include” or “including” shall be deemed to be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word “from” when used in connection with a period of time means “from and including” and the word “until” means “to but not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words “asset” and “property” shall be construed to have the same meaning and effect and to refer broadly to any and all assets and properties, whether tangible or intangible, real or personal, including cash, securities, rights under contractual obligations and permits and any right or interest in any such assets or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accounting terms not specifically defined herein (other than “property” and “asset”) shall be construed in accordance with GAAP, subject to Section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word “will” shall have the same meaning as the word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where any provision in this Agreement or any other Loan Document refers to an action to be taken by any Person, or an action which such Person is prohibited from taking, such provision shall be applicable whether such action is taken directly or, to the knowledge of such Person, indirectly;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references to any Lien granted or created hereunder or pursuant to any other Loan Document securing any Obligations shall deemed to be a Lien for the benefit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provided herein, references to organizational documents, agreements (including the Loan Documents) and other contractual instruments shall be deemed to include all subsequent amendments, restatements, extensions, supplements and other modifications thereto permitted by the Loan Documents. Any definition or reference to any Law shall include all statutory and regulatory provisions consolidating, amending, replacing, supplementing or interpreting such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payment required to be made pursuant to the terms and conditions of any Loan Document falls due on a day which is not a Business Day, then such required payment date shall be extended to the immediately following Business Day. For purposes of determining compliance with any covenant (including the computation of any financial covenant) contained herein, Indebtedness of the Obligors and their Subsidiaries will be deemed to be equal to 100% of the outstanding principal amount thereof or payment obligations with respect thereto at the time of determination thereof, or with respect to any Hedging Agreements, the amount that would be payable if the agreement governing such Hedging Agreements were terminated on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Division</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w:t>
      </w:r>
      <w:r>
        <w:rPr>
          <w:rFonts w:ascii="Times New Roman;Times;Serif" w:hAnsi="Times New Roman;Times;Serif"/>
          <w:b/>
          <w:i w:val="false"/>
          <w:caps w:val="false"/>
          <w:smallCaps w:val="false"/>
          <w:sz w:val="20"/>
        </w:rPr>
        <w:t>Division</w:t>
      </w:r>
      <w:r>
        <w:rPr>
          <w:rFonts w:ascii="Times New Roman;Times;Serif" w:hAnsi="Times New Roman;Times;Serif"/>
          <w:b w:val="false"/>
          <w:i w:val="false"/>
          <w:caps w:val="false"/>
          <w:smallCaps w:val="false"/>
          <w:sz w:val="20"/>
        </w:rPr>
        <w:t>”), if (a) any asset, right, obligation or liability of any Person becomes the asset, right, obligation or liability of a different Person, then it shall be deemed to have been transferred from the original Person to the subsequent Person, and (b)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w:t>
      </w:r>
      <w:r>
        <w:rPr>
          <w:rFonts w:ascii="Times New Roman;Times;Serif" w:hAnsi="Times New Roman;Times;Serif"/>
          <w:b/>
          <w:i w:val="false"/>
          <w:caps w:val="false"/>
          <w:smallCaps w:val="false"/>
          <w:sz w:val="20"/>
        </w:rPr>
        <w:br/>
        <w:t>THE COMMITMENT AND THE LOANS</w:t>
      </w:r>
      <w:r>
        <w:rPr>
          <w:rFonts w:ascii="Times New Roman;Times;Serif" w:hAnsi="Times New Roman;Times;Serif"/>
          <w:b/>
          <w:i w:val="false"/>
          <w:caps w:val="false"/>
          <w:smallCaps w:val="false"/>
          <w:strike/>
          <w:color w:val="FF0000"/>
          <w:sz w:val="20"/>
        </w:rPr>
        <w:t>; EQUITY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terms and subject to the conditions of this Agreement, each Lender agrees: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78" w:type="dxa"/>
            <w:tcBorders/>
            <w:vAlign w:val="center"/>
          </w:tcPr>
          <w:p>
            <w:pPr>
              <w:pStyle w:val="TableContents"/>
              <w:bidi w:val="0"/>
              <w:spacing w:before="0" w:after="283"/>
              <w:jc w:val="left"/>
              <w:rPr/>
            </w:pPr>
            <w:r>
              <w:rPr/>
              <w:t>to make Loans to the Borrower in a principal amount equal to the amount of such Lender’s Tranche A-1 Commitment on the Applicable Funding Date for the Tranche A-1 Term Loans (“</w:t>
            </w:r>
            <w:r>
              <w:rPr>
                <w:b/>
                <w:i/>
              </w:rPr>
              <w:t>Tranche A-1 Term Loans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(ii)</w:t>
            </w:r>
          </w:p>
        </w:tc>
        <w:tc>
          <w:tcPr>
            <w:tcW w:w="9919" w:type="dxa"/>
            <w:tcBorders/>
            <w:vAlign w:val="center"/>
          </w:tcPr>
          <w:p>
            <w:pPr>
              <w:pStyle w:val="TableContents"/>
              <w:bidi w:val="0"/>
              <w:spacing w:before="0" w:after="283"/>
              <w:jc w:val="left"/>
              <w:rPr/>
            </w:pPr>
            <w:r>
              <w:rPr/>
              <w:t>to make Loans to the Borrower in a principal amount equal to the amount of such Lender’s Tranche A-2 Commitment on the Applicable Funding Date for the Tranche A-2 Term Loans (“</w:t>
            </w:r>
            <w:r>
              <w:rPr>
                <w:b/>
                <w:i/>
              </w:rPr>
              <w:t>Tranche A-2 Term Loans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(iii)</w:t>
            </w:r>
          </w:p>
        </w:tc>
        <w:tc>
          <w:tcPr>
            <w:tcW w:w="9858" w:type="dxa"/>
            <w:tcBorders/>
            <w:vAlign w:val="center"/>
          </w:tcPr>
          <w:p>
            <w:pPr>
              <w:pStyle w:val="TableContents"/>
              <w:bidi w:val="0"/>
              <w:spacing w:before="0" w:after="283"/>
              <w:jc w:val="left"/>
              <w:rPr/>
            </w:pPr>
            <w:r>
              <w:rPr/>
              <w:t>to make Loans to the Borrower in a principal amount equal to the amount of such Lender’s Tranche B Commitment on the Applicable Funding Date for the Tranche B Term Loans (“</w:t>
            </w:r>
            <w:r>
              <w:rPr>
                <w:b/>
                <w:i/>
              </w:rPr>
              <w:t>Tranche B Term Loans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(iv)</w:t>
            </w:r>
          </w:p>
        </w:tc>
        <w:tc>
          <w:tcPr>
            <w:tcW w:w="9859" w:type="dxa"/>
            <w:tcBorders/>
            <w:vAlign w:val="center"/>
          </w:tcPr>
          <w:p>
            <w:pPr>
              <w:pStyle w:val="TableContents"/>
              <w:bidi w:val="0"/>
              <w:spacing w:before="0" w:after="283"/>
              <w:jc w:val="left"/>
              <w:rPr/>
            </w:pPr>
            <w:r>
              <w:rPr/>
              <w:t>to make Loans to the Borrower in a principal amount equal to the amount of such Lender’s Tranche C Commitment on the Applicable Funding Date for the Tranche C Term Loans (“</w:t>
            </w:r>
            <w:r>
              <w:rPr>
                <w:b/>
                <w:i/>
              </w:rPr>
              <w:t>Tranche C Term Loans</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(v)</w:t>
            </w:r>
          </w:p>
        </w:tc>
        <w:tc>
          <w:tcPr>
            <w:tcW w:w="9918" w:type="dxa"/>
            <w:tcBorders/>
            <w:vAlign w:val="center"/>
          </w:tcPr>
          <w:p>
            <w:pPr>
              <w:pStyle w:val="TableContents"/>
              <w:bidi w:val="0"/>
              <w:spacing w:before="0" w:after="283"/>
              <w:jc w:val="left"/>
              <w:rPr/>
            </w:pPr>
            <w:r>
              <w:rPr/>
              <w:t>to make Loans to the Borrower in a principal amount equal to the amount of such Lender’s Tranche D Commitment on the Applicable Funding Date for the Tranche D Term Loans (“</w:t>
            </w:r>
            <w:r>
              <w:rPr>
                <w:b/>
                <w:i/>
              </w:rPr>
              <w:t>Tranche D Term Loans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amounts paid or prepaid with respect to any Loan may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term or provision hereof (or of any other Loan Document) to the contrary notwithstanding, Loans made to the Borrower will be denominated solely in Dollars and will be repayable solely in Dollars and no other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Borrowing Procedures</w:t>
      </w:r>
      <w:r>
        <w:rPr>
          <w:rFonts w:ascii="Times New Roman;Times;Serif" w:hAnsi="Times New Roman;Times;Serif"/>
          <w:b w:val="false"/>
          <w:i w:val="false"/>
          <w:caps w:val="false"/>
          <w:smallCaps w:val="false"/>
          <w:sz w:val="20"/>
        </w:rPr>
        <w:t xml:space="preserve">. At least five (5) Business Days prior to any Applicable Funding Date (other than with respect to Tranche A-2 Term Loans) (or such shorter period agreed by the Lenders), the Borrower shall deliver to the Administrative Agent an irrevocable Borrowing Notice in the form of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 xml:space="preserve"> signed by a duly authorized representative of the Borrower (which notice, if received by the Administrative Agent on a day that is not a Business Day or after 10:00 A.M. (Eastern time) on a Business Day, shall be deemed to have been delivered on the next Business Day). Each Borrowing Notice shall be for the full amount of the applicable Commitments and no Borrowing Notice for less than such full amount shall be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Funding of Borrowings</w:t>
      </w:r>
      <w:r>
        <w:rPr>
          <w:rFonts w:ascii="Times New Roman;Times;Serif" w:hAnsi="Times New Roman;Times;Serif"/>
          <w:b w:val="false"/>
          <w:i w:val="false"/>
          <w:caps w:val="false"/>
          <w:smallCaps w:val="false"/>
          <w:sz w:val="20"/>
        </w:rPr>
        <w:t>. Promptly following receipt of any written Borrowing Notice the Administrative Agent shall advise each Lender of the details thereof and of the amount of such Lender’s Loan to be made as part of the requested Borrowing. Each Lender shall make each Loan to be made by it hereunder on the proposed date thereof solely by wire transfer of immediately available funds, by 2:00 p.m. New York City time, to the account of the Administrative Agent most recently designated by it for such purpose by notice to the Lenders. Upon receipt of all funds the Administrative Agent will make such Loans available to the Borrower promptly by wire transfer of the amounts so received, in like funds, to an account designated by the Borrower in the applicable Borrowing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xml:space="preserve">. If requested by any Lender, the Loan of such Lender shall be evidenced by one or more Notes. The Borrower shall prepare, execute and deliver to the Lender such promissory note(s) substantially in the form attached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Use of Proceeds</w:t>
      </w:r>
      <w:r>
        <w:rPr>
          <w:rFonts w:ascii="Times New Roman;Times;Serif" w:hAnsi="Times New Roman;Times;Serif"/>
          <w:b w:val="false"/>
          <w:i w:val="false"/>
          <w:caps w:val="false"/>
          <w:smallCaps w:val="false"/>
          <w:sz w:val="20"/>
        </w:rPr>
        <w:t>. The Borrower shall use the proceeds of the Loans (i) for U.S. commercial launch of BXCL 501, clinical development of expanded indications for BXCL 501, and clinical development of BXCL 701 and the Emerging 701 Pipeline, and (ii) for working capital and general corporate purposes, including the payment of fees and expenses associated with this Agreement and to support the Borrower’s research and development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Ticking Fees</w:t>
      </w:r>
      <w:r>
        <w:rPr>
          <w:rFonts w:ascii="Times New Roman;Times;Serif" w:hAnsi="Times New Roman;Times;Serif"/>
          <w:b w:val="false"/>
          <w:i w:val="false"/>
          <w:caps w:val="false"/>
          <w:smallCaps w:val="false"/>
          <w:sz w:val="20"/>
        </w:rPr>
        <w:t>. The Borrower shall pay to the Administrative Agent, for the account of the Lenders, a ticking fee (the “</w:t>
      </w:r>
      <w:r>
        <w:rPr>
          <w:rFonts w:ascii="Times New Roman;Times;Serif" w:hAnsi="Times New Roman;Times;Serif"/>
          <w:b/>
          <w:i/>
          <w:caps w:val="false"/>
          <w:smallCaps w:val="false"/>
          <w:sz w:val="20"/>
        </w:rPr>
        <w:t>Ticking Fee</w:t>
      </w:r>
      <w:r>
        <w:rPr>
          <w:rFonts w:ascii="Times New Roman;Times;Serif" w:hAnsi="Times New Roman;Times;Serif"/>
          <w:b w:val="false"/>
          <w:i w:val="false"/>
          <w:caps w:val="false"/>
          <w:smallCaps w:val="false"/>
          <w:sz w:val="20"/>
        </w:rPr>
        <w:t>”) equal to 0.750% per annum multiplied by the daily undrawn amount of the outstanding Commitments, on (i) each Payment Date prior to the latest Commitment Termination Date, commencing with the first Payment Date following the date that is 120 days after the funding of the Tranche A-1 Term Loans, (ii) each date on which a Tranche B Term Loan, Tranche C Term Loan or Tranche D Term Loan is funded, in each case solely with respect to such funded Loans for the period from the prior Payment Date through, and including, the date of such funding, (iii) each date on which any Commitments expire or are terminated, in each case solely with respect to such expired or terminated Commitments for the period from the prior Payment Date through, and including, the date of such expiration or termination and (iv) upon acceleration or maturity of the Loans hereunder, solely with respect to any then-outstanding and undrawn Commitments for the period from the prior Payment Date through, and including, the date of such acceleration or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Extension of Maturity Date</w:t>
      </w:r>
      <w:r>
        <w:rPr>
          <w:rFonts w:ascii="Times New Roman;Times;Serif" w:hAnsi="Times New Roman;Times;Serif"/>
          <w:b w:val="false"/>
          <w:i w:val="false"/>
          <w:caps w:val="false"/>
          <w:smallCaps w:val="false"/>
          <w:sz w:val="20"/>
        </w:rPr>
        <w:t>. The Borrower shall have the right to extend the Maturity Date to April 19, 2028 upon satisfaction of all of the following conditions precedent, which must be satisfied prior to the effectiveness of the extension of the Maturity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left"/>
              <w:rPr/>
            </w:pPr>
            <w:r>
              <w:rPr>
                <w:b/>
              </w:rPr>
              <w:t>Extension Request</w:t>
            </w:r>
            <w:r>
              <w:rPr/>
              <w:t>. The Borrower shall deliver written notice of a request for extension to the Administrative Agent no earlier than September 21, 2026 and not later than October 21,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left"/>
              <w:rPr/>
            </w:pPr>
            <w:r>
              <w:rPr>
                <w:b/>
              </w:rPr>
              <w:t>BXCL 501 FDA Alzheimer’s Approval</w:t>
            </w:r>
            <w:r>
              <w:rPr/>
              <w:t>. The BXCL 501 FDA Alzheimer’s Approval shall have been received on or prior to December 31, 2024 and the Administrative Agent shall have received evidence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left"/>
              <w:rPr/>
            </w:pPr>
            <w:r>
              <w:rPr>
                <w:b/>
              </w:rPr>
              <w:t>No Default</w:t>
            </w:r>
            <w:r>
              <w:rPr/>
              <w:t>. At the time the Borrower delivers written notice of its request for extension to the Administrative Agent, there shall exist no Default or Event of Default.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(d)</w:t>
            </w:r>
          </w:p>
        </w:tc>
        <w:tc>
          <w:tcPr>
            <w:tcW w:w="9888" w:type="dxa"/>
            <w:tcBorders/>
            <w:vAlign w:val="center"/>
          </w:tcPr>
          <w:p>
            <w:pPr>
              <w:pStyle w:val="TableContents"/>
              <w:bidi w:val="0"/>
              <w:spacing w:before="0" w:after="283"/>
              <w:jc w:val="left"/>
              <w:rPr/>
            </w:pPr>
            <w:r>
              <w:rPr>
                <w:b/>
              </w:rPr>
              <w:t xml:space="preserve">No Acceleration. </w:t>
            </w:r>
            <w:r>
              <w:rPr/>
              <w:t xml:space="preserve">The Loans shall not have become due and payable for any reason in accordance with </w:t>
            </w:r>
            <w:r>
              <w:rPr>
                <w:b/>
              </w:rPr>
              <w:t>Section 11.02</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(e)</w:t>
            </w:r>
          </w:p>
        </w:tc>
        <w:tc>
          <w:tcPr>
            <w:tcW w:w="9959" w:type="dxa"/>
            <w:tcBorders/>
            <w:vAlign w:val="center"/>
          </w:tcPr>
          <w:p>
            <w:pPr>
              <w:pStyle w:val="TableContents"/>
              <w:bidi w:val="0"/>
              <w:spacing w:before="0" w:after="283"/>
              <w:jc w:val="left"/>
              <w:rPr/>
            </w:pPr>
            <w:r>
              <w:rPr>
                <w:b/>
              </w:rPr>
              <w:t xml:space="preserve">Representations and Warranties. </w:t>
            </w:r>
            <w:r>
              <w:rPr/>
              <w:t xml:space="preserve">At the time the Borrower delivers written notice of its request for extension to the Administrative Agent, the representations and warranties contained in this Agreement and in the other Loan Documents delivered pursuant to </w:t>
            </w:r>
            <w:r>
              <w:rPr>
                <w:b/>
              </w:rPr>
              <w:t>Section 6.01(a)</w:t>
            </w:r>
            <w:r>
              <w:rPr/>
              <w:t>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date of such extension, except to the extent such representations and warranties specifically relate to an earlier date, in which case such representations and warranties shall have been true and correct in all respects on and as of such earlier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2.08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trike/>
          <w:color w:val="FF0000"/>
          <w:sz w:val="20"/>
        </w:rPr>
        <w:t>Equity Investment</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On any date following the Closing Date and prior to the earlier of (i) Maturity Date and (ii) the repayment in full of the Loans, the Lenders may, severally and not jointly, purchase up to an aggregate of $5,000,000 (based on purchase price) of Common Stock from the Company, in either one (1) or two (2) closings (one for all Oaktree Lenders and one for all QIA Lenders), with the amount of Common Stock to be purchased by each Lender to be determined according to such Lender’s Equity Purchase Right, in each case in accordance with the terms of a stock purchase agreement in substantially the form attached hereto as </w:t>
      </w:r>
      <w:r>
        <w:rPr>
          <w:rFonts w:ascii="Times New Roman;Times;Serif" w:hAnsi="Times New Roman;Times;Serif"/>
          <w:b/>
          <w:i w:val="false"/>
          <w:caps w:val="false"/>
          <w:smallCaps w:val="false"/>
          <w:strike/>
          <w:color w:val="FF0000"/>
          <w:sz w:val="20"/>
        </w:rPr>
        <w:t>Exhibit H</w:t>
      </w:r>
      <w:r>
        <w:rPr>
          <w:rFonts w:ascii="Times New Roman;Times;Serif" w:hAnsi="Times New Roman;Times;Serif"/>
          <w:b w:val="false"/>
          <w:i w:val="false"/>
          <w:caps w:val="false"/>
          <w:smallCaps w:val="false"/>
          <w:strike/>
          <w:color w:val="FF0000"/>
          <w:sz w:val="20"/>
        </w:rPr>
        <w:t xml:space="preserve"> (the “</w:t>
      </w:r>
      <w:r>
        <w:rPr>
          <w:rFonts w:ascii="Times New Roman;Times;Serif" w:hAnsi="Times New Roman;Times;Serif"/>
          <w:b/>
          <w:i/>
          <w:caps w:val="false"/>
          <w:smallCaps w:val="false"/>
          <w:strike/>
          <w:color w:val="FF0000"/>
          <w:sz w:val="20"/>
        </w:rPr>
        <w:t>Stock Purchase Agreement</w:t>
      </w:r>
      <w:r>
        <w:rPr>
          <w:rFonts w:ascii="Times New Roman;Times;Serif" w:hAnsi="Times New Roman;Times;Serif"/>
          <w:b w:val="false"/>
          <w:i w:val="false"/>
          <w:caps w:val="false"/>
          <w:smallCaps w:val="false"/>
          <w:strike/>
          <w:color w:val="FF0000"/>
          <w:sz w:val="20"/>
        </w:rPr>
        <w:t>”) (such purchase, an “</w:t>
      </w:r>
      <w:r>
        <w:rPr>
          <w:rFonts w:ascii="Times New Roman;Times;Serif" w:hAnsi="Times New Roman;Times;Serif"/>
          <w:b/>
          <w:i/>
          <w:caps w:val="false"/>
          <w:smallCaps w:val="false"/>
          <w:strike/>
          <w:color w:val="FF0000"/>
          <w:sz w:val="20"/>
        </w:rPr>
        <w:t>Equity Investment</w:t>
      </w:r>
      <w:r>
        <w:rPr>
          <w:rFonts w:ascii="Times New Roman;Times;Serif" w:hAnsi="Times New Roman;Times;Serif"/>
          <w:b w:val="false"/>
          <w:i w:val="false"/>
          <w:caps w:val="false"/>
          <w:smallCaps w:val="false"/>
          <w:strike/>
          <w:color w:val="FF0000"/>
          <w:sz w:val="20"/>
        </w:rPr>
        <w:t xml:space="preserve">”). The price per share of Common Stock for each Equity Investment will equal 110% of the </w:t>
      </w:r>
      <w:r>
        <w:rPr>
          <w:rFonts w:ascii="Times New Roman;Times;Serif" w:hAnsi="Times New Roman;Times;Serif"/>
          <w:b w:val="false"/>
          <w:i w:val="false"/>
          <w:caps w:val="false"/>
          <w:smallCaps w:val="false"/>
          <w:strike/>
          <w:color w:val="008000"/>
          <w:sz w:val="20"/>
        </w:rPr>
        <w:t xml:space="preserve">average of the daily VWAPs over the 30 consecutive Trading Days preceding </w:t>
      </w:r>
      <w:r>
        <w:rPr>
          <w:rFonts w:ascii="Times New Roman;Times;Serif" w:hAnsi="Times New Roman;Times;Serif"/>
          <w:b w:val="false"/>
          <w:i w:val="false"/>
          <w:caps w:val="false"/>
          <w:smallCaps w:val="false"/>
          <w:strike/>
          <w:color w:val="FF0000"/>
          <w:sz w:val="20"/>
        </w:rPr>
        <w:t>the date of the notice contemplated by Section 2.08(b) below (the “</w:t>
      </w:r>
      <w:r>
        <w:rPr>
          <w:rFonts w:ascii="Times New Roman;Times;Serif" w:hAnsi="Times New Roman;Times;Serif"/>
          <w:b/>
          <w:i/>
          <w:caps w:val="false"/>
          <w:smallCaps w:val="false"/>
          <w:strike/>
          <w:color w:val="FF0000"/>
          <w:sz w:val="20"/>
        </w:rPr>
        <w:t>30-day VWAP</w:t>
      </w:r>
      <w:r>
        <w:rPr>
          <w:rFonts w:ascii="Times New Roman;Times;Serif" w:hAnsi="Times New Roman;Times;Serif"/>
          <w:b w:val="false"/>
          <w:i w:val="false"/>
          <w:caps w:val="false"/>
          <w:smallCaps w:val="false"/>
          <w:strike/>
          <w:color w:val="FF0000"/>
          <w:sz w:val="20"/>
        </w:rPr>
        <w:t>”). In connection with any Equity Investment, the Borrower shall enter into a registration rights agreement with the purchasers under the Stock Purchase Agreement on substantially the same terms as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To exercise the right to make an Equity Investment, the Administrative Agent shall provide notice in writing to the Borrower of the applicable Lenders’ election to make an Equity Investment two (2) Business Days prior to the proposed closing date for such Equity Investment. Such notice must include </w:t>
      </w:r>
      <w:r>
        <w:rPr>
          <w:rFonts w:ascii="Times New Roman;Times;Serif" w:hAnsi="Times New Roman;Times;Serif"/>
          <w:b w:val="false"/>
          <w:i w:val="false"/>
          <w:caps w:val="false"/>
          <w:smallCaps w:val="false"/>
          <w:strike/>
          <w:color w:val="008000"/>
          <w:sz w:val="20"/>
        </w:rPr>
        <w:t xml:space="preserve">(i) the price per share of </w:t>
      </w:r>
      <w:r>
        <w:rPr>
          <w:rFonts w:ascii="Times New Roman;Times;Serif" w:hAnsi="Times New Roman;Times;Serif"/>
          <w:b w:val="false"/>
          <w:i w:val="false"/>
          <w:caps w:val="false"/>
          <w:smallCaps w:val="false"/>
          <w:strike/>
          <w:color w:val="FF0000"/>
          <w:sz w:val="20"/>
        </w:rPr>
        <w:t xml:space="preserve">Common Stock to be purchased in the Equity Investment, calculated in accordance with </w:t>
      </w:r>
      <w:r>
        <w:rPr>
          <w:rFonts w:ascii="Times New Roman;Times;Serif" w:hAnsi="Times New Roman;Times;Serif"/>
          <w:b/>
          <w:i w:val="false"/>
          <w:caps w:val="false"/>
          <w:smallCaps w:val="false"/>
          <w:strike/>
          <w:color w:val="FF0000"/>
          <w:sz w:val="20"/>
        </w:rPr>
        <w:t>Section 2.08(a)</w:t>
      </w:r>
      <w:r>
        <w:rPr>
          <w:rFonts w:ascii="Times New Roman;Times;Serif" w:hAnsi="Times New Roman;Times;Serif"/>
          <w:b w:val="false"/>
          <w:i w:val="false"/>
          <w:caps w:val="false"/>
          <w:smallCaps w:val="false"/>
          <w:strike/>
          <w:color w:val="FF0000"/>
          <w:sz w:val="20"/>
        </w:rPr>
        <w:t xml:space="preserve"> above, (ii) appropriate backup for the 30-day VWAP (e.g., Bloomberg Terminal screenshot), (iii) the number of shares of Common Stock to be purchased by each applicable Lender in accordance with such Lender’s Equity Purchase Right and (iv) the irrevocable commitment of each such Lender to complete such Equity Investment in accordance with this </w:t>
      </w:r>
      <w:r>
        <w:rPr>
          <w:rFonts w:ascii="Times New Roman;Times;Serif" w:hAnsi="Times New Roman;Times;Serif"/>
          <w:b/>
          <w:i w:val="false"/>
          <w:caps w:val="false"/>
          <w:smallCaps w:val="false"/>
          <w:strike/>
          <w:color w:val="FF0000"/>
          <w:sz w:val="20"/>
        </w:rPr>
        <w:t>Section 2.08</w:t>
      </w:r>
      <w:r>
        <w:rPr>
          <w:rFonts w:ascii="Times New Roman;Times;Serif" w:hAnsi="Times New Roman;Times;Serif"/>
          <w:b w:val="false"/>
          <w:i w:val="false"/>
          <w:caps w:val="false"/>
          <w:smallCaps w:val="false"/>
          <w:strike/>
          <w:color w:val="FF0000"/>
          <w:sz w:val="20"/>
        </w:rPr>
        <w:t xml:space="preserve"> and the Stock Purchase Agreement two (2) Business Days following delivery of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Notwithstanding anything to the contrary herein, the maximum number of shares issuable by the Borrower pursuant to the Stock Purchase Agreement and the Company Warrants shall not exceed 5,851,606 (as may be proportionally adjusted for stock splits or combinations following the Second Amendment Effective Date), with the amount of any Equity Investment being reduced pro rata among the Lenders based on their respective Equity Purchase Rights if required </w:t>
      </w:r>
      <w:r>
        <w:rPr>
          <w:rFonts w:ascii="Times New Roman;Times;Serif" w:hAnsi="Times New Roman;Times;Serif"/>
          <w:b w:val="false"/>
          <w:i w:val="false"/>
          <w:caps w:val="false"/>
          <w:smallCaps w:val="false"/>
          <w:strike/>
          <w:color w:val="008000"/>
          <w:sz w:val="20"/>
        </w:rPr>
        <w:t xml:space="preserve">as a result of the </w:t>
      </w:r>
      <w:r>
        <w:rPr>
          <w:rFonts w:ascii="Times New Roman;Times;Serif" w:hAnsi="Times New Roman;Times;Serif"/>
          <w:b w:val="false"/>
          <w:i w:val="false"/>
          <w:caps w:val="false"/>
          <w:smallCaps w:val="false"/>
          <w:strike/>
          <w:color w:val="FF0000"/>
          <w:sz w:val="20"/>
        </w:rPr>
        <w:t>foregoing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w:t>
      </w:r>
      <w:r>
        <w:rPr>
          <w:rFonts w:ascii="Times New Roman;Times;Serif" w:hAnsi="Times New Roman;Times;Serif"/>
          <w:b/>
          <w:i w:val="false"/>
          <w:caps w:val="false"/>
          <w:smallCaps w:val="false"/>
          <w:sz w:val="20"/>
        </w:rPr>
        <w:br/>
        <w:t>PAYMENTS OF PRINCIPAL AND INTEREST,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Scheduled Repayments and Prepayments Generally; Application</w:t>
      </w:r>
      <w:r>
        <w:rPr>
          <w:rFonts w:ascii="Times New Roman;Times;Serif" w:hAnsi="Times New Roman;Times;Serif"/>
          <w:b w:val="false"/>
          <w:i w:val="false"/>
          <w:caps w:val="false"/>
          <w:smallCaps w:val="false"/>
          <w:sz w:val="20"/>
        </w:rPr>
        <w:t xml:space="preserve">. The Borrower hereby promises to pay to the Administrative Agent for the account of each Lender (as such amounts may in each case be reduced from time to time in accordance with </w:t>
      </w:r>
      <w:r>
        <w:rPr>
          <w:rFonts w:ascii="Times New Roman;Times;Serif" w:hAnsi="Times New Roman;Times;Serif"/>
          <w:b/>
          <w:i w:val="false"/>
          <w:caps w:val="false"/>
          <w:smallCaps w:val="false"/>
          <w:sz w:val="20"/>
        </w:rPr>
        <w:t>Section 3.03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xml:space="preserve">(i) on each Payment Date occurring on or after March 31, 2026 through the Maturity Date, the Borrower shall repay the outstanding principal amount of the Loans in consecutive quarterly installments of 5.0% of the principal amount of funded Loans outstanding on March 31, 2026 (which installments shall, to the extent applicable, be reduced </w:t>
      </w:r>
      <w:r>
        <w:rPr>
          <w:rFonts w:ascii="Times New Roman;Times;Serif" w:hAnsi="Times New Roman;Times;Serif"/>
          <w:b w:val="false"/>
          <w:i w:val="false"/>
          <w:caps w:val="false"/>
          <w:smallCaps w:val="false"/>
          <w:color w:val="008000"/>
          <w:sz w:val="20"/>
          <w:u w:val="single"/>
        </w:rPr>
        <w:t>as a result of the</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00FF"/>
          <w:sz w:val="20"/>
          <w:u w:val="single"/>
        </w:rPr>
        <w:t xml:space="preserve">application of prepayments), together with the applicable Prepayment Fee, unless sooner required to be repaid </w:t>
      </w:r>
      <w:r>
        <w:rPr>
          <w:rFonts w:ascii="Times New Roman;Times;Serif" w:hAnsi="Times New Roman;Times;Serif"/>
          <w:b w:val="false"/>
          <w:i w:val="false"/>
          <w:caps w:val="false"/>
          <w:smallCaps w:val="false"/>
          <w:color w:val="008000"/>
          <w:sz w:val="20"/>
          <w:u w:val="single"/>
        </w:rPr>
        <w:t>pursuant to the terms of this Agreement</w:t>
      </w:r>
      <w:r>
        <w:rPr>
          <w:rFonts w:ascii="Times New Roman;Times;Serif" w:hAnsi="Times New Roman;Times;Serif"/>
          <w:b w:val="false"/>
          <w:i w:val="false"/>
          <w:caps w:val="false"/>
          <w:smallCaps w:val="false"/>
          <w:color w:val="0000FF"/>
          <w:sz w:val="20"/>
          <w:u w:val="single"/>
        </w:rPr>
        <w:t>, and (ii) </w:t>
      </w:r>
      <w:r>
        <w:rPr>
          <w:rFonts w:ascii="Times New Roman;Times;Serif" w:hAnsi="Times New Roman;Times;Serif"/>
          <w:b w:val="false"/>
          <w:i w:val="false"/>
          <w:caps w:val="false"/>
          <w:smallCaps w:val="false"/>
          <w:sz w:val="20"/>
        </w:rPr>
        <w:t>on the Maturity Date, all outstanding Obligations in full (together with the accrued and unpaid interest and any other accrued and unpaid charges thereon and all other obligations due and payable by the Borrower under this Agreement). Except as otherwise provided in this Agreement, each payment (including each repayment and prepayment) by the Borrower (other than fees payable pursuant to the Fee Letter) will be deemed to be made ratably in accordance with the Lenders’ Proportionate Shares. On any date occurring prior to the Maturity Date that payment or prepayment in full of the Loans hereunder occurs, the Borrower shall pay in full all outstanding Obligations, which shall include the Prepayment Fee,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Interest Generally</w:t>
      </w:r>
      <w:r>
        <w:rPr>
          <w:rFonts w:ascii="Times New Roman;Times;Serif" w:hAnsi="Times New Roman;Times;Serif"/>
          <w:b w:val="false"/>
          <w:i w:val="false"/>
          <w:caps w:val="false"/>
          <w:smallCaps w:val="false"/>
          <w:sz w:val="20"/>
        </w:rPr>
        <w:t>. The outstanding principal amount of the Loans shall accrue interest from the date made to repayment (whether by acceleration or otherwise and whether voluntary or mandatory) at the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xml:space="preserve">. Notwithstanding the foregoing, upon the occurrence and during the continuance of any Event of Default, the Interest Rate shall increase automatically by two percent (2.0%) </w:t>
      </w:r>
      <w:r>
        <w:rPr>
          <w:rFonts w:ascii="Times New Roman;Times;Serif" w:hAnsi="Times New Roman;Times;Serif"/>
          <w:b w:val="false"/>
          <w:i/>
          <w:caps w:val="false"/>
          <w:smallCaps w:val="false"/>
          <w:sz w:val="20"/>
        </w:rPr>
        <w:t xml:space="preserve">per annum </w:t>
      </w:r>
      <w:r>
        <w:rPr>
          <w:rFonts w:ascii="Times New Roman;Times;Serif" w:hAnsi="Times New Roman;Times;Serif"/>
          <w:b w:val="false"/>
          <w:i w:val="false"/>
          <w:caps w:val="false"/>
          <w:smallCaps w:val="false"/>
          <w:sz w:val="20"/>
        </w:rPr>
        <w:t xml:space="preserve">(the Interest Rate, as increased pursuant to this </w:t>
      </w:r>
      <w:r>
        <w:rPr>
          <w:rFonts w:ascii="Times New Roman;Times;Serif" w:hAnsi="Times New Roman;Times;Serif"/>
          <w:b/>
          <w:i w:val="false"/>
          <w:caps w:val="false"/>
          <w:smallCaps w:val="false"/>
          <w:sz w:val="20"/>
        </w:rPr>
        <w:t>Section 3.02(b)</w:t>
      </w:r>
      <w:r>
        <w:rPr>
          <w:rFonts w:ascii="Times New Roman;Times;Serif" w:hAnsi="Times New Roman;Times;Serif"/>
          <w:b w:val="false"/>
          <w:i w:val="false"/>
          <w:caps w:val="false"/>
          <w:smallCaps w:val="false"/>
          <w:sz w:val="20"/>
        </w:rPr>
        <w:t>, being the “</w:t>
      </w:r>
      <w:r>
        <w:rPr>
          <w:rFonts w:ascii="Times New Roman;Times;Serif" w:hAnsi="Times New Roman;Times;Serif"/>
          <w:b/>
          <w:i/>
          <w:caps w:val="false"/>
          <w:smallCaps w:val="false"/>
          <w:sz w:val="20"/>
        </w:rPr>
        <w:t>Default Rate</w:t>
      </w:r>
      <w:r>
        <w:rPr>
          <w:rFonts w:ascii="Times New Roman;Times;Serif" w:hAnsi="Times New Roman;Times;Serif"/>
          <w:b w:val="false"/>
          <w:i w:val="false"/>
          <w:caps w:val="false"/>
          <w:smallCaps w:val="false"/>
          <w:sz w:val="20"/>
        </w:rPr>
        <w:t>”). If any Obligation (including fees, costs and expenses payable hereunder) is not paid when due (giving effect to any applicable grace period) under any applicable Loan Document, the amount thereof shall accrue interest at the Default Rate and such Default Rate interest shall be due and payable in cash 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Interest Payment Dates</w:t>
      </w:r>
      <w:r>
        <w:rPr>
          <w:rFonts w:ascii="Times New Roman;Times;Serif" w:hAnsi="Times New Roman;Times;Serif"/>
          <w:b w:val="false"/>
          <w:i w:val="false"/>
          <w:caps w:val="false"/>
          <w:smallCaps w:val="false"/>
          <w:sz w:val="20"/>
        </w:rPr>
        <w:t xml:space="preserve">. Accrued interest on the Loans shall be payable in arrears on each Payment Date in cash, and upon the payment or prepayment of the Loans (on the principal amount being so paid or prepaid);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interest payable at the Default Rate shall also be payable in cash from time to time on demand by the Administrative Agent. Notwithstanding the foregoing, </w:t>
      </w:r>
      <w:r>
        <w:rPr>
          <w:rFonts w:ascii="Times New Roman;Times;Serif" w:hAnsi="Times New Roman;Times;Serif"/>
          <w:b w:val="false"/>
          <w:i w:val="false"/>
          <w:caps w:val="false"/>
          <w:smallCaps w:val="false"/>
          <w:color w:val="0000FF"/>
          <w:sz w:val="20"/>
          <w:u w:val="single"/>
        </w:rPr>
        <w:t>(I) </w:t>
      </w:r>
      <w:r>
        <w:rPr>
          <w:rFonts w:ascii="Times New Roman;Times;Serif" w:hAnsi="Times New Roman;Times;Serif"/>
          <w:b w:val="false"/>
          <w:i w:val="false"/>
          <w:caps w:val="false"/>
          <w:smallCaps w:val="false"/>
          <w:sz w:val="20"/>
        </w:rPr>
        <w:t xml:space="preserve">commencing on the first Payment Date on which interest on the Loans is owed and continuing through, and including, </w:t>
      </w:r>
      <w:r>
        <w:rPr>
          <w:rFonts w:ascii="Times New Roman;Times;Serif" w:hAnsi="Times New Roman;Times;Serif"/>
          <w:b w:val="false"/>
          <w:i w:val="false"/>
          <w:caps w:val="false"/>
          <w:smallCaps w:val="false"/>
          <w:strike/>
          <w:color w:val="FF0000"/>
          <w:sz w:val="20"/>
        </w:rPr>
        <w:t>March 31</w:t>
      </w:r>
      <w:r>
        <w:rPr>
          <w:rFonts w:ascii="Times New Roman;Times;Serif" w:hAnsi="Times New Roman;Times;Serif"/>
          <w:b w:val="false"/>
          <w:i w:val="false"/>
          <w:caps w:val="false"/>
          <w:smallCaps w:val="false"/>
          <w:color w:val="0000FF"/>
          <w:sz w:val="20"/>
          <w:u w:val="single"/>
        </w:rPr>
        <w:t>September 30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2025</w:t>
      </w:r>
      <w:r>
        <w:rPr>
          <w:rFonts w:ascii="Times New Roman;Times;Serif" w:hAnsi="Times New Roman;Times;Serif"/>
          <w:b w:val="false"/>
          <w:i w:val="false"/>
          <w:caps w:val="false"/>
          <w:smallCaps w:val="false"/>
          <w:color w:val="0000FF"/>
          <w:sz w:val="20"/>
          <w:u w:val="single"/>
        </w:rPr>
        <w:t>2024</w:t>
      </w:r>
      <w:r>
        <w:rPr>
          <w:rFonts w:ascii="Times New Roman;Times;Serif" w:hAnsi="Times New Roman;Times;Serif"/>
          <w:b w:val="false"/>
          <w:i w:val="false"/>
          <w:caps w:val="false"/>
          <w:smallCaps w:val="false"/>
          <w:sz w:val="20"/>
        </w:rPr>
        <w:t>, any interest above 8.00% per annum for each applicable period shall be payable in kind by capitalizing and adding such interest to the outstanding principal amount of the Loans on such Payment Date (“</w:t>
      </w:r>
      <w:r>
        <w:rPr>
          <w:rFonts w:ascii="Times New Roman;Times;Serif" w:hAnsi="Times New Roman;Times;Serif"/>
          <w:b/>
          <w:i/>
          <w:caps w:val="false"/>
          <w:smallCaps w:val="false"/>
          <w:sz w:val="20"/>
        </w:rPr>
        <w:t>PIK Interest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 xml:space="preserve">and (II) commencing on the Payment Date occurring on December 31, 2024 and continuing through, and including, June 30, 2025, any interest above 3.00% per annum (other than Default Interest or following an Event of Default) for each applicable period shall be PIK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may, at its option, irrevocably elect, by written notice to the Administrative Agent, by 10:00 a.m. (Eastern time) three (3) Business Days prior to any Payment Date, to decrease the rate of interest per annum capitalized as PIK Interest for such Payment Date by paying such amount in cash, or that no PIK Interest will be capitalized for such Payment Date, and, in each case, Borrower will pay such amount of interest that is owing and not capitalized as PIK Interest in cash as regular interest on such Payment Date. For </w:t>
      </w:r>
      <w:r>
        <w:rPr>
          <w:rFonts w:ascii="Times New Roman;Times;Serif" w:hAnsi="Times New Roman;Times;Serif"/>
          <w:b w:val="false"/>
          <w:i w:val="false"/>
          <w:caps w:val="false"/>
          <w:smallCaps w:val="false"/>
          <w:color w:val="0000FF"/>
          <w:sz w:val="20"/>
          <w:u w:val="single"/>
        </w:rPr>
        <w:t xml:space="preserve">the avoidance of doubt, commencing on the Payment Date occurring on September 30, 2025, all interest shall be payable in cash. For </w:t>
      </w:r>
      <w:r>
        <w:rPr>
          <w:rFonts w:ascii="Times New Roman;Times;Serif" w:hAnsi="Times New Roman;Times;Serif"/>
          <w:b w:val="false"/>
          <w:i w:val="false"/>
          <w:caps w:val="false"/>
          <w:smallCaps w:val="false"/>
          <w:sz w:val="20"/>
        </w:rPr>
        <w:t xml:space="preserve">purposes of this Agreement and the other Loan Documents, PIK Interest capitalized pursuant to this </w:t>
      </w:r>
      <w:r>
        <w:rPr>
          <w:rFonts w:ascii="Times New Roman;Times;Serif" w:hAnsi="Times New Roman;Times;Serif"/>
          <w:b/>
          <w:i w:val="false"/>
          <w:caps w:val="false"/>
          <w:smallCaps w:val="false"/>
          <w:sz w:val="20"/>
        </w:rPr>
        <w:t>Section 3.02</w:t>
      </w:r>
      <w:r>
        <w:rPr>
          <w:rFonts w:ascii="Times New Roman;Times;Serif" w:hAnsi="Times New Roman;Times;Serif"/>
          <w:b w:val="false"/>
          <w:i w:val="false"/>
          <w:caps w:val="false"/>
          <w:smallCaps w:val="false"/>
          <w:sz w:val="20"/>
        </w:rPr>
        <w:t xml:space="preserve"> shall constitute a portion of the principal amount outstanding of the Loans hereunder and shall bear interest in accordance with this </w:t>
      </w:r>
      <w:r>
        <w:rPr>
          <w:rFonts w:ascii="Times New Roman;Times;Serif" w:hAnsi="Times New Roman;Times;Serif"/>
          <w:b/>
          <w:i w:val="false"/>
          <w:caps w:val="false"/>
          <w:smallCaps w:val="false"/>
          <w:sz w:val="20"/>
        </w:rPr>
        <w:t xml:space="preserve">Section 3 </w:t>
      </w:r>
      <w:r>
        <w:rPr>
          <w:rFonts w:ascii="Times New Roman;Times;Serif" w:hAnsi="Times New Roman;Times;Serif"/>
          <w:b w:val="false"/>
          <w:i w:val="false"/>
          <w:caps w:val="false"/>
          <w:smallCaps w:val="false"/>
          <w:sz w:val="20"/>
        </w:rPr>
        <w:t>and all references herein or in any other Loan Document to the principal amount of the Loans shall include all interest accrued and capitalized as a result of any payment of PIK Interest. Any PIK Interest shall automatically be capitalized on the applicable Payment Date in accordance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Optional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prior written notice pursuant to </w:t>
      </w:r>
      <w:r>
        <w:rPr>
          <w:rFonts w:ascii="Times New Roman;Times;Serif" w:hAnsi="Times New Roman;Times;Serif"/>
          <w:b/>
          <w:i w:val="false"/>
          <w:caps w:val="false"/>
          <w:smallCaps w:val="false"/>
          <w:sz w:val="20"/>
        </w:rPr>
        <w:t>clause (ii) </w:t>
      </w:r>
      <w:r>
        <w:rPr>
          <w:rFonts w:ascii="Times New Roman;Times;Serif" w:hAnsi="Times New Roman;Times;Serif"/>
          <w:b w:val="false"/>
          <w:i w:val="false"/>
          <w:caps w:val="false"/>
          <w:smallCaps w:val="false"/>
          <w:sz w:val="20"/>
        </w:rPr>
        <w:t>below, the Borrower shall have the right to optionally prepay in whole or in part the outstanding principal amount of the Loans on any Business Day for an amount equal to the sum of (A) the aggregate principal amount of the Loans being prepaid, (B) any accrued but unpaid interest on the principal amount of the Loans being prepaid, (C) any applicable Prepayment Fee and (D) if applicable, other unpaid amounts then due and owing pursuant to this Agreement and the other Loan Documents (such aggregate amount, the “</w:t>
      </w:r>
      <w:r>
        <w:rPr>
          <w:rFonts w:ascii="Times New Roman;Times;Serif" w:hAnsi="Times New Roman;Times;Serif"/>
          <w:b/>
          <w:i/>
          <w:caps w:val="false"/>
          <w:smallCaps w:val="false"/>
          <w:sz w:val="20"/>
        </w:rPr>
        <w:t>Prepayment Price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partial prepayment of principal of Loans shall be in an aggregate amount at least equal to $5,000,000 and integral multiples of $1,000,000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notice of optional prepayment shall be effective only if received by the Administrative Agent not later than 2:00 p.m. (Eastern time) on a date not less than two (2) (nor more than five (5)) Business Days prior to the proposed prepayment date;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Each notice of optional prepayment shall specify the proposed prepayment date, the Prepayment Price, the principal amount to be prepaid and any conditions to prepayment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Mandatory Prepayments for Casualty Events or Asset Sales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sz w:val="20"/>
        </w:rPr>
        <w:t xml:space="preserve">            Within three (3) Business Days of the receipt of Net Cash Proceeds from the occurrence of any Casualty Event or Asset Sale (that is not otherwise permitted by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(other than pursuant to clause (l) thereof)</w:t>
      </w:r>
      <w:r>
        <w:rPr>
          <w:rFonts w:ascii="Times New Roman;Times;Serif" w:hAnsi="Times New Roman;Times;Serif"/>
          <w:b w:val="false"/>
          <w:i w:val="false"/>
          <w:caps w:val="false"/>
          <w:smallCaps w:val="false"/>
          <w:sz w:val="20"/>
        </w:rPr>
        <w:t xml:space="preserve">), the Borrower shall make a mandatory prepayment of the Loans in an amount equal to the sum of (i) one hundred percent (100%) of the Net Cash Proceeds received by the Borrower or any of its Subsidiaries with respect to such Asset Sale or insurance proceeds or condemnation awards in respect of such Casualty Event, as the case may be, (ii) any accrued but unpaid interest on any principal amount of the Loans being prepaid and (iii) any applicable Prepayment Fee;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 long as no Default has occurred and is continuing or shall result therefrom, if, within ten (10) Business Days following the occurrence of any such Casualty Event or Asset Sale as a result of which the Borrower or any of its Subsidiaries receives Net Cash Proceeds in an aggregate amount less than $10,000,000, a Responsible Officer of the Borrower delivers to the Administrative Agent a notice to the effect that the Borrower or the applicable Subsidiary intends to apply the Net Cash Proceeds from such Asset Sale or insurance proceeds or condemnation awards in respect of such Casualty Event, to reinvest in the business of the Borrower or any of its Subsidiaries (a “</w:t>
      </w:r>
      <w:r>
        <w:rPr>
          <w:rFonts w:ascii="Times New Roman;Times;Serif" w:hAnsi="Times New Roman;Times;Serif"/>
          <w:b/>
          <w:i/>
          <w:caps w:val="false"/>
          <w:smallCaps w:val="false"/>
          <w:sz w:val="20"/>
        </w:rPr>
        <w:t>Reinvestment</w:t>
      </w:r>
      <w:r>
        <w:rPr>
          <w:rFonts w:ascii="Times New Roman;Times;Serif" w:hAnsi="Times New Roman;Times;Serif"/>
          <w:b w:val="false"/>
          <w:i w:val="false"/>
          <w:caps w:val="false"/>
          <w:smallCaps w:val="false"/>
          <w:sz w:val="20"/>
        </w:rPr>
        <w:t xml:space="preserve">”), then such Net Cash Proceeds of such Asset Sale or insurance proceeds or condemnation awards in respect of such Casualty Event may be applied for such purpose in lieu of such mandatory prepayment to the extent such Net Cash Proceeds of such Asset Sale or insurance proceeds or condemnation awards in respect of such Casualty Event are actually applied for such purpose;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such Casualty Event or Asset Sale occurs with respect to any Obligor, such Reinvestment shall be made in the business of an Obligor;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in the event that Net Cash Proceeds have not been so applied within three hundred sixty-five (365) days (the “</w:t>
      </w:r>
      <w:r>
        <w:rPr>
          <w:rFonts w:ascii="Times New Roman;Times;Serif" w:hAnsi="Times New Roman;Times;Serif"/>
          <w:b/>
          <w:i/>
          <w:caps w:val="false"/>
          <w:smallCaps w:val="false"/>
          <w:sz w:val="20"/>
        </w:rPr>
        <w:t>Reinvestment Period</w:t>
      </w:r>
      <w:r>
        <w:rPr>
          <w:rFonts w:ascii="Times New Roman;Times;Serif" w:hAnsi="Times New Roman;Times;Serif"/>
          <w:b w:val="false"/>
          <w:i w:val="false"/>
          <w:caps w:val="false"/>
          <w:smallCaps w:val="false"/>
          <w:sz w:val="20"/>
        </w:rPr>
        <w:t>”) following the occurrence of such Casualty Event or Asset Sale, the Borrower shall no later than the end of such period make a mandatory prepayment of the Loans in an aggregate amount equal to the sum of (i) one hundred percent (100%) of the unused balance of such Net Cash Proceeds received by any Obligor or any of its Subsidiaries with respect to such Asset Sale or insurance proceeds or condemnation awards in respect of such Casualty Event, (ii) any accrued but unpaid interest on any principal amount of the Loans being prepaid and (iii) any applicable Prepayment Fee. Notwithstanding the foregoing, no mandatory prepayment shall be required pursuant to this Section 3.03(b)(i)(A) as a result of any Permitted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Notwithstanding Section 3.03(b)(i)(A), (i) any BXCL 701 Secondary Disposition Proceeds or (ii) any BXCL 701 Primary Disposition Proceeds distributed to the Borrower or any Subsidiary that is not a BXCL 701 Subsidiary shall, in each case at the written election of the Administrative Agent, be subject to the following: (x) 50% of such proceeds shall be deposited into a blocked account (the “</w:t>
      </w:r>
      <w:r>
        <w:rPr>
          <w:rFonts w:ascii="Times New Roman;Times;Serif" w:hAnsi="Times New Roman;Times;Serif"/>
          <w:b w:val="false"/>
          <w:i w:val="false"/>
          <w:caps w:val="false"/>
          <w:smallCaps w:val="false"/>
          <w:strike/>
          <w:color w:val="FF0000"/>
          <w:sz w:val="20"/>
          <w:u w:val="single"/>
        </w:rPr>
        <w:t>BXCL 701 Disposition Proceeds Account</w:t>
      </w:r>
      <w:r>
        <w:rPr>
          <w:rFonts w:ascii="Times New Roman;Times;Serif" w:hAnsi="Times New Roman;Times;Serif"/>
          <w:b w:val="false"/>
          <w:i w:val="false"/>
          <w:caps w:val="false"/>
          <w:smallCaps w:val="false"/>
          <w:strike/>
          <w:color w:val="FF0000"/>
          <w:sz w:val="20"/>
        </w:rPr>
        <w:t xml:space="preserve">”), and (y) the remainder of such proceeds may be retained by the Borrower or any other Obligor and used for any purpose permitted by this Agreement and the Loan Documents, except such proceeds shall not be used for any Restricted Payments;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that the amount required to be deposited in the BXCL 701 Disposition Proceeds Account at any time shall not exceed 50% of the Loans outstanding at such time. The contents of the BXCL 701 Disposition Proceeds Account shall be released to the Borrower upon the delivery of a certification by the Borrower that net product revenue attributable to BXCL 501 for any trailing twelve (12) consecutive month period exceeds $45,000,000 for such period. The full amount in the BXCL 701 Disposition Proceeds Account shall be applied to prepay the Loans (i) if such amount has not been released by December 31, 2024 or (ii) at the option of the Administrative Agent, upon the occurrence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Notwithstanding Section 3.03(b)(i)(A), any BXCL 701 Subsidiary shall use the BXCL 701 Primary Disposition Proceeds received by it solely (i) for the development and commercialization of BXCL 701 and the Emerging 701 Pipeline, (ii) for the acquisition or in-licensing of assets or for research and development purposes, in each case within the oncology field, (iii) in the case of a Qualifying IPO by IPO Co., to purchase Equity Interests in BXCL 701 Subsidiaries in connection with such Qualifying IPO, (iv) for reasonable and customary compensation expenses and for other ordinary course administrative and operational expenses, or (v) to make distributions to the Borrower or any Subsidiary that is not a BXCL 701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Mandatory Prepayments for Debt Issuances</w:t>
      </w:r>
      <w:r>
        <w:rPr>
          <w:rFonts w:ascii="Times New Roman;Times;Serif" w:hAnsi="Times New Roman;Times;Serif"/>
          <w:b w:val="false"/>
          <w:i w:val="false"/>
          <w:caps w:val="false"/>
          <w:smallCaps w:val="false"/>
          <w:sz w:val="20"/>
        </w:rPr>
        <w:t xml:space="preserve">. Immediately upon receipt by any Obligor or any of its Subsidiaries of proceeds from any issuance, incurrence or assumption of Indebtedness other than Indebtedness permitted by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on or after the Closing Date, the Borrower shall prepay the Loans and other Obligations in an amount equal to 100% of the cash proceeds received,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Prepayment Fee,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xml:space="preserve">. The Borrower shall notify the Administrative Agent not later than 12:00 p.m. (Eastern time) on a date not less than two (2) Business Days prior to any mandatory prepayment. Each notice of mandatory prepayment shall specify the proposed prepayment date, the Prepayment Price, the principal amount to be prepaid and the subsection under which the prepayment is required. Notwithstanding anything in this </w:t>
      </w:r>
      <w:r>
        <w:rPr>
          <w:rFonts w:ascii="Times New Roman;Times;Serif" w:hAnsi="Times New Roman;Times;Serif"/>
          <w:b/>
          <w:i w:val="false"/>
          <w:caps w:val="false"/>
          <w:smallCaps w:val="false"/>
          <w:sz w:val="20"/>
        </w:rPr>
        <w:t>Section 3.03</w:t>
      </w:r>
      <w:r>
        <w:rPr>
          <w:rFonts w:ascii="Times New Roman;Times;Serif" w:hAnsi="Times New Roman;Times;Serif"/>
          <w:b w:val="false"/>
          <w:i w:val="false"/>
          <w:caps w:val="false"/>
          <w:smallCaps w:val="false"/>
          <w:sz w:val="20"/>
        </w:rPr>
        <w:t xml:space="preserve"> to the contrary, any Lender may elect, by written notice to the Administrative Agent no later than 12:00 p.m. (Eastern time), one (1) Business Day prior to the prepayment date (or such later time as the Administrative Agent may agree), to decline all or any portion of any mandatory prepayment of its Loans pursuant to this </w:t>
      </w:r>
      <w:r>
        <w:rPr>
          <w:rFonts w:ascii="Times New Roman;Times;Serif" w:hAnsi="Times New Roman;Times;Serif"/>
          <w:b/>
          <w:i w:val="false"/>
          <w:caps w:val="false"/>
          <w:smallCaps w:val="false"/>
          <w:sz w:val="20"/>
        </w:rPr>
        <w:t>Section 3.03</w:t>
      </w:r>
      <w:r>
        <w:rPr>
          <w:rFonts w:ascii="Times New Roman;Times;Serif" w:hAnsi="Times New Roman;Times;Serif"/>
          <w:b w:val="false"/>
          <w:i w:val="false"/>
          <w:caps w:val="false"/>
          <w:smallCaps w:val="false"/>
          <w:sz w:val="20"/>
        </w:rPr>
        <w:t>. Any Lender that fails to deliver such notice to the Administrative Agent in the time frame set forth above shall be deemed to have accepted its share of any mandatory prepayment. The aggregate amount of the prepayment that would have been applied to prepay Loans but was so declined may be retained by the Borrower and used for any general corporate purpose not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Application</w:t>
      </w:r>
      <w:r>
        <w:rPr>
          <w:rFonts w:ascii="Times New Roman;Times;Serif" w:hAnsi="Times New Roman;Times;Serif"/>
          <w:b w:val="false"/>
          <w:i w:val="false"/>
          <w:caps w:val="false"/>
          <w:smallCaps w:val="false"/>
          <w:sz w:val="20"/>
        </w:rPr>
        <w:t>. All prepayments of the Loans shall be applied to principal installments on the Loans in the inverse order of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Prepayment Fee</w:t>
      </w:r>
      <w:r>
        <w:rPr>
          <w:rFonts w:ascii="Times New Roman;Times;Serif" w:hAnsi="Times New Roman;Times;Serif"/>
          <w:b w:val="false"/>
          <w:i w:val="false"/>
          <w:caps w:val="false"/>
          <w:smallCaps w:val="false"/>
          <w:sz w:val="20"/>
        </w:rPr>
        <w:t xml:space="preserve">. Without limiting the foregoing, whenever the Prepayment Fee is in effect and payable pursuant to the terms hereof or any other Loan Document, such Prepayment Fee shall be payable on each prepayment of all or any portion of the Loans, whether by optional or mandatory prepayment, acceleration or otherwise (other than any prepayment pursuant to </w:t>
      </w:r>
      <w:r>
        <w:rPr>
          <w:rFonts w:ascii="Times New Roman;Times;Serif" w:hAnsi="Times New Roman;Times;Serif"/>
          <w:b/>
          <w:i w:val="false"/>
          <w:caps w:val="false"/>
          <w:smallCaps w:val="false"/>
          <w:sz w:val="20"/>
        </w:rPr>
        <w:t>Section 5.02</w:t>
      </w:r>
      <w:r>
        <w:rPr>
          <w:rFonts w:ascii="Times New Roman;Times;Serif" w:hAnsi="Times New Roman;Times;Serif"/>
          <w:b w:val="false"/>
          <w:i w:val="false"/>
          <w:caps w:val="false"/>
          <w:smallCaps w:val="false"/>
          <w:sz w:val="20"/>
        </w:rPr>
        <w:t xml:space="preserve"> or any scheduled amortization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Partial Prepayments</w:t>
      </w:r>
      <w:r>
        <w:rPr>
          <w:rFonts w:ascii="Times New Roman;Times;Serif" w:hAnsi="Times New Roman;Times;Serif"/>
          <w:b w:val="false"/>
          <w:i w:val="false"/>
          <w:caps w:val="false"/>
          <w:smallCaps w:val="false"/>
          <w:sz w:val="20"/>
        </w:rPr>
        <w:t xml:space="preserve">. Prepayments shall be accompanied by accrued interest to the extent required by </w:t>
      </w:r>
      <w:r>
        <w:rPr>
          <w:rFonts w:ascii="Times New Roman;Times;Serif" w:hAnsi="Times New Roman;Times;Serif"/>
          <w:b/>
          <w:i w:val="false"/>
          <w:caps w:val="false"/>
          <w:smallCaps w:val="false"/>
          <w:sz w:val="20"/>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Commitment Termination</w:t>
      </w:r>
      <w:r>
        <w:rPr>
          <w:rFonts w:ascii="Times New Roman;Times;Serif" w:hAnsi="Times New Roman;Times;Serif"/>
          <w:b w:val="false"/>
          <w:i w:val="false"/>
          <w:caps w:val="false"/>
          <w:smallCaps w:val="false"/>
          <w:sz w:val="20"/>
        </w:rPr>
        <w:t xml:space="preserve">. Each Applicable Commitment shall terminate automatically without further action upon the earliest of (i) the making by the Lenders of the Loans to which such Applicable Commitment relates on the Applicable Funding Date, (ii) the last day of the Applicable Availability Period and (iii) the acceleration of the Loans hereunder. The Borrower shall have the right at any time or from time to time to terminate in full (but not in part) all the then outstanding Applicable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give the Lender at least five (5) Business Days’ notice of each such termination. The termination of any Applicable Commitment shall be permanent.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w:t>
      </w:r>
      <w:r>
        <w:rPr>
          <w:rFonts w:ascii="Times New Roman;Times;Serif" w:hAnsi="Times New Roman;Times;Serif"/>
          <w:b/>
          <w:i w:val="false"/>
          <w:caps w:val="false"/>
          <w:smallCaps w:val="false"/>
          <w:sz w:val="20"/>
        </w:rPr>
        <w:br/>
        <w:t>PAYMENTS,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Payments Generally</w:t>
      </w:r>
      <w:r>
        <w:rPr>
          <w:rFonts w:ascii="Times New Roman;Times;Serif" w:hAnsi="Times New Roman;Times;Serif"/>
          <w:b w:val="false"/>
          <w:i w:val="false"/>
          <w:caps w:val="false"/>
          <w:smallCaps w:val="false"/>
          <w:sz w:val="20"/>
        </w:rPr>
        <w:t>. Each payment of principal, interest and other amounts to be made by the Obligors under this Agreement or any other Loan Document shall be made (i) in Dollars, in immediately available funds, without deduction, set off or counterclaim, to the Administrative Agent, for the account of the respective Lenders to which such payment is owed, to the deposit account of the Administrative Agent designated by the Administrative Agent by notice to the Borrower, and (ii) not later than 2:00 p.m. (Eastern time) on the date on which such payment is due (each such payment made after such time on such due date may, in the Administrative Agent’s discretion, be deemed to have been made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Application of Payments</w:t>
      </w:r>
      <w:r>
        <w:rPr>
          <w:rFonts w:ascii="Times New Roman;Times;Serif" w:hAnsi="Times New Roman;Times;Serif"/>
          <w:b w:val="false"/>
          <w:i w:val="false"/>
          <w:caps w:val="false"/>
          <w:smallCaps w:val="false"/>
          <w:sz w:val="20"/>
        </w:rPr>
        <w:t>. Notwithstanding anything herein to the contrary, following the occurrence and continuance of an Event of Default, all payments shall be applied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payment of that portion of the Obligations constituting unpaid fees, indemnities, expenses or other amounts (including fees and disbursements and other charges of counsel payable under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payable to the Administrative Agent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the payment of that portion of the Obligations constituting unpaid fees, indemnities, costs, expenses and other amounts (other than principal and interest, but including fees and disbursements and other charges of counsel payable under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xml:space="preserve">, any Ticking Fees and Prepayment Fees) payable to the Lenders arising under the Loan Documents, ratably among them in proportion to the respective amounts described in this </w:t>
      </w:r>
      <w:r>
        <w:rPr>
          <w:rFonts w:ascii="Times New Roman;Times;Serif" w:hAnsi="Times New Roman;Times;Serif"/>
          <w:b/>
          <w:i w:val="false"/>
          <w:caps w:val="false"/>
          <w:smallCaps w:val="false"/>
          <w:sz w:val="20"/>
        </w:rPr>
        <w:t>clause (B) </w:t>
      </w:r>
      <w:r>
        <w:rPr>
          <w:rFonts w:ascii="Times New Roman;Times;Serif" w:hAnsi="Times New Roman;Times;Serif"/>
          <w:b w:val="false"/>
          <w:i w:val="false"/>
          <w:caps w:val="false"/>
          <w:smallCaps w:val="false"/>
          <w:sz w:val="20"/>
        </w:rPr>
        <w:t>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the payment of that portion of the Obligations constituting accrued and unpaid interest on the Loans, ratably among the Lenders in proportion to the respective amounts described in this </w:t>
      </w:r>
      <w:r>
        <w:rPr>
          <w:rFonts w:ascii="Times New Roman;Times;Serif" w:hAnsi="Times New Roman;Times;Serif"/>
          <w:b/>
          <w:i w:val="false"/>
          <w:caps w:val="false"/>
          <w:smallCaps w:val="false"/>
          <w:sz w:val="20"/>
        </w:rPr>
        <w:t>clause (C) </w:t>
      </w:r>
      <w:r>
        <w:rPr>
          <w:rFonts w:ascii="Times New Roman;Times;Serif" w:hAnsi="Times New Roman;Times;Serif"/>
          <w:b w:val="false"/>
          <w:i w:val="false"/>
          <w:caps w:val="false"/>
          <w:smallCaps w:val="false"/>
          <w:sz w:val="20"/>
        </w:rPr>
        <w:t>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to the payment of that portion of the Obligations constituting unpaid principal of the Loans, ratably among the Lenders in proportion to the respective amounts described in this </w:t>
      </w:r>
      <w:r>
        <w:rPr>
          <w:rFonts w:ascii="Times New Roman;Times;Serif" w:hAnsi="Times New Roman;Times;Serif"/>
          <w:b/>
          <w:i w:val="false"/>
          <w:caps w:val="false"/>
          <w:smallCaps w:val="false"/>
          <w:sz w:val="20"/>
        </w:rPr>
        <w:t>clause (D) </w:t>
      </w:r>
      <w:r>
        <w:rPr>
          <w:rFonts w:ascii="Times New Roman;Times;Serif" w:hAnsi="Times New Roman;Times;Serif"/>
          <w:b w:val="false"/>
          <w:i w:val="false"/>
          <w:caps w:val="false"/>
          <w:smallCaps w:val="false"/>
          <w:sz w:val="20"/>
        </w:rPr>
        <w:t>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in reduction of any other Obligation then due and owing, ratably among the Administrative Agent and the Lenders based upon the respective aggregate amount of all such Obligations owing to them in accordance with the respective amounts thereof then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the balance, if any, after all Obligations have been indefeasibly paid in full, to the Borrower or such other Person as may be lawfully entitled to or directed by the Borrower to receive the remainder.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Non-Business Days</w:t>
      </w:r>
      <w:r>
        <w:rPr>
          <w:rFonts w:ascii="Times New Roman;Times;Serif" w:hAnsi="Times New Roman;Times;Serif"/>
          <w:b w:val="false"/>
          <w:i w:val="false"/>
          <w:caps w:val="false"/>
          <w:smallCaps w:val="false"/>
          <w:sz w:val="20"/>
        </w:rPr>
        <w:t xml:space="preserve">. If the due date of any payment under this Agreement (whether in respect of principal, interest, fees, costs or otherwise) would otherwise fall on a day that is not a Business Day, such date shall be extended to the next succeeding Business Day, and, in the case of any payment accruing interest, interest thereon shall continue to accrue and be payable for the period of such extension;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if such next succeeding Business Day would fall after the Maturity Date, payment shall be made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Computations</w:t>
      </w:r>
      <w:r>
        <w:rPr>
          <w:rFonts w:ascii="Times New Roman;Times;Serif" w:hAnsi="Times New Roman;Times;Serif"/>
          <w:b w:val="false"/>
          <w:i w:val="false"/>
          <w:caps w:val="false"/>
          <w:smallCaps w:val="false"/>
          <w:sz w:val="20"/>
        </w:rPr>
        <w:t>. All computations of interest and fees hereunder shall be computed on the basis of a year of three hundred and sixty (360) days and actual days elapsed during the period for which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Set-Off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Set-Off Generally</w:t>
      </w:r>
      <w:r>
        <w:rPr>
          <w:rFonts w:ascii="Times New Roman;Times;Serif" w:hAnsi="Times New Roman;Times;Serif"/>
          <w:b w:val="false"/>
          <w:i w:val="false"/>
          <w:caps w:val="false"/>
          <w:smallCaps w:val="false"/>
          <w:sz w:val="20"/>
        </w:rPr>
        <w:t xml:space="preserve">. Upon the occurrence and during the continuance of any Event of Default, the Administrative Agent, each of the Lenders and each of their Affiliates is hereby authorized at any time and from time to time, to the fullest extent permitted by law, to set off and apply any and all deposits (general or special, time or demand, provisional or final) at any time held and other indebtedness at any time owing by the Administrative Agent, any Lender and any of their Affiliates to or for the credit or the account of any Obligor against any and all of the Obligations, whether or not such Person shall have made any demand and although such obligations may be unmatured. Any Person exercising rights of set off hereunder agrees promptly to notify the Borrower after any such set-off and application;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the failure to give such notice shall not affect the validity of such set-off and application. The rights of the Administrative Agent, the Lenders and each of their Affiliates under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are in addition to other rights and remedies (including other rights of set-off) that such Persons may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Exercise of Rights Not Required</w:t>
      </w:r>
      <w:r>
        <w:rPr>
          <w:rFonts w:ascii="Times New Roman;Times;Serif" w:hAnsi="Times New Roman;Times;Serif"/>
          <w:b w:val="false"/>
          <w:i w:val="false"/>
          <w:caps w:val="false"/>
          <w:smallCaps w:val="false"/>
          <w:sz w:val="20"/>
        </w:rPr>
        <w:t xml:space="preserve">. Nothing contained in </w:t>
      </w:r>
      <w:r>
        <w:rPr>
          <w:rFonts w:ascii="Times New Roman;Times;Serif" w:hAnsi="Times New Roman;Times;Serif"/>
          <w:b/>
          <w:i w:val="false"/>
          <w:caps w:val="false"/>
          <w:smallCaps w:val="false"/>
          <w:sz w:val="20"/>
        </w:rPr>
        <w:t>Section 4.03(a) </w:t>
      </w:r>
      <w:r>
        <w:rPr>
          <w:rFonts w:ascii="Times New Roman;Times;Serif" w:hAnsi="Times New Roman;Times;Serif"/>
          <w:b w:val="false"/>
          <w:i w:val="false"/>
          <w:caps w:val="false"/>
          <w:smallCaps w:val="false"/>
          <w:sz w:val="20"/>
        </w:rPr>
        <w:t>shall require the Administrative Agent, any Lender or any of their Affiliates to exercise any such right or shall affect the right of such Persons to exercise, and retain the benefits of exercising, any such right with respect to any other indebtedness or obligation of any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 xml:space="preserve">Payments Set Aside. </w:t>
      </w:r>
      <w:r>
        <w:rPr>
          <w:rFonts w:ascii="Times New Roman;Times;Serif" w:hAnsi="Times New Roman;Times;Serif"/>
          <w:b w:val="false"/>
          <w:i w:val="false"/>
          <w:caps w:val="false"/>
          <w:smallCaps w:val="false"/>
          <w:sz w:val="20"/>
        </w:rPr>
        <w:t xml:space="preserve">To the extent that any payment by or on behalf of any Obligor is made to the Administrative Agent or any Lender, or the Administrative Agent, any Lender or any Affiliate of the foregoing exercises its right of setoff pursuant to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and such payment or the proceeds of such setoff or any part thereof is subsequently invalidated, declared to be fraudulent or preferential, set aside or required (including pursuant to any settlement entered into by the Administrative Agent, such Lender or such Affiliate in its discretion) to be repaid to a trustee, receiver or any other party, in connection with any Insolvency Proceeding or otherwise, then (i) to the extent of such recovery, the obligation or part thereof originally intended to be satisfied shall be revived and continued in full force and effect as if such payment had not been made or such setoff had not occurred, and (ii)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w:t>
      </w:r>
      <w:r>
        <w:rPr>
          <w:rFonts w:ascii="Times New Roman;Times;Serif" w:hAnsi="Times New Roman;Times;Serif"/>
          <w:b/>
          <w:i w:val="false"/>
          <w:caps w:val="false"/>
          <w:smallCaps w:val="false"/>
          <w:sz w:val="20"/>
        </w:rPr>
        <w:br/>
        <w:t>YIELD PROTECTION, TAXES,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Additional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Change in Law Generally</w:t>
      </w:r>
      <w:r>
        <w:rPr>
          <w:rFonts w:ascii="Times New Roman;Times;Serif" w:hAnsi="Times New Roman;Times;Serif"/>
          <w:b w:val="false"/>
          <w:i w:val="false"/>
          <w:caps w:val="false"/>
          <w:smallCaps w:val="false"/>
          <w:sz w:val="20"/>
        </w:rPr>
        <w:t xml:space="preserve">. If, on or after the Closing Date (or, with respect to any Lender, such later date on which such Lender becomes a party to this Agreement), the adoption of any Law, or any change in any Law, or any change in the interpretation or administration thereof by any court or other Governmental Authority charged with the interpretation or administration thereof, or compliance by the Administrative Agent or any of the Lenders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Closing Date (or, with respect to any Lender, such later date on which such Lender becomes a party to this Agreement), against assets of, deposits with or for the account of, or credit extended by, a Lender (or its lending office) or shall impose on a Lender (or its lending office) any other condition affecting the Loans or the Commitment, and the result of any of the foregoing is to increase the cost to such Lender of making or maintaining the Loans, or to reduce the amount of any sum received or receivable by such Lender under this Agreement or any other Loan Document, or subject any Lender to any Taxes on its Loan, Commitment or other obligations, or its deposits, reserves, other liabilities or capital (if any) attributable thereto by an amount reasonably deemed by such Lender in good faith to be material (other than (i) Indemnified Taxes, (ii) Taxes described in </w:t>
      </w:r>
      <w:r>
        <w:rPr>
          <w:rFonts w:ascii="Times New Roman;Times;Serif" w:hAnsi="Times New Roman;Times;Serif"/>
          <w:b/>
          <w:i w:val="false"/>
          <w:caps w:val="false"/>
          <w:smallCaps w:val="false"/>
          <w:sz w:val="20"/>
        </w:rPr>
        <w:t>clauses (ii)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of the definition of Excluded Taxes and (iii) Connection Income Taxes), then the Borrower shall pay to such Lender on demand such additional amount or amounts as will compensate such Lender for such increased cost or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Change in Capital Requirements</w:t>
      </w:r>
      <w:r>
        <w:rPr>
          <w:rFonts w:ascii="Times New Roman;Times;Serif" w:hAnsi="Times New Roman;Times;Serif"/>
          <w:b w:val="false"/>
          <w:i w:val="false"/>
          <w:caps w:val="false"/>
          <w:smallCaps w:val="false"/>
          <w:sz w:val="20"/>
        </w:rPr>
        <w:t>. If a Lender shall have determined that, on or after the Closing Date (or, with respect to any Lender, such later date on which such Lender becomes a party to this Agreement), the adoption of any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Closing Date (or, with respect to any Lender, such later date on which such Lender becomes a party to this Agreement), has or would have the effect of reducing the rate of return on capital of a Lender (or its parent) as a consequence of a Lender’s obligations hereunder or the Loans to a level below that which a Lender (or its parent) could have achieved but for such adoption, change, request or directive by an amount reasonably deemed by it to be material, then the Borrower shall pay to such Lender on demand such additional amount or amounts as will compensate such Lender (or its parent) for such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Notification by Lender</w:t>
      </w:r>
      <w:r>
        <w:rPr>
          <w:rFonts w:ascii="Times New Roman;Times;Serif" w:hAnsi="Times New Roman;Times;Serif"/>
          <w:b w:val="false"/>
          <w:i w:val="false"/>
          <w:caps w:val="false"/>
          <w:smallCaps w:val="false"/>
          <w:sz w:val="20"/>
        </w:rPr>
        <w:t xml:space="preserve">. Each Lender promptly will notify the Borrower of any event of which it has knowledge, occurring after the Closing Date (or, with respect to any Lender, such later date on which such Lender becomes a party to this Agreement), which will entitle such Lender to compensation pursuant to this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Before giving any such notice pursuant to this </w:t>
      </w:r>
      <w:r>
        <w:rPr>
          <w:rFonts w:ascii="Times New Roman;Times;Serif" w:hAnsi="Times New Roman;Times;Serif"/>
          <w:b/>
          <w:i w:val="false"/>
          <w:caps w:val="false"/>
          <w:smallCaps w:val="false"/>
          <w:sz w:val="20"/>
        </w:rPr>
        <w:t>Section 5.01(c) </w:t>
      </w:r>
      <w:r>
        <w:rPr>
          <w:rFonts w:ascii="Times New Roman;Times;Serif" w:hAnsi="Times New Roman;Times;Serif"/>
          <w:b w:val="false"/>
          <w:i w:val="false"/>
          <w:caps w:val="false"/>
          <w:smallCaps w:val="false"/>
          <w:sz w:val="20"/>
        </w:rPr>
        <w:t xml:space="preserve">such Lender shall designate a different lending office if such designation (x) will, in the reasonable judgment of such Lender, avoid the need for, or reduce the amount of, such compensation and (y) will not, in the reasonable judgment of such Lender, be materially disadvantageous to such Lender. A certificate of such Lender claiming compensation under this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setting forth the additional amount or amounts to be paid to it hereunder, shall be conclusive and binding on the Borrower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Law for all purposes of this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Illegality</w:t>
      </w:r>
      <w:r>
        <w:rPr>
          <w:rFonts w:ascii="Times New Roman;Times;Serif" w:hAnsi="Times New Roman;Times;Serif"/>
          <w:b w:val="false"/>
          <w:i w:val="false"/>
          <w:caps w:val="false"/>
          <w:smallCaps w:val="false"/>
          <w:sz w:val="20"/>
        </w:rPr>
        <w:t xml:space="preserve">. Notwithstanding any other provision of this Agreement, in the event that on or after the Closing Date (or, with respect to any Lender, such later date on which such Lender becomes a party to this Agreement) the adoption of or any change in any Law or in the interpretation or application thereof by any competent Governmental Authority shall make it unlawful for a Lender or its lending office to make or maintain the Loans (and, in the opinion of such Lender, the designation of a different lending office would either not avoid such unlawfulness or would be disadvantageous to such Lender), then such Lender shall promptly notify the Borrower thereof, following which if such Law shall so mandate, the Loans shall be prepaid by the Borrower on or before such date as shall be mandated by such Law in an amount equal to the Prepayment Price (notwithstanding anything herein to the contrary, without any Prepayment Fee) applicable on such prepayment date in accordance with </w:t>
      </w:r>
      <w:r>
        <w:rPr>
          <w:rFonts w:ascii="Times New Roman;Times;Serif" w:hAnsi="Times New Roman;Times;Serif"/>
          <w:b/>
          <w:i w:val="false"/>
          <w:caps w:val="false"/>
          <w:smallCaps w:val="false"/>
          <w:sz w:val="20"/>
        </w:rPr>
        <w:t>Section 3.03(a)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Payments Free of Taxes</w:t>
      </w:r>
      <w:r>
        <w:rPr>
          <w:rFonts w:ascii="Times New Roman;Times;Serif" w:hAnsi="Times New Roman;Times;Serif"/>
          <w:b w:val="false"/>
          <w:i w:val="false"/>
          <w:caps w:val="false"/>
          <w:smallCaps w:val="false"/>
          <w:sz w:val="20"/>
        </w:rPr>
        <w:t xml:space="preserve">. Any and all payments by or on account of any Obligation shall be made without deduction or withholding for any Taxes, except as required by any Law. If any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Laws and, if such Tax is an Indemnified Tax, then the sum payable by such Obligor shall be increased as necessary so that after such deduction or withholding has been made (including such deductions and withholdings applicable to additional sums payable under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the applicable Recipient receives an amount equal to the sum it would have received had no such deduction or withholding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Payment of Other Taxes by the Obligors</w:t>
      </w:r>
      <w:r>
        <w:rPr>
          <w:rFonts w:ascii="Times New Roman;Times;Serif" w:hAnsi="Times New Roman;Times;Serif"/>
          <w:b w:val="false"/>
          <w:i w:val="false"/>
          <w:caps w:val="false"/>
          <w:smallCaps w:val="false"/>
          <w:sz w:val="20"/>
        </w:rPr>
        <w:t>. The Obligors shall timely pay to the relevant Governmental Authority in accordance with applicable Laws, or at the option of the Administrative Agent or each Lender, timely reimburse it for the payment of any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Evidence of Payments</w:t>
      </w:r>
      <w:r>
        <w:rPr>
          <w:rFonts w:ascii="Times New Roman;Times;Serif" w:hAnsi="Times New Roman;Times;Serif"/>
          <w:b w:val="false"/>
          <w:i w:val="false"/>
          <w:caps w:val="false"/>
          <w:smallCaps w:val="false"/>
          <w:sz w:val="20"/>
        </w:rPr>
        <w:t xml:space="preserve">. As soon as practicable after any payment of Taxes by an Obligor to a Governmental Authority pursuant to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such Obligor shall deliver to the Administrative Agent the original, a certified copy of a receipt issued by such Governmental Authority evidencing such payment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Indemnification by the Obligors</w:t>
      </w:r>
      <w:r>
        <w:rPr>
          <w:rFonts w:ascii="Times New Roman;Times;Serif" w:hAnsi="Times New Roman;Times;Serif"/>
          <w:b w:val="false"/>
          <w:i w:val="false"/>
          <w:caps w:val="false"/>
          <w:smallCaps w:val="false"/>
          <w:sz w:val="20"/>
        </w:rPr>
        <w:t xml:space="preserve">. The Obligors shall reimburse and indemnify each Recipient, within ten (10) days after demand therefor, for the full amount of any Indemnified Taxes (including Indemnified Taxes imposed or asserted on or attributable to amounts payable under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Obligors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Indemnification by the Lender</w:t>
      </w:r>
      <w:r>
        <w:rPr>
          <w:rFonts w:ascii="Times New Roman;Times;Serif" w:hAnsi="Times New Roman;Times;Serif"/>
          <w:b w:val="false"/>
          <w:i w:val="false"/>
          <w:caps w:val="false"/>
          <w:smallCaps w:val="false"/>
          <w:sz w:val="20"/>
        </w:rPr>
        <w:t xml:space="preserve">. Each Lender shall severally indemnify the Administrative Agent, within ten (10) days after demand therefor, for (i) any Indemnified Taxes attributable to such Lender (but only to the extent that the Obligors have not already indemnified the Administrative Agent for such Indemnified Taxes and without limiting the obligation of the Obligors to do so), and (ii)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Times;Serif" w:hAnsi="Times New Roman;Times;Serif"/>
          <w:b/>
          <w:i w:val="false"/>
          <w:caps w:val="false"/>
          <w:smallCaps w:val="false"/>
          <w:sz w:val="20"/>
        </w:rPr>
        <w:t>Section 5.03(e)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Status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Law as reasonably requested by the Borrower as will enable the Borrower or the Administrative Agent to determine whether or not such Lender is subject to backup withholding or information reporting requirements. Notwithstanding anything to the contrary in the preceding two (2) sentences, the completion, execution and submission of such documentation (other than such documentation set forth in </w:t>
      </w:r>
      <w:r>
        <w:rPr>
          <w:rFonts w:ascii="Times New Roman;Times;Serif" w:hAnsi="Times New Roman;Times;Serif"/>
          <w:b/>
          <w:i w:val="false"/>
          <w:caps w:val="false"/>
          <w:smallCaps w:val="false"/>
          <w:sz w:val="20"/>
        </w:rPr>
        <w:t xml:space="preserve">Section 5.03(f)(ii)(A), (ii)(B),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(ii)(D)</w:t>
      </w:r>
      <w:r>
        <w:rPr>
          <w:rFonts w:ascii="Times New Roman;Times;Serif" w:hAnsi="Times New Roman;Times;Serif"/>
          <w:b w:val="false"/>
          <w:i w:val="false"/>
          <w:caps w:val="false"/>
          <w:smallCaps w:val="false"/>
          <w:sz w:val="20"/>
        </w:rPr>
        <w:t>) shall not be required if in such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in the event that the Borrower is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b w:val="false"/>
          <w:i w:val="false"/>
          <w:caps w:val="false"/>
          <w:smallCaps w:val="false"/>
          <w:sz w:val="20"/>
        </w:rPr>
        <w:t>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(or successor form)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b w:val="false"/>
          <w:i w:val="false"/>
          <w:caps w:val="false"/>
          <w:smallCaps w:val="false"/>
          <w:sz w:val="20"/>
        </w:rPr>
        <w:t>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w:t>
      </w:r>
      <w:r>
        <w:rPr>
          <w:rFonts w:ascii="Times New Roman;Times;Serif" w:hAnsi="Times New Roman;Times;Serif"/>
          <w:b w:val="false"/>
          <w:i w:val="false"/>
          <w:caps w:val="false"/>
          <w:smallCaps w:val="false"/>
          <w:sz w:val="20"/>
        </w:rPr>
        <w:t>            in the case of a Foreign Lender claiming the benefits of an income tax treaty to which the United States is a party (x) with respect to payments of interest under any Loan Document, executed copies of IRS Form W-8BEN or IRS Form W-8BEN-E as applicable (or successor forms) establishing an exemption from, or reduction of, U.S. federal withholding Tax pursuant to the “interest” article of such tax treaty and (y) with respect to any other applicable payments under any Loan Document, IRS Form W-8BEN or IRS Form W-8BEN-E as applicable (or successor forms) establishing an exemption from, or reduction of, U.S.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w:t>
      </w:r>
      <w:r>
        <w:rPr>
          <w:rFonts w:ascii="Times New Roman;Times;Serif" w:hAnsi="Times New Roman;Times;Serif"/>
          <w:b w:val="false"/>
          <w:i w:val="false"/>
          <w:caps w:val="false"/>
          <w:smallCaps w:val="false"/>
          <w:sz w:val="20"/>
        </w:rPr>
        <w:t>            executed copies of IRS Form W-8ECI (or successor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w:t>
      </w:r>
      <w:r>
        <w:rPr>
          <w:rFonts w:ascii="Times New Roman;Times;Serif" w:hAnsi="Times New Roman;Times;Serif"/>
          <w:b w:val="false"/>
          <w:i w:val="false"/>
          <w:caps w:val="false"/>
          <w:smallCaps w:val="false"/>
          <w:sz w:val="20"/>
        </w:rPr>
        <w:t xml:space="preserve">            in the case of a Foreign Lender claiming the benefits of the exemption for portfolio interest under Section 881(c) of the Code, (x) a certificate substantially in the form of </w:t>
      </w:r>
      <w:r>
        <w:rPr>
          <w:rFonts w:ascii="Times New Roman;Times;Serif" w:hAnsi="Times New Roman;Times;Serif"/>
          <w:b/>
          <w:i w:val="false"/>
          <w:caps w:val="false"/>
          <w:smallCaps w:val="false"/>
          <w:sz w:val="20"/>
        </w:rPr>
        <w:t xml:space="preserve">Exhibit D-1 </w:t>
      </w:r>
      <w:r>
        <w:rPr>
          <w:rFonts w:ascii="Times New Roman;Times;Serif" w:hAnsi="Times New Roman;Times;Serif"/>
          <w:b w:val="false"/>
          <w:i w:val="false"/>
          <w:caps w:val="false"/>
          <w:smallCaps w:val="false"/>
          <w:sz w:val="20"/>
        </w:rPr>
        <w:t>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Times;Serif" w:hAnsi="Times New Roman;Times;Serif"/>
          <w:b/>
          <w:i/>
          <w:caps w:val="false"/>
          <w:smallCaps w:val="false"/>
          <w:sz w:val="20"/>
        </w:rPr>
        <w:t>U.S. Tax Compliance Certificate</w:t>
      </w:r>
      <w:r>
        <w:rPr>
          <w:rFonts w:ascii="Times New Roman;Times;Serif" w:hAnsi="Times New Roman;Times;Serif"/>
          <w:b w:val="false"/>
          <w:i w:val="false"/>
          <w:caps w:val="false"/>
          <w:smallCaps w:val="false"/>
          <w:sz w:val="20"/>
        </w:rPr>
        <w:t>”) and (y) executed copies of IRS Form W-8BEN or IRS Form W-8BEN-E as applicable (or successor forms);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w:t>
      </w:r>
      <w:r>
        <w:rPr>
          <w:rFonts w:ascii="Times New Roman;Times;Serif" w:hAnsi="Times New Roman;Times;Serif"/>
          <w:b w:val="false"/>
          <w:i w:val="false"/>
          <w:caps w:val="false"/>
          <w:smallCaps w:val="false"/>
          <w:sz w:val="20"/>
        </w:rPr>
        <w:t xml:space="preserve">            to the extent a Foreign Lender is not the beneficial owner, executed copies of IRS Form W-8IMY (or successor form), accompanied by IRS Form W-8ECI (or successor form), IRS Form W-8BEN or IRS Form W-8BEN-E (or successor form), a U.S. Tax Compliance Certificate, substantially in the form of </w:t>
      </w:r>
      <w:r>
        <w:rPr>
          <w:rFonts w:ascii="Times New Roman;Times;Serif" w:hAnsi="Times New Roman;Times;Serif"/>
          <w:b/>
          <w:i w:val="false"/>
          <w:caps w:val="false"/>
          <w:smallCaps w:val="false"/>
          <w:sz w:val="20"/>
        </w:rPr>
        <w:t xml:space="preserve">Exhibit D-2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D-3</w:t>
      </w:r>
      <w:r>
        <w:rPr>
          <w:rFonts w:ascii="Times New Roman;Times;Serif" w:hAnsi="Times New Roman;Times;Serif"/>
          <w:b w:val="false"/>
          <w:i w:val="false"/>
          <w:caps w:val="false"/>
          <w:smallCaps w:val="false"/>
          <w:sz w:val="20"/>
        </w:rPr>
        <w:t xml:space="preserve">, IRS Form W-9 (or successor form), and/or other certification documents from each beneficial owner,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i w:val="false"/>
          <w:caps w:val="false"/>
          <w:smallCaps w:val="false"/>
          <w:sz w:val="20"/>
        </w:rPr>
        <w:t xml:space="preserve">Exhibit D-4 </w:t>
      </w:r>
      <w:r>
        <w:rPr>
          <w:rFonts w:ascii="Times New Roman;Times;Serif" w:hAnsi="Times New Roman;Times;Serif"/>
          <w:b w:val="false"/>
          <w:i w:val="false"/>
          <w:caps w:val="false"/>
          <w:smallCaps w:val="false"/>
          <w:sz w:val="20"/>
        </w:rPr>
        <w:t>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b w:val="false"/>
          <w:i w:val="false"/>
          <w:caps w:val="false"/>
          <w:smallCaps w:val="false"/>
          <w:sz w:val="20"/>
        </w:rPr>
        <w:t>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Borrower or the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b w:val="false"/>
          <w:i w:val="false"/>
          <w:caps w:val="false"/>
          <w:smallCaps w:val="false"/>
          <w:sz w:val="20"/>
        </w:rPr>
        <w:t xml:space="preserve">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Times;Serif" w:hAnsi="Times New Roman;Times;Serif"/>
          <w:b/>
          <w:i w:val="false"/>
          <w:caps w:val="false"/>
          <w:smallCaps w:val="false"/>
          <w:sz w:val="20"/>
        </w:rPr>
        <w:t>clause (D)</w:t>
      </w:r>
      <w:r>
        <w:rPr>
          <w:rFonts w:ascii="Times New Roman;Times;Serif" w:hAnsi="Times New Roman;Times;Serif"/>
          <w:b w:val="false"/>
          <w:i w:val="false"/>
          <w:caps w:val="false"/>
          <w:smallCaps w:val="false"/>
          <w:sz w:val="20"/>
        </w:rPr>
        <w:t>,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Treatment of Certain Tax Benefits</w:t>
      </w:r>
      <w:r>
        <w:rPr>
          <w:rFonts w:ascii="Times New Roman;Times;Serif" w:hAnsi="Times New Roman;Times;Serif"/>
          <w:b w:val="false"/>
          <w:i w:val="false"/>
          <w:caps w:val="false"/>
          <w:smallCaps w:val="false"/>
          <w:sz w:val="20"/>
        </w:rPr>
        <w:t xml:space="preserve">. If any party to this Agreement determines, in its sole discretion exercised in good faith, that it has received a refund of any Taxes as to which it has been indemnified pursuant to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it shall pay to the indemnifying party an amount equal to such refund (but only to the extent of indemnity payments made under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Times;Serif" w:hAnsi="Times New Roman;Times;Serif"/>
          <w:b/>
          <w:i w:val="false"/>
          <w:caps w:val="false"/>
          <w:smallCaps w:val="false"/>
          <w:sz w:val="20"/>
        </w:rPr>
        <w:t>Section 5.03(g) </w:t>
      </w:r>
      <w:r>
        <w:rPr>
          <w:rFonts w:ascii="Times New Roman;Times;Serif" w:hAnsi="Times New Roman;Times;Serif"/>
          <w:b w:val="false"/>
          <w:i w:val="false"/>
          <w:caps w:val="false"/>
          <w:smallCaps w:val="false"/>
          <w:sz w:val="20"/>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Times;Serif" w:hAnsi="Times New Roman;Times;Serif"/>
          <w:b/>
          <w:i w:val="false"/>
          <w:caps w:val="false"/>
          <w:smallCaps w:val="false"/>
          <w:sz w:val="20"/>
        </w:rPr>
        <w:t>Section 5.03(g)</w:t>
      </w:r>
      <w:r>
        <w:rPr>
          <w:rFonts w:ascii="Times New Roman;Times;Serif" w:hAnsi="Times New Roman;Times;Serif"/>
          <w:b w:val="false"/>
          <w:i w:val="false"/>
          <w:caps w:val="false"/>
          <w:smallCaps w:val="false"/>
          <w:sz w:val="20"/>
        </w:rPr>
        <w:t xml:space="preserve">, in no event will the indemnified party be required to pay any amount to an indemnifying party pursuant to this </w:t>
      </w:r>
      <w:r>
        <w:rPr>
          <w:rFonts w:ascii="Times New Roman;Times;Serif" w:hAnsi="Times New Roman;Times;Serif"/>
          <w:b/>
          <w:i w:val="false"/>
          <w:caps w:val="false"/>
          <w:smallCaps w:val="false"/>
          <w:sz w:val="20"/>
        </w:rPr>
        <w:t>Section 5.03(g) </w:t>
      </w:r>
      <w:r>
        <w:rPr>
          <w:rFonts w:ascii="Times New Roman;Times;Serif" w:hAnsi="Times New Roman;Times;Serif"/>
          <w:b w:val="false"/>
          <w:i w:val="false"/>
          <w:caps w:val="false"/>
          <w:smallCaps w:val="false"/>
          <w:sz w:val="20"/>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Times;Serif" w:hAnsi="Times New Roman;Times;Serif"/>
          <w:b/>
          <w:i w:val="false"/>
          <w:caps w:val="false"/>
          <w:smallCaps w:val="false"/>
          <w:sz w:val="20"/>
        </w:rPr>
        <w:t>Section 5.03(g) </w:t>
      </w:r>
      <w:r>
        <w:rPr>
          <w:rFonts w:ascii="Times New Roman;Times;Serif" w:hAnsi="Times New Roman;Times;Serif"/>
          <w:b w:val="false"/>
          <w:i w:val="false"/>
          <w:caps w:val="false"/>
          <w:smallCaps w:val="false"/>
          <w:sz w:val="20"/>
        </w:rPr>
        <w:t>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Each party hereto hereby acknowledges and agrees that the Tranche A-1 Term Loans are part of an investment unit within the meaning of Section 1273(c)(2) of the Code, which includes the Company Warrants issued on the Closing Date. For federal income tax purposes, pursuant to Treasury Regulations § 1.1273-2(h), the Borrower, the Administrative Agent and the Lenders acknowledge that the “issue price” of the Tranche A-1 Term Loans is 98% of the stated principal amount of the Tranche A-1 Term Loans minus the Final Valuation (as that term is defined in Section 16 of the Company Warrant) of the Company Warrants issued on the Closing Date. Each of the Borrower, the Administrative Agent and the Lenders agree (i) to use the foregoing issue price and Final Valuation for U.S. federal income tax purposes with respect to the transactions contemplated hereby, and (ii) to prepare and file all Tax returns in a manner consistent with such allocation, and shall not to take any position that is inconsistent with the provision of this </w:t>
      </w:r>
      <w:r>
        <w:rPr>
          <w:rFonts w:ascii="Times New Roman;Times;Serif" w:hAnsi="Times New Roman;Times;Serif"/>
          <w:b/>
          <w:i w:val="false"/>
          <w:caps w:val="false"/>
          <w:smallCaps w:val="false"/>
          <w:sz w:val="20"/>
        </w:rPr>
        <w:t>Section 5.03(h)</w:t>
      </w:r>
      <w:r>
        <w:rPr>
          <w:rFonts w:ascii="Times New Roman;Times;Serif" w:hAnsi="Times New Roman;Times;Serif"/>
          <w:b w:val="false"/>
          <w:i w:val="false"/>
          <w:caps w:val="false"/>
          <w:smallCaps w:val="false"/>
          <w:sz w:val="20"/>
        </w:rPr>
        <w:t> on any Tax return or in any audit (unless otherwise required by a final determination by the IRS or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Mitigation Obligations</w:t>
      </w:r>
      <w:r>
        <w:rPr>
          <w:rFonts w:ascii="Times New Roman;Times;Serif" w:hAnsi="Times New Roman;Times;Serif"/>
          <w:b w:val="false"/>
          <w:i w:val="false"/>
          <w:caps w:val="false"/>
          <w:smallCaps w:val="false"/>
          <w:sz w:val="20"/>
        </w:rPr>
        <w:t xml:space="preserve">. If the Borrower is required to pay any Indemnified Taxes or additional amounts to any Lender or to any Governmental Authority for the account of any Lender pursuant to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xml:space="preserve">, then such Lender shall (at the request of the Borrower) use commercially reasonable efforts to designate a different lending office for funding or booking its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as the case may be, in the future, (ii) not subject such Lender to any unreimbursed cost or expense and (iii) not otherwise be disadvantageous to such Lender. The Borrower hereby agrees to pay all reasonable costs and expenses incurred by any Lender in connection with any such designation or assignment and delegation.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trike/>
          <w:color w:val="FF0000"/>
          <w:sz w:val="20"/>
        </w:rPr>
        <w:t>Inability to Determine Rates</w:t>
      </w:r>
      <w:r>
        <w:rPr>
          <w:rFonts w:ascii="Times New Roman;Times;Serif" w:hAnsi="Times New Roman;Times;Serif"/>
          <w:b/>
          <w:i w:val="false"/>
          <w:caps w:val="false"/>
          <w:smallCaps w:val="false"/>
          <w:color w:val="0000FF"/>
          <w:sz w:val="20"/>
          <w:u w:val="single"/>
        </w:rPr>
        <w:t>[Reserved]</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Replacement of Relevant Rate or Successor Rate. Notwithstanding anything to the contrary in this Agreement or any other Loan Documents, if the Administrative Agent determines (which determination shall be conclusive absent manifest error), or the Borrower or Majority Lenders notify the Administrative Agent (with, in the case of the Majority Lenders, a copy to the Borrower) that the Borrower or Majority Lenders (as applicable) have determined,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adequate and reasonable means do not exist for ascertaining three month interest periods of Term SOFR, including, without limitation because the Term SOFR Screen Rate is not available or published on a current basis and such circumstances are unlikely to be;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three month interest periods of Term SOFR or the Term SOFR Screen Rate shall or will no longer be representative or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such interest periods of Term SOFR or the Term SOFR Screen Rate are no longer representative or available permanently or indefinitely, the “</w:t>
      </w:r>
      <w:r>
        <w:rPr>
          <w:rFonts w:ascii="Times New Roman;Times;Serif" w:hAnsi="Times New Roman;Times;Serif"/>
          <w:b/>
          <w:i/>
          <w:caps w:val="false"/>
          <w:smallCaps w:val="false"/>
          <w:strike/>
          <w:color w:val="FF0000"/>
          <w:sz w:val="20"/>
        </w:rPr>
        <w:t>Scheduled Unavailability Date</w:t>
      </w:r>
      <w:r>
        <w:rPr>
          <w:rFonts w:ascii="Times New Roman;Times;Serif" w:hAnsi="Times New Roman;Times;Serif"/>
          <w:b w:val="false"/>
          <w:i w:val="false"/>
          <w:caps w:val="false"/>
          <w:smallCaps w:val="false"/>
          <w:strike/>
          <w:color w:val="FF0000"/>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(iii)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syndicated loans currently being executed and agented in the U.S. are being executed or amended (as applicable) to incorporate or adopt a new benchmark interest rate to replace the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in the case of events or circumstances of the type described in </w:t>
      </w:r>
      <w:r>
        <w:rPr>
          <w:rFonts w:ascii="Times New Roman;Times;Serif" w:hAnsi="Times New Roman;Times;Serif"/>
          <w:b/>
          <w:i w:val="false"/>
          <w:caps w:val="false"/>
          <w:smallCaps w:val="false"/>
          <w:strike/>
          <w:color w:val="FF0000"/>
          <w:sz w:val="20"/>
        </w:rPr>
        <w:t>Section 5.05(a)(i)</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i w:val="false"/>
          <w:caps w:val="false"/>
          <w:smallCaps w:val="false"/>
          <w:strike/>
          <w:color w:val="FF0000"/>
          <w:sz w:val="20"/>
        </w:rPr>
        <w:t>(ii) </w:t>
      </w:r>
      <w:r>
        <w:rPr>
          <w:rFonts w:ascii="Times New Roman;Times;Serif" w:hAnsi="Times New Roman;Times;Serif"/>
          <w:b w:val="false"/>
          <w:i w:val="false"/>
          <w:caps w:val="false"/>
          <w:smallCaps w:val="false"/>
          <w:strike/>
          <w:color w:val="FF0000"/>
          <w:sz w:val="20"/>
        </w:rPr>
        <w:t xml:space="preserve">or </w:t>
      </w:r>
      <w:r>
        <w:rPr>
          <w:rFonts w:ascii="Times New Roman;Times;Serif" w:hAnsi="Times New Roman;Times;Serif"/>
          <w:b/>
          <w:i w:val="false"/>
          <w:caps w:val="false"/>
          <w:smallCaps w:val="false"/>
          <w:strike/>
          <w:color w:val="FF0000"/>
          <w:sz w:val="20"/>
        </w:rPr>
        <w:t>(iii) </w:t>
      </w:r>
      <w:r>
        <w:rPr>
          <w:rFonts w:ascii="Times New Roman;Times;Serif" w:hAnsi="Times New Roman;Times;Serif"/>
          <w:b w:val="false"/>
          <w:i w:val="false"/>
          <w:caps w:val="false"/>
          <w:smallCaps w:val="false"/>
          <w:strike/>
          <w:color w:val="FF0000"/>
          <w:sz w:val="20"/>
        </w:rPr>
        <w:t>affecting Term SOFR, on a date and time determined by the Administrative Agent (any such date, the “</w:t>
      </w:r>
      <w:r>
        <w:rPr>
          <w:rFonts w:ascii="Times New Roman;Times;Serif" w:hAnsi="Times New Roman;Times;Serif"/>
          <w:b/>
          <w:i/>
          <w:caps w:val="false"/>
          <w:smallCaps w:val="false"/>
          <w:strike/>
          <w:color w:val="FF0000"/>
          <w:sz w:val="20"/>
        </w:rPr>
        <w:t>Term SOFR Replacement Date</w:t>
      </w:r>
      <w:r>
        <w:rPr>
          <w:rFonts w:ascii="Times New Roman;Times;Serif" w:hAnsi="Times New Roman;Times;Serif"/>
          <w:b w:val="false"/>
          <w:i w:val="false"/>
          <w:caps w:val="false"/>
          <w:smallCaps w:val="false"/>
          <w:strike/>
          <w:color w:val="FF0000"/>
          <w:sz w:val="20"/>
        </w:rPr>
        <w:t xml:space="preserve">”), which date shall be at the end of an Interest Period or on the relevant interest payment date, as applicable, for interest calculated and, solely with respect to </w:t>
      </w:r>
      <w:r>
        <w:rPr>
          <w:rFonts w:ascii="Times New Roman;Times;Serif" w:hAnsi="Times New Roman;Times;Serif"/>
          <w:b/>
          <w:i w:val="false"/>
          <w:caps w:val="false"/>
          <w:smallCaps w:val="false"/>
          <w:strike/>
          <w:color w:val="FF0000"/>
          <w:sz w:val="20"/>
        </w:rPr>
        <w:t>clause (ii) </w:t>
      </w:r>
      <w:r>
        <w:rPr>
          <w:rFonts w:ascii="Times New Roman;Times;Serif" w:hAnsi="Times New Roman;Times;Serif"/>
          <w:b w:val="false"/>
          <w:i w:val="false"/>
          <w:caps w:val="false"/>
          <w:smallCaps w:val="false"/>
          <w:strike/>
          <w:color w:val="FF0000"/>
          <w:sz w:val="20"/>
        </w:rPr>
        <w:t>above, no later than the Scheduled Unavailability Date, Term SOFR will be replaced hereunder and under any Loan Document with Daily Simple SOFR, in each case, without any amendment to, or further action or consent of any other party to, this Agreement or any other Loan Document, and all interest payments on Loans with a Successor Rate of Daily Simple SOFR will be payable on the next Payment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(x) if the Administrative Agent determines that Daily Simple SOFR is not available </w:t>
      </w:r>
      <w:r>
        <w:rPr>
          <w:rFonts w:ascii="Times New Roman;Times;Serif" w:hAnsi="Times New Roman;Times;Serif"/>
          <w:b w:val="false"/>
          <w:i w:val="false"/>
          <w:caps w:val="false"/>
          <w:smallCaps w:val="false"/>
          <w:strike/>
          <w:color w:val="008000"/>
          <w:sz w:val="20"/>
        </w:rPr>
        <w:t xml:space="preserve">on or prior to the </w:t>
      </w:r>
      <w:r>
        <w:rPr>
          <w:rFonts w:ascii="Times New Roman;Times;Serif" w:hAnsi="Times New Roman;Times;Serif"/>
          <w:b w:val="false"/>
          <w:i w:val="false"/>
          <w:caps w:val="false"/>
          <w:smallCaps w:val="false"/>
          <w:strike/>
          <w:color w:val="FF0000"/>
          <w:sz w:val="20"/>
        </w:rPr>
        <w:t xml:space="preserve">Term SOFR Replacement Date, or (y) if the events or circumstances of the type described in </w:t>
      </w:r>
      <w:r>
        <w:rPr>
          <w:rFonts w:ascii="Times New Roman;Times;Serif" w:hAnsi="Times New Roman;Times;Serif"/>
          <w:b/>
          <w:i w:val="false"/>
          <w:caps w:val="false"/>
          <w:smallCaps w:val="false"/>
          <w:strike/>
          <w:color w:val="FF0000"/>
          <w:sz w:val="20"/>
        </w:rPr>
        <w:t>Section 5.05(a)(i)</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i w:val="false"/>
          <w:caps w:val="false"/>
          <w:smallCaps w:val="false"/>
          <w:strike/>
          <w:color w:val="FF0000"/>
          <w:sz w:val="20"/>
        </w:rPr>
        <w:t>(ii) </w:t>
      </w:r>
      <w:r>
        <w:rPr>
          <w:rFonts w:ascii="Times New Roman;Times;Serif" w:hAnsi="Times New Roman;Times;Serif"/>
          <w:b w:val="false"/>
          <w:i w:val="false"/>
          <w:caps w:val="false"/>
          <w:smallCaps w:val="false"/>
          <w:strike/>
          <w:color w:val="FF0000"/>
          <w:sz w:val="20"/>
        </w:rPr>
        <w:t xml:space="preserve">or </w:t>
      </w:r>
      <w:r>
        <w:rPr>
          <w:rFonts w:ascii="Times New Roman;Times;Serif" w:hAnsi="Times New Roman;Times;Serif"/>
          <w:b/>
          <w:i w:val="false"/>
          <w:caps w:val="false"/>
          <w:smallCaps w:val="false"/>
          <w:strike/>
          <w:color w:val="FF0000"/>
          <w:sz w:val="20"/>
        </w:rPr>
        <w:t>(iii) </w:t>
      </w:r>
      <w:r>
        <w:rPr>
          <w:rFonts w:ascii="Times New Roman;Times;Serif" w:hAnsi="Times New Roman;Times;Serif"/>
          <w:b w:val="false"/>
          <w:i w:val="false"/>
          <w:caps w:val="false"/>
          <w:smallCaps w:val="false"/>
          <w:strike/>
          <w:color w:val="FF0000"/>
          <w:sz w:val="20"/>
        </w:rPr>
        <w:t xml:space="preserve">affecting any Successor Rate are then in effect, then, the Administrative Agent and the Borrower may amend this Agreement solely for the purpose of replacing the Interest Rate or any then current Successor Rate in accordance with this </w:t>
      </w:r>
      <w:r>
        <w:rPr>
          <w:rFonts w:ascii="Times New Roman;Times;Serif" w:hAnsi="Times New Roman;Times;Serif"/>
          <w:b/>
          <w:i w:val="false"/>
          <w:caps w:val="false"/>
          <w:smallCaps w:val="false"/>
          <w:strike/>
          <w:color w:val="FF0000"/>
          <w:sz w:val="20"/>
        </w:rPr>
        <w:t xml:space="preserve">Section 5.05 </w:t>
      </w:r>
      <w:r>
        <w:rPr>
          <w:rFonts w:ascii="Times New Roman;Times;Serif" w:hAnsi="Times New Roman;Times;Serif"/>
          <w:b w:val="false"/>
          <w:i w:val="false"/>
          <w:caps w:val="false"/>
          <w:smallCaps w:val="false"/>
          <w:strike/>
          <w:color w:val="FF0000"/>
          <w:sz w:val="20"/>
        </w:rPr>
        <w:t>with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 any evolving or then existing convention for similar credit facilities syndicated and agented in the U.S. and denominated in Dollars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Times;Serif" w:hAnsi="Times New Roman;Times;Serif"/>
          <w:b/>
          <w:i/>
          <w:caps w:val="false"/>
          <w:smallCaps w:val="false"/>
          <w:strike/>
          <w:color w:val="FF0000"/>
          <w:sz w:val="20"/>
        </w:rPr>
        <w:t>Successor Rate</w:t>
      </w:r>
      <w:r>
        <w:rPr>
          <w:rFonts w:ascii="Times New Roman;Times;Serif" w:hAnsi="Times New Roman;Times;Serif"/>
          <w:b w:val="false"/>
          <w:i w:val="false"/>
          <w:caps w:val="false"/>
          <w:smallCaps w:val="false"/>
          <w:strike/>
          <w:color w:val="FF0000"/>
          <w:sz w:val="20"/>
        </w:rPr>
        <w:t>”), and any such amendment shall become effective at 5:00 p.m. on the fifth Business Day after the Administrative Agent shall have posted such proposed amendment to all Lenders and the Borrower unless, prior to such time, Lenders comprising the Majority Lenders have delivered to the Administrative Agent written notice that such Majority Lenders object to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The Administrative Agent will promptly (in one or more notices) notify the Borrower and each Lender of the implementation of any Successor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Any Successor Rate shall be applied in a manner consistent with market practice; provided that to the extent such market practice is not administratively feasible for the Administrative Agent, such Successor Rate shall be applied in a manner as otherwise reasonably determined by the Administrative Agent (in consultation with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Notwithstanding anything else herein, if at any time any Successor Rate as so determined would otherwise be less than zero, the Successor Rate will be deemed to be zero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provided 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6.</w:t>
      </w:r>
      <w:r>
        <w:rPr>
          <w:rFonts w:ascii="Times New Roman;Times;Serif" w:hAnsi="Times New Roman;Times;Serif"/>
          <w:b/>
          <w:i w:val="false"/>
          <w:caps w:val="false"/>
          <w:smallCaps w:val="false"/>
          <w:sz w:val="20"/>
        </w:rPr>
        <w:br/>
        <w:t>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Conditions to Closing</w:t>
      </w:r>
      <w:r>
        <w:rPr>
          <w:rFonts w:ascii="Times New Roman;Times;Serif" w:hAnsi="Times New Roman;Times;Serif"/>
          <w:b w:val="false"/>
          <w:i w:val="false"/>
          <w:caps w:val="false"/>
          <w:smallCaps w:val="false"/>
          <w:sz w:val="20"/>
        </w:rPr>
        <w:t xml:space="preserve">. The effectiveness of this Agreement shall be subject to the satisfaction (or waiver by the Lenders in accordance with </w:t>
      </w:r>
      <w:r>
        <w:rPr>
          <w:rFonts w:ascii="Times New Roman;Times;Serif" w:hAnsi="Times New Roman;Times;Serif"/>
          <w:b/>
          <w:i w:val="false"/>
          <w:caps w:val="false"/>
          <w:smallCaps w:val="false"/>
          <w:sz w:val="20"/>
        </w:rPr>
        <w:t>Section 14.04</w:t>
      </w:r>
      <w:r>
        <w:rPr>
          <w:rFonts w:ascii="Times New Roman;Times;Serif" w:hAnsi="Times New Roman;Times;Serif"/>
          <w:b w:val="false"/>
          <w:i w:val="false"/>
          <w:caps w:val="false"/>
          <w:smallCaps w:val="false"/>
          <w:sz w:val="20"/>
        </w:rPr>
        <w:t xml:space="preserve">) of each of the conditions precedent set forth below in this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The Administrative Agent shall have received each Loan Document required to be executed by the appropriate Obligor on the Closing Date and delivered by each applicable Obligor in such number as reasonably requested by the Administrative Agent (which may be delivered by facsimile or other electronic means for the purposes of satisfying this clause (a) on the Closing Date) and such Loan Documents shall be in form and substance satisfactory to the Administrative Agent and the Lenders and their respective counsels.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 xml:space="preserve">Secretary’s Certificate, Etc. </w:t>
      </w:r>
      <w:r>
        <w:rPr>
          <w:rFonts w:ascii="Times New Roman;Times;Serif" w:hAnsi="Times New Roman;Times;Serif"/>
          <w:b w:val="false"/>
          <w:i w:val="false"/>
          <w:caps w:val="false"/>
          <w:smallCaps w:val="false"/>
          <w:sz w:val="20"/>
        </w:rPr>
        <w:t>The Administrative Agent shall have received from each Obligor (x) a copy of a good standing certificate, dated a date reasonably close to the Closing Date, for each such Person and (y) a certificate, dated as of the Closing Date, duly executed and delivered by such Person’s Responsible Officer, as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resolutions of each such Person’s Board then in full force and effect authorizing the execution, delivery and performance of each Loan Document to be executed by such Person and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incumbency and signatures of Responsible Officers authorized to execute and deliver each Loan Document to be executed by such Person;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full force and validity of each Organic Document of such Person and copies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which certificates shall be in form and substance reasonably satisfactory to the Administrative Agent and upon which the Administrative Agent and the Lenders may conclusively rely until they shall have received a further certificate of the Responsible Officer of any such Person cancelling or amending the prior certificate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Information Certificate</w:t>
      </w:r>
      <w:r>
        <w:rPr>
          <w:rFonts w:ascii="Times New Roman;Times;Serif" w:hAnsi="Times New Roman;Times;Serif"/>
          <w:b w:val="false"/>
          <w:i w:val="false"/>
          <w:caps w:val="false"/>
          <w:smallCaps w:val="false"/>
          <w:sz w:val="20"/>
        </w:rPr>
        <w:t>. The Administrative Agent shall have received a fully completed Information Certificate in form and substance reasonably satisfactory to the Administrative Agent, dated as of the Closing Date, duly executed and delivered by a Responsible Officer of the Borrower. All documents and agreements required to be appended to the Information Certificate, shall be in form and substance reasonably satisfactory to the Administrative Agent, shall have been executed and delivered by the requisite parties and shall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 xml:space="preserve">Financial Information, Etc. </w:t>
      </w:r>
      <w:r>
        <w:rPr>
          <w:rFonts w:ascii="Times New Roman;Times;Serif" w:hAnsi="Times New Roman;Times;Serif"/>
          <w:b w:val="false"/>
          <w:i w:val="false"/>
          <w:caps w:val="false"/>
          <w:smallCaps w:val="false"/>
          <w:sz w:val="20"/>
        </w:rPr>
        <w:t>The Administrative Agent shall have received, or such information shall be publicly available on “EDGAR”, audited consolidated financial statements of the Borrower and its Subsidiaries for the fiscal year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xml:space="preserve">. The Administrative Agent shall have received a solvency certificate, substantially in the form of </w:t>
      </w:r>
      <w:r>
        <w:rPr>
          <w:rFonts w:ascii="Times New Roman;Times;Serif" w:hAnsi="Times New Roman;Times;Serif"/>
          <w:b/>
          <w:i w:val="false"/>
          <w:caps w:val="false"/>
          <w:smallCaps w:val="false"/>
          <w:sz w:val="20"/>
        </w:rPr>
        <w:t>Exhibit K</w:t>
      </w:r>
      <w:r>
        <w:rPr>
          <w:rFonts w:ascii="Times New Roman;Times;Serif" w:hAnsi="Times New Roman;Times;Serif"/>
          <w:b w:val="false"/>
          <w:i w:val="false"/>
          <w:caps w:val="false"/>
          <w:smallCaps w:val="false"/>
          <w:sz w:val="20"/>
        </w:rPr>
        <w:t>, duly executed and delivered by the chief financial officer of the Borrower, dated as of the Closing Date,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Security Documents</w:t>
      </w:r>
      <w:r>
        <w:rPr>
          <w:rFonts w:ascii="Times New Roman;Times;Serif" w:hAnsi="Times New Roman;Times;Serif"/>
          <w:b w:val="false"/>
          <w:i w:val="false"/>
          <w:caps w:val="false"/>
          <w:smallCaps w:val="false"/>
          <w:sz w:val="20"/>
        </w:rPr>
        <w:t>. The Administrative Agent shall have received executed counterparts of a Security Agreement, in form and substance reasonably acceptable to the Administrative Agent, dated as of the Closing Date, duly executed and delivered by each Obligor, together with all documents (including share certificates, transfers and stock transfer forms, notices or any other instruments) required to be delivered or filed under the Security Documents and evidence satisfactory to it that arrangements have been made with respect to all registrations, notices or actions required under the Security Documents to be effected, given or made in order to establish a valid and perfected first priority (subject to Permitted Priority Liens) security interest in the Collateral in accordance with the terms of the Security Documents,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delivery of all certificates (in the case of Equity Interests that are certificated securities (as defined in the UCC)) evidencing the issued and outstanding capital securities owned by each Obligor that are required to be pledged and so delivered under the Security Agreement, which certificates in each case shall be accompanied by undated instruments of transfer duly executed in blank, or, in the case of Equity Interests that are uncertificated securities (as defined in the UCC), confirmation and evidence reasonably satisfactory to the Administrative Agent and the Lenders that the security interest required to be pledged therein under the Security Agreement has been transferred to and perfected by the Administrative Agent and the Lenders in accordance with Articles 8 and 9 of the NY UCC and all laws otherwise applicable to the perfection of the pledge of such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financing statements naming each Obligor as a debtor and the Administrative Agent as the secured party, or other similar instruments or documents, in each case suitable for filing, filed under the UCC (or equivalent law) of all jurisdictions as may be necessary or, in the opinion of the Administrative Agent, desirable to perfect the Liens of the Secured Parties pursuant to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UCC-3 termination statements, if any, necessary to release all Liens and other rights of any Person in any collateral described in the Security Agreement previously granted by any Person;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applicable Short-Form IP Agreements required to be provided under the Security Agreement, each dated as of the Closing Date, duly executed and delivered by each applicable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Lien Searches</w:t>
      </w:r>
      <w:r>
        <w:rPr>
          <w:rFonts w:ascii="Times New Roman;Times;Serif" w:hAnsi="Times New Roman;Times;Serif"/>
          <w:b w:val="false"/>
          <w:i w:val="false"/>
          <w:caps w:val="false"/>
          <w:smallCaps w:val="false"/>
          <w:sz w:val="20"/>
        </w:rPr>
        <w:t>. The Administrative Agent shall be satisfied with Lien searches regarding the Borrower made as of a date reasonably close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The Lenders shall have received executed counterparts of the Company Warrants and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The Administrative Agent shall have received a duly executed legal opinion of counsel to the Obligors dated as of the Closing Date, in form and substance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The Administrative Agent shall have received an executed counterpart of the Fee Letter, duly executed and delivered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Closing Fees, Expenses, Etc</w:t>
      </w:r>
      <w:r>
        <w:rPr>
          <w:rFonts w:ascii="Times New Roman;Times;Serif" w:hAnsi="Times New Roman;Times;Serif"/>
          <w:b w:val="false"/>
          <w:i w:val="false"/>
          <w:caps w:val="false"/>
          <w:smallCaps w:val="false"/>
          <w:sz w:val="20"/>
        </w:rPr>
        <w:t xml:space="preserve">. Each of the Administrative Agent and each Lender shall have received for its own account, (i) the upfront fee as set forth in the Fee Letter, which shall be paid by way of the Administrative Agent retaining such amount from the proceeds of the Loan and (ii) all fees, costs and expenses due and payable to it pursuant to the Fee Letter and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xml:space="preserve">, including all reasonable closing costs and fees and all unpaid reasonable expenses of the Administrative Agent and the Lenders incurred in connection with the Transactions (including the Administrative Agent’s and the Lenders’ legal fees and expenses), subject to the cap set forth in </w:t>
      </w:r>
      <w:r>
        <w:rPr>
          <w:rFonts w:ascii="Times New Roman;Times;Serif" w:hAnsi="Times New Roman;Times;Serif"/>
          <w:b/>
          <w:i w:val="false"/>
          <w:caps w:val="false"/>
          <w:smallCaps w:val="false"/>
          <w:sz w:val="20"/>
        </w:rPr>
        <w:t>Section 14.03(a)</w:t>
      </w:r>
      <w:r>
        <w:rPr>
          <w:rFonts w:ascii="Times New Roman;Times;Serif" w:hAnsi="Times New Roman;Times;Serif"/>
          <w:b w:val="false"/>
          <w:i w:val="false"/>
          <w:caps w:val="false"/>
          <w:smallCaps w:val="false"/>
          <w:sz w:val="20"/>
        </w:rPr>
        <w:t>, to the extent invoiced (or as to which a good faith estimate has been provided to the Borrower) at least two (2)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Since December 31, 2021, no Material Adverse Change shall have occurred, both before and after giving effect to the Loans to be made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Know Your Customer</w:t>
      </w:r>
      <w:r>
        <w:rPr>
          <w:rFonts w:ascii="Times New Roman;Times;Serif" w:hAnsi="Times New Roman;Times;Serif"/>
          <w:b w:val="false"/>
          <w:i w:val="false"/>
          <w:caps w:val="false"/>
          <w:smallCaps w:val="false"/>
          <w:sz w:val="20"/>
        </w:rPr>
        <w:t>. The Administrative Agent shall have received, as applicable, all documentation and other information required by bank regulatory authorities under applicable “know your customer” and Anti-Terrorism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No Default</w:t>
      </w:r>
      <w:r>
        <w:rPr>
          <w:rFonts w:ascii="Times New Roman;Times;Serif" w:hAnsi="Times New Roman;Times;Serif"/>
          <w:b w:val="false"/>
          <w:i w:val="false"/>
          <w:caps w:val="false"/>
          <w:smallCaps w:val="false"/>
          <w:sz w:val="20"/>
        </w:rPr>
        <w:t>. No event shall have occurred or be continuing that would constitute a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contained in this Agreement and in the other Loan Documents delivered pursuant to </w:t>
      </w:r>
      <w:r>
        <w:rPr>
          <w:rFonts w:ascii="Times New Roman;Times;Serif" w:hAnsi="Times New Roman;Times;Serif"/>
          <w:b/>
          <w:i w:val="false"/>
          <w:caps w:val="false"/>
          <w:smallCaps w:val="false"/>
          <w:sz w:val="20"/>
        </w:rPr>
        <w:t>Section 6.01</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Closing Date, except to the extent such representations and warranties specifically relate to an earlier date, in which case such representations and warranties shall have been true and correct in all respects on and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Beneficial Ownership Certificate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To the extent requested by any Lender or the Administrative Agent, the Borrower shall have provided to such Lender and the Administrative Agent all documentation and other information so requested, including a duly executed W-9 of the Borrower (or such other applicable tax form), in connection with applicable “know your customer” and anti-money laundering rules and regulations, including the Patriot Act, and if the Borrower qualifies as a “legal entity customer” under the Beneficial Ownership Regulation, a Beneficial Ownership Certification, in each case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Conditions to the Borrowing of All Loans</w:t>
      </w:r>
      <w:r>
        <w:rPr>
          <w:rFonts w:ascii="Times New Roman;Times;Serif" w:hAnsi="Times New Roman;Times;Serif"/>
          <w:b w:val="false"/>
          <w:i w:val="false"/>
          <w:caps w:val="false"/>
          <w:smallCaps w:val="false"/>
          <w:sz w:val="20"/>
        </w:rPr>
        <w:t>. The obligation of each Lender to make each tranche of Loans shall be subject to the delivery of a Borrowing Notice as required pursuant to Section 2.02, and the prior or concurrent satisfaction (or waiver by the Lenders in accordance with Section 14.04) of each of the conditions precedent set forth below in this Section 6.02: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The Closing Date shall have occurred and the conditions set forth in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xml:space="preserve"> shall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Applicable Funding Date Certificate</w:t>
      </w:r>
      <w:r>
        <w:rPr>
          <w:rFonts w:ascii="Times New Roman;Times;Serif" w:hAnsi="Times New Roman;Times;Serif"/>
          <w:b w:val="false"/>
          <w:i w:val="false"/>
          <w:caps w:val="false"/>
          <w:smallCaps w:val="false"/>
          <w:sz w:val="20"/>
        </w:rPr>
        <w:t>. The Administrative Agent shall have received a Funding Date Certificate dated as of the Applicable Funding Date, duly executed and delivered by a Responsible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Delivery of Notes</w:t>
      </w:r>
      <w:r>
        <w:rPr>
          <w:rFonts w:ascii="Times New Roman;Times;Serif" w:hAnsi="Times New Roman;Times;Serif"/>
          <w:b w:val="false"/>
          <w:i w:val="false"/>
          <w:caps w:val="false"/>
          <w:smallCaps w:val="false"/>
          <w:sz w:val="20"/>
        </w:rPr>
        <w:t xml:space="preserve">. The Administrative Agent shall have received a Note to the extent requested by any Lender pursuant to </w:t>
      </w:r>
      <w:r>
        <w:rPr>
          <w:rFonts w:ascii="Times New Roman;Times;Serif" w:hAnsi="Times New Roman;Times;Serif"/>
          <w:b/>
          <w:i w:val="false"/>
          <w:caps w:val="false"/>
          <w:smallCaps w:val="false"/>
          <w:sz w:val="20"/>
        </w:rPr>
        <w:t xml:space="preserve">Section 2.04 </w:t>
      </w:r>
      <w:r>
        <w:rPr>
          <w:rFonts w:ascii="Times New Roman;Times;Serif" w:hAnsi="Times New Roman;Times;Serif"/>
          <w:b w:val="false"/>
          <w:i w:val="false"/>
          <w:caps w:val="false"/>
          <w:smallCaps w:val="false"/>
          <w:sz w:val="20"/>
        </w:rPr>
        <w:t>for the Loans made on such Applicable Funding Date duly executed and delivered by a Responsible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xml:space="preserve">. The Administrative Agent shall have received a solvency certificate, substantially in the form of </w:t>
      </w:r>
      <w:r>
        <w:rPr>
          <w:rFonts w:ascii="Times New Roman;Times;Serif" w:hAnsi="Times New Roman;Times;Serif"/>
          <w:b/>
          <w:i w:val="false"/>
          <w:caps w:val="false"/>
          <w:smallCaps w:val="false"/>
          <w:sz w:val="20"/>
        </w:rPr>
        <w:t>Exhibit K</w:t>
      </w:r>
      <w:r>
        <w:rPr>
          <w:rFonts w:ascii="Times New Roman;Times;Serif" w:hAnsi="Times New Roman;Times;Serif"/>
          <w:b w:val="false"/>
          <w:i w:val="false"/>
          <w:caps w:val="false"/>
          <w:smallCaps w:val="false"/>
          <w:sz w:val="20"/>
        </w:rPr>
        <w:t>, duly executed and delivered by the chief accounting officer of the Borrower, dated as of the Applicable Funding Date,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Fees, Expenses, Etc.</w:t>
      </w:r>
      <w:r>
        <w:rPr>
          <w:rFonts w:ascii="Times New Roman;Times;Serif" w:hAnsi="Times New Roman;Times;Serif"/>
          <w:b w:val="false"/>
          <w:i w:val="false"/>
          <w:caps w:val="false"/>
          <w:smallCaps w:val="false"/>
          <w:sz w:val="20"/>
        </w:rPr>
        <w:t xml:space="preserve"> Each of the Administrative Agent and each Lender shall have received for its own account all Ticking Fees and other fees, costs and expenses due and payable to it on or prior to the Applicable Funding Date pursuant to the Fee Letter, </w:t>
      </w:r>
      <w:r>
        <w:rPr>
          <w:rFonts w:ascii="Times New Roman;Times;Serif" w:hAnsi="Times New Roman;Times;Serif"/>
          <w:b/>
          <w:i w:val="false"/>
          <w:caps w:val="false"/>
          <w:smallCaps w:val="false"/>
          <w:sz w:val="20"/>
        </w:rPr>
        <w:t xml:space="preserve">Section 2.06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including all reasonable closing costs and fees and all unpaid reasonable expenses of the Administrative Agent and the Lenders incurred in connection with the Transactions (including the Administrative Agent’s and the Lenders’ legal fees and expenses) in each case, to the extent invoiced (or as to which a good faith estimate has been provided to the Borrower) at least two (2) Business Days prior to the Applicable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No Default</w:t>
      </w:r>
      <w:r>
        <w:rPr>
          <w:rFonts w:ascii="Times New Roman;Times;Serif" w:hAnsi="Times New Roman;Times;Serif"/>
          <w:b w:val="false"/>
          <w:i w:val="false"/>
          <w:caps w:val="false"/>
          <w:smallCaps w:val="false"/>
          <w:sz w:val="20"/>
        </w:rPr>
        <w:t>. No event shall have occurred or be continuing or would result from the making of the Loans on the Applicable Funding Date that would constitute a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contained in this Agreement and in the other Loan Documents delivered pursuant to </w:t>
      </w:r>
      <w:r>
        <w:rPr>
          <w:rFonts w:ascii="Times New Roman;Times;Serif" w:hAnsi="Times New Roman;Times;Serif"/>
          <w:b/>
          <w:i w:val="false"/>
          <w:caps w:val="false"/>
          <w:smallCaps w:val="false"/>
          <w:sz w:val="20"/>
        </w:rPr>
        <w:t>Section 6.01(a)</w:t>
      </w:r>
      <w:r>
        <w:rPr>
          <w:rFonts w:ascii="Times New Roman;Times;Serif" w:hAnsi="Times New Roman;Times;Serif"/>
          <w:b w:val="false"/>
          <w:i w:val="false"/>
          <w:caps w:val="false"/>
          <w:smallCaps w:val="false"/>
          <w:sz w:val="20"/>
        </w:rPr>
        <w:t>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Applicable Funding Date, except to the extent such representations and warranties specifically relate to an earlier date, in which case such representations and warranties shall have been true and correct in all respects on and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 xml:space="preserve">701 Warrant. </w:t>
      </w:r>
      <w:r>
        <w:rPr>
          <w:rFonts w:ascii="Times New Roman;Times;Serif" w:hAnsi="Times New Roman;Times;Serif"/>
          <w:b w:val="false"/>
          <w:i w:val="false"/>
          <w:caps w:val="false"/>
          <w:smallCaps w:val="false"/>
          <w:sz w:val="20"/>
        </w:rPr>
        <w:t>The Lenders shall have received executed counterparts of (i) in the case of the Tranche A-1 Term Loans, 701 Warrants in an aggregate amount equal to 0.875% of the Fully-Diluted Capitalization (as defined therein) of OnkosXcel Therapeutics, LLC, (ii) in the case of the Tranche B Term Loans, 701 Warrants in an aggregate amount equal to 0.4375% of the Fully-Diluted Capitalization (as defined therein) of OnkosXcel Therapeutics, LLC and (iii) in the case of the Tranche C Term Loans, 701 Warrants in an aggregate amount equal to 0.4375% of the Fully-Diluted Capitalization (as defined therein) of OnkosXcel Therapeutics,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trike/>
          <w:color w:val="FF0000"/>
          <w:sz w:val="20"/>
        </w:rPr>
        <w:t>BXCL 701 Asset Contribution</w:t>
      </w:r>
      <w:r>
        <w:rPr>
          <w:rFonts w:ascii="Times New Roman;Times;Serif" w:hAnsi="Times New Roman;Times;Serif"/>
          <w:b w:val="false"/>
          <w:i w:val="false"/>
          <w:caps w:val="false"/>
          <w:smallCaps w:val="false"/>
          <w:strike/>
          <w:color w:val="FF0000"/>
          <w:sz w:val="20"/>
        </w:rPr>
        <w:t>. The Borrower shall have completed the BXCL 701 Asset Contribution</w:t>
      </w:r>
      <w:r>
        <w:rPr>
          <w:rFonts w:ascii="Times New Roman;Times;Serif" w:hAnsi="Times New Roman;Times;Serif"/>
          <w:b/>
          <w:i w:val="false"/>
          <w:caps w:val="false"/>
          <w:smallCaps w:val="false"/>
          <w:color w:val="0000FF"/>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have entered into an amendment to the Shared Services Agreement with BioXcel LLC pursuant to which the Collaboration Agreement Option shall be extended through at least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Borrower and BioXcel LLC shall have entered into an agreement, in form and substance reasonably acceptable to the Administrative Agent, licensing BioXcel LLC’s rights, title and interest in the BIOXCEL trademark to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license shall (x) be (A), during the Initial Period, exclusive (including as to BioXcel LLC) within the field of neuroscience, (B) irrevocable (except as set forth in the termination provisions thereof), (C) freely sublicensable during the Initial Period within the scope of the license, (D) royalty-free, and (E) freely transferable during the Initial Period to any Affiliates of the Borrower, and to any Person who becomes the owner of the portion of Borrower’s business with which the BIOXCEL trademark has been associated (or in connection with such Person’s acquisition of such portion of such business) following the occurrence and during the continuance of an Event of Default, (y) provide that during the Initial Period BioXcel LLC shall not, and shall cause its controlled Affiliates not to, (A) license or grant other permissions to use the BIOXCEL trademark to any other entity other than its or their Affiliates or (B) use the BIOXCEL trademark in the field of neuroscience, and (z) provide Borrower with sufficient rights to bring, take, control and conduct any enforcement action to halt any infringement, dilution, or other conflicting use of the BIOXCEL trademark in the field of neuroscience, (such agreement, the “</w:t>
      </w:r>
      <w:r>
        <w:rPr>
          <w:rFonts w:ascii="Times New Roman;Times;Serif" w:hAnsi="Times New Roman;Times;Serif"/>
          <w:b/>
          <w:i/>
          <w:caps w:val="false"/>
          <w:smallCaps w:val="false"/>
          <w:sz w:val="20"/>
        </w:rPr>
        <w:t>BioXcel Trademark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Applicable Funding Condition</w:t>
      </w:r>
      <w:r>
        <w:rPr>
          <w:rFonts w:ascii="Times New Roman;Times;Serif" w:hAnsi="Times New Roman;Times;Serif"/>
          <w:b w:val="false"/>
          <w:i w:val="false"/>
          <w:caps w:val="false"/>
          <w:smallCaps w:val="false"/>
          <w:sz w:val="20"/>
        </w:rPr>
        <w:t>. The Applicable Funding Condition shall have been satisfied in form and substance reasonably satisfactory to the Administrative Agent and the Oaktree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Applicable Availability Period</w:t>
      </w:r>
      <w:r>
        <w:rPr>
          <w:rFonts w:ascii="Times New Roman;Times;Serif" w:hAnsi="Times New Roman;Times;Serif"/>
          <w:b w:val="false"/>
          <w:i w:val="false"/>
          <w:caps w:val="false"/>
          <w:smallCaps w:val="false"/>
          <w:sz w:val="20"/>
        </w:rPr>
        <w:t>. The Loans shall be borrowed on or prior to the last day of the Applicable Availability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7.</w:t>
      </w:r>
      <w:r>
        <w:rPr>
          <w:rFonts w:ascii="Times New Roman;Times;Serif" w:hAnsi="Times New Roman;Times;Serif"/>
          <w:b/>
          <w:i w:val="false"/>
          <w:caps w:val="false"/>
          <w:smallCaps w:val="false"/>
          <w:sz w:val="20"/>
        </w:rPr>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and each other Obligor hereby jointly and severally represents and warrants to the Administrative Agent and each Lender on the Closing Date, on the Second Amendment Effective Date and each date on which a Loan is advanced pursuant to </w:t>
      </w:r>
      <w:r>
        <w:rPr>
          <w:rFonts w:ascii="Times New Roman;Times;Serif" w:hAnsi="Times New Roman;Times;Serif"/>
          <w:b/>
          <w:i w:val="false"/>
          <w:caps w:val="false"/>
          <w:smallCaps w:val="false"/>
          <w:sz w:val="20"/>
        </w:rPr>
        <w:t>Section 2.01</w:t>
      </w:r>
      <w:r>
        <w:rPr>
          <w:rFonts w:ascii="Times New Roman;Times;Serif" w:hAnsi="Times New Roman;Times;Serif"/>
          <w:b w:val="false"/>
          <w:i w:val="false"/>
          <w:caps w:val="false"/>
          <w:smallCaps w:val="false"/>
          <w:sz w:val="20"/>
        </w:rPr>
        <w:t>, and any other date such representation and warranty is required to be made under the Loan Documents,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Power and Authority</w:t>
      </w:r>
      <w:r>
        <w:rPr>
          <w:rFonts w:ascii="Times New Roman;Times;Serif" w:hAnsi="Times New Roman;Times;Serif"/>
          <w:b w:val="false"/>
          <w:i w:val="false"/>
          <w:caps w:val="false"/>
          <w:smallCaps w:val="false"/>
          <w:sz w:val="20"/>
        </w:rPr>
        <w:t>. Each Obligor and each of its Subsidiaries (i) is duly organized and validly existing under the laws of its jurisdiction of organization, (ii) has all requisite corporate or other power, and has all Governmental Approvals necessary to own its assets and carry on its business as now being or as proposed to be conducted, except to the extent that failure to have the same would not, individually or in the aggregate, reasonably be expected to result in a Material Adverse Effect, (iii) is qualified to do business and is in good standing in all jurisdictions in which the nature of the business conducted by it makes such qualification necessary except where failure so to qualify would not, individually or in the aggregate, reasonably be expected to result in a Material Adverse Effect, and (iv) has full power, authority and legal right to enter into and perform its obligations under each of the Loan Documents to which it is a party and, in the case of the Borrower, to borrow the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Authorization; Enforceability</w:t>
      </w:r>
      <w:r>
        <w:rPr>
          <w:rFonts w:ascii="Times New Roman;Times;Serif" w:hAnsi="Times New Roman;Times;Serif"/>
          <w:b w:val="false"/>
          <w:i w:val="false"/>
          <w:caps w:val="false"/>
          <w:smallCaps w:val="false"/>
          <w:sz w:val="20"/>
        </w:rPr>
        <w:t>. Each Transaction to which an Obligor is a party (or to which it or any of its assets or properties is subject) is within such Obligor’s corporate or other organizational powers and has been duly authorized by all necessary corporate or other organizational action including, if required, approval by all necessary holders of Equity Interests. This Agreement has been duly executed and delivered by each Obligor and constitutes, and each of the other Loan Documents to which it is a party when executed and delivered by such Obligor will constitute, a legal, valid and binding obligation of such Obligor, enforceable against such Obligor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Governmental and Other Approvals; No Conflicts</w:t>
      </w:r>
      <w:r>
        <w:rPr>
          <w:rFonts w:ascii="Times New Roman;Times;Serif" w:hAnsi="Times New Roman;Times;Serif"/>
          <w:b w:val="false"/>
          <w:i w:val="false"/>
          <w:caps w:val="false"/>
          <w:smallCaps w:val="false"/>
          <w:sz w:val="20"/>
        </w:rPr>
        <w:t xml:space="preserve">. None of the execution, delivery and performance by each Obligor of the Loan Documents to which it is a party or the consummation by each Obligor of the Transactions (i) requires any Governmental Approval of, registration or filing with, or any other action by, any Governmental Authority or any other Person, except for (x) such as have been obtained or made and are in full force and effect and (y) filings and recordings in respect of perfecting or recording the Liens created pursuant to the Security Documents, (ii) will violate (1) any Law, (2) any Organic Document of any Obligor or any of its Subsidiaries or (3) any order of any Governmental Authority, that in the case of </w:t>
      </w:r>
      <w:r>
        <w:rPr>
          <w:rFonts w:ascii="Times New Roman;Times;Serif" w:hAnsi="Times New Roman;Times;Serif"/>
          <w:b/>
          <w:i w:val="false"/>
          <w:caps w:val="false"/>
          <w:smallCaps w:val="false"/>
          <w:sz w:val="20"/>
        </w:rPr>
        <w:t>clause (ii)(1)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clause (ii)(3)</w:t>
      </w:r>
      <w:r>
        <w:rPr>
          <w:rFonts w:ascii="Times New Roman;Times;Serif" w:hAnsi="Times New Roman;Times;Serif"/>
          <w:b w:val="false"/>
          <w:i w:val="false"/>
          <w:caps w:val="false"/>
          <w:smallCaps w:val="false"/>
          <w:sz w:val="20"/>
        </w:rPr>
        <w:t>, individually or in the aggregate, would reasonably be expected to result in a Material Adverse Effect, (iii) will violate or result in a default under any Material Agreement binding upon any Obligor or any of its Subsidiaries that, individually or in the aggregate, would reasonably be expected to result in a Material Adverse Effect or (iv) will result in the creation or imposition of any Lien (other than Permitted Liens) on any asset of any Obligor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Financial Statements; Material Adverse 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xml:space="preserve">. The Borrower has heretofore furnished to the Administrative Agent (who shall forward to the Lenders) consolidated financial statements required to be delivered pursuant to this Agreement. Such financial statements present fairly, in all material respects, the consolidated financial position and results of operations and cash flows of the Borrower and its Subsidiaries as of such dates and for such periods in accordance with GAAP, subject to year-end audit adjustments and the absence of footnotes in the case of the statements of the type described in </w:t>
      </w:r>
      <w:r>
        <w:rPr>
          <w:rFonts w:ascii="Times New Roman;Times;Serif" w:hAnsi="Times New Roman;Times;Serif"/>
          <w:b/>
          <w:i w:val="false"/>
          <w:caps w:val="false"/>
          <w:smallCaps w:val="false"/>
          <w:sz w:val="20"/>
        </w:rPr>
        <w:t>Section 8.01(a)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No Material Adverse Change</w:t>
      </w:r>
      <w:r>
        <w:rPr>
          <w:rFonts w:ascii="Times New Roman;Times;Serif" w:hAnsi="Times New Roman;Times;Serif"/>
          <w:b w:val="false"/>
          <w:i w:val="false"/>
          <w:caps w:val="false"/>
          <w:smallCaps w:val="false"/>
          <w:sz w:val="20"/>
        </w:rPr>
        <w:t>. Since December 31, 2021, there has been no Material Adverse Change</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strike/>
          <w:color w:val="FF0000"/>
          <w:sz w:val="20"/>
        </w:rPr>
        <w:t xml:space="preserve">, that for purposes of this </w:t>
      </w:r>
      <w:r>
        <w:rPr>
          <w:rFonts w:ascii="Times New Roman;Times;Serif" w:hAnsi="Times New Roman;Times;Serif"/>
          <w:b/>
          <w:i w:val="false"/>
          <w:caps w:val="false"/>
          <w:smallCaps w:val="false"/>
          <w:strike/>
          <w:color w:val="FF0000"/>
          <w:sz w:val="20"/>
        </w:rPr>
        <w:t>Section 7.04(b)</w:t>
      </w:r>
      <w:r>
        <w:rPr>
          <w:rFonts w:ascii="Times New Roman;Times;Serif" w:hAnsi="Times New Roman;Times;Serif"/>
          <w:b w:val="false"/>
          <w:i w:val="false"/>
          <w:caps w:val="false"/>
          <w:smallCaps w:val="false"/>
          <w:strike/>
          <w:color w:val="FF0000"/>
          <w:sz w:val="20"/>
        </w:rPr>
        <w:t xml:space="preserve">, the impacts of the COVID-19 pandemic on the business, operations or financial condition of the Borrower and its Subsidiaries that (x) occurred prior to the Closing Date and (y) were disclosed in public filings made with the SEC or in writing </w:t>
      </w:r>
      <w:r>
        <w:rPr>
          <w:rFonts w:ascii="Times New Roman;Times;Serif" w:hAnsi="Times New Roman;Times;Serif"/>
          <w:b w:val="false"/>
          <w:i w:val="false"/>
          <w:caps w:val="false"/>
          <w:smallCaps w:val="false"/>
          <w:strike/>
          <w:color w:val="008000"/>
          <w:sz w:val="20"/>
        </w:rPr>
        <w:t>to the Administrative Agent and the Lenders</w:t>
      </w:r>
      <w:r>
        <w:rPr>
          <w:rFonts w:ascii="Times New Roman;Times;Serif" w:hAnsi="Times New Roman;Times;Serif"/>
          <w:b w:val="false"/>
          <w:i w:val="false"/>
          <w:caps w:val="false"/>
          <w:smallCaps w:val="false"/>
          <w:strike/>
          <w:color w:val="FF0000"/>
          <w:sz w:val="20"/>
        </w:rPr>
        <w:t>, in each case prior to the Closing Date, shall be disregarded.</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Property Generally</w:t>
      </w:r>
      <w:r>
        <w:rPr>
          <w:rFonts w:ascii="Times New Roman;Times;Serif" w:hAnsi="Times New Roman;Times;Serif"/>
          <w:b w:val="false"/>
          <w:i w:val="false"/>
          <w:caps w:val="false"/>
          <w:smallCaps w:val="false"/>
          <w:sz w:val="20"/>
        </w:rPr>
        <w:t>. Each Obligor and each of its Subsidiaries has good and marketable fee simple title to, or valid leasehold interests in, all its real and personal property material to its business, including all properties and assets, whether tangible or intangible, relating to its Products or Product Commercialization and Development Activities and all Material Intellectual Property, subject only to Permitted Liens and except for minor defects in title that (i) do not interfere with its ability to conduct its business as currently conducted or to utilize such properties for their intended purposes and (ii) would not reasonably be expected to prevent or interfere with the ability of any Obligor or any of its Subsidiaries to conduct any Product Commercialization and Development Activities with respect to any of its Products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Obligors are the sole and exclusive legal and beneficial (and to the extent applicable, record) owners of all right, title and interest in and to all Material Intellectual Property and all other Intellectual Property that is, in each case, owned or purported to be owned by the Obligors, free and clear of any Liens or Claims other than Permitted Liens. The Obligors own or have sufficient and valid, written rights to use all Material Intellectual Property. The Collateral includes all Material Intellectual Property owned by the Obligors </w:t>
      </w:r>
      <w:r>
        <w:rPr>
          <w:rFonts w:ascii="Times New Roman;Times;Serif" w:hAnsi="Times New Roman;Times;Serif"/>
          <w:b w:val="false"/>
          <w:i w:val="false"/>
          <w:caps w:val="false"/>
          <w:smallCaps w:val="false"/>
          <w:strike/>
          <w:color w:val="FF0000"/>
          <w:sz w:val="20"/>
        </w:rPr>
        <w:t>except for the Intellectual Property included within the BXCL 701 Assets</w:t>
      </w:r>
      <w:r>
        <w:rPr>
          <w:rFonts w:ascii="Times New Roman;Times;Serif" w:hAnsi="Times New Roman;Times;Serif"/>
          <w:b w:val="false"/>
          <w:i w:val="false"/>
          <w:caps w:val="false"/>
          <w:smallCaps w:val="false"/>
          <w:sz w:val="20"/>
        </w:rPr>
        <w:t xml:space="preserve">. Without limiting the foregoing, and except as set forth in </w:t>
      </w:r>
      <w:r>
        <w:rPr>
          <w:rFonts w:ascii="Times New Roman;Times;Serif" w:hAnsi="Times New Roman;Times;Serif"/>
          <w:b/>
          <w:i w:val="false"/>
          <w:caps w:val="false"/>
          <w:smallCaps w:val="false"/>
          <w:sz w:val="20"/>
        </w:rPr>
        <w:t>Schedule 7.05(b)(i)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b w:val="false"/>
          <w:i w:val="false"/>
          <w:caps w:val="false"/>
          <w:smallCaps w:val="false"/>
          <w:sz w:val="20"/>
        </w:rPr>
        <w:t xml:space="preserve">            other than (1) customary restrictions in in-bound licenses of Intellectual Property and non-disclosure Contracts, or (2) as would have been or is permitted by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 there are no judgments, covenants not to sue, grants, Liens (other than Permitted Liens), or other Claims, agreements or arrangements relating to any Material Intellectual Property, which materially restrict any Obligor or any of its Subsidiaries with respect to its use, enforcement, or other exploitation of any Material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b w:val="false"/>
          <w:i w:val="false"/>
          <w:caps w:val="false"/>
          <w:smallCaps w:val="false"/>
          <w:sz w:val="20"/>
        </w:rPr>
        <w:t>            the operation and conduct of the business of the Borrower or any of its Subsidiaries, including their use of their respective Material Intellectual Property, does not violate, infringe or constitute a misappropriation of Intellectual Property rights of any other Person, except as would not, individually or in the aggregate,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b w:val="false"/>
          <w:i w:val="false"/>
          <w:caps w:val="false"/>
          <w:smallCaps w:val="false"/>
          <w:sz w:val="20"/>
        </w:rPr>
        <w:t xml:space="preserve">            (1) there are no pending Claims, or Claims threatened in writing, against any Obligor or any of their Subsidiaries asserted by any other Person relating to Intellectual Property, including any material Claims alleging ownership, invalidity or unenforceability of any Material Intellectual Property, or infringement, misappropriation, or violation of such Person’s Intellectual Property rights in any material respect; and (2) neither any Obligor nor any of their Subsidiaries has received any notice from, or Claim by, any Person that the operation and conduct of the businesses of the Borrower or any of its Subsidiaries (including their use of Material Intellectual Property), infringes upon, violates or constitutes a misappropriation of, any Intellectual Property of any other Person in each case of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that would reasonably be expected to result in material liability to any Obligor or any of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b w:val="false"/>
          <w:i w:val="false"/>
          <w:caps w:val="false"/>
          <w:smallCaps w:val="false"/>
          <w:sz w:val="20"/>
        </w:rPr>
        <w:t>            to the knowledge of any Borrower and their Subsidiaries, no Material Intellectual Property is being infringed, violated, or misappropriated by any other Person in any material respect; and neither such Obligor nor any of its Subsidiaries has put any other Person on notice of such actual or potential infringement, violation or misappropriation of any such Material Intellectual Property, and neither any Obligor nor any of their Subsidiaries has initiated any Claim with respect to any such Material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b w:val="false"/>
          <w:i w:val="false"/>
          <w:caps w:val="false"/>
          <w:smallCaps w:val="false"/>
          <w:sz w:val="20"/>
        </w:rPr>
        <w:t>            all current and former employees and contractors that have developed Material Intellectual Property for or on behalf of any Obligor or any of their Subsidiaries have executed written confidentiality and invention assignment Contracts with such Obligor or Subsidiary, as applicable, that irrevocably and presently assign to such Obligor or Subsidiary, as applicable, all rights of such employees and contractors to any such Material Intellectual Property;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b w:val="false"/>
          <w:i w:val="false"/>
          <w:caps w:val="false"/>
          <w:smallCaps w:val="false"/>
          <w:sz w:val="20"/>
        </w:rPr>
        <w:t>            each Obligor and each of its Subsidiaries has taken reasonable precautions to protect the secrecy, confidentiality and value of its Material Intellectual Property consisting of Trade Secrets, and no such Trade Secret constituting Material Intellectual Property has been used or discovered by, or disclosed to, any Person except pursuant to written, valid and enforceable non-disclosure agreements protecting the confidentiality thereof, which agreements, to the knowledge of each Obligor and their Subsidiaries, have not been breached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b w:val="false"/>
          <w:i w:val="false"/>
          <w:caps w:val="false"/>
          <w:smallCaps w:val="false"/>
          <w:sz w:val="20"/>
        </w:rPr>
        <w:t>            except as would not, individually or in the aggregate, be reasonably expected to be material to the Borrower or any of its Subsidiaries or to the value of any of their material software constituting Collateral (“</w:t>
      </w:r>
      <w:r>
        <w:rPr>
          <w:rFonts w:ascii="Times New Roman;Times;Serif" w:hAnsi="Times New Roman;Times;Serif"/>
          <w:b/>
          <w:i/>
          <w:caps w:val="false"/>
          <w:smallCaps w:val="false"/>
          <w:sz w:val="20"/>
        </w:rPr>
        <w:t>Material Software</w:t>
      </w:r>
      <w:r>
        <w:rPr>
          <w:rFonts w:ascii="Times New Roman;Times;Serif" w:hAnsi="Times New Roman;Times;Serif"/>
          <w:b w:val="false"/>
          <w:i w:val="false"/>
          <w:caps w:val="false"/>
          <w:smallCaps w:val="false"/>
          <w:sz w:val="20"/>
        </w:rPr>
        <w:t>”), neither the Borrower nor any of its Subsidiaries has embedded, used, linked to, distributed or made available any open source or copyleft source code, in each case in a manner that requires (i) any such Material Software owned or purported to be owed by the Borrower or any of its Subsidiaries (other than the open source software itself) be disclosed or distributed in source code form or be licensed for the purpose of making derivative works; (ii) any restriction on the consideration to be charged for the distribution of such Material Software; or (iii) the grant to any third Person of any rights or immunities under such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 respect to Material Intellectual Property consisting of Patents, except as set forth in </w:t>
      </w:r>
      <w:r>
        <w:rPr>
          <w:rFonts w:ascii="Times New Roman;Times;Serif" w:hAnsi="Times New Roman;Times;Serif"/>
          <w:b/>
          <w:i w:val="false"/>
          <w:caps w:val="false"/>
          <w:smallCaps w:val="false"/>
          <w:sz w:val="20"/>
        </w:rPr>
        <w:t>Schedule 7.05(b)(ii)</w:t>
      </w:r>
      <w:r>
        <w:rPr>
          <w:rFonts w:ascii="Times New Roman;Times;Serif" w:hAnsi="Times New Roman;Times;Serif"/>
          <w:b w:val="false"/>
          <w:i w:val="false"/>
          <w:caps w:val="false"/>
          <w:smallCaps w:val="false"/>
          <w:sz w:val="20"/>
        </w:rPr>
        <w:t xml:space="preserve">, and without limiting the representations and warranties in </w:t>
      </w:r>
      <w:r>
        <w:rPr>
          <w:rFonts w:ascii="Times New Roman;Times;Serif" w:hAnsi="Times New Roman;Times;Serif"/>
          <w:b/>
          <w:i w:val="false"/>
          <w:caps w:val="false"/>
          <w:smallCaps w:val="false"/>
          <w:sz w:val="20"/>
        </w:rPr>
        <w:t>Section 7.05(b)(i)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b w:val="false"/>
          <w:i w:val="false"/>
          <w:caps w:val="false"/>
          <w:smallCaps w:val="false"/>
          <w:sz w:val="20"/>
        </w:rPr>
        <w:t>            each of the issued claims in such Patents is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b w:val="false"/>
          <w:i w:val="false"/>
          <w:caps w:val="false"/>
          <w:smallCaps w:val="false"/>
          <w:sz w:val="20"/>
        </w:rPr>
        <w:t>            subsequent to the issuance of such Patents, no Obligor nor any of its Subsidiaries or predecessors-in-interest, has filed any disclaimer or made or permitted any other voluntary reduction in the scope of the Inventions claimed in such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b w:val="false"/>
          <w:i w:val="false"/>
          <w:caps w:val="false"/>
          <w:smallCaps w:val="false"/>
          <w:sz w:val="20"/>
        </w:rPr>
        <w:t xml:space="preserve">            to the knowledge of any Obligor, no allowable or allowed subject matter of such Patents is subject to any competing conception claims of allowable or allowed subject matter of any patent applications or patents of any third party and have not been the subject of any interference, and are not and have not been the subject of any re-examination, opposition or any other post-grant proceedings, nor is any Obligor or its Subsidiaries aware of any basis for any such interference, re-examination, opposition,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post grant review, or any other post-grant proceedings;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b w:val="false"/>
          <w:i w:val="false"/>
          <w:caps w:val="false"/>
          <w:smallCaps w:val="false"/>
          <w:sz w:val="20"/>
        </w:rPr>
        <w:t>            no such Patents have ever been finally adjudicated to be invalid, unpatentable or unenforceable for any reason in any administrative, arbitration, judicial or other proceeding, and, with the exception of publicly available documents with respect to any such Material Intellectual Property, no Obligor nor any of its Subsidiaries has received any written notice asserting that such Patents are invalid, unpatentable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All maintenance fees, registration fees, renewal fees, annuities, and the like due or payable on or with respect to any Material Intellectual Property consisting of Patents or Trademarks owned, not licensed, by Borrower have been timely paid or the failure to so pay would not reasonably be expected to result in a Material Adverse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Administrative Agent and the Lenders hereby acknowledge that Borrower is not responsible for the maintenance of trademark filings owned by BioXcel LLC or other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 Actions or Proceedings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There is no litigation, investigation or proceeding pending or, to the knowledge of any Obligor or any of its Subsidiaries threatened in writing, with respect to such Obligor or any such Subsidiaries by or before any Governmental Authority or arbitrator that, (i) if adversely determined, individually or in the aggregate, would reasonably be expected to have a Material Adverse Effect or (ii) involves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Environmental Matters</w:t>
      </w:r>
      <w:r>
        <w:rPr>
          <w:rFonts w:ascii="Times New Roman;Times;Serif" w:hAnsi="Times New Roman;Times;Serif"/>
          <w:b w:val="false"/>
          <w:i w:val="false"/>
          <w:caps w:val="false"/>
          <w:smallCaps w:val="false"/>
          <w:sz w:val="20"/>
        </w:rPr>
        <w:t xml:space="preserve">. No Obligor nor any of its Subsidiaries (i) has failed to comply with any Environmental Law or to obtain, maintain or comply with any permit, license or other approval required under any Environmental Law, except for any such failure to comply with such Environmental Law or failure to obtain, maintain or comply with a permit that would not reasonably be expected to have a Material Adverse Effect, (ii) has become subject to any Environmental Liability that would reasonably be expected to have a Material Adverse Effect, (iii) except as disclosed on </w:t>
      </w:r>
      <w:r>
        <w:rPr>
          <w:rFonts w:ascii="Times New Roman;Times;Serif" w:hAnsi="Times New Roman;Times;Serif"/>
          <w:b/>
          <w:i w:val="false"/>
          <w:caps w:val="false"/>
          <w:smallCaps w:val="false"/>
          <w:sz w:val="20"/>
        </w:rPr>
        <w:t>Schedule 7.06(b)</w:t>
      </w:r>
      <w:r>
        <w:rPr>
          <w:rFonts w:ascii="Times New Roman;Times;Serif" w:hAnsi="Times New Roman;Times;Serif"/>
          <w:b w:val="false"/>
          <w:i w:val="false"/>
          <w:caps w:val="false"/>
          <w:smallCaps w:val="false"/>
          <w:sz w:val="20"/>
        </w:rPr>
        <w:t>, has received any Environmental Claim, or has knowledge that any is threatened, (iv) has entered into any agreement in which such Obligor or any Subsidiary has assumed or undertaken material responsibility or obligations of any other person with respect to any Environmental Liability or (v) has knowledge of any basis for any other material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Labor Matters</w:t>
      </w:r>
      <w:r>
        <w:rPr>
          <w:rFonts w:ascii="Times New Roman;Times;Serif" w:hAnsi="Times New Roman;Times;Serif"/>
          <w:b w:val="false"/>
          <w:i w:val="false"/>
          <w:caps w:val="false"/>
          <w:smallCaps w:val="false"/>
          <w:sz w:val="20"/>
        </w:rPr>
        <w:t>. No Obligor or any of its Subsidiaries has engaged in unfair labor practices as defined in 29 U.S.C. § §152(8) and 158 of the National Labor Relations Act and there are no pending or threatened in writing labor actions, disputes, grievances, arbitration proceedings, or similar Claims or actions involving the employees of any Obligor or any of its Subsidiaries, in each case that would reasonably be expected to have a Material Adverse Effect. There are no strike or work stoppages in existence or threatened in writing against any Obligor and to the knowledge of such Obligor, no union organizing activity is taking place. There are no collective bargaining agreements covering employees of any Obligor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Compliance with Laws and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Obligor is in compliance with all Laws binding on it and all Contracts binding upon it or its property, except, in each case, where the failure to do so would not, individually or in the aggregate, reasonably be expected to result in a Material Adverse Effect. No Default has occurred and is continuing. The Obligors and their Subsidiaries are, and all Product Commercialization and Development Activities of such Persons are being conducted, in material compliance with all applicable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the Obligors and their respective Subsidiaries, any physician, other licensed healthcare professional, or any other Person who is in a position to refer patients or other business to the Borrower, any other Obligor or any Subsidiaries (collectively, a “</w:t>
      </w:r>
      <w:r>
        <w:rPr>
          <w:rFonts w:ascii="Times New Roman;Times;Serif" w:hAnsi="Times New Roman;Times;Serif"/>
          <w:b/>
          <w:i/>
          <w:caps w:val="false"/>
          <w:smallCaps w:val="false"/>
          <w:sz w:val="20"/>
        </w:rPr>
        <w:t>Referral Source</w:t>
      </w:r>
      <w:r>
        <w:rPr>
          <w:rFonts w:ascii="Times New Roman;Times;Serif" w:hAnsi="Times New Roman;Times;Serif"/>
          <w:b w:val="false"/>
          <w:i w:val="false"/>
          <w:caps w:val="false"/>
          <w:smallCaps w:val="false"/>
          <w:sz w:val="20"/>
        </w:rPr>
        <w:t>”) who has a direct ownership, investment, or financial interest in the Borrower, any other Obligor or any such Subsidiary paid fair market value for such ownership, investment or financial interest; any ownership or investment returns distributed to any Referral Source is in proportion to such Referral Source’s ownership, investment or financial interest; and no preferential treatment or more favorable terms were or are offered to such Referral Source compared to investors or owners who are not in a position to refer patients or other business. No Obligor, nor any of its Subsidiaries, directly or indirectly, has or will guarantee a loan, make a payment toward a loan or otherwise subsidize a loan for any Referral Source including any loans related to financing the Referral Source’s ownership, investment or financial interest in the Borrower, any other Obligor or any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knowledge of the Obligors and their respective Subsidiaries (after due inquiry), on the one hand, and any Referral Source, on the other hand (a) comply, in all material respects, with all applicable Healthcare Laws including the Federal Anti-Kickback Statute, the Stark Law and other applicable anti-kickback and self-referral laws, whether U.S. or non-U.S.; (b) reflect fair market value, have commercially reasonable terms, and were negotiated at arm’s length; and (c) do not obligate the Referral Source to purchase, use, recommend or arrange for the use of any products or services of any Obligor or any of its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Obligor and each of its Subsidiaries have implemented policies and procedures to monitor, collect, and report any payments or transfers of value to certain healthcare providers and teaching hospitals, in accordance, in all material respects, with industry standards and the Affordable Care Act of 2010 and the Physician Payments Sunshine Act and their implementing regulations and state disclosure and transparency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i w:val="false"/>
          <w:caps w:val="false"/>
          <w:smallCaps w:val="false"/>
          <w:sz w:val="20"/>
        </w:rPr>
        <w:t>Schedule 7.08</w:t>
      </w:r>
      <w:r>
        <w:rPr>
          <w:rFonts w:ascii="Times New Roman;Times;Serif" w:hAnsi="Times New Roman;Times;Serif"/>
          <w:b w:val="false"/>
          <w:i w:val="false"/>
          <w:caps w:val="false"/>
          <w:smallCaps w:val="false"/>
          <w:sz w:val="20"/>
        </w:rPr>
        <w:t>, each Obligor and its Subsidiaries has timely filed or caused to be filed all income and other Tax returns and reports required to have been filed and has paid or caused to be paid all Taxes required to have been paid by it, except (a) Taxes that are being contested in good faith by appropriate proceedings and for which such Obligor or such Subsidiary, as applicable, has set aside on its books adequate reserves with respect thereto in accordance with GAAP or (b) to the extent that the failure to do so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Full Disclosure</w:t>
      </w:r>
      <w:r>
        <w:rPr>
          <w:rFonts w:ascii="Times New Roman;Times;Serif" w:hAnsi="Times New Roman;Times;Serif"/>
          <w:b w:val="false"/>
          <w:i w:val="false"/>
          <w:caps w:val="false"/>
          <w:smallCaps w:val="false"/>
          <w:sz w:val="20"/>
        </w:rPr>
        <w:t xml:space="preserve">. None of the reports, financial statements, certificates or other written information concerning the Obligors and their Subsidiaries furnished by or on behalf of the Obligors or any of their Subsidiaries to the Administrative Agent (on behalf of itself and the Lenders) in connection with the negotiation of this Agreement and the other Loan Documents or delivered hereunder or thereunder (as modified or supplemented by other information so furnished, including the Borrower’s filings publicly available on “EDGAR”) contains any material misstatement of material fact or omits to state any material fact necessary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projected financial information, the Borrower represents only that such information was prepared in good faith based upon assumptions believed to be reasonable at the time, and it being understood that such projected financial information and all other forward looking information are not to be viewed as facts and that actual results during the period or periods covered thereby may differ from such projected results and that the differences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Investment Company Act and Margin Stock Regulation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No Obligor is an “investment company” as defined in, or subject to regulation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Margin Stock</w:t>
      </w:r>
      <w:r>
        <w:rPr>
          <w:rFonts w:ascii="Times New Roman;Times;Serif" w:hAnsi="Times New Roman;Times;Serif"/>
          <w:b w:val="false"/>
          <w:i w:val="false"/>
          <w:caps w:val="false"/>
          <w:smallCaps w:val="false"/>
          <w:sz w:val="20"/>
        </w:rPr>
        <w:t>. No Obligor is engaged principally, or as one of its important activities, in the business of extending credit for the purpose, whether immediate, incidental or ultimate, of buying or carrying Margin Stock, and no part of the proceeds of the Loans will be used to buy or carry any Margin Stock in violation of Regulation T, U or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The Obligors, on a consolidated basis, are and, immediately after giving effect to the making of the Loans, the use of proceeds thereof, and the consummation of the Transactions, will be,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i w:val="false"/>
          <w:caps w:val="false"/>
          <w:smallCaps w:val="false"/>
          <w:sz w:val="20"/>
        </w:rPr>
        <w:t>Schedule 7.12</w:t>
      </w:r>
      <w:r>
        <w:rPr>
          <w:rFonts w:ascii="Times New Roman;Times;Serif" w:hAnsi="Times New Roman;Times;Serif"/>
          <w:b w:val="false"/>
          <w:i w:val="false"/>
          <w:caps w:val="false"/>
          <w:smallCaps w:val="false"/>
          <w:sz w:val="20"/>
        </w:rPr>
        <w:t xml:space="preserve"> is a complete and correct list of all direct and indirect Subsidiaries of the Borrower. Each such Subsidiary is duly organized and validly existing under the jurisdiction of its organization shown in said </w:t>
      </w:r>
      <w:r>
        <w:rPr>
          <w:rFonts w:ascii="Times New Roman;Times;Serif" w:hAnsi="Times New Roman;Times;Serif"/>
          <w:b/>
          <w:i w:val="false"/>
          <w:caps w:val="false"/>
          <w:smallCaps w:val="false"/>
          <w:sz w:val="20"/>
        </w:rPr>
        <w:t>Schedule 7.12</w:t>
      </w:r>
      <w:r>
        <w:rPr>
          <w:rFonts w:ascii="Times New Roman;Times;Serif" w:hAnsi="Times New Roman;Times;Serif"/>
          <w:b w:val="false"/>
          <w:i w:val="false"/>
          <w:caps w:val="false"/>
          <w:smallCaps w:val="false"/>
          <w:sz w:val="20"/>
        </w:rPr>
        <w:t xml:space="preserve">, and the percentage ownership by each Obligor of each such Subsidiary thereof is as shown in said </w:t>
      </w:r>
      <w:r>
        <w:rPr>
          <w:rFonts w:ascii="Times New Roman;Times;Serif" w:hAnsi="Times New Roman;Times;Serif"/>
          <w:b/>
          <w:i w:val="false"/>
          <w:caps w:val="false"/>
          <w:smallCaps w:val="false"/>
          <w:sz w:val="20"/>
        </w:rPr>
        <w:t>Schedule 7.12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Indebtedness and Liens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i w:val="false"/>
          <w:caps w:val="false"/>
          <w:smallCaps w:val="false"/>
          <w:sz w:val="20"/>
        </w:rPr>
        <w:t>Schedule 7.13(a) </w:t>
      </w:r>
      <w:r>
        <w:rPr>
          <w:rFonts w:ascii="Times New Roman;Times;Serif" w:hAnsi="Times New Roman;Times;Serif"/>
          <w:b w:val="false"/>
          <w:i w:val="false"/>
          <w:caps w:val="false"/>
          <w:smallCaps w:val="false"/>
          <w:sz w:val="20"/>
        </w:rPr>
        <w:t xml:space="preserve">is a complete and correct list of all Indebtedness of each Obligor and each of its Subsidiaries outstanding as of the Closing Date. Set forth on </w:t>
      </w:r>
      <w:r>
        <w:rPr>
          <w:rFonts w:ascii="Times New Roman;Times;Serif" w:hAnsi="Times New Roman;Times;Serif"/>
          <w:b/>
          <w:i w:val="false"/>
          <w:caps w:val="false"/>
          <w:smallCaps w:val="false"/>
          <w:sz w:val="20"/>
        </w:rPr>
        <w:t>Schedule 7.13(b) </w:t>
      </w:r>
      <w:r>
        <w:rPr>
          <w:rFonts w:ascii="Times New Roman;Times;Serif" w:hAnsi="Times New Roman;Times;Serif"/>
          <w:b w:val="false"/>
          <w:i w:val="false"/>
          <w:caps w:val="false"/>
          <w:smallCaps w:val="false"/>
          <w:sz w:val="20"/>
        </w:rPr>
        <w:t>is a complete and correct list of all Liens granted by the Obligors and each of their respective Subsidiaries with respect to their respective property and outstanding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Material Agreements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i w:val="false"/>
          <w:caps w:val="false"/>
          <w:smallCaps w:val="false"/>
          <w:sz w:val="20"/>
        </w:rPr>
        <w:t>Schedule 7.14</w:t>
      </w:r>
      <w:r>
        <w:rPr>
          <w:rFonts w:ascii="Times New Roman;Times;Serif" w:hAnsi="Times New Roman;Times;Serif"/>
          <w:b w:val="false"/>
          <w:i w:val="false"/>
          <w:caps w:val="false"/>
          <w:smallCaps w:val="false"/>
          <w:sz w:val="20"/>
        </w:rPr>
        <w:t>, no Obligor or any of its Subsidiaries is in material default under any Material Agreement, nor does any Obligor have knowledge of (i) any Claim against it or any of its Subsidiaries for any material breach of any such Material Agreement or (ii) as of the Closing Date, any material default by any party to any such Material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Restrictive Agreements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i w:val="false"/>
          <w:caps w:val="false"/>
          <w:smallCaps w:val="false"/>
          <w:sz w:val="20"/>
        </w:rPr>
        <w:t>Schedule 7.15</w:t>
      </w:r>
      <w:r>
        <w:rPr>
          <w:rFonts w:ascii="Times New Roman;Times;Serif" w:hAnsi="Times New Roman;Times;Serif"/>
          <w:b w:val="false"/>
          <w:i w:val="false"/>
          <w:caps w:val="false"/>
          <w:smallCaps w:val="false"/>
          <w:sz w:val="20"/>
        </w:rPr>
        <w:t xml:space="preserve">, as of the Closing Date, no Obligor or any of its Subsidiaries is subject to any Restrictive Agreement, except (i) those permitted under </w:t>
      </w:r>
      <w:r>
        <w:rPr>
          <w:rFonts w:ascii="Times New Roman;Times;Serif" w:hAnsi="Times New Roman;Times;Serif"/>
          <w:b/>
          <w:i w:val="false"/>
          <w:caps w:val="false"/>
          <w:smallCaps w:val="false"/>
          <w:sz w:val="20"/>
        </w:rPr>
        <w:t>Section 9.11</w:t>
      </w:r>
      <w:r>
        <w:rPr>
          <w:rFonts w:ascii="Times New Roman;Times;Serif" w:hAnsi="Times New Roman;Times;Serif"/>
          <w:b w:val="false"/>
          <w:i w:val="false"/>
          <w:caps w:val="false"/>
          <w:smallCaps w:val="false"/>
          <w:sz w:val="20"/>
        </w:rPr>
        <w:t>, (ii) restrictions and conditions imposed by Law or by this Agreement, (iii) any stockholder agreement, charter, by-laws, or other organizational documents of an Obligor or any of its Subsidiaries as in effect on the Closing Date and (iv) limitations associated with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Real Property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Schedule 7.16</w:t>
      </w:r>
      <w:r>
        <w:rPr>
          <w:rFonts w:ascii="Times New Roman;Times;Serif" w:hAnsi="Times New Roman;Times;Serif"/>
          <w:b w:val="false"/>
          <w:i w:val="false"/>
          <w:caps w:val="false"/>
          <w:smallCaps w:val="false"/>
          <w:sz w:val="20"/>
        </w:rPr>
        <w:t xml:space="preserve"> correctly sets forth all real property that is owned or leased by the Obligors, indicating in each case whether the respective property is owned or leased, the identity of the owner and lessee (if applicable) and the location of the respective property. Except as set forth in </w:t>
      </w:r>
      <w:r>
        <w:rPr>
          <w:rFonts w:ascii="Times New Roman;Times;Serif" w:hAnsi="Times New Roman;Times;Serif"/>
          <w:b/>
          <w:i w:val="false"/>
          <w:caps w:val="false"/>
          <w:smallCaps w:val="false"/>
          <w:sz w:val="20"/>
        </w:rPr>
        <w:t>Schedule 7.16</w:t>
      </w:r>
      <w:r>
        <w:rPr>
          <w:rFonts w:ascii="Times New Roman;Times;Serif" w:hAnsi="Times New Roman;Times;Serif"/>
          <w:b w:val="false"/>
          <w:i w:val="false"/>
          <w:caps w:val="false"/>
          <w:smallCaps w:val="false"/>
          <w:sz w:val="20"/>
        </w:rPr>
        <w:t>, no Obligor owns or leases (as tenant thereof) any real property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Pension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Schedule 7.17 </w:t>
      </w:r>
      <w:r>
        <w:rPr>
          <w:rFonts w:ascii="Times New Roman;Times;Serif" w:hAnsi="Times New Roman;Times;Serif"/>
          <w:b w:val="false"/>
          <w:i w:val="false"/>
          <w:caps w:val="false"/>
          <w:smallCaps w:val="false"/>
          <w:sz w:val="20"/>
        </w:rPr>
        <w:t>sets forth, as of the Closing Date, a complete and correct list of, and that separately identifies, (i) all Title IV Plans, (ii) all Multiemployer Plans and (iii) all material Benefit Plans. Each Benefit Plan, and each trust thereunder, intended to qualify for tax exempt status under Section 401 or 501 of the Code or other Laws so qualifies. Except for those that would not, in the aggregate, reasonably be expected to result in a Material Adverse Effect, (x) each Benefit Plan is in compliance with applicable provisions of ERISA, the Code and other Laws, (y) there are no existing or pending (or to the knowledge of any Obligor or any of its Subsidiaries, threatened) claims (other than routine claims for benefits in the normal course), sanctions, actions, lawsuits or other proceedings or investigation involving any Benefit Plan to which any Obligor or Subsidiary thereof incurs or otherwise has or could have an obligation or any liability or Claim and (z) no ERISA Event is reasonably expected to occur. The Borrower and each of its ERISA Affiliates has met all applicable requirements under the ERISA Funding Rules with respect to each Title IV Plan, and no waiver of the minimum funding standards under the ERISA Funding Rules has been applied for or obtained. As of the most recent valuation date for any Title IV Plan, the funding target attainment percentage (as defined in Section 430(d)(2) of the Code) is at least sixty percent (60%), and neither any Obligor nor any of its ERISA Affiliates knows of any facts or circumstances that could reasonably be expected to cause the funding target attainment percentage to fall below sixty percent (60%) as of the most recent valuation date. As of the Closing Date, no ERISA Event has occurred in connection with which obligations and liabilities (contingent or otherwise) remain outstanding. No ERISA Affiliate would have any Withdrawal Liability as a result of a complete withdrawal from any Multiemployer Plan on the date this representation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Regulatory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Obligor and each of its Subsidiaries holds, and will continue to hold, either directly or through licensees and agents, all Product Authorizations necessary or required for the Borrower and each of its Subsidiaries to conduct, in all material respects, their respective operations and businesses in the manner currently conducted and to conduct its Product Commercialization and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Obligor or its Subsidiaries has received any written notice from the FDA or any Governmental Authority that (i) it is considering suspending, revoking or materially limiting any Product Authorization or (ii) it is not likely to approve any applications made to such Governmental Authority with respect to any of the Products or any Material Agreement. The Obligors and their Subsidiaries have made all material required notices, registrations and reports (including field alerts or other reports of adverse experiences) and other filings with respect to each such Person’s Products and Product Commercialization and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i w:val="false"/>
          <w:caps w:val="false"/>
          <w:smallCaps w:val="false"/>
          <w:sz w:val="20"/>
        </w:rPr>
        <w:t>Schedule 7.18(c)</w:t>
      </w:r>
      <w:r>
        <w:rPr>
          <w:rFonts w:ascii="Times New Roman;Times;Serif" w:hAnsi="Times New Roman;Times;Serif"/>
          <w:b w:val="false"/>
          <w:i w:val="false"/>
          <w:caps w:val="false"/>
          <w:smallCaps w:val="false"/>
          <w:sz w:val="20"/>
        </w:rPr>
        <w:t>, and without limiting the generality of any other representation or warranty made by any Obligor hereunder or under any other Loan Document: (i) no Obligor, nor any of its Subsidiaries nor, to the knowledge of any Obligor, any of their respective agents, suppliers, licensors or licensees have received any inspection reports, warning letters or notices or similar documents with respect to any Product or any Product Commercialization and Development Activities from any Regulatory Authority within the last two (2) years that asserts material lack of compliance with any applicable Healthcare Laws or Product Authorizations; (ii) no Obligor, nor any of its Subsidiaries nor, to the knowledge of any Obligor, any of their respective agents, suppliers, licensors or licensees have received any material notification from any Regulatory Authority within the last two (2) years, asserting that any Product or any Product Commercialization and Development Activities lacks a required Product Authorization; (iii) there is no pending regulatory action, investigation or inquiry (other than non-material routine or periodic inspections or reviews) against any Obligor, any of its Subsidiaries or, to the knowledge of any Obligor, any of their respective suppliers, licensors or licensees with respect to any Product or any Product Commercialization and Development Activities, and, to the knowledge of any Obligor, there is no basis in fact for any material adverse regulatory action against such Obligor or any of its Subsidiaries or, to the knowledge of any Obligor, any of their respective suppliers agents, licensors or licensees with respect to any Product or any Product Commercialization and Development Activities; and (iv) without limiting the foregoing, (A) (1) there have been no material product recalls, safety alerts, corrections, withdrawals, marketing suspensions, removals or the like conducted, undertaken or issued by any Obligor or any of its Subsidiaries, whether voluntary, at the request, demand or order of any Regulatory Authority or otherwise, with respect to any Product, any Product Commercialization and Development Activities or any Product Authorization within the last two (2) years, (2) no such product recall, safety alert, correction, withdrawal, marketing suspension, removal or the like has been requested, demanded or ordered by any Regulatory Authority within the last two (2) years, and, to the knowledge of any Obligor, there is no basis in fact for the issuance of any such product recall, safety alert, correction, withdrawal, marketing suspension, removal or the like with respect to any Product or any Product Commercialization and Development Activities, and (B) no criminal, injunctive, seizure, detention or civil penalty action has been commenced or threatened in writing by any Regulatory Authority within the last two (2) years with respect to or in connection with any Product or any Product Commercialization and Development Activities, and there are no consent decrees (including plea agreements) that relate to any Product or any Product Commercialization and Development Activities, and, to the knowledge of each Obligor, there is no basis in fact for the commencement of any criminal injunctive, seizure, detention or civil penalty action by any Regulatory Authority relating to any Product or any Product Commercialization and Development Activities or for the issuance of any consent decree. No Obligor nor any of its Subsidiaries, nor, to the knowledge of any Obligor, any of their respective agents, suppliers, licensees or licensors, is employing or utilizing the services of any individual, in connection with Product Commercialization and Development Activities, who has been debarred from any federal healthcare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Transactions with Affiliates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i w:val="false"/>
          <w:caps w:val="false"/>
          <w:smallCaps w:val="false"/>
          <w:sz w:val="20"/>
        </w:rPr>
        <w:t>Schedule 7.19</w:t>
      </w:r>
      <w:r>
        <w:rPr>
          <w:rFonts w:ascii="Times New Roman;Times;Serif" w:hAnsi="Times New Roman;Times;Serif"/>
          <w:b w:val="false"/>
          <w:i w:val="false"/>
          <w:caps w:val="false"/>
          <w:smallCaps w:val="false"/>
          <w:sz w:val="20"/>
        </w:rPr>
        <w:t>, no Obligor nor any of its Subsidiaries has entered into, renewed, extended or been a party to, any transaction (including the purchase, sale, lease, transfer or exchange of property or assets of any kind or the rendering of services of any kind) with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OFAC; Anti-Terrorism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Borrower nor any of its Subsidiaries is in violation of any Anti-Terrorism Law or engages in or conspires to engage in any transaction that evades or avoids, or has the purpose of evading or avoiding, or attempts to violate, any of the Anti-Terrorism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Borrower nor any of its Subsidiaries, nor, to the knowledge of the Borrower, any of their respective directors, officers, or employees (i) is currently the target of any Sanctions, (ii) is located, organized or residing in any Designated Jurisdiction in violation of Sanctions, or (iii) is or has been (within the previous five (5) years) engaged in any transaction with, or for the benefit of, any Person who is now or was then the target of Sanctions or who is located, organized or residing in any Designated Jurisdiction, in violation of Sanctions. No Loan, nor the proceeds from any Loan, has been or will be used, directly or, to the knowledge of the Borrower, indirectly, to lend, contribute or provide to, or has been or will be otherwise made available for the purpose of funding, any activity or business in any Designated Jurisdiction in violation of Sanctions or for the purpose of funding any activity or business of any Person located, organized or residing in any Designated Jurisdiction or who is the subject of any Sanctions, in violation of Sanctions, or in any manner that will result in any violation by any party to this Agreement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Anti-Corruption</w:t>
      </w:r>
      <w:r>
        <w:rPr>
          <w:rFonts w:ascii="Times New Roman;Times;Serif" w:hAnsi="Times New Roman;Times;Serif"/>
          <w:b w:val="false"/>
          <w:i w:val="false"/>
          <w:caps w:val="false"/>
          <w:smallCaps w:val="false"/>
          <w:sz w:val="20"/>
        </w:rPr>
        <w:t>. Neither the Borrower nor any of its Subsidiaries, nor, to the knowledge of the Borrower, any of their respective directors, officers or employees, directly or, to the knowledge of the Borrower, indirectly, has (i) materially violated or is in material violation of any applicable anti-corruption Law, or (ii) made, offered to make, promised to make or authorized the payment or giving of, directly or, to the knowledge of the Borrower, indirectly, any Prohibited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trike/>
          <w:color w:val="FF0000"/>
          <w:sz w:val="20"/>
        </w:rPr>
        <w:t>BXCL 701 Assets</w:t>
      </w:r>
      <w:r>
        <w:rPr>
          <w:rFonts w:ascii="Times New Roman;Times;Serif" w:hAnsi="Times New Roman;Times;Serif"/>
          <w:b/>
          <w:i w:val="false"/>
          <w:caps w:val="false"/>
          <w:smallCaps w:val="false"/>
          <w:color w:val="0000FF"/>
          <w:sz w:val="20"/>
          <w:u w:val="single"/>
        </w:rPr>
        <w:t>[Reserved]</w:t>
      </w:r>
      <w:r>
        <w:rPr>
          <w:rFonts w:ascii="Times New Roman;Times;Serif" w:hAnsi="Times New Roman;Times;Serif"/>
          <w:b w:val="false"/>
          <w:i w:val="false"/>
          <w:caps w:val="false"/>
          <w:smallCaps w:val="false"/>
          <w:strike/>
          <w:color w:val="FF0000"/>
          <w:sz w:val="20"/>
        </w:rPr>
        <w:t xml:space="preserve">. The BXCL 701 Subsidiaries do not own, license or have the right to use any assets other than (i) following the BXCL 701 Asset Contribution, the BXCL 701 Assets and (ii) other assets transferred to, or acquired by, the BXCL 701 Subsidiaries in compliance with </w:t>
      </w:r>
      <w:r>
        <w:rPr>
          <w:rFonts w:ascii="Times New Roman;Times;Serif" w:hAnsi="Times New Roman;Times;Serif"/>
          <w:b/>
          <w:i w:val="false"/>
          <w:caps w:val="false"/>
          <w:smallCaps w:val="false"/>
          <w:strike/>
          <w:color w:val="FF0000"/>
          <w:sz w:val="20"/>
        </w:rPr>
        <w:t>Sections 9.09</w:t>
      </w:r>
      <w:r>
        <w:rPr>
          <w:rFonts w:ascii="Times New Roman;Times;Serif" w:hAnsi="Times New Roman;Times;Serif"/>
          <w:b w:val="false"/>
          <w:i w:val="false"/>
          <w:caps w:val="false"/>
          <w:smallCaps w:val="false"/>
          <w:strike/>
          <w:color w:val="FF0000"/>
          <w:sz w:val="20"/>
        </w:rPr>
        <w:t xml:space="preserve"> and </w:t>
      </w:r>
      <w:r>
        <w:rPr>
          <w:rFonts w:ascii="Times New Roman;Times;Serif" w:hAnsi="Times New Roman;Times;Serif"/>
          <w:b/>
          <w:i w:val="false"/>
          <w:caps w:val="false"/>
          <w:smallCaps w:val="false"/>
          <w:strike/>
          <w:color w:val="FF0000"/>
          <w:sz w:val="20"/>
        </w:rPr>
        <w:t>9.19</w:t>
      </w:r>
      <w:r>
        <w:rPr>
          <w:rFonts w:ascii="Times New Roman;Times;Serif" w:hAnsi="Times New Roman;Times;Serif"/>
          <w:b w:val="false"/>
          <w:i w:val="false"/>
          <w:caps w:val="false"/>
          <w:smallCaps w:val="false"/>
          <w:strike/>
          <w:color w:val="FF0000"/>
          <w:sz w:val="20"/>
        </w:rPr>
        <w:t>. The Intellectual Property included in the BXCL 701 Assets relate exclusively to BXCL 701 and the Emerging 701 Pipeline, and none of the Intellectual Property included in BXCL 701 Assets is used in connection with any other Products, including BXCL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70C0"/>
          <w:sz w:val="20"/>
          <w:u w:val="single"/>
        </w:rPr>
      </w:pPr>
      <w:r>
        <w:rPr>
          <w:rFonts w:ascii="Times New Roman;Times;Serif" w:hAnsi="Times New Roman;Times;Serif"/>
          <w:b w:val="false"/>
          <w:i w:val="false"/>
          <w:caps w:val="false"/>
          <w:smallCaps w:val="false"/>
          <w:color w:val="0070C0"/>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Priority of Obligations</w:t>
      </w:r>
      <w:r>
        <w:rPr>
          <w:rFonts w:ascii="Times New Roman;Times;Serif" w:hAnsi="Times New Roman;Times;Serif"/>
          <w:b w:val="false"/>
          <w:i w:val="false"/>
          <w:caps w:val="false"/>
          <w:smallCaps w:val="false"/>
          <w:sz w:val="20"/>
        </w:rPr>
        <w:t>. The Obligations constitute unsubordinated obligations of the Obligors, and except for any obligations which have priority under applicable Law, rank at least pari passu in right of payment with all other unsubordinated Indebtedness of the Obligors.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Royalty and Other Payments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i w:val="false"/>
          <w:caps w:val="false"/>
          <w:smallCaps w:val="false"/>
          <w:sz w:val="20"/>
        </w:rPr>
        <w:t>Schedule 7.24</w:t>
      </w:r>
      <w:r>
        <w:rPr>
          <w:rFonts w:ascii="Times New Roman;Times;Serif" w:hAnsi="Times New Roman;Times;Serif"/>
          <w:b w:val="false"/>
          <w:i w:val="false"/>
          <w:caps w:val="false"/>
          <w:smallCaps w:val="false"/>
          <w:sz w:val="20"/>
        </w:rPr>
        <w:t>, no Obligor, nor any of its Subsidiaries, is obligated to pay any royalty, milestone payment, deferred payment or any other contingent payment in respect of any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Non-Competes</w:t>
      </w:r>
      <w:r>
        <w:rPr>
          <w:rFonts w:ascii="Times New Roman;Times;Serif" w:hAnsi="Times New Roman;Times;Serif"/>
          <w:b w:val="false"/>
          <w:i w:val="false"/>
          <w:caps w:val="false"/>
          <w:smallCaps w:val="false"/>
          <w:sz w:val="20"/>
        </w:rPr>
        <w:t>. Neither the Borrower, any other Obligor, nor any of their respective Subsidiaries, nor any of their respective directors, officers or employees, is subject to a non-compete agreement that prohibits or will interfere with any of the Product Commercialization and Development Activities, including the development, commercialization or marketing of any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7.26</w:t>
        <w:tab/>
        <w:t>     Security Interest</w:t>
      </w: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sz w:val="20"/>
        </w:rPr>
        <w:t>     . Each Security Document is effective to create in favor of Administrative Agent for the benefit of the Secured Parties a legal, valid and enforceable security interest in the Collateral subject thereto and, upon satisfaction of the Perfection Requirements, each such security interest is perfected to the extent required by (and has the priority required by) the applicable Security Document. The Security Documents collectively are effective to create in favor of Administrative Agent for the benefit of the Secured Parties a legal, valid and enforceable security interest in the Collateral, which security interests are first-priority (subject only to Permitted Priority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Data Privacy</w:t>
      </w:r>
      <w:r>
        <w:rPr>
          <w:rFonts w:ascii="Times New Roman;Times;Serif" w:hAnsi="Times New Roman;Times;Serif"/>
          <w:b w:val="false"/>
          <w:i w:val="false"/>
          <w:caps w:val="false"/>
          <w:smallCaps w:val="false"/>
          <w:sz w:val="20"/>
        </w:rPr>
        <w:t>. Neither any Obligor nor any of their Subsidiaries has experienced any breach of security or unauthorized access by third parties of any personally identifiable information from any individuals, including, without limitation, any customers, prospective customers, employees or other third parties that is in its possession, custody, or control, in each case, except as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8.</w:t>
      </w:r>
      <w:r>
        <w:rPr>
          <w:rFonts w:ascii="Times New Roman;Times;Serif" w:hAnsi="Times New Roman;Times;Serif"/>
          <w:b/>
          <w:i w:val="false"/>
          <w:caps w:val="false"/>
          <w:smallCaps w:val="false"/>
          <w:sz w:val="20"/>
        </w:rPr>
        <w:b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Obligor covenants and agrees with the Administrative Agent and the Lenders that, until the Commitments have expired or been terminated and all Obligations (other than inchoate indemnification and expense reimbursement obligations for which no claim has been made) have been indefeasibly paid in full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Financial Statements and Other Information</w:t>
      </w:r>
      <w:r>
        <w:rPr>
          <w:rFonts w:ascii="Times New Roman;Times;Serif" w:hAnsi="Times New Roman;Times;Serif"/>
          <w:b w:val="false"/>
          <w:i w:val="false"/>
          <w:caps w:val="false"/>
          <w:smallCaps w:val="false"/>
          <w:sz w:val="20"/>
        </w:rPr>
        <w:t>. The Borrower will furnish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soon as available and in any event within forty-five (45) days after the end of the first three (3) fiscal quarters of each fiscal year (i) the consolidated balance sheets of the Borrower and its Subsidiaries as of the end of such fiscal quarter and (ii) the related consolidated statements of income and cash flows of the Borrower and its Subsidiaries for such quarter and the portion of the fiscal year through the end of such fiscal quarter, in each case prepared in all material respects in accordance with GAAP consistently applied, all in reasonable detail and setting forth in comparative form the figures for the corresponding period in the preceding fiscal year, together with (iii) a certificate of a Responsible Officer of the Borrower stating that (x) such financial statements fairly present in all material respects the financial condition of the Borrower and its Subsidiaries as at such date and (y) the results of operations of the Borrower and its Subsidiaries for the period ended on such date have been prepared in all material respects in accordance with GAAP consistently applied, subject to changes resulting from normal, year-end audit adjustments and except for the absence of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Section </w:t>
      </w:r>
      <w:r>
        <w:rPr>
          <w:rFonts w:ascii="Times New Roman;Times;Serif" w:hAnsi="Times New Roman;Times;Serif"/>
          <w:b/>
          <w:i w:val="false"/>
          <w:caps w:val="false"/>
          <w:smallCaps w:val="false"/>
          <w:sz w:val="20"/>
        </w:rPr>
        <w:t>8.01(a) </w:t>
      </w:r>
      <w:r>
        <w:rPr>
          <w:rFonts w:ascii="Times New Roman;Times;Serif" w:hAnsi="Times New Roman;Times;Serif"/>
          <w:b w:val="false"/>
          <w:i w:val="false"/>
          <w:caps w:val="false"/>
          <w:smallCaps w:val="false"/>
          <w:sz w:val="20"/>
        </w:rPr>
        <w:t>shall be deemed furnished on the date that such documents are publicly available on “EDGAR” (with the related certificate separately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soon as available and in any event within ninety (90) days after the end of each fiscal year (i) the consolidated balance sheets of the Borrower and its Subsidiaries as of the end of such fiscal year and (ii) the related consolidated statements of income, stockholders’ equity and cash flows of the Borrower and its Subsidiaries for such fiscal year, in each case prepared in all material respects in accordance with GAAP consistently applied, all in reasonable detail and setting forth in comparative form the figures for the previous fiscal year, accompanied by a report and opinion thereon of Ernst &amp; Young U.S. LLP or another firm of independent certified public accountants of recognized national standing reasonably acceptable to the Administrative Agent, which report and opinion shall be prepared in accordance with generally accepted auditing standards and such report and opinion shall not be subject to (x) except with respect to the report and opinion delivered for the fiscal </w:t>
      </w:r>
      <w:r>
        <w:rPr>
          <w:rFonts w:ascii="Times New Roman;Times;Serif" w:hAnsi="Times New Roman;Times;Serif"/>
          <w:b w:val="false"/>
          <w:i w:val="false"/>
          <w:caps w:val="false"/>
          <w:smallCaps w:val="false"/>
          <w:strike/>
          <w:color w:val="FF0000"/>
          <w:sz w:val="20"/>
        </w:rPr>
        <w:t>year</w:t>
      </w:r>
      <w:r>
        <w:rPr>
          <w:rFonts w:ascii="Times New Roman;Times;Serif" w:hAnsi="Times New Roman;Times;Serif"/>
          <w:b w:val="false"/>
          <w:i w:val="false"/>
          <w:caps w:val="false"/>
          <w:smallCaps w:val="false"/>
          <w:color w:val="0000FF"/>
          <w:sz w:val="20"/>
          <w:u w:val="single"/>
        </w:rPr>
        <w:t xml:space="preserve">years </w:t>
      </w:r>
      <w:r>
        <w:rPr>
          <w:rFonts w:ascii="Times New Roman;Times;Serif" w:hAnsi="Times New Roman;Times;Serif"/>
          <w:b w:val="false"/>
          <w:i w:val="false"/>
          <w:caps w:val="false"/>
          <w:smallCaps w:val="false"/>
          <w:sz w:val="20"/>
        </w:rPr>
        <w:t xml:space="preserve">ending on December 31, 2023 </w:t>
      </w:r>
      <w:r>
        <w:rPr>
          <w:rFonts w:ascii="Times New Roman;Times;Serif" w:hAnsi="Times New Roman;Times;Serif"/>
          <w:b w:val="false"/>
          <w:i w:val="false"/>
          <w:caps w:val="false"/>
          <w:smallCaps w:val="false"/>
          <w:color w:val="0000FF"/>
          <w:sz w:val="20"/>
          <w:u w:val="single"/>
        </w:rPr>
        <w:t>and December 31, 2024</w:t>
      </w:r>
      <w:r>
        <w:rPr>
          <w:rFonts w:ascii="Times New Roman;Times;Serif" w:hAnsi="Times New Roman;Times;Serif"/>
          <w:b w:val="false"/>
          <w:i w:val="false"/>
          <w:caps w:val="false"/>
          <w:smallCaps w:val="false"/>
          <w:sz w:val="20"/>
        </w:rPr>
        <w:t>, any “going concern” or like qualification or exception or emphasis of matter of going concern footnote or (y) any qualification or exception as to the scope of such audit, and in the case of such consolidated financial statements, certified by a Responsible Officer of the Borrower; provided that documents required to be furnished pursuant to this Section 8.01(b) shall be deemed furnished on the date that such documents are publicly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together with the financial statements required pursuant to </w:t>
      </w:r>
      <w:r>
        <w:rPr>
          <w:rFonts w:ascii="Times New Roman;Times;Serif" w:hAnsi="Times New Roman;Times;Serif"/>
          <w:b/>
          <w:i w:val="false"/>
          <w:caps w:val="false"/>
          <w:smallCaps w:val="false"/>
          <w:sz w:val="20"/>
        </w:rPr>
        <w:t>Section 8.01(a)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a compliance certificate signed by the chief financial or accounting Responsible Officer of the Borrower as of the end of the applicable accounting period (which delivery may be by electronic communication including fax or email and shall be deemed to be an original, authentic counterpart thereof for all purposes) substantially in the form of </w:t>
      </w:r>
      <w:r>
        <w:rPr>
          <w:rFonts w:ascii="Times New Roman;Times;Serif" w:hAnsi="Times New Roman;Times;Serif"/>
          <w:b/>
          <w:i w:val="false"/>
          <w:caps w:val="false"/>
          <w:smallCaps w:val="false"/>
          <w:sz w:val="20"/>
        </w:rPr>
        <w:t xml:space="preserve">Exhibit E </w:t>
      </w: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 xml:space="preserve">”) including </w:t>
      </w:r>
      <w:r>
        <w:rPr>
          <w:rFonts w:ascii="Times New Roman;Times;Serif" w:hAnsi="Times New Roman;Times;Serif"/>
          <w:b w:val="false"/>
          <w:i w:val="false"/>
          <w:caps w:val="false"/>
          <w:smallCaps w:val="false"/>
          <w:strike/>
          <w:color w:val="FF0000"/>
          <w:sz w:val="20"/>
        </w:rPr>
        <w:t>(i) </w:t>
      </w:r>
      <w:r>
        <w:rPr>
          <w:rFonts w:ascii="Times New Roman;Times;Serif" w:hAnsi="Times New Roman;Times;Serif"/>
          <w:b w:val="false"/>
          <w:i w:val="false"/>
          <w:caps w:val="false"/>
          <w:smallCaps w:val="false"/>
          <w:sz w:val="20"/>
        </w:rPr>
        <w:t xml:space="preserve">details of any issues that are material that are raised by auditors and any occurrence or existence of any event, circumstance, act or omission that would cause any representation or warranty contained in </w:t>
      </w:r>
      <w:r>
        <w:rPr>
          <w:rFonts w:ascii="Times New Roman;Times;Serif" w:hAnsi="Times New Roman;Times;Serif"/>
          <w:b/>
          <w:i w:val="false"/>
          <w:caps w:val="false"/>
          <w:smallCaps w:val="false"/>
          <w:sz w:val="20"/>
        </w:rPr>
        <w:t>Section 7.07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7.18</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 xml:space="preserve">Section 7.23 </w:t>
      </w:r>
      <w:r>
        <w:rPr>
          <w:rFonts w:ascii="Times New Roman;Times;Serif" w:hAnsi="Times New Roman;Times;Serif"/>
          <w:b w:val="false"/>
          <w:i w:val="false"/>
          <w:caps w:val="false"/>
          <w:smallCaps w:val="false"/>
          <w:sz w:val="20"/>
        </w:rPr>
        <w:t>to be incorrect in any material respect (or in any respect if such representation or warranty is qualified by materiality or by reference to Material Adverse Effect or Material Adverse Change) if such representation or warranty were to be made at the time of delivery of a Compliance Certificate</w:t>
      </w:r>
      <w:r>
        <w:rPr>
          <w:rFonts w:ascii="Times New Roman;Times;Serif" w:hAnsi="Times New Roman;Times;Serif"/>
          <w:b w:val="false"/>
          <w:i w:val="false"/>
          <w:caps w:val="false"/>
          <w:smallCaps w:val="false"/>
          <w:strike/>
          <w:color w:val="FF0000"/>
          <w:sz w:val="20"/>
        </w:rPr>
        <w:t>, and (ii) for any fiscal period when the Minimum Revenue Covenant is in effect, a certification as to whether or not the Borrower is in compliance with the Minimum Revenue Covenant as of the last day of such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after being prepared by the Borrower and approved by its Board, and promptly following the Administrative Agent’s request therefor, a consolidated financial forecast for the Borrower and its Subsidiaries for the fiscal year to which such forecast relates;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for each fiscal year, on or before the seventy-fifth (75th) day following the beginning of such fiscal year, the Borrower shall prepare, and its Board shall approve such consolidated financial forecast for such fiscal year, and the Borrower shall notify the Administrative Agent promptly after the Board has given such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promptly after the same are released, copies of any press release required by U.S. securities laws to be filed with the SEC (excluding, for the avoidance of doubt, marketing press releases);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Section </w:t>
      </w:r>
      <w:r>
        <w:rPr>
          <w:rFonts w:ascii="Times New Roman;Times;Serif" w:hAnsi="Times New Roman;Times;Serif"/>
          <w:b/>
          <w:i w:val="false"/>
          <w:caps w:val="false"/>
          <w:smallCaps w:val="false"/>
          <w:sz w:val="20"/>
        </w:rPr>
        <w:t>8.01(e) </w:t>
      </w:r>
      <w:r>
        <w:rPr>
          <w:rFonts w:ascii="Times New Roman;Times;Serif" w:hAnsi="Times New Roman;Times;Serif"/>
          <w:b w:val="false"/>
          <w:i w:val="false"/>
          <w:caps w:val="false"/>
          <w:smallCaps w:val="false"/>
          <w:sz w:val="20"/>
        </w:rPr>
        <w:t>shall be deemed furnished on the date that such documents are publicly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promptly, and in any event within five (5) Business Days after receipt thereof by an Obligor thereof, copies of each notice or other correspondence received from any securities regulator or exchange to the authority of which the Borrower may become subject from time to time concerning any investigation or possible investigation or other inquiry (other than routine comment letters from the SEC) by such agency regarding financial or other operational results of such Obligor;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Section </w:t>
      </w:r>
      <w:r>
        <w:rPr>
          <w:rFonts w:ascii="Times New Roman;Times;Serif" w:hAnsi="Times New Roman;Times;Serif"/>
          <w:b/>
          <w:i w:val="false"/>
          <w:caps w:val="false"/>
          <w:smallCaps w:val="false"/>
          <w:sz w:val="20"/>
        </w:rPr>
        <w:t>8.01(f) </w:t>
      </w:r>
      <w:r>
        <w:rPr>
          <w:rFonts w:ascii="Times New Roman;Times;Serif" w:hAnsi="Times New Roman;Times;Serif"/>
          <w:b w:val="false"/>
          <w:i w:val="false"/>
          <w:caps w:val="false"/>
          <w:smallCaps w:val="false"/>
          <w:sz w:val="20"/>
        </w:rPr>
        <w:t>shall be deemed furnished on the date that such documents are publicly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promptly after the same are available, copies of each annual report, proxy or financial statement or other report or communication sent to the stockholders of each Obligor and its Subsidiaries, and copies of all annual, regular, periodic and special reports and registration statements which any Obligor or its Subsidiaries may file or be required to file with any securities regulator or exchange to the authority of which such Obligor or such Subsidiary, as applicable, may become subject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Section </w:t>
      </w:r>
      <w:r>
        <w:rPr>
          <w:rFonts w:ascii="Times New Roman;Times;Serif" w:hAnsi="Times New Roman;Times;Serif"/>
          <w:b/>
          <w:i w:val="false"/>
          <w:caps w:val="false"/>
          <w:smallCaps w:val="false"/>
          <w:sz w:val="20"/>
        </w:rPr>
        <w:t>8.01(g) </w:t>
      </w:r>
      <w:r>
        <w:rPr>
          <w:rFonts w:ascii="Times New Roman;Times;Serif" w:hAnsi="Times New Roman;Times;Serif"/>
          <w:b w:val="false"/>
          <w:i w:val="false"/>
          <w:caps w:val="false"/>
          <w:smallCaps w:val="false"/>
          <w:sz w:val="20"/>
        </w:rPr>
        <w:t>shall be deemed furnished on the date that such documents are publicly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information regarding insurance maintained by the Borrower and its Subsidiaries as required under </w:t>
      </w:r>
      <w:r>
        <w:rPr>
          <w:rFonts w:ascii="Times New Roman;Times;Serif" w:hAnsi="Times New Roman;Times;Serif"/>
          <w:b/>
          <w:i w:val="false"/>
          <w:caps w:val="false"/>
          <w:smallCaps w:val="false"/>
          <w:sz w:val="20"/>
        </w:rPr>
        <w:t>Section 8.05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possible and in any event within five (5) Business Days after the Borrower obtains knowledge of any Claim related to any Product or inventory involving more than $3,750,000 (or the Equivalent Amount in other currencies), written notice thereof from a Responsible Officer of the Borrower which notice shall include a statement setting forth details of such return, recovery, dispute or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together with the delivery of the Compliance Certificate, evidence satisfactory to the Administrative Agent, based upon the Borrower’s bank account statements that the Borrower is in compliance with the Minimum Liquidity Covenant; </w:t>
      </w:r>
      <w:r>
        <w:rPr>
          <w:rFonts w:ascii="Times New Roman;Times;Serif" w:hAnsi="Times New Roman;Times;Serif"/>
          <w:b w:val="false"/>
          <w:i w:val="false"/>
          <w:caps w:val="false"/>
          <w:smallCaps w:val="false"/>
          <w:strike/>
          <w:color w:val="FF0000"/>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(k)</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not later than 5:00 p.m. (Eastern time) on Friday of every other week (commencing December 6, 2024) or, to the extent such Friday is not a Business Day, the next Business Day thereafter, an update to the Initial Budget to cover the period commencing on the Saturday of the prior week and including a rolling 13-week cash flow forecast for the Obligors and their Subsidiaries substantially in the form of the Initial Budget, prepared by a Responsible Officer of the Borrower and in final form approved by the Board of the Borrower (the Initial Budget and each such Budget, if so approved, an “</w:t>
      </w:r>
      <w:r>
        <w:rPr>
          <w:rFonts w:ascii="Times New Roman;Times;Serif" w:hAnsi="Times New Roman;Times;Serif"/>
          <w:b/>
          <w:i/>
          <w:caps w:val="false"/>
          <w:smallCaps w:val="false"/>
          <w:color w:val="0000FF"/>
          <w:sz w:val="20"/>
          <w:u w:val="single"/>
        </w:rPr>
        <w:t>Approved Budget</w:t>
      </w:r>
      <w:r>
        <w:rPr>
          <w:rFonts w:ascii="Times New Roman;Times;Serif" w:hAnsi="Times New Roman;Times;Serif"/>
          <w:b w:val="false"/>
          <w:i w:val="false"/>
          <w:caps w:val="false"/>
          <w:smallCaps w:val="false"/>
          <w:color w:val="0000FF"/>
          <w:sz w:val="20"/>
          <w:u w:val="single"/>
        </w:rPr>
        <w:t>”) (it being understood that if the Board of the Borrower shall not have approved such Budget, the previously delivered Approved Budget shall constitute the Approved Budget, until an updated Budget has been so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(l)</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 xml:space="preserve">not later than 5:00 p.m. (Eastern time) on Friday of every other week (commencing December 6, 2024) or, to the extent such Friday </w:t>
      </w:r>
      <w:r>
        <w:rPr>
          <w:rFonts w:ascii="Times New Roman;Times;Serif" w:hAnsi="Times New Roman;Times;Serif"/>
          <w:b w:val="false"/>
          <w:i w:val="false"/>
          <w:caps w:val="false"/>
          <w:smallCaps w:val="false"/>
          <w:color w:val="008000"/>
          <w:sz w:val="20"/>
          <w:u w:val="single"/>
        </w:rPr>
        <w:t>is not a Business Day,</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00FF"/>
          <w:sz w:val="20"/>
          <w:u w:val="single"/>
        </w:rPr>
        <w:t>the next Business Day thereafter, a Budget Variance Report for the most recently expired Budget Variance Test Period, which such report shall be certified by a Responsible Officer of the Borrower as being prepared in good faith and fairly presenting in all material respects the information set forth therein;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k</w:t>
      </w:r>
      <w:r>
        <w:rPr>
          <w:rFonts w:ascii="Times New Roman;Times;Serif" w:hAnsi="Times New Roman;Times;Serif"/>
          <w:b w:val="false"/>
          <w:i w:val="false"/>
          <w:caps w:val="false"/>
          <w:smallCaps w:val="false"/>
          <w:color w:val="0000FF"/>
          <w:sz w:val="20"/>
          <w:u w:val="single"/>
        </w:rPr>
        <w:t>m</w:t>
      </w:r>
      <w:r>
        <w:rPr>
          <w:rFonts w:ascii="Times New Roman;Times;Serif" w:hAnsi="Times New Roman;Times;Serif"/>
          <w:b w:val="false"/>
          <w:i w:val="false"/>
          <w:caps w:val="false"/>
          <w:smallCaps w:val="false"/>
          <w:sz w:val="20"/>
        </w:rPr>
        <w:t>)</w:t>
        <w:tab/>
        <w:t>     such other information respecting the businesses, financial performance, operations condition of the assets or liabilities of the Obligors (including with respect to the Collateral), taken as a whole, as the Administrative Agent may from time to time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Notices of Material Events</w:t>
      </w:r>
      <w:r>
        <w:rPr>
          <w:rFonts w:ascii="Times New Roman;Times;Serif" w:hAnsi="Times New Roman;Times;Serif"/>
          <w:b w:val="false"/>
          <w:i w:val="false"/>
          <w:caps w:val="false"/>
          <w:smallCaps w:val="false"/>
          <w:sz w:val="20"/>
        </w:rPr>
        <w:t xml:space="preserve">. The Borrower will furnish to the Administrative Agent written notice of the following (x) with respect to </w:t>
      </w:r>
      <w:r>
        <w:rPr>
          <w:rFonts w:ascii="Times New Roman;Times;Serif" w:hAnsi="Times New Roman;Times;Serif"/>
          <w:b/>
          <w:i w:val="false"/>
          <w:caps w:val="false"/>
          <w:smallCaps w:val="false"/>
          <w:sz w:val="20"/>
        </w:rPr>
        <w:t>clause (a) </w:t>
      </w:r>
      <w:r>
        <w:rPr>
          <w:rFonts w:ascii="Times New Roman;Times;Serif" w:hAnsi="Times New Roman;Times;Serif"/>
          <w:b w:val="false"/>
          <w:i w:val="false"/>
          <w:caps w:val="false"/>
          <w:smallCaps w:val="false"/>
          <w:sz w:val="20"/>
        </w:rPr>
        <w:t xml:space="preserve">below within three (3) Business Days and (y) with respect to </w:t>
      </w:r>
      <w:r>
        <w:rPr>
          <w:rFonts w:ascii="Times New Roman;Times;Serif" w:hAnsi="Times New Roman;Times;Serif"/>
          <w:b/>
          <w:i w:val="false"/>
          <w:caps w:val="false"/>
          <w:smallCaps w:val="false"/>
          <w:sz w:val="20"/>
        </w:rPr>
        <w:t>clause (b)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i w:val="false"/>
          <w:caps w:val="false"/>
          <w:smallCaps w:val="false"/>
          <w:sz w:val="20"/>
        </w:rPr>
        <w:t>(m) </w:t>
      </w:r>
      <w:r>
        <w:rPr>
          <w:rFonts w:ascii="Times New Roman;Times;Serif" w:hAnsi="Times New Roman;Times;Serif"/>
          <w:b w:val="false"/>
          <w:i w:val="false"/>
          <w:caps w:val="false"/>
          <w:smallCaps w:val="false"/>
          <w:sz w:val="20"/>
        </w:rPr>
        <w:t>below, within five (5) Business Days, in each case, after a Responsible Officer of the Borrower first learns of or acquires knowledge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any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occurrence of any event with respect to the property or assets of the Borrower or any of its Subsidiaries resulting in a Loss aggregating $3,750,000 (or the Equivalent Amount in other currencies) or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any proposed acquisition of stock, assets or property by the Borrower or any of its Subsidiaries that would reasonably be expected to result in material Environmental Liability, and (ii) any spillage, leakage, discharge, disposal, leaching, migration or release of any Hazardous Material by the Borrower or any of its Subsidiaries required to be reported to any Governmental Authority or that would reasonably be expected to result in material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assertion of any Claim under any Environmental Law by any Person against, or with respect to the activities of, the Borrower or any of its Subsidiaries and any alleged liability or non-compliance with any Environmental Laws or any permits, licenses or authorizations issued pursuant to Environmental Laws which would reasonably be expected to involve damages in excess of $2,500,000 (or the Equivalent Amount in other currencies) other than any such Claim or alleged violation that would not (either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filing or commencement of any action, suit or proceeding by or before any arbitrator or Governmental Authority against or affecting the Borrower or any of its Affiliates that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the intention of any ERISA Affiliate to file any notice of intent to terminate any Title IV Plan, a copy of such notice and (ii) the filing by any ERISA Affiliate of a request for a minimum funding waiver under Section 412 of the Code with respect to any Title IV Plan or Multiemployer Plan, in each case in writing and in reasonable detail (including a description of any action that any ERISA Affiliate proposes to take with respect thereto, together with a copy of any notice filed with the PBGC or the IRS pertaining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 the termination of any Permitted License that is an exclusive license and material to the Product Commercialization and Development Activities or any Material Agreement other than in accordance with its terms and not as a result of a breach or default, (ii) the receipt by the Borrower or any of its Subsidiaries of any notice of a material breach or default under any Permitted License that is an exclusive license and material to the Product Commercialization and Development Activities or any Material Agreement (and a copy thereof) asserting a default by such Obligor or any of its Subsidiaries where such alleged default would permit such counterparty to terminate such Permitted License or Material Agreement, (iii) the entering into of (A) any new Material Agreement by any Obligor (and a copy thereof) or (B) any Permitted License that is an exclusive license and material to the Product Commercialization and Development Activities or (iv) any material amendment to a Permitted License that is an exclusive license and material to the Product Commercialization and Development Activities or Material Agreement that would be adverse in any material respect to the Lenders (and a copy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provide such notice if such documents become publicly available on “EDGAR” within the time period notice would otherwise be required pursuant to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material change in accounting policies or financial reporting practices by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labor controversy resulting in or threatening to result in any strike, work stoppage, boycott, shutdown or other material labor disruption against or involving an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Contract entered into by the Borrower or any of its Subsidiaries in connection with any Claim of actual or alleged infringement, misappropriation or violation of any Material Intellectual Property by or against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creation, development or other acquisition (including any in-bound exclusive licenses) of any Material Intellectual Property by the Borrower or any Subsidiary after the Closing Date that is issued, registered or becomes issued or registered or the subject of an application for issuance or registration with any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such Material Intellectual Property created, developed or acquired (including through any in-bound exclusive license) in any fiscal year, notice thereof pursuant to this </w:t>
      </w:r>
      <w:r>
        <w:rPr>
          <w:rFonts w:ascii="Times New Roman;Times;Serif" w:hAnsi="Times New Roman;Times;Serif"/>
          <w:b/>
          <w:i w:val="false"/>
          <w:caps w:val="false"/>
          <w:smallCaps w:val="false"/>
          <w:sz w:val="20"/>
        </w:rPr>
        <w:t>Section 8.02(k) </w:t>
      </w:r>
      <w:r>
        <w:rPr>
          <w:rFonts w:ascii="Times New Roman;Times;Serif" w:hAnsi="Times New Roman;Times;Serif"/>
          <w:b w:val="false"/>
          <w:i w:val="false"/>
          <w:caps w:val="false"/>
          <w:smallCaps w:val="false"/>
          <w:sz w:val="20"/>
        </w:rPr>
        <w:t xml:space="preserve">shall be made in accordance with the timing of the financial statements for such fiscal year required pursuant to </w:t>
      </w:r>
      <w:r>
        <w:rPr>
          <w:rFonts w:ascii="Times New Roman;Times;Serif" w:hAnsi="Times New Roman;Times;Serif"/>
          <w:b/>
          <w:i w:val="false"/>
          <w:caps w:val="false"/>
          <w:smallCaps w:val="false"/>
          <w:sz w:val="20"/>
        </w:rPr>
        <w:t>Section </w:t>
      </w:r>
      <w:r>
        <w:rPr>
          <w:rFonts w:ascii="Times New Roman;Times;Serif" w:hAnsi="Times New Roman;Times;Serif"/>
          <w:b/>
          <w:i w:val="false"/>
          <w:caps w:val="false"/>
          <w:smallCaps w:val="false"/>
          <w:strike/>
          <w:color w:val="FF0000"/>
          <w:sz w:val="20"/>
        </w:rPr>
        <w:t>8.01(b)</w:t>
      </w:r>
      <w:r>
        <w:rPr>
          <w:rFonts w:ascii="Times New Roman;Times;Serif" w:hAnsi="Times New Roman;Times;Serif"/>
          <w:b/>
          <w:i w:val="false"/>
          <w:caps w:val="false"/>
          <w:smallCaps w:val="false"/>
          <w:color w:val="0000FF"/>
          <w:sz w:val="20"/>
          <w:u w:val="single"/>
        </w:rPr>
        <w:t>8.01(b)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change to any Obligor’s or any of its Subsidiaries’ ownership of any Controlled Account, by delivering the Administrative Agent a notice setting forth a complete and correct list of all such accounts as of the date of such change;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other development that results in, or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notice delivered under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shall be accompanied by a statement of a Responsible Officer of the Borrower setting forth the details of the event or development requiring such notice and any action taken or proposed to be taken with respect thereto. Nothing in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is intended to waive, consent to or otherwise permit any action or omission that is otherwise prohibited by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Existence</w:t>
      </w:r>
      <w:r>
        <w:rPr>
          <w:rFonts w:ascii="Times New Roman;Times;Serif" w:hAnsi="Times New Roman;Times;Serif"/>
          <w:b w:val="false"/>
          <w:i w:val="false"/>
          <w:caps w:val="false"/>
          <w:smallCaps w:val="false"/>
          <w:sz w:val="20"/>
        </w:rPr>
        <w:t xml:space="preserve">. Such Obligor shall, and shall cause each of its Subsidiaries to, preserve, renew and maintain in full force and effect its legal existence;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any merger, amalgamation, consolidation, liquidation or dissolution permitted under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Payment of Obligations</w:t>
      </w:r>
      <w:r>
        <w:rPr>
          <w:rFonts w:ascii="Times New Roman;Times;Serif" w:hAnsi="Times New Roman;Times;Serif"/>
          <w:b w:val="false"/>
          <w:i w:val="false"/>
          <w:caps w:val="false"/>
          <w:smallCaps w:val="false"/>
          <w:sz w:val="20"/>
        </w:rPr>
        <w:t>. Such Obligor will, and will cause each of its Subsidiaries to, pay and discharge its obligations, including (i) all material Taxes, fees, assessments and governmental charges or levies imposed upon it or upon its properties or assets prior to the date on which penalties attach thereto, and all lawful claims for labor, materials and supplies which, if unpaid, might become a Lien upon any properties or assets of the Borrower or any of its Subsidiaries, except to the extent such Taxes, fees, assessments or governmental charges or levies or such claims are being contested in good faith by appropriate proceedings and are adequately reserved against in accordance with GAAP and (ii) all lawful claims which, if unpaid, would by law become a Lien upon its property not constituting a Permitted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xml:space="preserve">. Such Obligor will, and will cause each of its Subsidiaries to maintain, with financially sound and reputable insurance companies, insurance in such amounts and against such risks as are customarily maintained by companies engaged in the same or similar businesses, including commercial property, liability and business interruption coverage. Upon the request of the Administrative Agent, the Borrower shall furnish the Administrative Agent from time to time with (i) material information as to the insurance carried by it and, if so requested, copies of all such insurance policies and (ii) a certificate from the Borrower’s insurance broker or other insurance specialist stating that all premiums then due on the policies relating to insurance on the Collateral have been paid and that such policies are in full force and effect. Receipt of notice of termination or cancellation of any such insurance policies or reduction of coverages or amounts thereunder shall entitle the Secured Parties to renew any such policies, cause the coverages and amounts thereof to be maintained at levels required pursuant to the first sentence of this </w:t>
      </w:r>
      <w:r>
        <w:rPr>
          <w:rFonts w:ascii="Times New Roman;Times;Serif" w:hAnsi="Times New Roman;Times;Serif"/>
          <w:b/>
          <w:i w:val="false"/>
          <w:caps w:val="false"/>
          <w:smallCaps w:val="false"/>
          <w:sz w:val="20"/>
        </w:rPr>
        <w:t xml:space="preserve">Section 8.05 </w:t>
      </w:r>
      <w:r>
        <w:rPr>
          <w:rFonts w:ascii="Times New Roman;Times;Serif" w:hAnsi="Times New Roman;Times;Serif"/>
          <w:b w:val="false"/>
          <w:i w:val="false"/>
          <w:caps w:val="false"/>
          <w:smallCaps w:val="false"/>
          <w:sz w:val="20"/>
        </w:rPr>
        <w:t xml:space="preserve">or otherwise to obtain similar insurance in place of such policies, in each case, the Borrower will be responsible for the reasonable and documented cost of such insurance (to be payable on demand). The amount of any such reasonable and documented expenses shall accrue interest at the Default Rate if not paid on demand and shall constitute “Obligations.” Such Obligor shall cause each such policy of insurance (with respect to each such policy outstanding as of the Closing Date, within the time period set forth in </w:t>
      </w:r>
      <w:r>
        <w:rPr>
          <w:rFonts w:ascii="Times New Roman;Times;Serif" w:hAnsi="Times New Roman;Times;Serif"/>
          <w:b/>
          <w:i w:val="false"/>
          <w:caps w:val="false"/>
          <w:smallCaps w:val="false"/>
          <w:sz w:val="20"/>
        </w:rPr>
        <w:t>Section 8.19(b))</w:t>
      </w:r>
      <w:r>
        <w:rPr>
          <w:rFonts w:ascii="Times New Roman;Times;Serif" w:hAnsi="Times New Roman;Times;Serif"/>
          <w:b w:val="false"/>
          <w:i w:val="false"/>
          <w:caps w:val="false"/>
          <w:smallCaps w:val="false"/>
          <w:sz w:val="20"/>
        </w:rPr>
        <w:t xml:space="preserve"> to (i) name the Administrative Agent, on behalf of the Secured Parties, as an additional insured thereunder as its interests may appear, and (ii) in the case of each casualty insurance policy (including business interruption, if any) contain a lender loss payable clause or endorsement naming the Administrative Agent, on behalf of the Secured Parties, as loss payee thereunder and providing for at least thirty (30) days’ prior written notice to the Agent (ten (10) days’ prior written notice in the event of cancellation for nonpayment) of any material modification or cancellation of such policy, and otherwise reasonably satisfactory in form and substance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Books and Records; Inspection Rights</w:t>
      </w:r>
      <w:r>
        <w:rPr>
          <w:rFonts w:ascii="Times New Roman;Times;Serif" w:hAnsi="Times New Roman;Times;Serif"/>
          <w:b w:val="false"/>
          <w:i w:val="false"/>
          <w:caps w:val="false"/>
          <w:smallCaps w:val="false"/>
          <w:sz w:val="20"/>
        </w:rPr>
        <w:t xml:space="preserve">. Such Obligor will, and will cause each of its Subsidiaries to, keep proper books of record and account in which full, true and correct (in all material respects) entries are made of all dealings and transactions in relation to its business and activities. Such Obligor will, and will cause each of its Subsidiaries to, permit any representatives designated by the Administrative Agent or the Lenders, upon reasonable prior notice, to visit and inspect its properties, to examine and make extracts from its books and records, and to discuss its affairs, finances and condition (financial or otherwise) with its officers and independent accountants, during normal business hours (but not more often than once per fiscal year unless an Event of Default has occurred and is continuing) as the Administrative Agent or the Lenders may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representative shall use its commercially reasonable efforts to minimize disruption to the business and affairs of the Borrower as a result of any such visit, inspection, examination or discussion. Notwithstanding anything to the contrary contained herein, no Obligor nor any of its Subsidiaries will be required to disclose or permit the inspection or discussion of, any document, information or other matter (i) that constitutes trade secrets or proprietary information, (ii) in respect of which disclosure to any Lender (or their respective representatives or contractors) is prohibited by any applicable Law or any binding agreement with a third party (so long as such agreement is not entered into in contemplation of this Agreement) or (iii) that is subject to attorney-client or similar privilege, which could reasonably be expected to be lost or forfeited if disclosed to the Administrative Agent or any Lender. The Borrower shall pay all reasonable and documented costs of all such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Compliance with Laws and Other Obligations</w:t>
      </w:r>
      <w:r>
        <w:rPr>
          <w:rFonts w:ascii="Times New Roman;Times;Serif" w:hAnsi="Times New Roman;Times;Serif"/>
          <w:b w:val="false"/>
          <w:i w:val="false"/>
          <w:caps w:val="false"/>
          <w:smallCaps w:val="false"/>
          <w:sz w:val="20"/>
        </w:rPr>
        <w:t xml:space="preserve">. Such Obligor will, and will cause each of its Subsidiaries to, (i) comply with all Laws (including Anti-Terrorism Laws, Sanctions and Environmental Laws) applicable to it and its business activities, (ii) comply in all material respects with all Healthcare Laws and Governmental Approvals (including Product Authorizations) applicable to it and its business activities and (iii) maintain in full force and effect, remain in compliance with, and perform all obligations under all Material Agreement to which it is a party, except, in the case of </w:t>
      </w:r>
      <w:r>
        <w:rPr>
          <w:rFonts w:ascii="Times New Roman;Times;Serif" w:hAnsi="Times New Roman;Times;Serif"/>
          <w:b/>
          <w:i w:val="false"/>
          <w:caps w:val="false"/>
          <w:smallCaps w:val="false"/>
          <w:sz w:val="20"/>
        </w:rPr>
        <w:t>clauses (i)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above, where the failure to do so would not, individually or in the aggregate, reasonably be expected to result in a Material Adverse Effect. Within 30 days after the Closing Date, each Obligor shall institute (if not already in effect) and thereafter maintain in effect and enforce policies and procedures reasonably designed to promote compliance by such Obligor, its Subsidiaries and their respective directors, officers, employees and agents with Anti-Terrorism Laws and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Maintenance of Properties, Etc.</w:t>
      </w:r>
      <w:r>
        <w:rPr>
          <w:rFonts w:ascii="Times New Roman;Times;Serif" w:hAnsi="Times New Roman;Times;Serif"/>
          <w:b w:val="false"/>
          <w:i w:val="false"/>
          <w:caps w:val="false"/>
          <w:smallCaps w:val="false"/>
          <w:sz w:val="20"/>
        </w:rPr>
        <w:t xml:space="preserve"> Such Obligor shall, and shall cause each of its Subsidiaries to, maintain and preserve all of its assets and properties, including all assets and properties, whether tangible or intangible, relating to its Products or Product Commercialization and Development Activities, necessary or useful in the conduct of its business in good working order and condition in accordance with the general practice of other Persons of similar character and size, ordinary wear and tear and damage from casualty or condemnation excepted and except where the failure to do so, individually or in the aggregate,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Licenses</w:t>
      </w:r>
      <w:r>
        <w:rPr>
          <w:rFonts w:ascii="Times New Roman;Times;Serif" w:hAnsi="Times New Roman;Times;Serif"/>
          <w:b w:val="false"/>
          <w:i w:val="false"/>
          <w:caps w:val="false"/>
          <w:smallCaps w:val="false"/>
          <w:sz w:val="20"/>
        </w:rPr>
        <w:t>. Such Obligor shall, and shall cause each of its Subsidiaries to, obtain and maintain all Governmental Approvals necessary in connection with the execution, delivery and performance of the Loan Documents, the consummation of the Transactions or the operation and conduct of its business and ownership of its properties (including its Product Commercialization and Development Activities), except where the failure to do so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Use of Proceeds</w:t>
      </w:r>
      <w:r>
        <w:rPr>
          <w:rFonts w:ascii="Times New Roman;Times;Serif" w:hAnsi="Times New Roman;Times;Serif"/>
          <w:b w:val="false"/>
          <w:i w:val="false"/>
          <w:caps w:val="false"/>
          <w:smallCaps w:val="false"/>
          <w:sz w:val="20"/>
        </w:rPr>
        <w:t xml:space="preserve">. The proceeds of the Loans will be used only as provided in </w:t>
      </w:r>
      <w:r>
        <w:rPr>
          <w:rFonts w:ascii="Times New Roman;Times;Serif" w:hAnsi="Times New Roman;Times;Serif"/>
          <w:b/>
          <w:i w:val="false"/>
          <w:caps w:val="false"/>
          <w:smallCaps w:val="false"/>
          <w:sz w:val="20"/>
        </w:rPr>
        <w:t>Section 2.05</w:t>
      </w:r>
      <w:r>
        <w:rPr>
          <w:rFonts w:ascii="Times New Roman;Times;Serif" w:hAnsi="Times New Roman;Times;Serif"/>
          <w:b w:val="false"/>
          <w:i w:val="false"/>
          <w:caps w:val="false"/>
          <w:smallCaps w:val="false"/>
          <w:sz w:val="20"/>
        </w:rPr>
        <w:t>. No part of the proceeds of the Loans will be used, whether directly or indirectly, for any purpose that entails a violation of any of the Regulations of the Board of Governors of the Federal Reserve System, including Regulations T, U and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Certain Obligations Respecting Subsidiaries; 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Subsidiary Guarantors, etc</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clauses (c)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below, in the event that the Borrower or any of its Subsidiaries shall form or acquire any new Subsidiary, the Borrower shall promptly (and in any event within forty-five (45) calendar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such new Subsidiary to become (x) a “Subsidiary Guarantor” hereunder pursuant to a Guarantee Assumption Agreement and (y) a “Grantor” under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take such action or cause such Subsidiary to take such action (including joining the Security Agreement and delivering shares of stock together with undated transfer powers executed in blank, applicable control agreements and other instruments) as shall be reasonably necessary or desirable or reasonably requested by the Administrative Agent in order to create and perfect, in favor of the Administrative Agent, for the benefit of the Secured Parties, valid and enforceable first priority (subject to Permitted Priority Liens) Liens on substantially all of the personal property of such new Subsidiary as collateral security for the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security interest or Lien shall be subject to the relevant requirements of the Security Documents and the Intercompany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that the parent of such Subsidiary is not a party to the Security Agreement or has not otherwise pledged Equity Interests in its Subsidiaries in accordance with the terms of the Security Agreement and this Agreement, cause the parent (if possible) of such Subsidiary to execute and deliver a pledge agreement in favor of the Administrative Agent, for the benefit of the Secured Parties, in respect of all outstanding issued shares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deliver such proof of corporate action, incumbency of officers, and other applicable documents as is consistent with those delivered by each Obligor pursuant to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xml:space="preserve"> or as the Administrative Agent shall reasonably request;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cause each new Subsidiary to become a party to the Intercompany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Further Assurances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clauses (c)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Obligor will take such action from time to time as shall reasonably be requested by the Administrative Agent to effectuate the purposes and objectives of this Agreement and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such Obligor creates, develops or otherwise acquires Intellectual Property during the term of this Agreement, then the provisions of this Agreement and the Security Agreement shall and hereby does automatically apply thereto and any such Intellectual Property shall automatically constitute and hereby does constitute part of the Collateral under the Security Documents, without further action by any party, in each case from and after the date of such creation, development or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without limiting the generality of the foregoing, each Obligor will, and will cause each Person that is required to be a Subsidiary Guarantor to, take such action from time to time (including joining the Security Agreement and delivering shares of stock together with undated transfer powers executed in blank, applicable control agreements and other instruments) as shall be reasonably requested by the Administrative Agent to create, in favor of the Secured Parties, perfected security interests and Liens in substantially all of the personal property (other than Excluded Assets (as defined in the Security Agreement)) of such Obligor as collateral security for the Obligations;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any such security interest or Lien shall be subject to the relevant requirements of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promptly (and in any event within five (5) Business Days) following the acquisition by any Obligor following the Closing Date of any fee interest in real property or lessee interest under a ground lease having a value in excess of $1,000,000, such Obligor shall notify Administrative Agent of such fact and shall, if so requested by Administrative Agent, within thirty (30) days following such request by Administrative Agent (or such longer period as agreed by Administrative Agent in its reasonable discretion), with respect to any such owned or leased real estate, deliver or cause to be delivered to Administrative Agent the following (collectively, “</w:t>
      </w:r>
      <w:r>
        <w:rPr>
          <w:rFonts w:ascii="Times New Roman;Times;Serif" w:hAnsi="Times New Roman;Times;Serif"/>
          <w:b/>
          <w:i/>
          <w:caps w:val="false"/>
          <w:smallCaps w:val="false"/>
          <w:sz w:val="20"/>
        </w:rPr>
        <w:t>Mortgage Deliverables</w:t>
      </w:r>
      <w:r>
        <w:rPr>
          <w:rFonts w:ascii="Times New Roman;Times;Serif" w:hAnsi="Times New Roman;Times;Serif"/>
          <w:b w:val="false"/>
          <w:i w:val="false"/>
          <w:caps w:val="false"/>
          <w:smallCaps w:val="false"/>
          <w:sz w:val="20"/>
        </w:rPr>
        <w:t>”): (A) a mortgage or deed of trust, as applicable, in form and substance reasonably satisfactory to Administrative Agent, executed by the title holder thereof and recorded in the applicable jurisdiction, granting Administrative Agent, on behalf of the Lenders, a first priority Lien on the fee or lessee interest in such real estate, (B) a lender’s title insurance policy issued by a title insurer reasonably satisfactory to Administrative Agent in form and substance and in amounts reasonably satisfactory to Administrative Agent insuring Administrative Agent’s, for itself and on behalf of the Lenders’, first priority Lien in the fee or lessee interest in such real estate, free and clear of all defects and encumbrances except Permitted Liens, (C) a current ALTA survey, certified to Administrative Agent, for itself and on behalf of the Lenders, by a licensed surveyor, in form and substance reasonably satisfactory to Administrative Agent, or survey affidavits sufficient to allow the issuer of the lender’s title insurance policy to issue such policy without a survey exception, (D) a certificate, in form and substance reasonably acceptable to Administrative Agent, to Administrative Agent from a national certification agency acceptable to Administrative Agent, indicating whether such real estate is located in a special flood hazard area and (E) legal opinions in form and substance reasonably acceptable to Administrative Agent from one or more law firms reasonably acceptable to Administrative Agent opining as to due execution, authority, noncircumvention, recordability, perfection and enforceability of such mortgage or deed of trust;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that such Obligor is party to (i) any lease agreement with respect to real property or (ii) any warehousing or bailment arrangement pursuant to which inventory, equipment or other assets of the Obligors are stored at a third-party warehouse or other facility, such Obligor shall use its commercially reasonable efforts to obtain a Landlord Consent or Bailee Letter, as applicable, within 30 days after entry into such agreement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Excluded Subsidiaries</w:t>
      </w:r>
      <w:r>
        <w:rPr>
          <w:rFonts w:ascii="Times New Roman;Times;Serif" w:hAnsi="Times New Roman;Times;Serif"/>
          <w:b w:val="false"/>
          <w:i w:val="false"/>
          <w:caps w:val="false"/>
          <w:smallCaps w:val="false"/>
          <w:sz w:val="20"/>
        </w:rPr>
        <w:t xml:space="preserve">. Notwithstanding any term or provision of this Agreement to the contrary, (x) no Subsidiary that is a (i) CFC, (ii) CFC Holding Company or (iii) Domestic Subsidiary of either of the foregoing, shall be required to become a Subsidiary Guarantor, (y) the Obligors shall not be required to pledge (or cause to be pledged) to the Administrative Agent, for the benefit of the Secured Parties, Equity Interests of any Subsidiary representing, in the aggregate, more than sixty-five percent (65%) of the Equity Interests of any CFC or CFC Holding Company, and (z) no Immaterial Subsidiary shall be required to become a Subsidiary Guarantor. </w:t>
      </w:r>
      <w:r>
        <w:rPr>
          <w:rFonts w:ascii="Times New Roman;Times;Serif" w:hAnsi="Times New Roman;Times;Serif"/>
          <w:b w:val="false"/>
          <w:i w:val="false"/>
          <w:caps w:val="false"/>
          <w:smallCaps w:val="false"/>
          <w:color w:val="0000FF"/>
          <w:sz w:val="20"/>
          <w:u w:val="single"/>
        </w:rPr>
        <w:t xml:space="preserve">The Borrower shall not </w:t>
      </w:r>
      <w:r>
        <w:rPr>
          <w:rFonts w:ascii="Times New Roman;Times;Serif" w:hAnsi="Times New Roman;Times;Serif"/>
          <w:b w:val="false"/>
          <w:i w:val="false"/>
          <w:caps w:val="false"/>
          <w:smallCaps w:val="false"/>
          <w:color w:val="008000"/>
          <w:sz w:val="20"/>
          <w:u w:val="single"/>
        </w:rPr>
        <w:t xml:space="preserve">form or acquire any Subsidiary </w:t>
      </w:r>
      <w:r>
        <w:rPr>
          <w:rFonts w:ascii="Times New Roman;Times;Serif" w:hAnsi="Times New Roman;Times;Serif"/>
          <w:b w:val="false"/>
          <w:i w:val="false"/>
          <w:caps w:val="false"/>
          <w:smallCaps w:val="false"/>
          <w:color w:val="0000FF"/>
          <w:sz w:val="20"/>
          <w:u w:val="single"/>
        </w:rPr>
        <w:t>that is a CFC, CFC Holding Company or Domestic Subsidiary of either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Limitations on Certain Obligations</w:t>
      </w:r>
      <w:r>
        <w:rPr>
          <w:rFonts w:ascii="Times New Roman;Times;Serif" w:hAnsi="Times New Roman;Times;Serif"/>
          <w:b w:val="false"/>
          <w:i w:val="false"/>
          <w:caps w:val="false"/>
          <w:smallCaps w:val="false"/>
          <w:sz w:val="20"/>
        </w:rPr>
        <w:t>. Notwithstanding any term or provision of this Agreement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trike/>
          <w:color w:val="FF0000"/>
          <w:sz w:val="20"/>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the foregoing clauses (a)(i)(y), (a)(ii), (a)(iii) and (b) of this </w:t>
      </w:r>
      <w:r>
        <w:rPr>
          <w:rFonts w:ascii="Times New Roman;Times;Serif" w:hAnsi="Times New Roman;Times;Serif"/>
          <w:b/>
          <w:i w:val="false"/>
          <w:caps w:val="false"/>
          <w:smallCaps w:val="false"/>
          <w:strike/>
          <w:color w:val="FF0000"/>
          <w:sz w:val="20"/>
        </w:rPr>
        <w:t>Section 8.11</w:t>
      </w:r>
      <w:r>
        <w:rPr>
          <w:rFonts w:ascii="Times New Roman;Times;Serif" w:hAnsi="Times New Roman;Times;Serif"/>
          <w:b w:val="false"/>
          <w:i w:val="false"/>
          <w:caps w:val="false"/>
          <w:smallCaps w:val="false"/>
          <w:strike/>
          <w:color w:val="FF0000"/>
          <w:sz w:val="20"/>
        </w:rPr>
        <w:t xml:space="preserve"> shall not apply to the BXCL 701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A) no Obligor shall be required to enter into or obtain any leasehold mortgage or any similar agreement in respect of any leasehold interest in real property and (B) no actions or undertakings described in the foregoing clauses (a)(ii) or (b) of this </w:t>
      </w:r>
      <w:r>
        <w:rPr>
          <w:rFonts w:ascii="Times New Roman;Times;Serif" w:hAnsi="Times New Roman;Times;Serif"/>
          <w:b/>
          <w:i w:val="false"/>
          <w:caps w:val="false"/>
          <w:smallCaps w:val="false"/>
          <w:sz w:val="20"/>
        </w:rPr>
        <w:t>Section 8.11</w:t>
      </w:r>
      <w:r>
        <w:rPr>
          <w:rFonts w:ascii="Times New Roman;Times;Serif" w:hAnsi="Times New Roman;Times;Serif"/>
          <w:b w:val="false"/>
          <w:i w:val="false"/>
          <w:caps w:val="false"/>
          <w:smallCaps w:val="false"/>
          <w:sz w:val="20"/>
        </w:rPr>
        <w:t>, and no collateral or security filings, shall be required in any jurisdiction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Termination of Non-Permitted Liens</w:t>
      </w:r>
      <w:r>
        <w:rPr>
          <w:rFonts w:ascii="Times New Roman;Times;Serif" w:hAnsi="Times New Roman;Times;Serif"/>
          <w:b w:val="false"/>
          <w:i w:val="false"/>
          <w:caps w:val="false"/>
          <w:smallCaps w:val="false"/>
          <w:sz w:val="20"/>
        </w:rPr>
        <w:t>. In the event that any Obligor shall become aware of, or be notified by the Administrative Agent or any Lender of the existence of, any outstanding Lien against any assets or property of such Obligor or any of its Subsidiaries, which Lien is not a Permitted Lien, such Obligor shall use its commercially reasonable efforts to promptly terminate or cause the termination of such Lien. This provision shall not limit any rights or remedies the Administrative Agent and Lenders have upon the occurrence and during the continuance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Board Materials; Oaktree Lender Board Observer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Regardless of whether the Oaktree Lender has the right to designate a Board Observer (as defined below): (i) the Borrower shall deliver to the Administrative Agent copies of any agenda and other written materials provided to the board of directors (or any committee thereof) of the Borrower prior to any meeting of the board of directors (or such committee thereof), at or reasonably promptly after such materials are furnished to the members of the board of directors (or such committee thereof), (ii) copies of all minutes of meetings of the board of directors (or any committee thereof) of the Borrower at or promptly after such minutes are furnished to the members of the board of directors (or such committee thereof), (iii) copies of all material written consents duly passed by the board of directors (or any committee thereof) of the Borrower and (iv) promptly upon presentation of any regular periodic materials to the board of directors (or any committee thereof) of the Borrower reporting on the current, past or future financial performance and business and operations of the Borrower or any of its Subsidiaries (which shall include, among other things, development updates with respect to material Products, and updates with respect to material events relating to other Material Agreements), copies of such materials shall be delivered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material may be redacted by the Borrower to (A) exclude information pertaining to the Borrower’s strategy regarding the Loans, (B) preserve attorney-client privilege or (C) protect individually identifiable health information (as defined under HIPAA) or other confidential information relating to healthcare patients;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further </w:t>
      </w:r>
      <w:r>
        <w:rPr>
          <w:rFonts w:ascii="Times New Roman;Times;Serif" w:hAnsi="Times New Roman;Times;Serif"/>
          <w:b w:val="false"/>
          <w:i w:val="false"/>
          <w:caps w:val="false"/>
          <w:smallCaps w:val="false"/>
          <w:sz w:val="20"/>
        </w:rPr>
        <w:t>that such redactions are restricted so as to be only as extensive as is reasonably necessary in order to exclude information described in clauses (A), (B) or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request of the Oaktree Lender and after both Tranche A-1 Loan and Tranche B Loan have been funded, the Borrower shall permit a single designee of the Oaktree Lender to be a board observer to the Borrower or any committee thereof performing such functions (the “</w:t>
      </w:r>
      <w:r>
        <w:rPr>
          <w:rFonts w:ascii="Times New Roman;Times;Serif" w:hAnsi="Times New Roman;Times;Serif"/>
          <w:b/>
          <w:i w:val="false"/>
          <w:caps w:val="false"/>
          <w:smallCaps w:val="false"/>
          <w:sz w:val="20"/>
        </w:rPr>
        <w:t>Board Observer</w:t>
      </w:r>
      <w:r>
        <w:rPr>
          <w:rFonts w:ascii="Times New Roman;Times;Serif" w:hAnsi="Times New Roman;Times;Serif"/>
          <w:b w:val="false"/>
          <w:i w:val="false"/>
          <w:caps w:val="false"/>
          <w:smallCaps w:val="false"/>
          <w:sz w:val="20"/>
        </w:rPr>
        <w:t xml:space="preserve">”). In such capacity, the Board Observer shall be entitled to attend all meetings of the board of directors of the Borrower and any committee thereof. The Borrower shall ensure that the Board Observer is invited to each such meeting at the same time as each other member of the board of directors and that such Board Observer receives all board materials at the same time as each other member of the board of directors;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material may be redacted by Borrower, and Borrower may exclude the Board Observer from meetings of the board of directors or any committee thereof, in order to (i) prevent the Board Observer from receiving or learning information relating to the Borrower’s strategy regarding the Loans, (ii) preserve attorney-client privilege or (iii) protect individually identifiable health information (as defined under HIPAA) or other confidential information relating to healthcare patients;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such redactions and the exclusion of the Board Observer are restricted so as to be only as extensive as is reasonably necessary in order to exclude or prevent access to the Board Observer to information described in clauses (i), (ii) or (iii). If appointed, the Board Observer may resign or withdraw at any time, or, at the request of the Oaktree Lender, be replaced by a designee of the Oaktree Lender that is reasonably acceptable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otherwise limiting the Administrative Agent’s and Lenders’ right to expense reimbursement hereunder, the Borrower shall reimburse the Oaktree Lender for all reasonable and documented out-of-pocket expenses incurred by or on behalf of the Oaktree Lender or the Board Observer in attending any meetings of the board of directors or any committee thereof or otherwise in connection with the exercise of their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Maintenance of Regulatory Approvals, Contracts, Intellectual Property, Etc.</w:t>
      </w:r>
      <w:r>
        <w:rPr>
          <w:rFonts w:ascii="Times New Roman;Times;Serif" w:hAnsi="Times New Roman;Times;Serif"/>
          <w:b w:val="false"/>
          <w:i w:val="false"/>
          <w:caps w:val="false"/>
          <w:smallCaps w:val="false"/>
          <w:sz w:val="20"/>
        </w:rPr>
        <w:t xml:space="preserve"> With respect to the Products and all Product Commercialization and Development Activities, such Obligor will, and will cause each of its Subsidiaries (to the extent applicable) to, (i) maintain in full force and effect all Regulatory Approvals, Material Agreements, Material Intellectual Property and other rights, interests or assets (whether tangible or intangible) reasonably necessary for the operations of such Person’s business, except as would not reasonably be expected to have a Material Adverse Effect, (ii) maintain in full force and effect, and pay all costs and expenses relating to, such Regulatory Approvals, Material Agreements and Material Intellectual Property owned, used or controlled by such Obligor or any such Subsidiary that are used in or necessary for any related Product Commercialization and Development Activities, except as would not be reasonably expected to have a Material Adverse Effect, (iii) promptly after obtaining knowledge thereof, notify the Administrative Agent of any infringement or other violation by any Person of such Obligor’s or any such Subsidiaries’ Material Intellectual Property, and use commercially reasonable efforts to stop, curtail or abate such infringement if determined appropriate by the Borrower in the exercise of its business judgment and (iv) promptly after obtaining knowledge thereof, notify the Administrative Agent of any Claim by any Person that the conduct of the business of any Obligor or any of its Subsidiaries, including in connection with any Product Commercialization and Development Activities, has infringed upon any Intellectual Property of such Person, where such Claim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ERISA Compliance</w:t>
      </w:r>
      <w:r>
        <w:rPr>
          <w:rFonts w:ascii="Times New Roman;Times;Serif" w:hAnsi="Times New Roman;Times;Serif"/>
          <w:b w:val="false"/>
          <w:i w:val="false"/>
          <w:caps w:val="false"/>
          <w:smallCaps w:val="false"/>
          <w:sz w:val="20"/>
        </w:rPr>
        <w:t>. Such Obligor shall comply, and shall cause each of its Subsidiaries to comply, with the provisions of ERISA with respect to any Plans to which such Obligor or such Subsidiary is a party as an employer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Cash Management</w:t>
      </w:r>
      <w:r>
        <w:rPr>
          <w:rFonts w:ascii="Times New Roman;Times;Serif" w:hAnsi="Times New Roman;Times;Serif"/>
          <w:b w:val="false"/>
          <w:i w:val="false"/>
          <w:caps w:val="false"/>
          <w:smallCaps w:val="false"/>
          <w:sz w:val="20"/>
        </w:rPr>
        <w:t xml:space="preserve">. Such Obligor </w:t>
      </w:r>
      <w:r>
        <w:rPr>
          <w:rFonts w:ascii="Times New Roman;Times;Serif" w:hAnsi="Times New Roman;Times;Serif"/>
          <w:b w:val="false"/>
          <w:i w:val="false"/>
          <w:caps w:val="false"/>
          <w:smallCaps w:val="false"/>
          <w:strike/>
          <w:color w:val="FF0000"/>
          <w:sz w:val="20"/>
        </w:rPr>
        <w:t xml:space="preserve">(in each case, except for any BXCL 701 Subsidiary) </w:t>
      </w:r>
      <w:r>
        <w:rPr>
          <w:rFonts w:ascii="Times New Roman;Times;Serif" w:hAnsi="Times New Roman;Times;Serif"/>
          <w:b w:val="false"/>
          <w:i w:val="false"/>
          <w:caps w:val="false"/>
          <w:smallCaps w:val="false"/>
          <w:sz w:val="20"/>
        </w:rPr>
        <w:t>shall, and shall cause each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cause each deposit account, disbursement account, investment account (or other similar account) and lockbox of any Obligor (in each case, other than any Excluded Accounts) opened after the Closing Date to, within thirty (30) days of account opening and at all times thereafter be subject to an account control agreement between the applicable Obligor, the Administrative Agent and the applicable depositary institution in favor of the Administrative Agent in form and substance reasonably acceptable to the Administrative Agent (each such deposit account, disbursement account, investment account (or similar account) and lockbox, a “</w:t>
      </w:r>
      <w:r>
        <w:rPr>
          <w:rFonts w:ascii="Times New Roman;Times;Serif" w:hAnsi="Times New Roman;Times;Serif"/>
          <w:b/>
          <w:i/>
          <w:caps w:val="false"/>
          <w:smallCaps w:val="false"/>
          <w:sz w:val="20"/>
        </w:rPr>
        <w:t>Controlled Account</w:t>
      </w:r>
      <w:r>
        <w:rPr>
          <w:rFonts w:ascii="Times New Roman;Times;Serif" w:hAnsi="Times New Roman;Times;Serif"/>
          <w:b w:val="false"/>
          <w:i w:val="false"/>
          <w:caps w:val="false"/>
          <w:smallCaps w:val="false"/>
          <w:sz w:val="20"/>
        </w:rPr>
        <w:t>”) that (A) ensures, to the extent necessary under applicable law, the perfection of a first priority (subject to Permitted Priority Liens) security interest in favor of the Administrative Agent on such Controlled Account, (B) provides that, upon written notice from the Administrative Agent, such depositary institution shall comply with instructions originated by the Administrative Agent directing disposition of the funds in such Controlled Account without further consent of the applicable Obligor and (C) may not be terminated without prior written consent of the Administrative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after the occurrence and during the continuance of an Event of Default, at the request of the Administrative Agent, each Obligor shall cause all payments constituting proceeds of accounts to be directed into lockbox accounts under agreements in form and substance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Amendments to Agreements</w:t>
      </w:r>
      <w:r>
        <w:rPr>
          <w:rFonts w:ascii="Times New Roman;Times;Serif" w:hAnsi="Times New Roman;Times;Serif"/>
          <w:b w:val="false"/>
          <w:i w:val="false"/>
          <w:caps w:val="false"/>
          <w:smallCaps w:val="false"/>
          <w:sz w:val="20"/>
        </w:rPr>
        <w:t>. The Collaboration Agreement Option, the BioXcel Trademark Agreement and the Commercial Supply Agreement shall not be amended or otherwise modified in a manner materially adverse to the interest of the Lenders without the prior written consent of the Majority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Post-Closing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By July 19, 2022 (or such later date as agreed by the Administrative Agent in its sole discretion), the Borrower shall deliver to Administrative Agent evidence in form and substance satisfactory to the Administrative Agent that the Borrower has (i) obtained from each inventor who is obligated to assign to Borrower, a customary invention assignment agreement presently assigning all of such inventor’s right, title and interest in and to each Patent set forth on </w:t>
      </w:r>
      <w:r>
        <w:rPr>
          <w:rFonts w:ascii="Times New Roman;Times;Serif" w:hAnsi="Times New Roman;Times;Serif"/>
          <w:b/>
          <w:i w:val="false"/>
          <w:caps w:val="false"/>
          <w:smallCaps w:val="false"/>
          <w:sz w:val="20"/>
        </w:rPr>
        <w:t>Schedule 8.19</w:t>
      </w:r>
      <w:r>
        <w:rPr>
          <w:rFonts w:ascii="Times New Roman;Times;Serif" w:hAnsi="Times New Roman;Times;Serif"/>
          <w:b w:val="false"/>
          <w:i w:val="false"/>
          <w:caps w:val="false"/>
          <w:smallCaps w:val="false"/>
          <w:sz w:val="20"/>
        </w:rPr>
        <w:t xml:space="preserve"> to Borrower and (ii) made the necessary filings with the United States Patent and Trademark Office (“</w:t>
      </w:r>
      <w:r>
        <w:rPr>
          <w:rFonts w:ascii="Times New Roman;Times;Serif" w:hAnsi="Times New Roman;Times;Serif"/>
          <w:b/>
          <w:i/>
          <w:caps w:val="false"/>
          <w:smallCaps w:val="false"/>
          <w:sz w:val="20"/>
        </w:rPr>
        <w:t>USPTO</w:t>
      </w:r>
      <w:r>
        <w:rPr>
          <w:rFonts w:ascii="Times New Roman;Times;Serif" w:hAnsi="Times New Roman;Times;Serif"/>
          <w:b w:val="false"/>
          <w:i w:val="false"/>
          <w:caps w:val="false"/>
          <w:smallCaps w:val="false"/>
          <w:sz w:val="20"/>
        </w:rPr>
        <w:t xml:space="preserve">”) to evidence in the records of the USPTO that the Borrower is the sole assignee and owner (or, solely with respect to those Patents identified on </w:t>
      </w:r>
      <w:r>
        <w:rPr>
          <w:rFonts w:ascii="Times New Roman;Times;Serif" w:hAnsi="Times New Roman;Times;Serif"/>
          <w:b/>
          <w:i w:val="false"/>
          <w:caps w:val="false"/>
          <w:smallCaps w:val="false"/>
          <w:sz w:val="20"/>
        </w:rPr>
        <w:t>Schedule 8.19</w:t>
      </w:r>
      <w:r>
        <w:rPr>
          <w:rFonts w:ascii="Times New Roman;Times;Serif" w:hAnsi="Times New Roman;Times;Serif"/>
          <w:b w:val="false"/>
          <w:i w:val="false"/>
          <w:caps w:val="false"/>
          <w:smallCaps w:val="false"/>
          <w:sz w:val="20"/>
        </w:rPr>
        <w:t xml:space="preserve"> as jointly owned, an assignee and joint owner) of each of the Patents set forth on </w:t>
      </w:r>
      <w:r>
        <w:rPr>
          <w:rFonts w:ascii="Times New Roman;Times;Serif" w:hAnsi="Times New Roman;Times;Serif"/>
          <w:b/>
          <w:i w:val="false"/>
          <w:caps w:val="false"/>
          <w:smallCaps w:val="false"/>
          <w:sz w:val="20"/>
        </w:rPr>
        <w:t>Schedule 8.19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June 3, 2022 (or such later date as agreed by the Administrative Agent in its sole discretion), Borrower shall cause all insurance policies so required pursuant to the Loan Documents to (i) name the Administrative Agent, on behalf of the Secured Parties, as an additional insured thereunder as its interests may appear, and (ii) in the case of each casualty insurance policy (including business interruption, if any) contain a lender loss payable clause or endorsement naming the Administrative Agent, on behalf of the Secured Parties, as loss payee thereunder and providing for at least thirty (30) days’ prior written notice to the Administrative Agent (ten (10) days’ prior written notice in the event of cancellation for nonpayment) of any material modification or cancellation of such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BioXcel LLC shall at any time cease to own, directly or indirectly, at least 20% of the Equity Interests in the Borrower, the Borrower shall use its commercially reasonable efforts to enter into an amendment to the Shared Services Agreement with BioXcel LLC pursuant to which the Borrower’s option to enter into a collaborative services agreement with BioXcel LLC by which the Collaboration Agreement Option shall be extended through at least the 91st day following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five (5) Business Days following the Closing Date (or such longer period of time as agreed by the Administrative Agent in its sole discretion) (the “</w:t>
      </w:r>
      <w:r>
        <w:rPr>
          <w:rFonts w:ascii="Times New Roman;Times;Serif" w:hAnsi="Times New Roman;Times;Serif"/>
          <w:b/>
          <w:i/>
          <w:caps w:val="false"/>
          <w:smallCaps w:val="false"/>
          <w:sz w:val="20"/>
        </w:rPr>
        <w:t>Account Control Agreement Completion Date</w:t>
      </w:r>
      <w:r>
        <w:rPr>
          <w:rFonts w:ascii="Times New Roman;Times;Serif" w:hAnsi="Times New Roman;Times;Serif"/>
          <w:b w:val="false"/>
          <w:i w:val="false"/>
          <w:caps w:val="false"/>
          <w:smallCaps w:val="false"/>
          <w:sz w:val="20"/>
        </w:rPr>
        <w:t>”), the Administrative Agent shall have received evidence that (i) all deposit accounts, lockboxes, disbursement accounts, investment accounts or other similar accounts (other than Excluded Accounts) of each Obligor located within the U.S. are Controlled Accounts and (ii) such Controlled Accounts are subject to one or more account control agreements, in favor of, and satisfactory in form and substance to, the Administrative Agent that (A) ensures, to the extent necessary under applicable law, the perfection of a first priority (subject to Permitted Priority Liens) security interest in favor of the Administrative Agent on such Controlled Account, (B) provides that, upon written notice from the Administrative Agent, such depositary institution shall comply with instructions originated by the Administrative Agent directing disposition of the funds in such Controlled Account without further consent of the applicable Obligor and (C) may not be terminated without prior written consent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Enforcement of Trademark Rights</w:t>
      </w:r>
      <w:r>
        <w:rPr>
          <w:rFonts w:ascii="Times New Roman;Times;Serif" w:hAnsi="Times New Roman;Times;Serif"/>
          <w:b w:val="false"/>
          <w:i w:val="false"/>
          <w:caps w:val="false"/>
          <w:smallCaps w:val="false"/>
          <w:sz w:val="20"/>
        </w:rPr>
        <w:t>. Borrower shall, promptly after becoming aware of any breach by BioXcel LLC of the BioXcel Trademark Agreement or any use of the BIOXCEL trademark within the field of neuroscience (including by BioXcel LLC’s other Affiliates), in each case, in a manner that is, or would reasonably be expected to be, material to the businesses of Borrower, the Obligors, or any of their respective Subsidiaries, use its commercially reasonable efforts to enforce its rights, including under the BioXcel Trademark Agreement, to prevent such further breach or use, and to otherwise mitigate any risk and adverse impact to such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8.21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Budget Variance Covenant</w:t>
      </w:r>
      <w:r>
        <w:rPr>
          <w:rFonts w:ascii="Times New Roman;Times;Serif" w:hAnsi="Times New Roman;Times;Serif"/>
          <w:b w:val="false"/>
          <w:i w:val="false"/>
          <w:caps w:val="false"/>
          <w:smallCaps w:val="false"/>
          <w:color w:val="0000FF"/>
          <w:sz w:val="20"/>
          <w:u w:val="single"/>
        </w:rPr>
        <w:t xml:space="preserve">. Commencing with the delivery of the Budget Variance Report for the Budget Variance Test Period ending on November 30, 2024, and </w:t>
      </w:r>
      <w:r>
        <w:rPr>
          <w:rFonts w:ascii="Times New Roman;Times;Serif" w:hAnsi="Times New Roman;Times;Serif"/>
          <w:b w:val="false"/>
          <w:i w:val="false"/>
          <w:caps w:val="false"/>
          <w:smallCaps w:val="false"/>
          <w:color w:val="008000"/>
          <w:sz w:val="20"/>
          <w:u w:val="single"/>
        </w:rPr>
        <w:t>as of the last day of</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00FF"/>
          <w:sz w:val="20"/>
          <w:u w:val="single"/>
        </w:rPr>
        <w:t>each subsequent Budget Variance Test Period, the Borrower shall not permit actual disbursements for such Budget Variance Test Period to exceed 115% in the aggregate of the sum of the forecasted actual disbursements for such Budget Variance Test Period in the applicable Approved Budget.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8.22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Investment Bank</w:t>
      </w:r>
      <w:r>
        <w:rPr>
          <w:rFonts w:ascii="Times New Roman;Times;Serif" w:hAnsi="Times New Roman;Times;Serif"/>
          <w:b w:val="false"/>
          <w:i w:val="false"/>
          <w:caps w:val="false"/>
          <w:smallCaps w:val="false"/>
          <w:color w:val="0000FF"/>
          <w:sz w:val="20"/>
          <w:u w:val="single"/>
        </w:rPr>
        <w:t xml:space="preserve">. On or prior to December 6, 2024, the Borrower shall select, and on or prior to December 12, 2024, the Borrower shall engage, an investment banker reasonably acceptable </w:t>
      </w:r>
      <w:r>
        <w:rPr>
          <w:rFonts w:ascii="Times New Roman;Times;Serif" w:hAnsi="Times New Roman;Times;Serif"/>
          <w:b w:val="false"/>
          <w:i w:val="false"/>
          <w:caps w:val="false"/>
          <w:smallCaps w:val="false"/>
          <w:color w:val="008000"/>
          <w:sz w:val="20"/>
          <w:u w:val="single"/>
        </w:rPr>
        <w:t>to the Administrative Agent and the Lenders</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00FF"/>
          <w:sz w:val="20"/>
          <w:u w:val="single"/>
        </w:rPr>
        <w:t>to assist the Borrower and its Board with evaluating and exploring strategic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8.23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Payroll</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The Borrower shall not pay any cash bonuses for the fiscal years ended December 31, 2024 and December 31, 2025 without the prior written consent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The cash compensation for the fiscal year ended December 31, 2025 for the executive officers of the Borrower, including Vimal Mehta, Richard Steinhart, Javier Rodriguez, Frank Yocca, Vincent O’Neill and any replacement of any of the foregoing, shall be no higher than the cash compensation for such executive officers for the fiscal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8.24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Fifth Amendment Capital Raise</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After the Fifth Amendment Date and on or prior to November 27, 2024, the Borrower shall receive at least $7,000,000 in gross cash proceeds (the “</w:t>
      </w:r>
      <w:r>
        <w:rPr>
          <w:rFonts w:ascii="Times New Roman;Times;Serif" w:hAnsi="Times New Roman;Times;Serif"/>
          <w:b/>
          <w:i/>
          <w:caps w:val="false"/>
          <w:smallCaps w:val="false"/>
          <w:color w:val="0000FF"/>
          <w:sz w:val="20"/>
          <w:u w:val="single"/>
        </w:rPr>
        <w:t>Fifth Amendment Capital Raise One</w:t>
      </w:r>
      <w:r>
        <w:rPr>
          <w:rFonts w:ascii="Times New Roman;Times;Serif" w:hAnsi="Times New Roman;Times;Serif"/>
          <w:b w:val="false"/>
          <w:i w:val="false"/>
          <w:caps w:val="false"/>
          <w:smallCaps w:val="false"/>
          <w:color w:val="0000FF"/>
          <w:sz w:val="20"/>
          <w:u w:val="single"/>
        </w:rPr>
        <w:t>”) from the issuance of the Borrower’s common stock, warrants and/or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On or prior to December 31, 2024, the Borrower shall prepay in cash $2,500,000 in aggregate principal amount of the outstanding Loans, together with (i) accrued and unpaid interest on the amount so prepaid, (ii) 50% of the applicable Prepayment Fee, (iii) 50% of the Amendment Fee (as defined in the First Amendment) on the amount so prepaid and (iv) 50% of the Second Amendment Fee (as defined in the Second Amendment) on the amount so prepaid; it being understood and agreed that 50% of each of the Prepayment Fee, Amendment Fee and Second Amendment Fee that would otherwise be payable with respect to such prepayment of $2,500,000 in aggregate principal amount of Loans have been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After the Fifth Amendment Date and on or prior to March 15, 2025 (provided, that the Borrower will use its commercially reasonable efforts to complete the Fifth Amendment Capital Raise Two (as defined below) on or prior to February 15, 2025), the Borrower shall receive at least $18,000,000 in net cash proceeds (the “</w:t>
      </w:r>
      <w:r>
        <w:rPr>
          <w:rFonts w:ascii="Times New Roman;Times;Serif" w:hAnsi="Times New Roman;Times;Serif"/>
          <w:b/>
          <w:i/>
          <w:caps w:val="false"/>
          <w:smallCaps w:val="false"/>
          <w:color w:val="0000FF"/>
          <w:sz w:val="20"/>
          <w:u w:val="single"/>
        </w:rPr>
        <w:t>Fifth Amendment Capital Raise Two</w:t>
      </w:r>
      <w:r>
        <w:rPr>
          <w:rFonts w:ascii="Times New Roman;Times;Serif" w:hAnsi="Times New Roman;Times;Serif"/>
          <w:b w:val="false"/>
          <w:i w:val="false"/>
          <w:caps w:val="false"/>
          <w:smallCaps w:val="false"/>
          <w:color w:val="0000FF"/>
          <w:sz w:val="20"/>
          <w:u w:val="single"/>
        </w:rPr>
        <w:t>”), including net cash proceeds from the Fifth Amendment Capital Raise One, from (i) the issuance</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8000"/>
          <w:sz w:val="20"/>
          <w:u w:val="single"/>
        </w:rPr>
        <w:t>of the Borrower’s common stock,</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00FF"/>
          <w:sz w:val="20"/>
          <w:u w:val="single"/>
        </w:rPr>
        <w:t>warrants and/or pre-funded warrants, (ii) non-refundable cash consideration from partnering transactions entered into after the Fifth Amendment Date (so long as such partnering transactions would not require</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8000"/>
          <w:sz w:val="20"/>
          <w:u w:val="single"/>
        </w:rPr>
        <w:t xml:space="preserve">the Borrower or any of its Subsidiaries </w:t>
      </w:r>
      <w:r>
        <w:rPr>
          <w:rFonts w:ascii="Times New Roman;Times;Serif" w:hAnsi="Times New Roman;Times;Serif"/>
          <w:b w:val="false"/>
          <w:i w:val="false"/>
          <w:caps w:val="false"/>
          <w:smallCaps w:val="false"/>
          <w:color w:val="0000FF"/>
          <w:sz w:val="20"/>
          <w:u w:val="single"/>
        </w:rPr>
        <w:t>to make any cash investments in connection with the partnering transactions and no such cash investments are made), (iii) the issuance of the Borrower’s subordinated debt with an all-in-yield not greater than 15% if any interest thereon is payable in cash, in form and substance satisfactory to the</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8000"/>
          <w:sz w:val="20"/>
          <w:u w:val="single"/>
        </w:rPr>
        <w:t>Administrative Agent in its sole discretion</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00FF"/>
          <w:sz w:val="20"/>
          <w:u w:val="single"/>
        </w:rPr>
        <w:t xml:space="preserve">and/or (iv) Asset Sales permitted by </w:t>
      </w:r>
      <w:r>
        <w:rPr>
          <w:rFonts w:ascii="Times New Roman;Times;Serif" w:hAnsi="Times New Roman;Times;Serif"/>
          <w:b/>
          <w:i w:val="false"/>
          <w:caps w:val="false"/>
          <w:smallCaps w:val="false"/>
          <w:color w:val="0000FF"/>
          <w:sz w:val="20"/>
          <w:u w:val="single"/>
        </w:rPr>
        <w:t xml:space="preserve">Section 9.09 </w:t>
      </w:r>
      <w:r>
        <w:rPr>
          <w:rFonts w:ascii="Times New Roman;Times;Serif" w:hAnsi="Times New Roman;Times;Serif"/>
          <w:b w:val="false"/>
          <w:i w:val="false"/>
          <w:caps w:val="false"/>
          <w:smallCaps w:val="false"/>
          <w:color w:val="0000FF"/>
          <w:sz w:val="20"/>
          <w:u w:val="single"/>
        </w:rPr>
        <w:t>or consented to by the Lenders (clauses (i) through (iv), collectively, “</w:t>
      </w:r>
      <w:r>
        <w:rPr>
          <w:rFonts w:ascii="Times New Roman;Times;Serif" w:hAnsi="Times New Roman;Times;Serif"/>
          <w:b/>
          <w:i/>
          <w:caps w:val="false"/>
          <w:smallCaps w:val="false"/>
          <w:color w:val="0000FF"/>
          <w:sz w:val="20"/>
          <w:u w:val="single"/>
        </w:rPr>
        <w:t>Permitted Capital Raise Activities</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 xml:space="preserve">After the Fifth Amendment Date and </w:t>
      </w:r>
      <w:r>
        <w:rPr>
          <w:rFonts w:ascii="Times New Roman;Times;Serif" w:hAnsi="Times New Roman;Times;Serif"/>
          <w:b w:val="false"/>
          <w:i w:val="false"/>
          <w:caps w:val="false"/>
          <w:smallCaps w:val="false"/>
          <w:color w:val="008000"/>
          <w:sz w:val="20"/>
          <w:u w:val="single"/>
        </w:rPr>
        <w:t>on or prior to the</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00FF"/>
          <w:sz w:val="20"/>
          <w:u w:val="single"/>
        </w:rPr>
        <w:t>earlier of August 15, 2025 and the date that is 30 days after the final data readout of the SERENITY At-Home Phase 3 trial, the Borrower shall receive at least $29,000,000 in net cash proceeds, including net cash proceeds from the Fifth Amendment Equity Raise One and the Fifth Amendment Equity Raise Two, from Permitted Capital Raise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8.25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Fifth Amendment Warrant</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 xml:space="preserve">Substantially concurrently with the closing of the Fifth Amendment Equity Raise One, the Borrower shall issue and deliver to the Lenders warrants, evidenced by an instrument substantially in the form of </w:t>
      </w:r>
      <w:r>
        <w:rPr>
          <w:rFonts w:ascii="Times New Roman;Times;Serif" w:hAnsi="Times New Roman;Times;Serif"/>
          <w:b/>
          <w:i w:val="false"/>
          <w:caps w:val="false"/>
          <w:smallCaps w:val="false"/>
          <w:color w:val="0000FF"/>
          <w:sz w:val="20"/>
          <w:u w:val="single"/>
        </w:rPr>
        <w:t>Exhibit B</w:t>
      </w:r>
      <w:r>
        <w:rPr>
          <w:rFonts w:ascii="Times New Roman;Times;Serif" w:hAnsi="Times New Roman;Times;Serif"/>
          <w:b w:val="false"/>
          <w:i w:val="false"/>
          <w:caps w:val="false"/>
          <w:smallCaps w:val="false"/>
          <w:color w:val="0000FF"/>
          <w:sz w:val="20"/>
          <w:u w:val="single"/>
        </w:rPr>
        <w:t xml:space="preserve"> attached to the Fifth Amendment, exercisable at $0.01 per share and for five million </w:t>
      </w:r>
      <w:r>
        <w:rPr>
          <w:rFonts w:ascii="Times New Roman;Times;Serif" w:hAnsi="Times New Roman;Times;Serif"/>
          <w:b w:val="false"/>
          <w:i w:val="false"/>
          <w:caps w:val="false"/>
          <w:smallCaps w:val="false"/>
          <w:color w:val="008000"/>
          <w:sz w:val="20"/>
          <w:u w:val="single"/>
        </w:rPr>
        <w:t>shares of common stock of the Borrower</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 xml:space="preserve">Substantially concurrently with the closing of the Fifth Amendment Equity Raise One, all Company Warrants issued to the Lenders prior to the Fifth Amendment Date shall be amended to revise the exercise price thereunder to an exercise price equal to the lower of </w:t>
      </w:r>
      <w:r>
        <w:rPr>
          <w:rFonts w:ascii="Times New Roman;Times;Serif" w:hAnsi="Times New Roman;Times;Serif"/>
          <w:b w:val="false"/>
          <w:i w:val="false"/>
          <w:caps w:val="false"/>
          <w:smallCaps w:val="false"/>
          <w:color w:val="008000"/>
          <w:sz w:val="20"/>
          <w:u w:val="single"/>
        </w:rPr>
        <w:t>(i) the price per share of</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00FF"/>
          <w:sz w:val="20"/>
          <w:u w:val="single"/>
        </w:rPr>
        <w:t>the Common Stock issued in the Fifth Amendment Equity Raise One and (ii) the</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8000"/>
          <w:sz w:val="20"/>
          <w:u w:val="single"/>
        </w:rPr>
        <w:t>average of the daily VWAPs over the 30 consecutive Trading Days preceding</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00FF"/>
          <w:sz w:val="20"/>
          <w:u w:val="single"/>
        </w:rPr>
        <w:t>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Substantially concurrently with the closing of the Fifth Amendment Equity Raise One, the third amended and restated Registration Rights Agreement in form and substance satisfactory to the Administrative Agent shall be duly executed and delivered to the Administrative Agent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 xml:space="preserve">The Borrower and the Lenders agree that the issuance of warrants pursuant to the Fifth Amendment as set forth in </w:t>
      </w:r>
      <w:r>
        <w:rPr>
          <w:rFonts w:ascii="Times New Roman;Times;Serif" w:hAnsi="Times New Roman;Times;Serif"/>
          <w:b/>
          <w:i w:val="false"/>
          <w:caps w:val="false"/>
          <w:smallCaps w:val="false"/>
          <w:color w:val="0000FF"/>
          <w:sz w:val="20"/>
          <w:u w:val="single"/>
        </w:rPr>
        <w:t>Section 8.25</w:t>
      </w:r>
      <w:r>
        <w:rPr>
          <w:rFonts w:ascii="Times New Roman;Times;Serif" w:hAnsi="Times New Roman;Times;Serif"/>
          <w:b w:val="false"/>
          <w:i w:val="false"/>
          <w:caps w:val="false"/>
          <w:smallCaps w:val="false"/>
          <w:color w:val="0000FF"/>
          <w:sz w:val="20"/>
          <w:u w:val="single"/>
        </w:rPr>
        <w:t xml:space="preserve"> hereof shall not be treated</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8000"/>
          <w:sz w:val="20"/>
          <w:u w:val="single"/>
        </w:rPr>
        <w:t>for U.S. federal income tax purposes</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00FF"/>
          <w:sz w:val="20"/>
          <w:u w:val="single"/>
        </w:rPr>
        <w:t>as a fee or as a payment that is otherwise subject to U.S. withholding Tax, but shall rather be treated as consideration that is paid in exchange for the deemed disposition of the Loans for tax purposes as a result of the changes to the terms of the Loans pursuant to the Fifth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9.</w:t>
      </w:r>
      <w:r>
        <w:rPr>
          <w:rFonts w:ascii="Times New Roman;Times;Serif" w:hAnsi="Times New Roman;Times;Serif"/>
          <w:b/>
          <w:i w:val="false"/>
          <w:caps w:val="false"/>
          <w:smallCaps w:val="false"/>
          <w:sz w:val="20"/>
        </w:rPr>
        <w:b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Obligor covenants and agrees with the Administrative Agent and the Lenders that, until the Commitments have expired or been terminated and all Obligations (other than inchoate indemnification and expense reimbursement obligations for which no claim has been made), have been indefeasibly paid in full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xml:space="preserve">. Such Obligor will not, and will not permit any of its Subsidiaries </w:t>
      </w:r>
      <w:r>
        <w:rPr>
          <w:rFonts w:ascii="Times New Roman;Times;Serif" w:hAnsi="Times New Roman;Times;Serif"/>
          <w:b w:val="false"/>
          <w:i w:val="false"/>
          <w:caps w:val="false"/>
          <w:smallCaps w:val="false"/>
          <w:strike/>
          <w:color w:val="FF0000"/>
          <w:sz w:val="20"/>
        </w:rPr>
        <w:t xml:space="preserve">(in each case, except for the BXCL 701 Subsidiaries following a Permitted BXCL 701 Release Event) </w:t>
      </w:r>
      <w:r>
        <w:rPr>
          <w:rFonts w:ascii="Times New Roman;Times;Serif" w:hAnsi="Times New Roman;Times;Serif"/>
          <w:b w:val="false"/>
          <w:i w:val="false"/>
          <w:caps w:val="false"/>
          <w:smallCaps w:val="false"/>
          <w:sz w:val="20"/>
        </w:rPr>
        <w:t>to, create, incur, assume or permit to exist any Indebtedness, whether directly or indirectly,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Indebtedness existing on the Closing Date and set forth on </w:t>
      </w:r>
      <w:r>
        <w:rPr>
          <w:rFonts w:ascii="Times New Roman;Times;Serif" w:hAnsi="Times New Roman;Times;Serif"/>
          <w:b/>
          <w:i w:val="false"/>
          <w:caps w:val="false"/>
          <w:smallCaps w:val="false"/>
          <w:sz w:val="20"/>
        </w:rPr>
        <w:t>Schedule 7.13(a)</w:t>
      </w:r>
      <w:r>
        <w:rPr>
          <w:rFonts w:ascii="Times New Roman;Times;Serif" w:hAnsi="Times New Roman;Times;Serif"/>
          <w:b w:val="false"/>
          <w:i w:val="false"/>
          <w:caps w:val="false"/>
          <w:smallCaps w:val="false"/>
          <w:strike/>
          <w:color w:val="FF0000"/>
          <w:sz w:val="20"/>
        </w:rPr>
        <w:t xml:space="preserve"> and Permitted Refinancings thereof;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that, if such Indebtedness is intercompany Indebtedness, (i) any Permitted Refinancing of such Indebtedness shall also be intercompany Indebtedness among the same parties and (ii) such Indebtedness and any Permitted Refinancing thereof shall be subject to the Intercompany Subordination Agreement;</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accounts payable to trade creditors for goods incurred in the Ordinary Course of such Obligor’s or such Subsidiary’s business in accordance with customary terms and paid within the specified time, unless contested in good faith by appropriate proceedings and reserved for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Indebtedness consisting of guarantees resulting from the endorsement of negotiable instruments for collection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of an Obligor owing to any other Obligor, in each case, subject to the Intercompany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of any Subsidiary that is not an Obligor owing to any other Subsidiary that is not an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trike/>
          <w:color w:val="FF0000"/>
          <w:sz w:val="20"/>
        </w:rPr>
        <w:t xml:space="preserve">Indebtedness of any Obligor owing to any Subsidiary that is not an Obligor, subject to the Intercompany Subordination Agreement; </w:t>
      </w:r>
      <w:r>
        <w:rPr>
          <w:rFonts w:ascii="Times New Roman;Times;Serif" w:hAnsi="Times New Roman;Times;Serif"/>
          <w:b w:val="false"/>
          <w:i w:val="false"/>
          <w:caps w:val="false"/>
          <w:smallCaps w:val="false"/>
          <w:strike/>
          <w:color w:val="FF0000"/>
          <w:sz w:val="20"/>
          <w:u w:val="single"/>
        </w:rPr>
        <w:t xml:space="preserve">provided </w:t>
      </w:r>
      <w:r>
        <w:rPr>
          <w:rFonts w:ascii="Times New Roman;Times;Serif" w:hAnsi="Times New Roman;Times;Serif"/>
          <w:b w:val="false"/>
          <w:i w:val="false"/>
          <w:caps w:val="false"/>
          <w:smallCaps w:val="false"/>
          <w:strike/>
          <w:color w:val="FF0000"/>
          <w:sz w:val="20"/>
        </w:rPr>
        <w:t>that the aggregate outstanding principal amount of such Indebtedness shall not exceed $5,000,000 at any time;</w:t>
      </w:r>
      <w:r>
        <w:rPr>
          <w:rFonts w:ascii="Times New Roman;Times;Serif" w:hAnsi="Times New Roman;Times;Serif"/>
          <w:b w:val="false"/>
          <w:i w:val="false"/>
          <w:caps w:val="false"/>
          <w:smallCaps w:val="false"/>
          <w:color w:val="0000FF"/>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trike/>
          <w:color w:val="FF0000"/>
          <w:sz w:val="20"/>
        </w:rPr>
        <w:t>Indebtedness of any Subsidiary that is not an Obligor owing to any Obligor;</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that the aggregate outstanding principal amount of such Indebtedness, together with Investments made pursuant to </w:t>
      </w:r>
      <w:r>
        <w:rPr>
          <w:rFonts w:ascii="Times New Roman;Times;Serif" w:hAnsi="Times New Roman;Times;Serif"/>
          <w:b/>
          <w:i w:val="false"/>
          <w:caps w:val="false"/>
          <w:smallCaps w:val="false"/>
          <w:strike/>
          <w:color w:val="FF0000"/>
          <w:sz w:val="20"/>
        </w:rPr>
        <w:t>Section 9.05(e)(iii)</w:t>
      </w:r>
      <w:r>
        <w:rPr>
          <w:rFonts w:ascii="Times New Roman;Times;Serif" w:hAnsi="Times New Roman;Times;Serif"/>
          <w:b w:val="false"/>
          <w:i w:val="false"/>
          <w:caps w:val="false"/>
          <w:smallCaps w:val="false"/>
          <w:strike/>
          <w:color w:val="FF0000"/>
          <w:sz w:val="20"/>
        </w:rPr>
        <w:t>, shall not exceed $5,000,000 at any time;</w:t>
      </w:r>
      <w:r>
        <w:rPr>
          <w:rFonts w:ascii="Times New Roman;Times;Serif" w:hAnsi="Times New Roman;Times;Serif"/>
          <w:b w:val="false"/>
          <w:i w:val="false"/>
          <w:caps w:val="false"/>
          <w:smallCaps w:val="false"/>
          <w:color w:val="0000FF"/>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Guarantees by any Obligor of Permitted Indebtedness of any other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Ordinary Course Capital Lease Obligations and equipment and software financing and leasing;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secured, the collateral therefor consists solely of the assets being financed, the products and proceeds thereof and books and records related thereto and (ii) the outstanding principal amount of such Indebtedness does not exceed $10,000,000 (or the Equivalent Amount in other currencies) in the aggregate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Indebtedness under </w:t>
      </w:r>
      <w:r>
        <w:rPr>
          <w:rFonts w:ascii="Times New Roman;Times;Serif" w:hAnsi="Times New Roman;Times;Serif"/>
          <w:b w:val="false"/>
          <w:i w:val="false"/>
          <w:caps w:val="false"/>
          <w:smallCaps w:val="false"/>
          <w:strike/>
          <w:color w:val="FF0000"/>
          <w:sz w:val="20"/>
        </w:rPr>
        <w:t>(i) </w:t>
      </w:r>
      <w:r>
        <w:rPr>
          <w:rFonts w:ascii="Times New Roman;Times;Serif" w:hAnsi="Times New Roman;Times;Serif"/>
          <w:b w:val="false"/>
          <w:i w:val="false"/>
          <w:caps w:val="false"/>
          <w:smallCaps w:val="false"/>
          <w:sz w:val="20"/>
        </w:rPr>
        <w:t xml:space="preserve">Permitted Hedging Agreements </w:t>
      </w:r>
      <w:r>
        <w:rPr>
          <w:rFonts w:ascii="Times New Roman;Times;Serif" w:hAnsi="Times New Roman;Times;Serif"/>
          <w:b w:val="false"/>
          <w:i w:val="false"/>
          <w:caps w:val="false"/>
          <w:smallCaps w:val="false"/>
          <w:strike/>
          <w:color w:val="FF0000"/>
          <w:sz w:val="20"/>
        </w:rPr>
        <w:t>and (ii) Permitted Bond Hedge Transactions not exceeding, net of the proceeds of any Permitted Warrant Transactions entered in connection therewith, 15% of the proceeds obtained in the related Permitted Convertible Debt issuance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trike/>
          <w:color w:val="FF0000"/>
          <w:sz w:val="20"/>
        </w:rPr>
        <w:t xml:space="preserve">Indebtedness assumed pursuant to any Permitted Acquisition;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that (i) no such Indebtedness (individually) shall exceed 15% of the total purchase price paid in connection with such Permitted Acquisition, (ii) the aggregate outstanding principal amount of Indebtedness permitted pursuant to this </w:t>
      </w:r>
      <w:r>
        <w:rPr>
          <w:rFonts w:ascii="Times New Roman;Times;Serif" w:hAnsi="Times New Roman;Times;Serif"/>
          <w:b/>
          <w:i w:val="false"/>
          <w:caps w:val="false"/>
          <w:smallCaps w:val="false"/>
          <w:strike/>
          <w:color w:val="FF0000"/>
          <w:sz w:val="20"/>
        </w:rPr>
        <w:t>Section 9.01(l) </w:t>
      </w:r>
      <w:r>
        <w:rPr>
          <w:rFonts w:ascii="Times New Roman;Times;Serif" w:hAnsi="Times New Roman;Times;Serif"/>
          <w:b w:val="false"/>
          <w:i w:val="false"/>
          <w:caps w:val="false"/>
          <w:smallCaps w:val="false"/>
          <w:strike/>
          <w:color w:val="FF0000"/>
          <w:sz w:val="20"/>
        </w:rPr>
        <w:t>(and any Permitted Refinancing thereof) shall not exceed $10,000,000 (or the Equivalent Amount in other currencies) at any time outstanding and (iii) no such Indebtedness was created or incurred in connection with, or in contemplation of, such Permitted Acquisition;</w:t>
      </w:r>
      <w:r>
        <w:rPr>
          <w:rFonts w:ascii="Times New Roman;Times;Serif" w:hAnsi="Times New Roman;Times;Serif"/>
          <w:b w:val="false"/>
          <w:i w:val="false"/>
          <w:caps w:val="false"/>
          <w:smallCaps w:val="false"/>
          <w:color w:val="0000FF"/>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other Indebtedness </w:t>
      </w:r>
      <w:r>
        <w:rPr>
          <w:rFonts w:ascii="Times New Roman;Times;Serif" w:hAnsi="Times New Roman;Times;Serif"/>
          <w:b w:val="false"/>
          <w:i w:val="false"/>
          <w:caps w:val="false"/>
          <w:smallCaps w:val="false"/>
          <w:color w:val="0000FF"/>
          <w:sz w:val="20"/>
          <w:u w:val="single"/>
        </w:rPr>
        <w:t xml:space="preserve">not for borrowed money </w:t>
      </w:r>
      <w:r>
        <w:rPr>
          <w:rFonts w:ascii="Times New Roman;Times;Serif" w:hAnsi="Times New Roman;Times;Serif"/>
          <w:b w:val="false"/>
          <w:i w:val="false"/>
          <w:caps w:val="false"/>
          <w:smallCaps w:val="false"/>
          <w:sz w:val="20"/>
        </w:rPr>
        <w:t>in an aggregate outstanding principal amount not to exceed $</w:t>
      </w:r>
      <w:r>
        <w:rPr>
          <w:rFonts w:ascii="Times New Roman;Times;Serif" w:hAnsi="Times New Roman;Times;Serif"/>
          <w:b w:val="false"/>
          <w:i w:val="false"/>
          <w:caps w:val="false"/>
          <w:smallCaps w:val="false"/>
          <w:strike/>
          <w:color w:val="FF0000"/>
          <w:sz w:val="20"/>
        </w:rPr>
        <w:t>10,000,000</w:t>
      </w:r>
      <w:r>
        <w:rPr>
          <w:rFonts w:ascii="Times New Roman;Times;Serif" w:hAnsi="Times New Roman;Times;Serif"/>
          <w:b w:val="false"/>
          <w:i w:val="false"/>
          <w:caps w:val="false"/>
          <w:smallCaps w:val="false"/>
          <w:color w:val="0000FF"/>
          <w:sz w:val="20"/>
          <w:u w:val="single"/>
        </w:rPr>
        <w:t xml:space="preserve">100,000 </w:t>
      </w:r>
      <w:r>
        <w:rPr>
          <w:rFonts w:ascii="Times New Roman;Times;Serif" w:hAnsi="Times New Roman;Times;Serif"/>
          <w:b w:val="false"/>
          <w:i w:val="false"/>
          <w:caps w:val="false"/>
          <w:smallCaps w:val="false"/>
          <w:sz w:val="20"/>
        </w:rPr>
        <w:t>(or the Equivalent Amount in other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Permitted Convertible Debt in aggregate principal amount not to exceed $150,000,000 in principal amount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Indebtedness in respect of letters of credit, bank guarantees, bankers’ acceptances or similar instruments issued or created, or related to obligations or liabilities incurred, in the Ordinary Course, </w:t>
      </w:r>
      <w:r>
        <w:rPr>
          <w:rFonts w:ascii="Times New Roman;Times;Serif" w:hAnsi="Times New Roman;Times;Serif"/>
          <w:b w:val="false"/>
          <w:i w:val="false"/>
          <w:caps w:val="false"/>
          <w:smallCaps w:val="false"/>
          <w:strike/>
          <w:color w:val="FF0000"/>
          <w:sz w:val="20"/>
        </w:rPr>
        <w:t xml:space="preserve">including </w:t>
      </w:r>
      <w:r>
        <w:rPr>
          <w:rFonts w:ascii="Times New Roman;Times;Serif" w:hAnsi="Times New Roman;Times;Serif"/>
          <w:b w:val="false"/>
          <w:i w:val="false"/>
          <w:caps w:val="false"/>
          <w:smallCaps w:val="false"/>
          <w:sz w:val="20"/>
        </w:rPr>
        <w:t>in respect of workers compensation claims, health, disability or other employee benefits or property, leases, commercial contracts, </w:t>
      </w:r>
      <w:r>
        <w:rPr>
          <w:rFonts w:ascii="Times New Roman;Times;Serif" w:hAnsi="Times New Roman;Times;Serif"/>
          <w:b w:val="false"/>
          <w:i w:val="false"/>
          <w:caps w:val="false"/>
          <w:smallCaps w:val="false"/>
          <w:strike/>
          <w:color w:val="FF0000"/>
          <w:sz w:val="20"/>
        </w:rPr>
        <w:t xml:space="preserve">Indebtedness permitted pursuant to </w:t>
      </w:r>
      <w:r>
        <w:rPr>
          <w:rFonts w:ascii="Times New Roman;Times;Serif" w:hAnsi="Times New Roman;Times;Serif"/>
          <w:b/>
          <w:i w:val="false"/>
          <w:caps w:val="false"/>
          <w:smallCaps w:val="false"/>
          <w:strike/>
          <w:color w:val="FF0000"/>
          <w:sz w:val="20"/>
        </w:rPr>
        <w:t>Section 9.01(r)</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casualty or liability insurance or self-insurance or other reimbursement-type obligations regarding workers compensation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Indebtedness arising in connection with the financing of insurance premiums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trike/>
          <w:color w:val="FF0000"/>
          <w:sz w:val="20"/>
        </w:rPr>
        <w:t>Indebtedness in respect of performance bonds, bid bonds, appeal bonds, surety bonds and completion guarantees and similar obligations arising in the Ordinary Course</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Indebtedness in respect of (i) netting services, (ii) overdraft protections, (iii) business credit cards, (iv) purchasing cards, (v) payment processing, (vi) automatic clearinghouse arrangements, (vii) arrangements in respect of pooled deposit or sweep accounts, (viii) check endorsement guarantees, and (ix) otherwise in connection with deposit accounts or cash management services, in each case,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trike/>
          <w:color w:val="FF0000"/>
          <w:sz w:val="20"/>
        </w:rPr>
        <w:t>purchase price adjustments, indemnity payments and other Deferred Acquisition Consideration in connection with any Permitted Acquisition, in each case that are permitted pursuant to the definition of “Permitted Acquisition”; and</w:t>
      </w:r>
      <w:r>
        <w:rPr>
          <w:rFonts w:ascii="Times New Roman;Times;Serif" w:hAnsi="Times New Roman;Times;Serif"/>
          <w:b w:val="false"/>
          <w:i w:val="false"/>
          <w:caps w:val="false"/>
          <w:smallCaps w:val="false"/>
          <w:color w:val="0000FF"/>
          <w:sz w:val="20"/>
          <w:u w:val="single"/>
        </w:rPr>
        <w:t>[reserved];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trike/>
          <w:color w:val="FF0000"/>
          <w:sz w:val="20"/>
        </w:rPr>
        <w:t>Permitted Warrant Transactions that constitute Indebtedness</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xml:space="preserve">. Such Obligor will not, and will not permit any of its Subsidiaries </w:t>
      </w:r>
      <w:r>
        <w:rPr>
          <w:rFonts w:ascii="Times New Roman;Times;Serif" w:hAnsi="Times New Roman;Times;Serif"/>
          <w:b w:val="false"/>
          <w:i w:val="false"/>
          <w:caps w:val="false"/>
          <w:smallCaps w:val="false"/>
          <w:strike/>
          <w:color w:val="FF0000"/>
          <w:sz w:val="20"/>
        </w:rPr>
        <w:t xml:space="preserve">(in each case, except for the BXCL 701 Subsidiaries following a Permitted BXCL 701 Release Event) </w:t>
      </w:r>
      <w:r>
        <w:rPr>
          <w:rFonts w:ascii="Times New Roman;Times;Serif" w:hAnsi="Times New Roman;Times;Serif"/>
          <w:b w:val="false"/>
          <w:i w:val="false"/>
          <w:caps w:val="false"/>
          <w:smallCaps w:val="false"/>
          <w:sz w:val="20"/>
        </w:rPr>
        <w:t>to, create, incur, assume or permit to exist any Lien on any property now owned by it or such Subsidiary,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securing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Lien on any property or asset of such Obligor or any of its Subsidiaries existing on the Closing Date and set forth on </w:t>
      </w:r>
      <w:r>
        <w:rPr>
          <w:rFonts w:ascii="Times New Roman;Times;Serif" w:hAnsi="Times New Roman;Times;Serif"/>
          <w:b/>
          <w:i w:val="false"/>
          <w:caps w:val="false"/>
          <w:smallCaps w:val="false"/>
          <w:sz w:val="20"/>
        </w:rPr>
        <w:t>Schedule 7.13(b)</w:t>
      </w:r>
      <w:r>
        <w:rPr>
          <w:rFonts w:ascii="Times New Roman;Times;Serif" w:hAnsi="Times New Roman;Times;Serif"/>
          <w:b/>
          <w:i w:val="false"/>
          <w:caps w:val="false"/>
          <w:smallCaps w:val="false"/>
          <w:strike/>
          <w:color w:val="FF0000"/>
          <w:sz w:val="20"/>
        </w:rPr>
        <w:t> </w:t>
      </w:r>
      <w:r>
        <w:rPr>
          <w:rFonts w:ascii="Times New Roman;Times;Serif" w:hAnsi="Times New Roman;Times;Serif"/>
          <w:b w:val="false"/>
          <w:i w:val="false"/>
          <w:caps w:val="false"/>
          <w:smallCaps w:val="false"/>
          <w:strike/>
          <w:color w:val="FF0000"/>
          <w:sz w:val="20"/>
        </w:rPr>
        <w:t xml:space="preserve">and renewals and extensions thereof in connection with Permitted Refinancings of the Indebtedness being secured by such Lien; </w:t>
      </w:r>
      <w:r>
        <w:rPr>
          <w:rFonts w:ascii="Times New Roman;Times;Serif" w:hAnsi="Times New Roman;Times;Serif"/>
          <w:b w:val="false"/>
          <w:i w:val="false"/>
          <w:caps w:val="false"/>
          <w:smallCaps w:val="false"/>
          <w:strike/>
          <w:color w:val="FF0000"/>
          <w:sz w:val="20"/>
          <w:u w:val="single"/>
        </w:rPr>
        <w:t xml:space="preserve">provided </w:t>
      </w:r>
      <w:r>
        <w:rPr>
          <w:rFonts w:ascii="Times New Roman;Times;Serif" w:hAnsi="Times New Roman;Times;Serif"/>
          <w:b w:val="false"/>
          <w:i w:val="false"/>
          <w:caps w:val="false"/>
          <w:smallCaps w:val="false"/>
          <w:strike/>
          <w:color w:val="FF0000"/>
          <w:sz w:val="20"/>
        </w:rPr>
        <w:t>that (i) no such Lien (including any renewal or extension thereof) shall extend to any other property or asset of such Obligor or any of its Subsidiaries and (ii) any such Lien shall secure only those obligations which it secures on the Closing Date and renewals, extensions and replacements thereof in connection with Permitted Refinancings of the Indebtedness being secured by such Lien that do not increase the outstanding principal amount thereof;</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Liens securing Indebtedness permitted under </w:t>
      </w:r>
      <w:r>
        <w:rPr>
          <w:rFonts w:ascii="Times New Roman;Times;Serif" w:hAnsi="Times New Roman;Times;Serif"/>
          <w:b/>
          <w:i w:val="false"/>
          <w:caps w:val="false"/>
          <w:smallCaps w:val="false"/>
          <w:sz w:val="20"/>
        </w:rPr>
        <w:t>Section 9.01(j)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are restricted solely to the collateral described in </w:t>
      </w:r>
      <w:r>
        <w:rPr>
          <w:rFonts w:ascii="Times New Roman;Times;Serif" w:hAnsi="Times New Roman;Times;Serif"/>
          <w:b/>
          <w:i w:val="false"/>
          <w:caps w:val="false"/>
          <w:smallCaps w:val="false"/>
          <w:sz w:val="20"/>
        </w:rPr>
        <w:t>Section 9.01(j)</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Liens imposed by operation of Law arising in the Ordinary Course (including carriers’, warehousemen’s, landlords’, and mechanics’ liens, liens relating to leasehold improvements and other similar Liens arising in the Ordinary Course) and which (x) do not in the aggregate materially detract from the value of the property subject thereto or materially impair the use thereof in the operations of the business of such Person or (y) are being contested in good faith by appropriate proceedings, which proceedings have the effect of preventing the forfeiture or sale of the property subject to such Liens and for which adequate reserves have been made if required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pledges, deposits or other Liens made in the Ordinary Course (x) in connection with bids, contract leases, appeal bonds, workers’ compensation, unemployment insurance or other similar social security legislation, or (y) securing liability for reimbursement or indemnification obligations of (including obligations in respect of letters of credit or bank guarantees for the benefit of) insurance carriers providing property, casualty or liability insurance to Borrower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servitudes, easements, rights of way, restrictions and other similar encumbrances on real property imposed by any Law and Liens consisting of zoning or building restrictions, easements, licenses, restrictions on the use of real property or minor imperfections in title thereto which, in the aggregate, are not material, and which do not in any case materially detract from the value of the property subject thereto or interfere with the ordinary conduct of the business of any of the Obligors or any of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with respect to any real property, (i) such defects or encroachments as might be revealed by an up-to-date survey of such real property; (ii) the reservations, limitations, provisos and conditions expressed in the original grant, deed or patent of such property by the original owner of such real property pursuant to all applicable Laws; and (iii) rights of expropriation, access or user or any similar right conferred or reserved by or in any Law, which, in the aggregate for </w:t>
      </w:r>
      <w:r>
        <w:rPr>
          <w:rFonts w:ascii="Times New Roman;Times;Serif" w:hAnsi="Times New Roman;Times;Serif"/>
          <w:b/>
          <w:i w:val="false"/>
          <w:caps w:val="false"/>
          <w:smallCaps w:val="false"/>
          <w:sz w:val="20"/>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are not material, and which do not in any case materially detract from the value of the property subject thereto or interfere with the ordinary conduct of the business of any of the Obligors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Bankers liens, rights of setoff and similar Liens incurred on deposits made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trike/>
          <w:color w:val="FF0000"/>
          <w:sz w:val="20"/>
        </w:rPr>
        <w:t xml:space="preserve">Liens securing Indebtedness permitted under </w:t>
      </w:r>
      <w:r>
        <w:rPr>
          <w:rFonts w:ascii="Times New Roman;Times;Serif" w:hAnsi="Times New Roman;Times;Serif"/>
          <w:b/>
          <w:i w:val="false"/>
          <w:caps w:val="false"/>
          <w:smallCaps w:val="false"/>
          <w:strike/>
          <w:color w:val="FF0000"/>
          <w:sz w:val="20"/>
        </w:rPr>
        <w:t>Section 9.01(l)</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that (i) such Lien is not created in contemplation of or in connection with such Permitted Acquisition pursuant to which such Indebtedness was assumed, (ii) such Lien shall not apply to any other property or assets of the Borrower or any Subsidiary other than the assets subject to such Liens immediately prior to the consummation of such Permitted Acquisition and (iii) such Lien shall secure only those obligations that it secured immediately prior to the consummation of such Permitted Acquisition and Permitted Refinancings thereof;</w:t>
      </w:r>
      <w:r>
        <w:rPr>
          <w:rFonts w:ascii="Times New Roman;Times;Serif" w:hAnsi="Times New Roman;Times;Serif"/>
          <w:b w:val="false"/>
          <w:i w:val="false"/>
          <w:caps w:val="false"/>
          <w:smallCaps w:val="false"/>
          <w:color w:val="0000FF"/>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Liens securing Indebtedness permitted under </w:t>
      </w:r>
      <w:r>
        <w:rPr>
          <w:rFonts w:ascii="Times New Roman;Times;Serif" w:hAnsi="Times New Roman;Times;Serif"/>
          <w:b/>
          <w:i w:val="false"/>
          <w:caps w:val="false"/>
          <w:smallCaps w:val="false"/>
          <w:sz w:val="20"/>
        </w:rPr>
        <w:t>Sections 9.01(p)</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(q)</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(r)</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judgment lien or lien arising from decrees or attachments not constituting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arising from precautionary UCC financing statement filings regarding operating leases of personal property and consignment arrangements entered into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other Liens not securing borrowed money which secure obligations in an aggregate amount not to exceed $</w:t>
      </w:r>
      <w:r>
        <w:rPr>
          <w:rFonts w:ascii="Times New Roman;Times;Serif" w:hAnsi="Times New Roman;Times;Serif"/>
          <w:b w:val="false"/>
          <w:i w:val="false"/>
          <w:caps w:val="false"/>
          <w:smallCaps w:val="false"/>
          <w:strike/>
          <w:color w:val="FF0000"/>
          <w:sz w:val="20"/>
        </w:rPr>
        <w:t>5,000,000</w:t>
      </w:r>
      <w:r>
        <w:rPr>
          <w:rFonts w:ascii="Times New Roman;Times;Serif" w:hAnsi="Times New Roman;Times;Serif"/>
          <w:b w:val="false"/>
          <w:i w:val="false"/>
          <w:caps w:val="false"/>
          <w:smallCaps w:val="false"/>
          <w:color w:val="0000FF"/>
          <w:sz w:val="20"/>
          <w:u w:val="single"/>
        </w:rPr>
        <w:t xml:space="preserve">50,000 </w:t>
      </w:r>
      <w:r>
        <w:rPr>
          <w:rFonts w:ascii="Times New Roman;Times;Serif" w:hAnsi="Times New Roman;Times;Serif"/>
          <w:b w:val="false"/>
          <w:i w:val="false"/>
          <w:caps w:val="false"/>
          <w:smallCaps w:val="false"/>
          <w:sz w:val="20"/>
        </w:rPr>
        <w:t>(or the Equivalent Amount in other currencies)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Liens in favor of customs and revenue authorities arising as a matter of law to secure payment of customs duties in connection with the importation of goods and incurred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Permitted Licenses and, solely with respect to assets owned by third parties and licensed or leased to such Obligor or any of its Subsidiaries, retained interests or title of licensors or lessors that do not conflict with such Obligor’s or any such Subsidiaries’ use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Liens on cash and Permitted Cash Equivalent Investments securing obligation under Permitted Hedging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 Liens to secure payment of workers’ compensation, employment insurance, old age pensions, social security and other like obligations incurred in the Ordinary Course (other than Liens imposed by ERISA) and (ii) deposits in respect of letters of credit, bank guarantees or similar instruments issued for the account of any Obligor or any Subsidiary in the Ordinary Course supporting obligations of the type set forth in clause (i)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Liens solely on any cash earnest money deposits made by Borrower or any of the Subsidiaries in connection with any letter of intent or purchase agreement in respect of any Investment permitted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Liens arising out of any sale-leaseback transaction not prohibited by </w:t>
      </w:r>
      <w:r>
        <w:rPr>
          <w:rFonts w:ascii="Times New Roman;Times;Serif" w:hAnsi="Times New Roman;Times;Serif"/>
          <w:b/>
          <w:i w:val="false"/>
          <w:caps w:val="false"/>
          <w:smallCaps w:val="false"/>
          <w:sz w:val="20"/>
        </w:rPr>
        <w:t>Section 9.14</w:t>
      </w:r>
      <w:r>
        <w:rPr>
          <w:rFonts w:ascii="Times New Roman;Times;Serif" w:hAnsi="Times New Roman;Times;Serif"/>
          <w:b w:val="false"/>
          <w:i w:val="false"/>
          <w:caps w:val="false"/>
          <w:smallCaps w:val="false"/>
          <w:sz w:val="20"/>
        </w:rPr>
        <w:t>, so long as such Liens attach only to the property sold and being leased in such transaction and any accessions and additions thereto or proceeds and products thereof and related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no Lien otherwise permitted under any of the foregoing </w:t>
      </w:r>
      <w:r>
        <w:rPr>
          <w:rFonts w:ascii="Times New Roman;Times;Serif" w:hAnsi="Times New Roman;Times;Serif"/>
          <w:b/>
          <w:i w:val="false"/>
          <w:caps w:val="false"/>
          <w:smallCaps w:val="false"/>
          <w:sz w:val="20"/>
        </w:rPr>
        <w:t xml:space="preserve">clauses </w:t>
      </w:r>
      <w:r>
        <w:rPr>
          <w:rFonts w:ascii="Times New Roman;Times;Serif" w:hAnsi="Times New Roman;Times;Serif"/>
          <w:b/>
          <w:i w:val="false"/>
          <w:caps w:val="false"/>
          <w:smallCaps w:val="false"/>
          <w:strike/>
          <w:color w:val="FF0000"/>
          <w:sz w:val="20"/>
        </w:rPr>
        <w:t xml:space="preserve">(b), </w:t>
      </w:r>
      <w:r>
        <w:rPr>
          <w:rFonts w:ascii="Times New Roman;Times;Serif" w:hAnsi="Times New Roman;Times;Serif"/>
          <w:b/>
          <w:i w:val="false"/>
          <w:caps w:val="false"/>
          <w:smallCaps w:val="false"/>
          <w:sz w:val="20"/>
        </w:rPr>
        <w:t>(c), (d), (e) (g)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i w:val="false"/>
          <w:caps w:val="false"/>
          <w:smallCaps w:val="false"/>
          <w:sz w:val="20"/>
        </w:rPr>
        <w:t>(p) </w:t>
      </w:r>
      <w:r>
        <w:rPr>
          <w:rFonts w:ascii="Times New Roman;Times;Serif" w:hAnsi="Times New Roman;Times;Serif"/>
          <w:b w:val="false"/>
          <w:i w:val="false"/>
          <w:caps w:val="false"/>
          <w:smallCaps w:val="false"/>
          <w:sz w:val="20"/>
        </w:rPr>
        <w:t xml:space="preserve">of this </w:t>
      </w:r>
      <w:r>
        <w:rPr>
          <w:rFonts w:ascii="Times New Roman;Times;Serif" w:hAnsi="Times New Roman;Times;Serif"/>
          <w:b/>
          <w:i w:val="false"/>
          <w:caps w:val="false"/>
          <w:smallCaps w:val="false"/>
          <w:sz w:val="20"/>
        </w:rPr>
        <w:t xml:space="preserve">Section 9.02 </w:t>
      </w:r>
      <w:r>
        <w:rPr>
          <w:rFonts w:ascii="Times New Roman;Times;Serif" w:hAnsi="Times New Roman;Times;Serif"/>
          <w:b w:val="false"/>
          <w:i w:val="false"/>
          <w:caps w:val="false"/>
          <w:smallCaps w:val="false"/>
          <w:sz w:val="20"/>
        </w:rPr>
        <w:t xml:space="preserve">shall apply to any Material Intellectual Property, except for Liens securing Indebtedness permitted under clause </w:t>
      </w:r>
      <w:r>
        <w:rPr>
          <w:rFonts w:ascii="Times New Roman;Times;Serif" w:hAnsi="Times New Roman;Times;Serif"/>
          <w:b/>
          <w:i w:val="false"/>
          <w:caps w:val="false"/>
          <w:smallCaps w:val="false"/>
          <w:sz w:val="20"/>
        </w:rPr>
        <w:t>(o) </w:t>
      </w:r>
      <w:r>
        <w:rPr>
          <w:rFonts w:ascii="Times New Roman;Times;Serif" w:hAnsi="Times New Roman;Times;Serif"/>
          <w:b w:val="false"/>
          <w:i w:val="false"/>
          <w:caps w:val="false"/>
          <w:smallCaps w:val="false"/>
          <w:sz w:val="20"/>
        </w:rPr>
        <w:t xml:space="preserve">of this </w:t>
      </w:r>
      <w:r>
        <w:rPr>
          <w:rFonts w:ascii="Times New Roman;Times;Serif" w:hAnsi="Times New Roman;Times;Serif"/>
          <w:b/>
          <w:i w:val="false"/>
          <w:caps w:val="false"/>
          <w:smallCaps w:val="false"/>
          <w:sz w:val="20"/>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Fundamental Changes and Acquisitions</w:t>
      </w:r>
      <w:r>
        <w:rPr>
          <w:rFonts w:ascii="Times New Roman;Times;Serif" w:hAnsi="Times New Roman;Times;Serif"/>
          <w:b w:val="false"/>
          <w:i w:val="false"/>
          <w:caps w:val="false"/>
          <w:smallCaps w:val="false"/>
          <w:sz w:val="20"/>
        </w:rPr>
        <w:t xml:space="preserve">. Such Obligor will not, and will not permit any of its Subsidiaries </w:t>
      </w:r>
      <w:r>
        <w:rPr>
          <w:rFonts w:ascii="Times New Roman;Times;Serif" w:hAnsi="Times New Roman;Times;Serif"/>
          <w:b w:val="false"/>
          <w:i w:val="false"/>
          <w:caps w:val="false"/>
          <w:smallCaps w:val="false"/>
          <w:strike/>
          <w:color w:val="FF0000"/>
          <w:sz w:val="20"/>
        </w:rPr>
        <w:t>(in each case, except for the BXCL 701 Subsidiaries following a Permitted BXCL 701 Release Event) to, (i) other than Permitted Acquisitions,</w:t>
      </w:r>
      <w:r>
        <w:rPr>
          <w:rFonts w:ascii="Times New Roman;Times;Serif" w:hAnsi="Times New Roman;Times;Serif"/>
          <w:b w:val="false"/>
          <w:i w:val="false"/>
          <w:caps w:val="false"/>
          <w:smallCaps w:val="false"/>
          <w:color w:val="0000FF"/>
          <w:sz w:val="20"/>
          <w:u w:val="single"/>
        </w:rPr>
        <w:t>to, (i)</w:t>
      </w:r>
      <w:r>
        <w:rPr>
          <w:rFonts w:ascii="Times New Roman;Times;Serif" w:hAnsi="Times New Roman;Times;Serif"/>
          <w:b w:val="false"/>
          <w:i w:val="false"/>
          <w:caps w:val="false"/>
          <w:smallCaps w:val="false"/>
          <w:sz w:val="20"/>
        </w:rPr>
        <w:t> enter into any transaction of merger, amalgamation or consolidation (or otherwise merge, amalgamate or consolidate), (ii) liquidate, wind up or dissolve itself (or suffer any liquidation or dissolution), (iii) sell or issue any of its Disqualified Equity Interests or (iv) </w:t>
      </w:r>
      <w:r>
        <w:rPr>
          <w:rFonts w:ascii="Times New Roman;Times;Serif" w:hAnsi="Times New Roman;Times;Serif"/>
          <w:b w:val="false"/>
          <w:i w:val="false"/>
          <w:caps w:val="false"/>
          <w:smallCaps w:val="false"/>
          <w:strike/>
          <w:color w:val="FF0000"/>
          <w:sz w:val="20"/>
        </w:rPr>
        <w:t xml:space="preserve">other than Permitted Acquisitions, </w:t>
      </w:r>
      <w:r>
        <w:rPr>
          <w:rFonts w:ascii="Times New Roman;Times;Serif" w:hAnsi="Times New Roman;Times;Serif"/>
          <w:b w:val="false"/>
          <w:i w:val="false"/>
          <w:caps w:val="false"/>
          <w:smallCaps w:val="false"/>
          <w:sz w:val="20"/>
        </w:rPr>
        <w:t>make any Acquisition or otherwise acquire any business or substantially all the property from, or Equity Interests of, or be a party to any Acquisition of, any Person</w:t>
      </w:r>
      <w:r>
        <w:rPr>
          <w:rFonts w:ascii="Times New Roman;Times;Serif" w:hAnsi="Times New Roman;Times;Serif"/>
          <w:b w:val="false"/>
          <w:i w:val="false"/>
          <w:caps w:val="false"/>
          <w:smallCaps w:val="false"/>
          <w:strike/>
          <w:color w:val="FF0000"/>
          <w:sz w:val="20"/>
        </w:rPr>
        <w:t>, except:</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the merger, amalgamation or consolidation or liquidation of any (i) Subsidiary with or into any Obligor; </w:t>
      </w:r>
      <w:r>
        <w:rPr>
          <w:rFonts w:ascii="Times New Roman;Times;Serif" w:hAnsi="Times New Roman;Times;Serif"/>
          <w:b w:val="false"/>
          <w:i w:val="false"/>
          <w:caps w:val="false"/>
          <w:smallCaps w:val="false"/>
          <w:strike/>
          <w:color w:val="FF0000"/>
          <w:sz w:val="20"/>
          <w:u w:val="single"/>
        </w:rPr>
        <w:t xml:space="preserve">provided </w:t>
      </w:r>
      <w:r>
        <w:rPr>
          <w:rFonts w:ascii="Times New Roman;Times;Serif" w:hAnsi="Times New Roman;Times;Serif"/>
          <w:b w:val="false"/>
          <w:i w:val="false"/>
          <w:caps w:val="false"/>
          <w:smallCaps w:val="false"/>
          <w:strike/>
          <w:color w:val="FF0000"/>
          <w:sz w:val="20"/>
        </w:rPr>
        <w:t>that with respect to any such transaction involving (x) the Borrower, the Borrower must be the surviving or successor entity of such transaction and (y) any other Obligor, such Obligor must be the surviving or successor entity of such transaction (unless such transaction involves more than one Obligor, then an Obligor must be the surviving or successor entity of such transaction) or (ii) any Subsidiary that is not an Obligor with or into any other Subsidiary that is not an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the sale, lease, transfer or other disposition by (i) any Subsidiary of any or all of its property (upon voluntary liquidation or otherwise) to any Obligor or (ii) any Subsidiary that is not an Obligor of any or all of its property (upon voluntary liquidation or otherwise) to any other Subsidiary that is not an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the sale, transfer or other disposition of the Equity Interests of (i) any Subsidiary to any Obligor or (ii) any Subsidiary that is not an Obligor to any other Subsidiary that is not an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any Permitted BXCL 701 Disposition Event;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the disposition of any Subsidiary permitted by </w:t>
      </w:r>
      <w:r>
        <w:rPr>
          <w:rFonts w:ascii="Times New Roman;Times;Serif" w:hAnsi="Times New Roman;Times;Serif"/>
          <w:b/>
          <w:i w:val="false"/>
          <w:caps w:val="false"/>
          <w:smallCaps w:val="false"/>
          <w:strike/>
          <w:color w:val="FF0000"/>
          <w:sz w:val="20"/>
        </w:rPr>
        <w:t>Section 9.09</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Lines of Business</w:t>
      </w:r>
      <w:r>
        <w:rPr>
          <w:rFonts w:ascii="Times New Roman;Times;Serif" w:hAnsi="Times New Roman;Times;Serif"/>
          <w:b w:val="false"/>
          <w:i w:val="false"/>
          <w:caps w:val="false"/>
          <w:smallCaps w:val="false"/>
          <w:sz w:val="20"/>
        </w:rPr>
        <w:t xml:space="preserve">. Such Obligor will not, and will not permit any of its Subsidiaries to, engage in any business other than the business engaged in on the Closing Date </w:t>
      </w:r>
      <w:r>
        <w:rPr>
          <w:rFonts w:ascii="Times New Roman;Times;Serif" w:hAnsi="Times New Roman;Times;Serif"/>
          <w:b w:val="false"/>
          <w:i w:val="false"/>
          <w:caps w:val="false"/>
          <w:smallCaps w:val="false"/>
          <w:strike/>
          <w:color w:val="FF0000"/>
          <w:sz w:val="20"/>
        </w:rPr>
        <w:t xml:space="preserve">(or in the case of the BXCL 701 Subsidiaries, contemplated on the Closing Date) </w:t>
      </w:r>
      <w:r>
        <w:rPr>
          <w:rFonts w:ascii="Times New Roman;Times;Serif" w:hAnsi="Times New Roman;Times;Serif"/>
          <w:b w:val="false"/>
          <w:i w:val="false"/>
          <w:caps w:val="false"/>
          <w:smallCaps w:val="false"/>
          <w:sz w:val="20"/>
        </w:rPr>
        <w:t xml:space="preserve">by such Persons </w:t>
      </w:r>
      <w:r>
        <w:rPr>
          <w:rFonts w:ascii="Times New Roman;Times;Serif" w:hAnsi="Times New Roman;Times;Serif"/>
          <w:b w:val="false"/>
          <w:i w:val="false"/>
          <w:caps w:val="false"/>
          <w:smallCaps w:val="false"/>
          <w:strike/>
          <w:color w:val="FF0000"/>
          <w:sz w:val="20"/>
        </w:rPr>
        <w:t>or a business reasonably related, incidental or complementary thereto or reasonable extensions thereof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Investments</w:t>
      </w:r>
      <w:r>
        <w:rPr>
          <w:rFonts w:ascii="Times New Roman;Times;Serif" w:hAnsi="Times New Roman;Times;Serif"/>
          <w:b w:val="false"/>
          <w:i w:val="false"/>
          <w:caps w:val="false"/>
          <w:smallCaps w:val="false"/>
          <w:sz w:val="20"/>
        </w:rPr>
        <w:t xml:space="preserve">. Such Obligor will not, and will not permit any of its Subsidiaries </w:t>
      </w:r>
      <w:r>
        <w:rPr>
          <w:rFonts w:ascii="Times New Roman;Times;Serif" w:hAnsi="Times New Roman;Times;Serif"/>
          <w:b w:val="false"/>
          <w:i w:val="false"/>
          <w:caps w:val="false"/>
          <w:smallCaps w:val="false"/>
          <w:strike/>
          <w:color w:val="FF0000"/>
          <w:sz w:val="20"/>
        </w:rPr>
        <w:t xml:space="preserve">(in each case, except for the BXCL 701 Subsidiaries following a Permitted BXCL 701 Release Event) </w:t>
      </w:r>
      <w:r>
        <w:rPr>
          <w:rFonts w:ascii="Times New Roman;Times;Serif" w:hAnsi="Times New Roman;Times;Serif"/>
          <w:b w:val="false"/>
          <w:i w:val="false"/>
          <w:caps w:val="false"/>
          <w:smallCaps w:val="false"/>
          <w:sz w:val="20"/>
        </w:rPr>
        <w:t>to make, directly or indirectly, or permit to remain outstanding any Investments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Investments (but without giving effect to the cash return provision contained in the definition thereof) outstanding on the Closing Date and identified in </w:t>
      </w:r>
      <w:r>
        <w:rPr>
          <w:rFonts w:ascii="Times New Roman;Times;Serif" w:hAnsi="Times New Roman;Times;Serif"/>
          <w:b/>
          <w:i w:val="false"/>
          <w:caps w:val="false"/>
          <w:smallCaps w:val="false"/>
          <w:strike/>
          <w:color w:val="FF0000"/>
          <w:sz w:val="20"/>
        </w:rPr>
        <w:t xml:space="preserve">Schedule 9.05 </w:t>
      </w:r>
      <w:r>
        <w:rPr>
          <w:rFonts w:ascii="Times New Roman;Times;Serif" w:hAnsi="Times New Roman;Times;Serif"/>
          <w:b w:val="false"/>
          <w:i w:val="false"/>
          <w:caps w:val="false"/>
          <w:smallCaps w:val="false"/>
          <w:strike/>
          <w:color w:val="FF0000"/>
          <w:sz w:val="20"/>
        </w:rPr>
        <w:t>and any renewals, amendments and replacements thereof that do not increase the amount thereof of any such Investment, net of cash returns thereon, or require that any additional Investment be made (unless otherwise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operating deposit accounts with banks (or similar deposit-taking institutions) that, in the case maintained by Obligors, are compliant with </w:t>
      </w:r>
      <w:r>
        <w:rPr>
          <w:rFonts w:ascii="Times New Roman;Times;Serif" w:hAnsi="Times New Roman;Times;Serif"/>
          <w:b/>
          <w:i w:val="false"/>
          <w:caps w:val="false"/>
          <w:smallCaps w:val="false"/>
          <w:sz w:val="20"/>
        </w:rPr>
        <w:t>Section 8.17(a)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extensions of credit in the nature of accounts receivable or notes receivable arising from the sales of goods or services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Permitted Cash Equivalent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Investments by an Obligor </w:t>
      </w:r>
      <w:r>
        <w:rPr>
          <w:rFonts w:ascii="Times New Roman;Times;Serif" w:hAnsi="Times New Roman;Times;Serif"/>
          <w:b w:val="false"/>
          <w:i w:val="false"/>
          <w:caps w:val="false"/>
          <w:smallCaps w:val="false"/>
          <w:strike/>
          <w:color w:val="FF0000"/>
          <w:sz w:val="20"/>
        </w:rPr>
        <w:t>(i) </w:t>
      </w:r>
      <w:r>
        <w:rPr>
          <w:rFonts w:ascii="Times New Roman;Times;Serif" w:hAnsi="Times New Roman;Times;Serif"/>
          <w:b w:val="false"/>
          <w:i w:val="false"/>
          <w:caps w:val="false"/>
          <w:smallCaps w:val="false"/>
          <w:sz w:val="20"/>
        </w:rPr>
        <w:t>in another Obligor</w:t>
      </w:r>
      <w:r>
        <w:rPr>
          <w:rFonts w:ascii="Times New Roman;Times;Serif" w:hAnsi="Times New Roman;Times;Serif"/>
          <w:b w:val="false"/>
          <w:i w:val="false"/>
          <w:caps w:val="false"/>
          <w:smallCaps w:val="false"/>
          <w:strike/>
          <w:color w:val="FF0000"/>
          <w:sz w:val="20"/>
        </w:rPr>
        <w:t xml:space="preserve">, (ii) in connection with a Permitted Acquisition, or (iii) in a Subsidiary that is not an Obligor;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that (A) Investments made pursuant to this </w:t>
      </w:r>
      <w:r>
        <w:rPr>
          <w:rFonts w:ascii="Times New Roman;Times;Serif" w:hAnsi="Times New Roman;Times;Serif"/>
          <w:b/>
          <w:i w:val="false"/>
          <w:caps w:val="false"/>
          <w:smallCaps w:val="false"/>
          <w:strike/>
          <w:color w:val="FF0000"/>
          <w:sz w:val="20"/>
        </w:rPr>
        <w:t>clause (iii)</w:t>
      </w:r>
      <w:r>
        <w:rPr>
          <w:rFonts w:ascii="Times New Roman;Times;Serif" w:hAnsi="Times New Roman;Times;Serif"/>
          <w:b w:val="false"/>
          <w:i w:val="false"/>
          <w:caps w:val="false"/>
          <w:smallCaps w:val="false"/>
          <w:strike/>
          <w:color w:val="FF0000"/>
          <w:sz w:val="20"/>
        </w:rPr>
        <w:t xml:space="preserve">, together with any Indebtedness incurred pursuant to </w:t>
      </w:r>
      <w:r>
        <w:rPr>
          <w:rFonts w:ascii="Times New Roman;Times;Serif" w:hAnsi="Times New Roman;Times;Serif"/>
          <w:b/>
          <w:i w:val="false"/>
          <w:caps w:val="false"/>
          <w:smallCaps w:val="false"/>
          <w:strike/>
          <w:color w:val="FF0000"/>
          <w:sz w:val="20"/>
        </w:rPr>
        <w:t>Section 9.01(h)</w:t>
      </w:r>
      <w:r>
        <w:rPr>
          <w:rFonts w:ascii="Times New Roman;Times;Serif" w:hAnsi="Times New Roman;Times;Serif"/>
          <w:b w:val="false"/>
          <w:i w:val="false"/>
          <w:caps w:val="false"/>
          <w:smallCaps w:val="false"/>
          <w:strike/>
          <w:color w:val="FF0000"/>
          <w:sz w:val="20"/>
        </w:rPr>
        <w:t xml:space="preserve">, shall not exceed $5,000,000 in the aggregate at any time and (B) no Intellectual Property shall be subject to any Investment pursuant to this </w:t>
      </w:r>
      <w:r>
        <w:rPr>
          <w:rFonts w:ascii="Times New Roman;Times;Serif" w:hAnsi="Times New Roman;Times;Serif"/>
          <w:b/>
          <w:i w:val="false"/>
          <w:caps w:val="false"/>
          <w:smallCaps w:val="false"/>
          <w:strike/>
          <w:color w:val="FF0000"/>
          <w:sz w:val="20"/>
        </w:rPr>
        <w:t>clause (iii) </w:t>
      </w:r>
      <w:r>
        <w:rPr>
          <w:rFonts w:ascii="Times New Roman;Times;Serif" w:hAnsi="Times New Roman;Times;Serif"/>
          <w:b w:val="false"/>
          <w:i w:val="false"/>
          <w:caps w:val="false"/>
          <w:smallCaps w:val="false"/>
          <w:strike/>
          <w:color w:val="FF0000"/>
          <w:sz w:val="20"/>
        </w:rPr>
        <w:t xml:space="preserve">(other than, with respect to each of the foregoing </w:t>
      </w:r>
      <w:r>
        <w:rPr>
          <w:rFonts w:ascii="Times New Roman;Times;Serif" w:hAnsi="Times New Roman;Times;Serif"/>
          <w:b/>
          <w:i w:val="false"/>
          <w:caps w:val="false"/>
          <w:smallCaps w:val="false"/>
          <w:strike/>
          <w:color w:val="FF0000"/>
          <w:sz w:val="20"/>
        </w:rPr>
        <w:t>clauses (A)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i w:val="false"/>
          <w:caps w:val="false"/>
          <w:smallCaps w:val="false"/>
          <w:strike/>
          <w:color w:val="FF0000"/>
          <w:sz w:val="20"/>
        </w:rPr>
        <w:t>(B)</w:t>
      </w:r>
      <w:r>
        <w:rPr>
          <w:rFonts w:ascii="Times New Roman;Times;Serif" w:hAnsi="Times New Roman;Times;Serif"/>
          <w:b w:val="false"/>
          <w:i w:val="false"/>
          <w:caps w:val="false"/>
          <w:smallCaps w:val="false"/>
          <w:strike/>
          <w:color w:val="FF0000"/>
          <w:sz w:val="20"/>
        </w:rPr>
        <w:t>, pursuant to Permitted Licenses and Product Authorizations for non-U.S. jurisdictions contributed or transferred to a non-U.S. Subsidiary solely for purposes of Product Commercialization and Development Activities in non-U.S. jurisdictions);</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Investments by a Subsidiary that is not an Obligor in (i) any other Subsidiary that is not an Obligor and (ii) in any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Permitted Hedging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consisting of prepaid expenses, negotiable instruments held for collection or deposit, security deposits with utilities, landlords and other like Persons and deposits in connection with workers’ compensation and similar deposits, in each case, made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employee loans, travel advances and guarantees in accordance with the Borrower’s usual and customary practices with respect thereto (if permitted by applicable Laws) which in the aggregate shall not exceed $2,500,000 (or the Equivalent Amount in other currencies) outstanding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Investments received in connection with any Insolvency Proceedings in respect of any customers, suppliers or clients and in settlement of delinquent obligations of, and other disputes with, customers, suppliers or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trike/>
          <w:color w:val="FF0000"/>
          <w:sz w:val="20"/>
        </w:rPr>
        <w:t xml:space="preserve">Investments in joint ventures;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that (A) such Investments consisting of cash and Permitted Cash Equivalent Investments shall not exceed $5,000,000 (or the Equivalent Amount in other currencies) in the aggregate outstanding at any time and (B) no Intellectual Property shall be subject to an Investment pursuant to this </w:t>
      </w:r>
      <w:r>
        <w:rPr>
          <w:rFonts w:ascii="Times New Roman;Times;Serif" w:hAnsi="Times New Roman;Times;Serif"/>
          <w:b/>
          <w:i w:val="false"/>
          <w:caps w:val="false"/>
          <w:smallCaps w:val="false"/>
          <w:strike/>
          <w:color w:val="FF0000"/>
          <w:sz w:val="20"/>
        </w:rPr>
        <w:t>Section 9.05(k)</w:t>
      </w:r>
      <w:r>
        <w:rPr>
          <w:rFonts w:ascii="Times New Roman;Times;Serif" w:hAnsi="Times New Roman;Times;Serif"/>
          <w:b w:val="false"/>
          <w:i w:val="false"/>
          <w:caps w:val="false"/>
          <w:smallCaps w:val="false"/>
          <w:strike/>
          <w:color w:val="FF0000"/>
          <w:sz w:val="20"/>
        </w:rPr>
        <w:t> (other than pursuant to Permitted Licenses and Product Authorizations in non-U.S. jurisdictions contributed or transferred to a non-U.S. joint venture for purposes of Product Commercialization and Development Activities in non-U.S. jurisdictions);</w:t>
      </w:r>
      <w:r>
        <w:rPr>
          <w:rFonts w:ascii="Times New Roman;Times;Serif" w:hAnsi="Times New Roman;Times;Serif"/>
          <w:b w:val="false"/>
          <w:i w:val="false"/>
          <w:caps w:val="false"/>
          <w:smallCaps w:val="false"/>
          <w:color w:val="0000FF"/>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the increase in value of any Investment otherwise permitted pursuant to this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trike/>
          <w:color w:val="FF0000"/>
          <w:sz w:val="20"/>
        </w:rPr>
        <w:t>other Investments in an aggregate amount not to exceed $15,000,000 (or the Equivalent Amount in other currencies)</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trike/>
          <w:color w:val="FF0000"/>
          <w:sz w:val="20"/>
        </w:rPr>
        <w:t>Investments of any Person in existence at the time such Person becomes a Subsidiary; provided such Investment was not made in connection with or anticipation of such Person becoming a Subsidiary and any modification, replacement, renewal or extension thereof;</w:t>
      </w:r>
      <w:r>
        <w:rPr>
          <w:rFonts w:ascii="Times New Roman;Times;Serif" w:hAnsi="Times New Roman;Times;Serif"/>
          <w:b w:val="false"/>
          <w:i w:val="false"/>
          <w:caps w:val="false"/>
          <w:smallCaps w:val="false"/>
          <w:color w:val="0000FF"/>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trike/>
          <w:color w:val="FF0000"/>
          <w:sz w:val="20"/>
        </w:rPr>
        <w:t xml:space="preserve">Investments (including Permitted Acquisitions) permitted under </w:t>
      </w:r>
      <w:r>
        <w:rPr>
          <w:rFonts w:ascii="Times New Roman;Times;Serif" w:hAnsi="Times New Roman;Times;Serif"/>
          <w:b/>
          <w:i w:val="false"/>
          <w:caps w:val="false"/>
          <w:smallCaps w:val="false"/>
          <w:strike/>
          <w:color w:val="FF0000"/>
          <w:sz w:val="20"/>
        </w:rPr>
        <w:t>Section 9.03</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trike/>
          <w:color w:val="FF0000"/>
          <w:sz w:val="20"/>
        </w:rPr>
        <w:t>the BXCL 701 Asset Contribution</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trike/>
          <w:color w:val="FF0000"/>
          <w:sz w:val="20"/>
        </w:rPr>
        <w:t xml:space="preserve">Investments permitted pursuant to </w:t>
      </w:r>
      <w:r>
        <w:rPr>
          <w:rFonts w:ascii="Times New Roman;Times;Serif" w:hAnsi="Times New Roman;Times;Serif"/>
          <w:b/>
          <w:i w:val="false"/>
          <w:caps w:val="false"/>
          <w:smallCaps w:val="false"/>
          <w:strike/>
          <w:color w:val="FF0000"/>
          <w:sz w:val="20"/>
        </w:rPr>
        <w:t>Section 9.19(a)</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Restricted Payments</w:t>
      </w:r>
      <w:r>
        <w:rPr>
          <w:rFonts w:ascii="Times New Roman;Times;Serif" w:hAnsi="Times New Roman;Times;Serif"/>
          <w:b w:val="false"/>
          <w:i w:val="false"/>
          <w:caps w:val="false"/>
          <w:smallCaps w:val="false"/>
          <w:sz w:val="20"/>
        </w:rPr>
        <w:t xml:space="preserve">. Such Obligor will not, and will not permit any of its Subsidiaries to, declare or make, or agree to pay or make, directly or indirectly, any Restricted 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following Restricted Payments shall be permitted so long as no Default (solely in the case of </w:t>
      </w:r>
      <w:r>
        <w:rPr>
          <w:rFonts w:ascii="Times New Roman;Times;Serif" w:hAnsi="Times New Roman;Times;Serif"/>
          <w:b w:val="false"/>
          <w:i w:val="false"/>
          <w:caps w:val="false"/>
          <w:smallCaps w:val="false"/>
          <w:strike/>
          <w:color w:val="FF0000"/>
          <w:sz w:val="20"/>
        </w:rPr>
        <w:t>clauses (a), (b), (d),</w:t>
      </w:r>
      <w:r>
        <w:rPr>
          <w:rFonts w:ascii="Times New Roman;Times;Serif" w:hAnsi="Times New Roman;Times;Serif"/>
          <w:b w:val="false"/>
          <w:i w:val="false"/>
          <w:caps w:val="false"/>
          <w:smallCaps w:val="false"/>
          <w:color w:val="0000FF"/>
          <w:sz w:val="20"/>
          <w:u w:val="single"/>
        </w:rPr>
        <w:t xml:space="preserve">clause </w:t>
      </w:r>
      <w:r>
        <w:rPr>
          <w:rFonts w:ascii="Times New Roman;Times;Serif" w:hAnsi="Times New Roman;Times;Serif"/>
          <w:b w:val="false"/>
          <w:i w:val="false"/>
          <w:caps w:val="false"/>
          <w:smallCaps w:val="false"/>
          <w:sz w:val="20"/>
        </w:rPr>
        <w:t>(h)</w:t>
      </w:r>
      <w:r>
        <w:rPr>
          <w:rFonts w:ascii="Times New Roman;Times;Serif" w:hAnsi="Times New Roman;Times;Serif"/>
          <w:b w:val="false"/>
          <w:i w:val="false"/>
          <w:caps w:val="false"/>
          <w:smallCaps w:val="false"/>
          <w:strike/>
          <w:color w:val="FF0000"/>
          <w:sz w:val="20"/>
        </w:rPr>
        <w:t>, (i) or (j) below</w:t>
      </w:r>
      <w:r>
        <w:rPr>
          <w:rFonts w:ascii="Times New Roman;Times;Serif" w:hAnsi="Times New Roman;Times;Serif"/>
          <w:b w:val="false"/>
          <w:i w:val="false"/>
          <w:caps w:val="false"/>
          <w:smallCaps w:val="false"/>
          <w:sz w:val="20"/>
        </w:rPr>
        <w:t>) or Event of Default has occurred and is continuing or could reasonably be expected to occur or result from such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dividends with respect to the Borrower’s Equity Interests payable solely in shares of its Qualified Equity Interests (or the equivalent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trike/>
          <w:color w:val="FF0000"/>
          <w:sz w:val="20"/>
        </w:rPr>
        <w:t>the Borrower’s purchase, redemption, retirement, or other acquisition of shares of its Equity Interests with the proceeds received from a substantially concurrent issue of new shares of its Qualified Equity Interests</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dividends or distributions paid in cash by any Subsidiary to any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trike/>
          <w:color w:val="FF0000"/>
          <w:sz w:val="20"/>
        </w:rPr>
        <w:t>any purchase, redemption, retirement or other acquisition of Equity Interests of the Borrower held by officers, directors and employees or former officers, directors or employees (or their transferees, estates, or beneficiaries under their estates) of Borrower and its Subsidiaries not to exceed $2,500,000 (or the Equivalent Amount in other currencies) in any fiscal year;</w:t>
      </w:r>
      <w:r>
        <w:rPr>
          <w:rFonts w:ascii="Times New Roman;Times;Serif" w:hAnsi="Times New Roman;Times;Serif"/>
          <w:b w:val="false"/>
          <w:i w:val="false"/>
          <w:caps w:val="false"/>
          <w:smallCaps w:val="false"/>
          <w:color w:val="0000FF"/>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cashless exercises of options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cash payments made by the Borrower in lieu of fractional shares upon exercise of warrants or options or conversions of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Borrower may acquire (or withhold) its Equity Interests pursuant to any employee equity incentive or similar plan to pay withholding taxes for which Borrower is liable in respect of a current or former officer, director, employee, member of management or consultant upon such grant or award (or upon vesting or exercise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Investment permitted pursuant to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 xml:space="preserve"> to the extent constituting a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trike/>
          <w:color w:val="FF0000"/>
          <w:sz w:val="20"/>
        </w:rPr>
        <w:t>Permitted Tax Distributions</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trike/>
          <w:color w:val="FF0000"/>
          <w:sz w:val="20"/>
        </w:rPr>
        <w:t>other Restricted Payments in an aggregate amount not to exceed $2,500,000 (or the Equivalent Amount in other currencies) in any fiscal year</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Notwithstanding anything to the contrary in the foregoing, (i) the issuance of, entry into (including any payments of premiums in connection therewith), performance of obligations under (including any payments of interest), and conversion, exercise, repurchase, redemption, settlement or early termination or cancellation of (whether in whole or in part and including by netting or set-off) (in each case, whether in cash, Common Stock or, following a merger event or other change of the Common Stock, other securities or property), or the satisfaction of any condition that would permit or require any of the foregoing, any Permitted Convertible Debt, any Permitted Bond Hedge Transaction and any Permitted Warrant Transaction, in each case, shall not constitute a Restricted Payment by the Borrower, and (ii) BXCL 701 Disposition Proceeds shall not be used for any Restricted Payments (other than dividends or distributions paid to an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Payments of Indebtedness</w:t>
      </w:r>
      <w:r>
        <w:rPr>
          <w:rFonts w:ascii="Times New Roman;Times;Serif" w:hAnsi="Times New Roman;Times;Serif"/>
          <w:b w:val="false"/>
          <w:i w:val="false"/>
          <w:caps w:val="false"/>
          <w:smallCaps w:val="false"/>
          <w:sz w:val="20"/>
        </w:rPr>
        <w:t xml:space="preserve">. Such Obligor will not, and will not permit any of its Subsidiaries </w:t>
      </w:r>
      <w:r>
        <w:rPr>
          <w:rFonts w:ascii="Times New Roman;Times;Serif" w:hAnsi="Times New Roman;Times;Serif"/>
          <w:b w:val="false"/>
          <w:i w:val="false"/>
          <w:caps w:val="false"/>
          <w:smallCaps w:val="false"/>
          <w:strike/>
          <w:color w:val="FF0000"/>
          <w:sz w:val="20"/>
        </w:rPr>
        <w:t xml:space="preserve">(in each case, except for the BXCL 701 Subsidiaries following a Permitted BXCL 701 Release Event) </w:t>
      </w:r>
      <w:r>
        <w:rPr>
          <w:rFonts w:ascii="Times New Roman;Times;Serif" w:hAnsi="Times New Roman;Times;Serif"/>
          <w:b w:val="false"/>
          <w:i w:val="false"/>
          <w:caps w:val="false"/>
          <w:smallCaps w:val="false"/>
          <w:sz w:val="20"/>
        </w:rPr>
        <w:t xml:space="preserve">to, make any payments in respect of any Indebtedness other than (i) payments of the Obligations, (ii) scheduled payments of other Indebtedness to the extent permitted pursuant to the terms, if any, of any applicable subordination or intercreditor agreement in respect of the Obligations, (iii) intercompany indebtedness permitted under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(iv) Indebtedness permitted to be incurred under </w:t>
      </w:r>
      <w:r>
        <w:rPr>
          <w:rFonts w:ascii="Times New Roman;Times;Serif" w:hAnsi="Times New Roman;Times;Serif"/>
          <w:b/>
          <w:i w:val="false"/>
          <w:caps w:val="false"/>
          <w:smallCaps w:val="false"/>
          <w:sz w:val="20"/>
        </w:rPr>
        <w:t>Sections 9.01(b)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(l)</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(q)</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xml:space="preserve">, (v) Indebtedness permitted to be incurred under </w:t>
      </w:r>
      <w:r>
        <w:rPr>
          <w:rFonts w:ascii="Times New Roman;Times;Serif" w:hAnsi="Times New Roman;Times;Serif"/>
          <w:b/>
          <w:i w:val="false"/>
          <w:caps w:val="false"/>
          <w:smallCaps w:val="false"/>
          <w:sz w:val="20"/>
        </w:rPr>
        <w:t>Section 9.01(o)</w:t>
      </w:r>
      <w:r>
        <w:rPr>
          <w:rFonts w:ascii="Times New Roman;Times;Serif" w:hAnsi="Times New Roman;Times;Serif"/>
          <w:b w:val="false"/>
          <w:i w:val="false"/>
          <w:caps w:val="false"/>
          <w:smallCaps w:val="false"/>
          <w:sz w:val="20"/>
        </w:rPr>
        <w:t xml:space="preserve"> and Permitted Refinancings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payments shall only be made in Equity Interests and cash in lieu of fractional shares (as well as cash to pay any accrued interest on the date of any Permitted Refinancing, exchange transaction, or payment made in Equity Interests), (vi) scheduled payments of interest on such Indebtedness permitted pursuant to </w:t>
      </w:r>
      <w:r>
        <w:rPr>
          <w:rFonts w:ascii="Times New Roman;Times;Serif" w:hAnsi="Times New Roman;Times;Serif"/>
          <w:b/>
          <w:i w:val="false"/>
          <w:caps w:val="false"/>
          <w:smallCaps w:val="false"/>
          <w:sz w:val="20"/>
        </w:rPr>
        <w:t>Section 9.01(o)</w:t>
      </w:r>
      <w:r>
        <w:rPr>
          <w:rFonts w:ascii="Times New Roman;Times;Serif" w:hAnsi="Times New Roman;Times;Serif"/>
          <w:b w:val="false"/>
          <w:i w:val="false"/>
          <w:caps w:val="false"/>
          <w:smallCaps w:val="false"/>
          <w:sz w:val="20"/>
        </w:rPr>
        <w:t> and (vii) Permitted Refinancings not prohibited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Change in Fiscal Year</w:t>
      </w:r>
      <w:r>
        <w:rPr>
          <w:rFonts w:ascii="Times New Roman;Times;Serif" w:hAnsi="Times New Roman;Times;Serif"/>
          <w:b w:val="false"/>
          <w:i w:val="false"/>
          <w:caps w:val="false"/>
          <w:smallCaps w:val="false"/>
          <w:sz w:val="20"/>
        </w:rPr>
        <w:t>. Such Obligor will not, and will not permit any of its Subsidiaries to, change the last day of its fiscal year from that in effect on the Closing Date, except to change the fiscal year of a Subsidiary acquired in connection with an Acquisition to conform its fiscal year to that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Sales of Assets, Etc.</w:t>
      </w:r>
      <w:r>
        <w:rPr>
          <w:rFonts w:ascii="Times New Roman;Times;Serif" w:hAnsi="Times New Roman;Times;Serif"/>
          <w:b w:val="false"/>
          <w:i w:val="false"/>
          <w:caps w:val="false"/>
          <w:smallCaps w:val="false"/>
          <w:sz w:val="20"/>
        </w:rPr>
        <w:t xml:space="preserve"> Such Obligor will not, and will not permit any of its Subsidiaries </w:t>
      </w:r>
      <w:r>
        <w:rPr>
          <w:rFonts w:ascii="Times New Roman;Times;Serif" w:hAnsi="Times New Roman;Times;Serif"/>
          <w:b w:val="false"/>
          <w:i w:val="false"/>
          <w:caps w:val="false"/>
          <w:smallCaps w:val="false"/>
          <w:strike/>
          <w:color w:val="FF0000"/>
          <w:sz w:val="20"/>
        </w:rPr>
        <w:t xml:space="preserve">(in each case, except for the BXCL 701 Subsidiaries following a Permitted BXCL 701 Release Event) </w:t>
      </w:r>
      <w:r>
        <w:rPr>
          <w:rFonts w:ascii="Times New Roman;Times;Serif" w:hAnsi="Times New Roman;Times;Serif"/>
          <w:b w:val="false"/>
          <w:i w:val="false"/>
          <w:caps w:val="false"/>
          <w:smallCaps w:val="false"/>
          <w:sz w:val="20"/>
        </w:rPr>
        <w:t xml:space="preserve">to sell, lease or sublease (as lessor or sub-lessor), sale and leaseback, assign, convey, exclusively license (in terms of geography or field of use), transfer, or otherwise dispose of any of its businesses, assets or property of any kind, whether real, personal, or mixed and whether tangible or intangible, whether now owned or hereafter acquired (including accounts receivable and Equity Interests of Subsidiaries, but excluding de minimis shares of Equity Interests required for qualification of directors under applicable law), in each case, </w:t>
      </w:r>
      <w:r>
        <w:rPr>
          <w:rFonts w:ascii="Times New Roman;Times;Serif" w:hAnsi="Times New Roman;Times;Serif"/>
          <w:b w:val="false"/>
          <w:i w:val="false"/>
          <w:caps w:val="false"/>
          <w:smallCaps w:val="false"/>
          <w:strike/>
          <w:color w:val="FF0000"/>
          <w:sz w:val="20"/>
        </w:rPr>
        <w:t xml:space="preserve">involving property of the Borrower or any of its Subsidiaries in excess of $2,000,000 (or the Equivalent Amount in other currencies) </w:t>
      </w:r>
      <w:r>
        <w:rPr>
          <w:rFonts w:ascii="Times New Roman;Times;Serif" w:hAnsi="Times New Roman;Times;Serif"/>
          <w:b w:val="false"/>
          <w:i w:val="false"/>
          <w:caps w:val="false"/>
          <w:smallCaps w:val="false"/>
          <w:sz w:val="20"/>
        </w:rPr>
        <w:t>in one transaction or series of transactions (any thereof, an “</w:t>
      </w:r>
      <w:r>
        <w:rPr>
          <w:rFonts w:ascii="Times New Roman;Times;Serif" w:hAnsi="Times New Roman;Times;Serif"/>
          <w:b/>
          <w:i/>
          <w:caps w:val="false"/>
          <w:smallCaps w:val="false"/>
          <w:sz w:val="20"/>
        </w:rPr>
        <w:t>Asset Sale</w:t>
      </w:r>
      <w:r>
        <w:rPr>
          <w:rFonts w:ascii="Times New Roman;Times;Serif" w:hAnsi="Times New Roman;Times;Serif"/>
          <w:b w:val="false"/>
          <w:i w:val="false"/>
          <w:caps w:val="false"/>
          <w:smallCaps w:val="false"/>
          <w:sz w:val="20"/>
        </w:rPr>
        <w: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sales, transfers and other dispositions of receivables in connection with the compromise, settlement or collection thereof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sales of inventory in the Ordinary Course in an Arm’s-Length Transaction and the use of cash and Cash Equivalents in the Ordinary Course or as otherwise permitted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forgiveness, release or compromise of any amount owed to any Obligor or Subsidiary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Permitted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licenses, transfers of assets, rights or property by Borrower or any Subsidiary to </w:t>
      </w:r>
      <w:r>
        <w:rPr>
          <w:rFonts w:ascii="Times New Roman;Times;Serif" w:hAnsi="Times New Roman;Times;Serif"/>
          <w:b w:val="false"/>
          <w:i w:val="false"/>
          <w:caps w:val="false"/>
          <w:smallCaps w:val="false"/>
          <w:strike/>
          <w:color w:val="FF0000"/>
          <w:sz w:val="20"/>
        </w:rPr>
        <w:t>(i) </w:t>
      </w:r>
      <w:r>
        <w:rPr>
          <w:rFonts w:ascii="Times New Roman;Times;Serif" w:hAnsi="Times New Roman;Times;Serif"/>
          <w:b w:val="false"/>
          <w:i w:val="false"/>
          <w:caps w:val="false"/>
          <w:smallCaps w:val="false"/>
          <w:sz w:val="20"/>
        </w:rPr>
        <w:t xml:space="preserve">any Obligor </w:t>
      </w:r>
      <w:r>
        <w:rPr>
          <w:rFonts w:ascii="Times New Roman;Times;Serif" w:hAnsi="Times New Roman;Times;Serif"/>
          <w:b w:val="false"/>
          <w:i w:val="false"/>
          <w:caps w:val="false"/>
          <w:smallCaps w:val="false"/>
          <w:strike/>
          <w:color w:val="FF0000"/>
          <w:sz w:val="20"/>
        </w:rPr>
        <w:t xml:space="preserve">or (ii) solely with respect to assets, rights or property other than Intellectual Property, any Subsidiary that is not an Obligor;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strike/>
          <w:color w:val="FF0000"/>
          <w:sz w:val="20"/>
        </w:rPr>
        <w:t xml:space="preserve">, in that in the case of any Asset Sales made by Obligors to non-Obligors pursuant to this </w:t>
      </w:r>
      <w:r>
        <w:rPr>
          <w:rFonts w:ascii="Times New Roman;Times;Serif" w:hAnsi="Times New Roman;Times;Serif"/>
          <w:b/>
          <w:i w:val="false"/>
          <w:caps w:val="false"/>
          <w:smallCaps w:val="false"/>
          <w:strike/>
          <w:color w:val="FF0000"/>
          <w:sz w:val="20"/>
        </w:rPr>
        <w:t>clause (ii)</w:t>
      </w:r>
      <w:r>
        <w:rPr>
          <w:rFonts w:ascii="Times New Roman;Times;Serif" w:hAnsi="Times New Roman;Times;Serif"/>
          <w:b w:val="false"/>
          <w:i w:val="false"/>
          <w:caps w:val="false"/>
          <w:smallCaps w:val="false"/>
          <w:strike/>
          <w:color w:val="FF0000"/>
          <w:sz w:val="20"/>
        </w:rPr>
        <w:t>, the fair market value of the subject assets (excluding Inventory and foreign Product Authorizations transferred to Subsidiaries formed outside the United States in the Ordinary Course) shall not exceed $5,000,000 (or the Equivalent Amount in other currencies) in the aggregate;</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dispositions (including by way of abandonment or cancellation) of any equipment and other tangible property that is surplus, obsolete or worn out or no longer used or useful in the business disposed of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dispositions resulting from Casualty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unwinding of any Hedging Agreements permitted by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 xml:space="preserve"> pursuant to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trike/>
          <w:color w:val="FF0000"/>
          <w:sz w:val="20"/>
        </w:rPr>
        <w:t xml:space="preserve">in connection with any transaction permitted under </w:t>
      </w:r>
      <w:r>
        <w:rPr>
          <w:rFonts w:ascii="Times New Roman;Times;Serif" w:hAnsi="Times New Roman;Times;Serif"/>
          <w:b/>
          <w:i w:val="false"/>
          <w:caps w:val="false"/>
          <w:smallCaps w:val="false"/>
          <w:strike/>
          <w:color w:val="FF0000"/>
          <w:sz w:val="20"/>
        </w:rPr>
        <w:t xml:space="preserve">Section 9.03 </w:t>
      </w:r>
      <w:r>
        <w:rPr>
          <w:rFonts w:ascii="Times New Roman;Times;Serif" w:hAnsi="Times New Roman;Times;Serif"/>
          <w:b w:val="false"/>
          <w:i w:val="false"/>
          <w:caps w:val="false"/>
          <w:smallCaps w:val="false"/>
          <w:strike/>
          <w:color w:val="FF0000"/>
          <w:sz w:val="20"/>
        </w:rPr>
        <w:t xml:space="preserve">or </w:t>
      </w:r>
      <w:r>
        <w:rPr>
          <w:rFonts w:ascii="Times New Roman;Times;Serif" w:hAnsi="Times New Roman;Times;Serif"/>
          <w:b/>
          <w:i w:val="false"/>
          <w:caps w:val="false"/>
          <w:smallCaps w:val="false"/>
          <w:strike/>
          <w:color w:val="FF0000"/>
          <w:sz w:val="20"/>
        </w:rPr>
        <w:t>9.05</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trike/>
          <w:color w:val="FF0000"/>
          <w:sz w:val="20"/>
        </w:rPr>
        <w:t xml:space="preserve">dispositions identified in </w:t>
      </w:r>
      <w:r>
        <w:rPr>
          <w:rFonts w:ascii="Times New Roman;Times;Serif" w:hAnsi="Times New Roman;Times;Serif"/>
          <w:b/>
          <w:i w:val="false"/>
          <w:caps w:val="false"/>
          <w:smallCaps w:val="false"/>
          <w:strike/>
          <w:color w:val="FF0000"/>
          <w:sz w:val="20"/>
        </w:rPr>
        <w:t>Schedule 9.09</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trike/>
          <w:color w:val="FF0000"/>
          <w:sz w:val="20"/>
        </w:rPr>
        <w:t>so long as no Event of Default has occurred and is continuing, other Asset Sales with a fair market value not in excess of $5,000,000 (or the Equivalent Amount in other currencies) in the aggregate in any fiscal year</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trike/>
          <w:color w:val="FF0000"/>
          <w:sz w:val="20"/>
        </w:rPr>
        <w:t>(i) the BXCL 701 Asset Contribution and (ii) any Permitted BXCL 701 Disposition Event</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trike/>
          <w:color w:val="FF0000"/>
          <w:sz w:val="20"/>
        </w:rPr>
        <w:t xml:space="preserve">other Asset Sales not in excess of (i) $15,000,000 (or the Equivalent Amount in other currencies) in the aggregate in any fiscal year and (ii) $50,000,000 (or the Equivalent Amount in other currencies) in the aggregate during the term of this Agreement in which any Obligor or any Subsidiary will receive cash proceeds in an amount equal to no less than seventy-five percent (75%) of the total consideration (fixed or contingent) paid or payable to such Obligor or Subsidiary, but only so long as, unless otherwise waived by </w:t>
      </w:r>
      <w:r>
        <w:rPr>
          <w:rFonts w:ascii="Times New Roman;Times;Serif" w:hAnsi="Times New Roman;Times;Serif"/>
          <w:b w:val="false"/>
          <w:i w:val="false"/>
          <w:caps w:val="false"/>
          <w:smallCaps w:val="false"/>
          <w:strike/>
          <w:color w:val="008000"/>
          <w:sz w:val="20"/>
        </w:rPr>
        <w:t>Administrative Agent in its sole discretion</w:t>
      </w:r>
      <w:r>
        <w:rPr>
          <w:rFonts w:ascii="Times New Roman;Times;Serif" w:hAnsi="Times New Roman;Times;Serif"/>
          <w:b w:val="false"/>
          <w:i w:val="false"/>
          <w:caps w:val="false"/>
          <w:smallCaps w:val="false"/>
          <w:strike/>
          <w:color w:val="FF0000"/>
          <w:sz w:val="20"/>
        </w:rPr>
        <w:t>, the Net Cash Proceeds from such Asset Sale are utilized to repay or prepay, in whole or in part, Indebtedness under and in accordance with this Agreement and the other Loan Documents;</w:t>
      </w:r>
      <w:r>
        <w:rPr>
          <w:rFonts w:ascii="Times New Roman;Times;Serif" w:hAnsi="Times New Roman;Times;Serif"/>
          <w:b w:val="false"/>
          <w:i w:val="false"/>
          <w:caps w:val="false"/>
          <w:smallCaps w:val="false"/>
          <w:color w:val="0000FF"/>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dispositions in the Ordinary Course consisting of the abandonment of Intellectual Property (other than Material Intellectual Property) which, in the reasonable good faith determination of Borrower, are not material to the conduct of the business of the Obligors and the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the transfer or issuance of no more than 20% of the Equity Interests in any BXCL 701 Subsidiary to officers, directors and employees or former officers, directors or employees (or their transferees, estates, or beneficiaries under their estates) of the Borrower or any of its Subsidiaries pursuant to employee equity incentive or similar plans or otherwise as a component of such Persons’ compensation on terms and conditions substantially consistent with the OnkosXcel Therapeutics, LLC and OnkosXcel Employee Holdings, LLC Management Incentive Plan in substantially the form disclosed to the Administrative Agent prior to the Closing Date, as amended in any manner approved by Administrative Agent (such approval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Agreement to the contrary, (i) the Borrower shall not, and shall not permit any of its Subsidiaries </w:t>
      </w:r>
      <w:r>
        <w:rPr>
          <w:rFonts w:ascii="Times New Roman;Times;Serif" w:hAnsi="Times New Roman;Times;Serif"/>
          <w:b w:val="false"/>
          <w:i w:val="false"/>
          <w:caps w:val="false"/>
          <w:smallCaps w:val="false"/>
          <w:strike/>
          <w:color w:val="FF0000"/>
          <w:sz w:val="20"/>
        </w:rPr>
        <w:t xml:space="preserve">(other than the BXCL 701 Subsidiaries) </w:t>
      </w:r>
      <w:r>
        <w:rPr>
          <w:rFonts w:ascii="Times New Roman;Times;Serif" w:hAnsi="Times New Roman;Times;Serif"/>
          <w:b w:val="false"/>
          <w:i w:val="false"/>
          <w:caps w:val="false"/>
          <w:smallCaps w:val="false"/>
          <w:sz w:val="20"/>
        </w:rPr>
        <w:t xml:space="preserve">to (x) directly or indirectly transfer, by means of contribution, sale, assignment, lease or sublease, license or sublicense, disposition of any kind or otherwise, Material Intellectual Property held by the Borrower or any other Obligor to any Person other than the Borrower or a Subsidiary Guarantor, other than pursuant to Permitted Licenses or as permitted pursuant to </w:t>
      </w:r>
      <w:r>
        <w:rPr>
          <w:rFonts w:ascii="Times New Roman;Times;Serif" w:hAnsi="Times New Roman;Times;Serif"/>
          <w:b/>
          <w:i w:val="false"/>
          <w:caps w:val="false"/>
          <w:smallCaps w:val="false"/>
          <w:sz w:val="20"/>
        </w:rPr>
        <w:t>Section 9.09(j)</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or </w:t>
      </w:r>
      <w:r>
        <w:rPr>
          <w:rFonts w:ascii="Times New Roman;Times;Serif" w:hAnsi="Times New Roman;Times;Serif"/>
          <w:b/>
          <w:i w:val="false"/>
          <w:caps w:val="false"/>
          <w:smallCaps w:val="false"/>
          <w:strike/>
          <w:color w:val="FF0000"/>
          <w:sz w:val="20"/>
        </w:rPr>
        <w:t>Section 9.19</w:t>
      </w:r>
      <w:r>
        <w:rPr>
          <w:rFonts w:ascii="Times New Roman;Times;Serif" w:hAnsi="Times New Roman;Times;Serif"/>
          <w:b w:val="false"/>
          <w:i w:val="false"/>
          <w:caps w:val="false"/>
          <w:smallCaps w:val="false"/>
          <w:sz w:val="20"/>
        </w:rPr>
        <w:t xml:space="preserve">, or (y) permit any Person other than the Borrower or a Subsidiary Guarantor to hold any interest in such Material Intellectual Property (other than (A) pursuant to non-exclusive intercompany licenses or Permitted Licenses, (B) as permitted by </w:t>
      </w:r>
      <w:r>
        <w:rPr>
          <w:rFonts w:ascii="Times New Roman;Times;Serif" w:hAnsi="Times New Roman;Times;Serif"/>
          <w:b/>
          <w:i w:val="false"/>
          <w:caps w:val="false"/>
          <w:smallCaps w:val="false"/>
          <w:sz w:val="20"/>
        </w:rPr>
        <w:t>Section 9.09(g)</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or </w:t>
      </w:r>
      <w:r>
        <w:rPr>
          <w:rFonts w:ascii="Times New Roman;Times;Serif" w:hAnsi="Times New Roman;Times;Serif"/>
          <w:b/>
          <w:i w:val="false"/>
          <w:caps w:val="false"/>
          <w:smallCaps w:val="false"/>
          <w:strike/>
          <w:color w:val="FF0000"/>
          <w:sz w:val="20"/>
        </w:rPr>
        <w:t>Section 9.19</w:t>
      </w:r>
      <w:r>
        <w:rPr>
          <w:rFonts w:ascii="Times New Roman;Times;Serif" w:hAnsi="Times New Roman;Times;Serif"/>
          <w:b w:val="false"/>
          <w:i w:val="false"/>
          <w:caps w:val="false"/>
          <w:smallCaps w:val="false"/>
          <w:sz w:val="20"/>
        </w:rPr>
        <w:t xml:space="preserve">, or (C) in the case of a foreign subsidiary, a foreign Regulatory Approvals), and (ii) no Material Intellectual Property held by the Borrower or a Subsidiary Guarantor shall be contributed as an Investment to any Subsidiary other than a Subsidiary Guarantor (other than pursuant to Permitted Licenses). </w:t>
      </w:r>
      <w:r>
        <w:rPr>
          <w:rFonts w:ascii="Times New Roman;Times;Serif" w:hAnsi="Times New Roman;Times;Serif"/>
          <w:b w:val="false"/>
          <w:i w:val="false"/>
          <w:caps w:val="false"/>
          <w:smallCaps w:val="false"/>
          <w:strike/>
          <w:color w:val="FF0000"/>
          <w:sz w:val="20"/>
        </w:rPr>
        <w:t>Notwithstanding the foregoing, prior to a Qualifying IPO, the BXCL 701 Subsidiaries shall hold no Material Intellectual Property other than any Intellectual Property included in the BXCL 701 Assets or otherwise related to the oncology field and no Material Intellectual Property (other than the BXCL 701 Assets) shall be directly or indirectly transferred by means of contribution, sale, assignment, lease or sublease, license or sublicense, disposition of any kind or otherwise, by the Borrower or its Subsidiaries to the BXCL 701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Transactions with Affiliates</w:t>
      </w:r>
      <w:r>
        <w:rPr>
          <w:rFonts w:ascii="Times New Roman;Times;Serif" w:hAnsi="Times New Roman;Times;Serif"/>
          <w:b w:val="false"/>
          <w:i w:val="false"/>
          <w:caps w:val="false"/>
          <w:smallCaps w:val="false"/>
          <w:sz w:val="20"/>
        </w:rPr>
        <w:t>. Such Obligor will not, and will not permit any of its Subsidiaries to, directly or indirectly, enter into or permit to exist any transaction to sell, lease, license or otherwise transfer any assets to, or purchase, lease, license or otherwise acquire any assets from, or otherwise engage in any other transactions with, any of its Affiliates, unless such arrangement or transaction (i) is an Arm’s-Length Transaction, (ii) is of the kind which would be entered into by a prudent Person in the position of the Borrower with another Person that is not an Affiliate; provided that (x) in connection with any such transaction involving aggregate consideration or payments of at least $</w:t>
      </w:r>
      <w:r>
        <w:rPr>
          <w:rFonts w:ascii="Times New Roman;Times;Serif" w:hAnsi="Times New Roman;Times;Serif"/>
          <w:b w:val="false"/>
          <w:i w:val="false"/>
          <w:caps w:val="false"/>
          <w:smallCaps w:val="false"/>
          <w:strike/>
          <w:color w:val="FF0000"/>
          <w:sz w:val="20"/>
        </w:rPr>
        <w:t>5,000,000</w:t>
      </w:r>
      <w:r>
        <w:rPr>
          <w:rFonts w:ascii="Times New Roman;Times;Serif" w:hAnsi="Times New Roman;Times;Serif"/>
          <w:b w:val="false"/>
          <w:i w:val="false"/>
          <w:caps w:val="false"/>
          <w:smallCaps w:val="false"/>
          <w:color w:val="0000FF"/>
          <w:sz w:val="20"/>
          <w:u w:val="single"/>
        </w:rPr>
        <w:t>1,000,000</w:t>
      </w:r>
      <w:r>
        <w:rPr>
          <w:rFonts w:ascii="Times New Roman;Times;Serif" w:hAnsi="Times New Roman;Times;Serif"/>
          <w:b w:val="false"/>
          <w:i w:val="false"/>
          <w:caps w:val="false"/>
          <w:smallCaps w:val="false"/>
          <w:sz w:val="20"/>
        </w:rPr>
        <w:t>, such transaction shall have been approved by a majority of the directors serving on the Borrower’s board of directors that do not have any material direct or indirect financial interest in or with respect to such transaction and (y) in connection with any such transaction involving aggregate consideration or payments of at least $10,000,000, the Borrower shall have received a fairness opinion from a nationally recognized appraisal or investment banking firm with respect to such transaction, (iii) is between or among (x) one or more Obligors, on the one hand, and, on the other hand, one or more Obligors, (y) one or more Subsidiaries of the Obligors that are not Obligors, on the one hand, and, on the other hand, one or more Subsidiaries of the Obligors that are not Obligors and (z) one or more Obligors or their Subsidiaries that are not Obligors, on the one hand, and, on the other hand, one or more Obligors or their Subsidiaries that are Obligors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with respect to </w:t>
      </w:r>
      <w:r>
        <w:rPr>
          <w:rFonts w:ascii="Times New Roman;Times;Serif" w:hAnsi="Times New Roman;Times;Serif"/>
          <w:b/>
          <w:i w:val="false"/>
          <w:caps w:val="false"/>
          <w:smallCaps w:val="false"/>
          <w:sz w:val="20"/>
        </w:rPr>
        <w:t>clause (z)</w:t>
      </w:r>
      <w:r>
        <w:rPr>
          <w:rFonts w:ascii="Times New Roman;Times;Serif" w:hAnsi="Times New Roman;Times;Serif"/>
          <w:b w:val="false"/>
          <w:i w:val="false"/>
          <w:caps w:val="false"/>
          <w:smallCaps w:val="false"/>
          <w:sz w:val="20"/>
        </w:rPr>
        <w:t xml:space="preserve"> only, the terms thereof are no less favorable to the Obligors than those that would be obtained in a comparable arm’s-length transaction with a non-affiliated Person); </w:t>
      </w:r>
      <w:r>
        <w:rPr>
          <w:rFonts w:ascii="Times New Roman;Times;Serif" w:hAnsi="Times New Roman;Times;Serif"/>
          <w:b w:val="false"/>
          <w:i w:val="false"/>
          <w:caps w:val="false"/>
          <w:smallCaps w:val="false"/>
          <w:strike/>
          <w:color w:val="FF0000"/>
          <w:sz w:val="20"/>
          <w:u w:val="single"/>
        </w:rPr>
        <w:t xml:space="preserve">provided </w:t>
      </w:r>
      <w:r>
        <w:rPr>
          <w:rFonts w:ascii="Times New Roman;Times;Serif" w:hAnsi="Times New Roman;Times;Serif"/>
          <w:b w:val="false"/>
          <w:i w:val="false"/>
          <w:caps w:val="false"/>
          <w:smallCaps w:val="false"/>
          <w:strike/>
          <w:color w:val="FF0000"/>
          <w:sz w:val="20"/>
        </w:rPr>
        <w:t xml:space="preserve">that the BXCL 701 Subsidiaries shall be deemed not to be Obligors for purposes of this clause (iii), </w:t>
      </w:r>
      <w:r>
        <w:rPr>
          <w:rFonts w:ascii="Times New Roman;Times;Serif" w:hAnsi="Times New Roman;Times;Serif"/>
          <w:b w:val="false"/>
          <w:i w:val="false"/>
          <w:caps w:val="false"/>
          <w:smallCaps w:val="false"/>
          <w:sz w:val="20"/>
        </w:rPr>
        <w:t xml:space="preserve">(iv) constitutes customary compensation and indemnification of, and other employment arrangements with, directors, officers, and employees of any Obligor or its Subsidiaries in the Ordinary Course, (v) constitutes payment of customary fees, reimbursement of expenses, and payment of indemnification to officers and directors and customary payment of insurance premiums on behalf of officers and directors by the Obligors or their Subsidiaries, in each case, in the ordinary course of business, (vi) is permitted pursuant to </w:t>
      </w:r>
      <w:r>
        <w:rPr>
          <w:rFonts w:ascii="Times New Roman;Times;Serif" w:hAnsi="Times New Roman;Times;Serif"/>
          <w:b/>
          <w:i w:val="false"/>
          <w:caps w:val="false"/>
          <w:smallCaps w:val="false"/>
          <w:sz w:val="20"/>
        </w:rPr>
        <w:t>Section </w:t>
      </w:r>
      <w:r>
        <w:rPr>
          <w:rFonts w:ascii="Times New Roman;Times;Serif" w:hAnsi="Times New Roman;Times;Serif"/>
          <w:b/>
          <w:i w:val="false"/>
          <w:caps w:val="false"/>
          <w:smallCaps w:val="false"/>
          <w:strike/>
          <w:color w:val="FF0000"/>
          <w:sz w:val="20"/>
        </w:rPr>
        <w:t>9.05(i)</w:t>
      </w:r>
      <w:r>
        <w:rPr>
          <w:rFonts w:ascii="Times New Roman;Times;Serif" w:hAnsi="Times New Roman;Times;Serif"/>
          <w:b w:val="false"/>
          <w:i w:val="false"/>
          <w:caps w:val="false"/>
          <w:smallCaps w:val="false"/>
          <w:strike/>
          <w:color w:val="FF0000"/>
          <w:sz w:val="20"/>
        </w:rPr>
        <w:t xml:space="preserve"> or </w:t>
      </w:r>
      <w:r>
        <w:rPr>
          <w:rFonts w:ascii="Times New Roman;Times;Serif" w:hAnsi="Times New Roman;Times;Serif"/>
          <w:b/>
          <w:i w:val="false"/>
          <w:caps w:val="false"/>
          <w:smallCaps w:val="false"/>
          <w:strike/>
          <w:color w:val="FF0000"/>
          <w:sz w:val="20"/>
        </w:rPr>
        <w:t>Section </w:t>
      </w:r>
      <w:r>
        <w:rPr>
          <w:rFonts w:ascii="Times New Roman;Times;Serif" w:hAnsi="Times New Roman;Times;Serif"/>
          <w:b/>
          <w:i w:val="false"/>
          <w:caps w:val="false"/>
          <w:smallCaps w:val="false"/>
          <w:sz w:val="20"/>
        </w:rPr>
        <w:t>9.06(</w:t>
      </w:r>
      <w:r>
        <w:rPr>
          <w:rFonts w:ascii="Times New Roman;Times;Serif" w:hAnsi="Times New Roman;Times;Serif"/>
          <w:b/>
          <w:i w:val="false"/>
          <w:caps w:val="false"/>
          <w:smallCaps w:val="false"/>
          <w:strike/>
          <w:color w:val="FF0000"/>
          <w:sz w:val="20"/>
        </w:rPr>
        <w:t>d) </w:t>
      </w:r>
      <w:r>
        <w:rPr>
          <w:rFonts w:ascii="Times New Roman;Times;Serif" w:hAnsi="Times New Roman;Times;Serif"/>
          <w:b w:val="false"/>
          <w:i w:val="false"/>
          <w:caps w:val="false"/>
          <w:smallCaps w:val="false"/>
          <w:strike/>
          <w:color w:val="FF0000"/>
          <w:sz w:val="20"/>
        </w:rPr>
        <w:t xml:space="preserve">or </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sz w:val="20"/>
        </w:rPr>
        <w:t>g)</w:t>
      </w:r>
      <w:r>
        <w:rPr>
          <w:rFonts w:ascii="Times New Roman;Times;Serif" w:hAnsi="Times New Roman;Times;Serif"/>
          <w:b w:val="false"/>
          <w:i w:val="false"/>
          <w:caps w:val="false"/>
          <w:smallCaps w:val="false"/>
          <w:sz w:val="20"/>
        </w:rPr>
        <w:t xml:space="preserve">, or (vii) are the transactions set forth on </w:t>
      </w:r>
      <w:r>
        <w:rPr>
          <w:rFonts w:ascii="Times New Roman;Times;Serif" w:hAnsi="Times New Roman;Times;Serif"/>
          <w:b/>
          <w:i w:val="false"/>
          <w:caps w:val="false"/>
          <w:smallCaps w:val="false"/>
          <w:sz w:val="20"/>
        </w:rPr>
        <w:t>Schedule 7.19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Notwithstanding anything to the contrary in this Agreement, no transaction shall be entered into between the Borrower and the BXCL 701 Subsidiary other than the provision of shared services by the Borrower to the BXCL 701 Subsidiary on terms no less favorable to the Borrower than those that would be obtained in a comparable arm’s-length transaction with a non-affiliated Person;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strike/>
          <w:color w:val="FF0000"/>
          <w:sz w:val="20"/>
        </w:rPr>
        <w:t>, that notwithstanding the foregoing or anything to the contrary herein, nothing herein shall prohibit the execution, delivery and performance of customary documentation (and customary amendments to existing documentation) and customary transactions governing the relations between and among the equity owners of a BXCL 701 Subsidiary, a BXCL 701 Subsidiary and an IPO Co., if applicable, in connection with a Qualifying IPO, including, without limitation, the execution, delivery and performance of an amended and restated limited liability company operating agreement and tax receivable agreement, in each case, on customary terms for similar “Up-C” transactions and such other customary transactions incidental to the foregoing as the board of directors or equivalent body of such BXCL 701 Subsidiary shall determine, in its good faith judgment, to be necessary in order to effect such Qualifying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Restrictive Agreements</w:t>
      </w:r>
      <w:r>
        <w:rPr>
          <w:rFonts w:ascii="Times New Roman;Times;Serif" w:hAnsi="Times New Roman;Times;Serif"/>
          <w:b w:val="false"/>
          <w:i w:val="false"/>
          <w:caps w:val="false"/>
          <w:smallCaps w:val="false"/>
          <w:sz w:val="20"/>
        </w:rPr>
        <w:t xml:space="preserve">. Such Obligor will not, and will not permit any of its Subsidiaries </w:t>
      </w:r>
      <w:r>
        <w:rPr>
          <w:rFonts w:ascii="Times New Roman;Times;Serif" w:hAnsi="Times New Roman;Times;Serif"/>
          <w:b w:val="false"/>
          <w:i w:val="false"/>
          <w:caps w:val="false"/>
          <w:smallCaps w:val="false"/>
          <w:strike/>
          <w:color w:val="FF0000"/>
          <w:sz w:val="20"/>
        </w:rPr>
        <w:t xml:space="preserve">(in each case, except for the BXCL 701 Subsidiaries following a Permitted BXCL 701 Release Event) </w:t>
      </w:r>
      <w:r>
        <w:rPr>
          <w:rFonts w:ascii="Times New Roman;Times;Serif" w:hAnsi="Times New Roman;Times;Serif"/>
          <w:b w:val="false"/>
          <w:i w:val="false"/>
          <w:caps w:val="false"/>
          <w:smallCaps w:val="false"/>
          <w:sz w:val="20"/>
        </w:rPr>
        <w:t xml:space="preserve">to, directly or indirectly, enter into, incur or permit to exist any Restrictive Agreement other than (i) restrictions and conditions imposed by applicable Laws or by the Loan Documents, (ii) Restrictive Agreements listed on </w:t>
      </w:r>
      <w:r>
        <w:rPr>
          <w:rFonts w:ascii="Times New Roman;Times;Serif" w:hAnsi="Times New Roman;Times;Serif"/>
          <w:b/>
          <w:i w:val="false"/>
          <w:caps w:val="false"/>
          <w:smallCaps w:val="false"/>
          <w:sz w:val="20"/>
        </w:rPr>
        <w:t xml:space="preserve">Schedule 7.15, </w:t>
      </w:r>
      <w:r>
        <w:rPr>
          <w:rFonts w:ascii="Times New Roman;Times;Serif" w:hAnsi="Times New Roman;Times;Serif"/>
          <w:b w:val="false"/>
          <w:i w:val="false"/>
          <w:caps w:val="false"/>
          <w:smallCaps w:val="false"/>
          <w:sz w:val="20"/>
        </w:rPr>
        <w:t xml:space="preserve">(iii) limitations associated with Permitted Liens or any document or instrument governing any Permitted Lien, (iv) any documentation governing Indebtedness referenced in </w:t>
      </w:r>
      <w:r>
        <w:rPr>
          <w:rFonts w:ascii="Times New Roman;Times;Serif" w:hAnsi="Times New Roman;Times;Serif"/>
          <w:b/>
          <w:i w:val="false"/>
          <w:caps w:val="false"/>
          <w:smallCaps w:val="false"/>
          <w:sz w:val="20"/>
        </w:rPr>
        <w:t xml:space="preserve">clauses </w:t>
      </w:r>
      <w:r>
        <w:rPr>
          <w:rFonts w:ascii="Times New Roman;Times;Serif" w:hAnsi="Times New Roman;Times;Serif"/>
          <w:b/>
          <w:i w:val="false"/>
          <w:caps w:val="false"/>
          <w:smallCaps w:val="false"/>
          <w:strike/>
          <w:color w:val="FF0000"/>
          <w:sz w:val="20"/>
        </w:rPr>
        <w:t>(l)</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i w:val="false"/>
          <w:caps w:val="false"/>
          <w:smallCaps w:val="false"/>
          <w:strike/>
          <w:color w:val="FF0000"/>
          <w:sz w:val="20"/>
        </w:rPr>
        <w:t>(m)</w:t>
      </w:r>
      <w:r>
        <w:rPr>
          <w:rFonts w:ascii="Times New Roman;Times;Serif" w:hAnsi="Times New Roman;Times;Serif"/>
          <w:b w:val="false"/>
          <w:i w:val="false"/>
          <w:caps w:val="false"/>
          <w:smallCaps w:val="false"/>
          <w:strike/>
          <w:color w:val="FF0000"/>
          <w:sz w:val="20"/>
        </w:rPr>
        <w:t xml:space="preserve"> or </w:t>
      </w:r>
      <w:r>
        <w:rPr>
          <w:rFonts w:ascii="Times New Roman;Times;Serif" w:hAnsi="Times New Roman;Times;Serif"/>
          <w:b/>
          <w:i w:val="false"/>
          <w:caps w:val="false"/>
          <w:smallCaps w:val="false"/>
          <w:strike/>
          <w:color w:val="FF0000"/>
          <w:sz w:val="20"/>
        </w:rPr>
        <w:t>(o)</w:t>
      </w:r>
      <w:r>
        <w:rPr>
          <w:rFonts w:ascii="Times New Roman;Times;Serif" w:hAnsi="Times New Roman;Times;Serif"/>
          <w:b w:val="false"/>
          <w:i w:val="false"/>
          <w:caps w:val="false"/>
          <w:smallCaps w:val="false"/>
          <w:color w:val="0000FF"/>
          <w:sz w:val="20"/>
          <w:u w:val="single"/>
        </w:rPr>
        <w:t>Error! Reference source not found.</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 xml:space="preserve">Section 9.01 </w:t>
      </w:r>
      <w:r>
        <w:rPr>
          <w:rFonts w:ascii="Times New Roman;Times;Serif" w:hAnsi="Times New Roman;Times;Serif"/>
          <w:b w:val="false"/>
          <w:i w:val="false"/>
          <w:caps w:val="false"/>
          <w:smallCaps w:val="false"/>
          <w:sz w:val="20"/>
        </w:rPr>
        <w:t xml:space="preserve">(or any Permitted Refinancing thereof), (v) customary provisions in leases, Permitted Licenses and other Contracts restricting the assignment thereof or restricting the assignment or sublease or sublicense of the property leased, licensed or otherwise the subject thereof; (vi) any restrictions or conditions set forth in any agreement in effect at any time any Person becomes a Subsidiary (but not any modification or amendment expanding the scope of any such restriction or condition);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was not entered into in contemplation of such Person becoming a Subsidiary; (vii) restrictions or conditions in any Indebtedness permitted pursuant to </w:t>
      </w:r>
      <w:r>
        <w:rPr>
          <w:rFonts w:ascii="Times New Roman;Times;Serif" w:hAnsi="Times New Roman;Times;Serif"/>
          <w:b/>
          <w:i w:val="false"/>
          <w:caps w:val="false"/>
          <w:smallCaps w:val="false"/>
          <w:sz w:val="20"/>
        </w:rPr>
        <w:t xml:space="preserve">Section 9.01 </w:t>
      </w:r>
      <w:r>
        <w:rPr>
          <w:rFonts w:ascii="Times New Roman;Times;Serif" w:hAnsi="Times New Roman;Times;Serif"/>
          <w:b w:val="false"/>
          <w:i w:val="false"/>
          <w:caps w:val="false"/>
          <w:smallCaps w:val="false"/>
          <w:sz w:val="20"/>
        </w:rPr>
        <w:t xml:space="preserve">that is incurred or assumed by Subsidiaries that are not Obligors to the extent such restrictions or conditions are no more restrictive in any material respect than the restrictions and conditions in the Loan Documents; (viii) restrictions or conditions imposed by any agreement relating to purchase money Indebtedness and other secured Indebtedness or to leases and licenses permitted by this Agreement if such restrictions or conditions apply only to the property or assets securing such Indebtedness or the property leased or licensed; (ix) customary provisions in contracts for the disposition of any assets;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restrictions in any such contract shall apply only to the assets or Subsidiary that is to be disposed of and such disposition is permitted hereunder (or, in the case of the sale of Borrower, such agreement contemplates the repayment in full of the Obligations hereunder); (x) customary provisions regarding confidentiality or restricting assignment, pledges or transfer of any Permitted License or any other agreement entered into in the Ordinary Course; and (xi) customary net worth provisions or similar financial maintenance provisions contained in any agreement entered into by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Modifications and Terminations of Material Agreements and Organic Documents</w:t>
      </w:r>
      <w:r>
        <w:rPr>
          <w:rFonts w:ascii="Times New Roman;Times;Serif" w:hAnsi="Times New Roman;Times;Serif"/>
          <w:b w:val="false"/>
          <w:i w:val="false"/>
          <w:caps w:val="false"/>
          <w:smallCaps w:val="false"/>
          <w:sz w:val="20"/>
        </w:rPr>
        <w:t xml:space="preserve">. Such Obligor will not, and will not permit any of its Subsidiaries </w:t>
      </w:r>
      <w:r>
        <w:rPr>
          <w:rFonts w:ascii="Times New Roman;Times;Serif" w:hAnsi="Times New Roman;Times;Serif"/>
          <w:b w:val="false"/>
          <w:i w:val="false"/>
          <w:caps w:val="false"/>
          <w:smallCaps w:val="false"/>
          <w:strike/>
          <w:color w:val="FF0000"/>
          <w:sz w:val="20"/>
        </w:rPr>
        <w:t xml:space="preserve">(in each case, except for the BXCL 701 Subsidiaries following a Permitted BXCL 701 Release Event) </w:t>
      </w:r>
      <w:r>
        <w:rPr>
          <w:rFonts w:ascii="Times New Roman;Times;Serif" w:hAnsi="Times New Roman;Times;Serif"/>
          <w:b w:val="false"/>
          <w:i w:val="false"/>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waive, amend, terminate, replace or otherwise modify any term or provision of any Organic Document in any way or manner materially adverse to the interests of the Administrative Agent and the Lenders;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waive, amend, replace or otherwise modify any term or provision of any Permitted License in a manner materially adverse to the rights and remedies the Administrative Agent and the Lenders hereunder;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(x) take or omit to take any action that results in the termination of, or permits any other Person to terminate, any Material Agreement or Material Intellectual Property or (y) take any action that permits any Material Agreement or Material Intellectual Property to be terminated by any counterparty thereto prior to its stated date of expiration, in each such case if such action or omission would reasonably be expected, individually or in the aggregate,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enter into, waive, terminate, replace or otherwise modify any joint venture agreement, distribution agreement, collaboration agreement or any agreement similar to any of the foregoing, in each case, that involves the disposition, assignment or licensing of any Material Intellectual Property, unless such agreement is (i) a Permitted License, (ii) permitted pursuant to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 xml:space="preserve"> or (iii) approved in writing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Outbound Licenses</w:t>
      </w:r>
      <w:r>
        <w:rPr>
          <w:rFonts w:ascii="Times New Roman;Times;Serif" w:hAnsi="Times New Roman;Times;Serif"/>
          <w:b w:val="false"/>
          <w:i w:val="false"/>
          <w:caps w:val="false"/>
          <w:smallCaps w:val="false"/>
          <w:sz w:val="20"/>
        </w:rPr>
        <w:t xml:space="preserve">. No Obligor shall, nor shall it permit any of its Subsidiaries </w:t>
      </w:r>
      <w:r>
        <w:rPr>
          <w:rFonts w:ascii="Times New Roman;Times;Serif" w:hAnsi="Times New Roman;Times;Serif"/>
          <w:b w:val="false"/>
          <w:i w:val="false"/>
          <w:caps w:val="false"/>
          <w:smallCaps w:val="false"/>
          <w:strike/>
          <w:color w:val="FF0000"/>
          <w:sz w:val="20"/>
        </w:rPr>
        <w:t xml:space="preserve">(in each case, except for the BXCL 701 Subsidiaries following a Permitted BXCL 701 Release Event) </w:t>
      </w:r>
      <w:r>
        <w:rPr>
          <w:rFonts w:ascii="Times New Roman;Times;Serif" w:hAnsi="Times New Roman;Times;Serif"/>
          <w:b w:val="false"/>
          <w:i w:val="false"/>
          <w:caps w:val="false"/>
          <w:smallCaps w:val="false"/>
          <w:sz w:val="20"/>
        </w:rPr>
        <w:t>to, enter into or become or remain bound by any outbound license, covenant not to sue or other grant of rights under Intellectual Property, except for Permitted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Sales and Leasebacks</w:t>
      </w:r>
      <w:r>
        <w:rPr>
          <w:rFonts w:ascii="Times New Roman;Times;Serif" w:hAnsi="Times New Roman;Times;Serif"/>
          <w:b w:val="false"/>
          <w:i w:val="false"/>
          <w:caps w:val="false"/>
          <w:smallCaps w:val="false"/>
          <w:sz w:val="20"/>
        </w:rPr>
        <w:t xml:space="preserve">. Except as otherwise consented to in writing by the Administrative Agent in its sole discretion, such Obligor will not, and will not permit any of its Subsidiaries </w:t>
      </w:r>
      <w:r>
        <w:rPr>
          <w:rFonts w:ascii="Times New Roman;Times;Serif" w:hAnsi="Times New Roman;Times;Serif"/>
          <w:b w:val="false"/>
          <w:i w:val="false"/>
          <w:caps w:val="false"/>
          <w:smallCaps w:val="false"/>
          <w:strike/>
          <w:color w:val="FF0000"/>
          <w:sz w:val="20"/>
        </w:rPr>
        <w:t xml:space="preserve">(in each case, except for the BXCL 701 Subsidiaries following a Permitted BXCL 701 Release Event) </w:t>
      </w:r>
      <w:r>
        <w:rPr>
          <w:rFonts w:ascii="Times New Roman;Times;Serif" w:hAnsi="Times New Roman;Times;Serif"/>
          <w:b w:val="false"/>
          <w:i w:val="false"/>
          <w:caps w:val="false"/>
          <w:smallCaps w:val="false"/>
          <w:sz w:val="20"/>
        </w:rPr>
        <w:t>to, become liable, directly or indirectly, with respect to any lease, whether an operating lease or a Capital Lease Obligation, of any property (whether real, personal, or mixed), whether now owned or hereafter acquired, (i) which such Person has sold or transferred or is to sell or transfer to any other Person and (ii) which such Obligor or Subsidiary intends to use for substantially the same purposes as property which has been or is to be sold or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Hazardous Material</w:t>
      </w:r>
      <w:r>
        <w:rPr>
          <w:rFonts w:ascii="Times New Roman;Times;Serif" w:hAnsi="Times New Roman;Times;Serif"/>
          <w:b w:val="false"/>
          <w:i w:val="false"/>
          <w:caps w:val="false"/>
          <w:smallCaps w:val="false"/>
          <w:sz w:val="20"/>
        </w:rPr>
        <w:t>         (a). Such Obligor will not, and will not permit any of its Subsidiaries to, use, generate, manufacture, install, treat, release, store or dispose of any Hazardous Material, except in compliance with all applicable Environmental Laws or where the failure to comply would not, individually or in the aggregate, reasonably be expected to result in a Material Adverse Effect. If the Administrative Agent at any time has a reasonable basis to believe that there is any material violation by an Obligor of any Environmental Law or the presence or release of any Hazardous Material which could result in an Environmental Liability that would be reasonably expected to result in a Material Adverse Effect, each Obligor shall, and shall cause each Subsidiary to, (i) prepare an environmental assessment of such condition, including where appropriate environmental testing, and the preparation of such environmental report, at the Borrower’s sole cost and expense, as the Administrative Agent may reasonably request with respect to any affected parcel of real property subject to a Collateral Document that is a mortgage, deed of trust or similar instrument, which shall be conducted by Persons reasonably acceptable to the Administrative Agent and shall be in form and substance reasonably acceptable to the Administrative Agent, and (ii) if such report is not delivered within thirty (30) days, permit the Administrative Agent or its representatives to have access to all such real property for the purpose of conducting, at the Borrower’s sole cost and expense, such environmental audits and testing as the Administrative Agent shall reasonably deem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Accounting Changes</w:t>
      </w:r>
      <w:r>
        <w:rPr>
          <w:rFonts w:ascii="Times New Roman;Times;Serif" w:hAnsi="Times New Roman;Times;Serif"/>
          <w:b w:val="false"/>
          <w:i w:val="false"/>
          <w:caps w:val="false"/>
          <w:smallCaps w:val="false"/>
          <w:sz w:val="20"/>
        </w:rPr>
        <w:t>. Such Obligor will not, and will not permit any of its Subsidiaries to, make any significant change in accounting treatment or reporting practices, except as required or permitted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Compliance with ERISA</w:t>
      </w:r>
      <w:r>
        <w:rPr>
          <w:rFonts w:ascii="Times New Roman;Times;Serif" w:hAnsi="Times New Roman;Times;Serif"/>
          <w:b w:val="false"/>
          <w:i w:val="false"/>
          <w:caps w:val="false"/>
          <w:smallCaps w:val="false"/>
          <w:sz w:val="20"/>
        </w:rPr>
        <w:t>. No ERISA Affiliate shall cause or suffer to exist (i) any event that could result in the imposition of a Lien with respect to any Title IV Plan or Multiemployer Plan or (ii) any other ERISA Event that would, in the aggregate, reasonably be expected to result in a Material Adverse Effect. No Obligor or any of its Subsidiaries shall cause or suffer to exist any event that could result in the imposition of a Lien with respect to 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Sanctions; Anti-Corruption Use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Borrower or any of its Subsidiaries or their respective agents shall (i) conduct any business or engage in any transaction or dealing with any Sanctioned Person, including the making or receiving any contribution of funds, goods or services to or for the benefit of any Sanctioned Person; (ii) deal in, or otherwise engage in any transaction relating to, any property or interests in property blocked pursuant to any Sanctions; or (iii) engage in or conspire to engage in any transaction that evades or avoids, or has the purpose of evading or avoiding, or attempts to violate, any of the prohibitions set forth in any Sanctions, the Patriot Act or any other Anti-Terrorism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will not, directly or, to the knowledge of the Borrower, indirectly, use the proceeds of the Loans, or lend, contribute or otherwise make available such proceeds to any subsidiary, joint venture partner or other Person, (i) in furtherance of an offer, payment, promise to pay, or authorization of the payment or giving of money, or anything else of value, to any Person in violation of any applicable anti-corruption Law, or (ii) (A) for the purpose of funding any activities or business of or with any Person, or in any country or territory, that, at the time of such funding, is, or whose government is, the subject of country- or territory-wide Sanctions, in violation of Sanctions or (B) in any manner that would result in a violation of Sanctions by any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trike/>
          <w:color w:val="FF0000"/>
          <w:sz w:val="20"/>
        </w:rPr>
        <w:t>BXCL 701 Subsidiary Covenants</w:t>
      </w:r>
      <w:r>
        <w:rPr>
          <w:rFonts w:ascii="Times New Roman;Times;Serif" w:hAnsi="Times New Roman;Times;Serif"/>
          <w:b/>
          <w:i w:val="false"/>
          <w:caps w:val="false"/>
          <w:smallCaps w:val="false"/>
          <w:color w:val="0000FF"/>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Notwithstanding anything to the contrary in this Agreement, the Borrower and its Subsidiaries shall not, and shall not permit any of its Subsidiaries (in each case, except for the BXCL 701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make, directly or indirectly, or permit to remain outstanding any Investments in the BXCL 701 Subsidiaries, except for (A) Investments in the BXCL 701 Subsidiaries consisting of the Equity Interests owned by the Borrower on the Closing Date and described on </w:t>
      </w:r>
      <w:r>
        <w:rPr>
          <w:rFonts w:ascii="Times New Roman;Times;Serif" w:hAnsi="Times New Roman;Times;Serif"/>
          <w:b/>
          <w:i w:val="false"/>
          <w:caps w:val="false"/>
          <w:smallCaps w:val="false"/>
          <w:strike/>
          <w:color w:val="FF0000"/>
          <w:sz w:val="20"/>
        </w:rPr>
        <w:t>Schedule 9.05,</w:t>
      </w:r>
      <w:r>
        <w:rPr>
          <w:rFonts w:ascii="Times New Roman;Times;Serif" w:hAnsi="Times New Roman;Times;Serif"/>
          <w:b w:val="false"/>
          <w:i w:val="false"/>
          <w:caps w:val="false"/>
          <w:smallCaps w:val="false"/>
          <w:strike/>
          <w:color w:val="FF0000"/>
          <w:sz w:val="20"/>
        </w:rPr>
        <w:t xml:space="preserve"> (B) the BXCL 701 Asset Contribution and (C) additional Investments in the BXCL 701 Subsidiaries made after the Closing Date in an amount not to exceed $30,865,000 outstanding at any time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that the amount of Investments permitted to be made pursuant to this clause (C) shall be reduced by $0.50 for each $1.00 of cash proceeds received by the BXCL 701 Subsidiaries in connection with a Permitted BXCL 701 Disposition Event;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strike/>
          <w:color w:val="FF0000"/>
          <w:sz w:val="20"/>
        </w:rPr>
        <w:t>, that any reduction in such amount of permitted Investments pursuant to the immediately preceding proviso shall apply solely on a prospective basis, and any Investments made in the BXCL 701 Subsidiaries in compliance with this clause (C) prior to the date of such reduction shall be permitted regardless of whether, following such reduction, such Investments are in excess of the amount permitted to be made pursuant to this clause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make, directly or indirectly, any Asset Sale (other than the BXCL 701 Asset Contribution) to the BXCL 701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(iii)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prior to a Qualifying IPO, permit the BXCL 701 Subsidiaries to hold any interest in Material Intellectual Property other than any Intellectual Property included in the BXCL 701 Assets or otherwise related to the oncology field;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(iv)</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enter into any transaction of merger, amalgamation or consolidation (or otherwise merge, amalgamate or consolidate) with or into the BXCL 701 Subsidiaries;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(v)</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dispose, directly or indirectly, of any Equity Interests in the BXCL 701 Subsidiaries except pursuant to a Permitted BXCL 701 Disposition Event, the Net Cash Proceeds of which are applied in accordance with </w:t>
      </w:r>
      <w:r>
        <w:rPr>
          <w:rFonts w:ascii="Times New Roman;Times;Serif" w:hAnsi="Times New Roman;Times;Serif"/>
          <w:b/>
          <w:i w:val="false"/>
          <w:caps w:val="false"/>
          <w:smallCaps w:val="false"/>
          <w:strike/>
          <w:color w:val="FF0000"/>
          <w:sz w:val="20"/>
        </w:rPr>
        <w:t>Section 3.03(b)(i)(B) </w:t>
      </w:r>
      <w:r>
        <w:rPr>
          <w:rFonts w:ascii="Times New Roman;Times;Serif" w:hAnsi="Times New Roman;Times;Serif"/>
          <w:b w:val="false"/>
          <w:i w:val="false"/>
          <w:caps w:val="false"/>
          <w:smallCaps w:val="false"/>
          <w:strike/>
          <w:color w:val="FF0000"/>
          <w:sz w:val="20"/>
        </w:rPr>
        <w:t>to the extent required to be so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For the avoidance of doubt, any Permitted BXCL 701 Disposition Event, the issuance by any BXCL 701 Subsidiary of its Equity Interests in compliance with </w:t>
      </w:r>
      <w:r>
        <w:rPr>
          <w:rFonts w:ascii="Times New Roman;Times;Serif" w:hAnsi="Times New Roman;Times;Serif"/>
          <w:b/>
          <w:i w:val="false"/>
          <w:caps w:val="false"/>
          <w:smallCaps w:val="false"/>
          <w:strike/>
          <w:color w:val="FF0000"/>
          <w:sz w:val="20"/>
        </w:rPr>
        <w:t>Section 9.09(l)(ii)</w:t>
      </w:r>
      <w:r>
        <w:rPr>
          <w:rFonts w:ascii="Times New Roman;Times;Serif" w:hAnsi="Times New Roman;Times;Serif"/>
          <w:b w:val="false"/>
          <w:i w:val="false"/>
          <w:caps w:val="false"/>
          <w:smallCaps w:val="false"/>
          <w:strike/>
          <w:color w:val="FF0000"/>
          <w:sz w:val="20"/>
        </w:rPr>
        <w:t xml:space="preserve"> or </w:t>
      </w:r>
      <w:r>
        <w:rPr>
          <w:rFonts w:ascii="Times New Roman;Times;Serif" w:hAnsi="Times New Roman;Times;Serif"/>
          <w:b/>
          <w:i w:val="false"/>
          <w:caps w:val="false"/>
          <w:smallCaps w:val="false"/>
          <w:strike/>
          <w:color w:val="FF0000"/>
          <w:sz w:val="20"/>
        </w:rPr>
        <w:t>9.09(o)</w:t>
      </w:r>
      <w:r>
        <w:rPr>
          <w:rFonts w:ascii="Times New Roman;Times;Serif" w:hAnsi="Times New Roman;Times;Serif"/>
          <w:b w:val="false"/>
          <w:i w:val="false"/>
          <w:caps w:val="false"/>
          <w:smallCaps w:val="false"/>
          <w:strike/>
          <w:color w:val="FF0000"/>
          <w:sz w:val="20"/>
        </w:rPr>
        <w:t>, and the transactions contemplated by the 701 Subsidiary Shared Services Agreement shall be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Prior to the consummation of a Permitted BXCL 701 Release Event, no BXCL 701 Subsidiary shall </w:t>
      </w:r>
      <w:r>
        <w:rPr>
          <w:rFonts w:ascii="Times New Roman;Times;Serif" w:hAnsi="Times New Roman;Times;Serif"/>
          <w:b w:val="false"/>
          <w:i w:val="false"/>
          <w:caps w:val="false"/>
          <w:smallCaps w:val="false"/>
          <w:strike/>
          <w:color w:val="008000"/>
          <w:sz w:val="20"/>
        </w:rPr>
        <w:t xml:space="preserve">form or acquire any Subsidiary </w:t>
      </w:r>
      <w:r>
        <w:rPr>
          <w:rFonts w:ascii="Times New Roman;Times;Serif" w:hAnsi="Times New Roman;Times;Serif"/>
          <w:b w:val="false"/>
          <w:i w:val="false"/>
          <w:caps w:val="false"/>
          <w:smallCaps w:val="false"/>
          <w:strike/>
          <w:color w:val="FF0000"/>
          <w:sz w:val="20"/>
        </w:rPr>
        <w:t>unless such newly formed or acquired Subsidiary shall become an Obligor hereunder and remain an Obligor at all times prior to the consummation of a Permitted BXCL 701 Release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Following the consummation of a Permitted BXCL 701 Release Event, the Borrower and its Subsidiaries shall not, and shall not permit any of its Subsidiaries (in each case, except for the BXCL 701 Subsidiaries) to, guarantee any indebtedness or other obligations, or otherwise provide any credit support to, any BXCL 701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The Borrower and each BXCL 701 Subsidiary agrees to provide the Oaktree Lenders (or such Affiliate or managed fund or account of Oaktree Capital Management, L.P. as the Oaktree Lenders designate) the opportunity to provide a first offer to provide the entire amount of each debt financing or convertible debt financing (excluding any marketed convertible debt following a Qualifying IPO) of any BXCL 701 Subsidiary (the “</w:t>
      </w:r>
      <w:r>
        <w:rPr>
          <w:rFonts w:ascii="Times New Roman;Times;Serif" w:hAnsi="Times New Roman;Times;Serif"/>
          <w:b/>
          <w:i/>
          <w:caps w:val="false"/>
          <w:smallCaps w:val="false"/>
          <w:strike/>
          <w:color w:val="FF0000"/>
          <w:sz w:val="20"/>
        </w:rPr>
        <w:t>First Offer</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that, if after ten (10) Business Days of the Oaktree Lenders’ delivery of such First Offer, the Borrower or such BXCL 701 Subsidiary does not agree to the terms of the financing offered by the Oaktree Lenders (or their designees) after good faith negotiations thereof, the Borrower or the applicable BXCL 701 Subsidiary may retain any other Person to provide such financing on pricing and other terms more favorable (taken as a whole) to the applicable BXCL 701 Subsidiary than those offered by the Oaktree Lenders (or their designees) as reasonably determined in good faith by the Borrower or the applicable BXCL 701 Subsidiary. Notwithstanding anything to the contrary in this Agreement, the provisions of this Section </w:t>
      </w:r>
      <w:r>
        <w:rPr>
          <w:rFonts w:ascii="Times New Roman;Times;Serif" w:hAnsi="Times New Roman;Times;Serif"/>
          <w:b/>
          <w:i w:val="false"/>
          <w:caps w:val="false"/>
          <w:smallCaps w:val="false"/>
          <w:strike/>
          <w:color w:val="FF0000"/>
          <w:sz w:val="20"/>
        </w:rPr>
        <w:t>9.19(d) </w:t>
      </w:r>
      <w:r>
        <w:rPr>
          <w:rFonts w:ascii="Times New Roman;Times;Serif" w:hAnsi="Times New Roman;Times;Serif"/>
          <w:b w:val="false"/>
          <w:i w:val="false"/>
          <w:caps w:val="false"/>
          <w:smallCaps w:val="false"/>
          <w:strike/>
          <w:color w:val="FF0000"/>
          <w:sz w:val="20"/>
        </w:rPr>
        <w:t>shall not apply after the consummation of a Qualifying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10.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Minimum Liquidity</w:t>
      </w:r>
      <w:r>
        <w:rPr>
          <w:rFonts w:ascii="Times New Roman;Times;Serif" w:hAnsi="Times New Roman;Times;Serif"/>
          <w:b w:val="false"/>
          <w:i w:val="false"/>
          <w:caps w:val="false"/>
          <w:smallCaps w:val="false"/>
          <w:sz w:val="20"/>
        </w:rPr>
        <w:t xml:space="preserve">. The Borrower shall, at all times after the Account Control Agreement Completion Date, maintain the Minimum Liquidity Amount in cash or Permitted Cash Equivalent Investments in one or more Controlled Accounts that is free and clear of all Liens, other than Liens granted hereunder in favor of the Administrative Agent and Liens permitted under </w:t>
      </w:r>
      <w:r>
        <w:rPr>
          <w:rFonts w:ascii="Times New Roman;Times;Serif" w:hAnsi="Times New Roman;Times;Serif"/>
          <w:b/>
          <w:i w:val="false"/>
          <w:caps w:val="false"/>
          <w:smallCaps w:val="false"/>
          <w:sz w:val="20"/>
        </w:rPr>
        <w:t>Section 9.02(i)</w:t>
      </w:r>
      <w:r>
        <w:rPr>
          <w:rFonts w:ascii="Times New Roman;Times;Serif" w:hAnsi="Times New Roman;Times;Serif"/>
          <w:b w:val="false"/>
          <w:i w:val="false"/>
          <w:caps w:val="false"/>
          <w:smallCaps w:val="false"/>
          <w:sz w:val="20"/>
        </w:rPr>
        <w:t> (such covenant, the “</w:t>
      </w:r>
      <w:r>
        <w:rPr>
          <w:rFonts w:ascii="Times New Roman;Times;Serif" w:hAnsi="Times New Roman;Times;Serif"/>
          <w:b/>
          <w:i/>
          <w:caps w:val="false"/>
          <w:smallCaps w:val="false"/>
          <w:sz w:val="20"/>
        </w:rPr>
        <w:t>Minimum Liquidity Covenant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10.02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trike/>
          <w:color w:val="FF0000"/>
          <w:sz w:val="20"/>
        </w:rPr>
        <w:t>Minimum Revenue</w:t>
      </w:r>
      <w:r>
        <w:rPr>
          <w:rFonts w:ascii="Times New Roman;Times;Serif" w:hAnsi="Times New Roman;Times;Serif"/>
          <w:b w:val="false"/>
          <w:i w:val="false"/>
          <w:caps w:val="false"/>
          <w:smallCaps w:val="false"/>
          <w:strike/>
          <w:color w:val="FF0000"/>
          <w:sz w:val="20"/>
        </w:rPr>
        <w:t>. Beginning with the fiscal quarter of the Borrower ending on December 31, 2024 and with respect to each subsequent fiscal quarter, Revenue for the six (6) consecutive month period ending on the last day of such fiscal quarter shall not be less than the Minimum Revenue for such period (such covenant, the “</w:t>
      </w:r>
      <w:r>
        <w:rPr>
          <w:rFonts w:ascii="Times New Roman;Times;Serif" w:hAnsi="Times New Roman;Times;Serif"/>
          <w:b/>
          <w:i/>
          <w:caps w:val="false"/>
          <w:smallCaps w:val="false"/>
          <w:strike/>
          <w:color w:val="FF0000"/>
          <w:sz w:val="20"/>
        </w:rPr>
        <w:t>Minimum Revenue Covenant</w:t>
      </w:r>
      <w:r>
        <w:rPr>
          <w:rFonts w:ascii="Times New Roman;Times;Serif" w:hAnsi="Times New Roman;Times;Serif"/>
          <w:b w:val="false"/>
          <w:i w:val="false"/>
          <w:caps w:val="false"/>
          <w:smallCaps w:val="false"/>
          <w:strike/>
          <w:color w:val="FF0000"/>
          <w:sz w:val="20"/>
        </w:rPr>
        <w:t>”). For the avoidance of doubt, for purposes of the Minimum Revenue Covenant, Revenue shall only include Igalmi U.S. product net revenues but exclude EUA contract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Events of Default</w:t>
      </w:r>
      <w:r>
        <w:rPr>
          <w:rFonts w:ascii="Times New Roman;Times;Serif" w:hAnsi="Times New Roman;Times;Serif"/>
          <w:b w:val="false"/>
          <w:i w:val="false"/>
          <w:caps w:val="false"/>
          <w:smallCaps w:val="false"/>
          <w:sz w:val="20"/>
        </w:rPr>
        <w:t>. Each of the following events shall constitute an “</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Principal Payment Default</w:t>
      </w:r>
      <w:r>
        <w:rPr>
          <w:rFonts w:ascii="Times New Roman;Times;Serif" w:hAnsi="Times New Roman;Times;Serif"/>
          <w:b w:val="false"/>
          <w:i w:val="false"/>
          <w:caps w:val="false"/>
          <w:smallCaps w:val="false"/>
          <w:sz w:val="20"/>
        </w:rPr>
        <w:t>. The Borrower shall fail to pay any principal of the Loan, when and as the same shall become due and payable, whether at the due date thereof, at a date fixed for prepayment thereof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Other Payment Defaults</w:t>
      </w:r>
      <w:r>
        <w:rPr>
          <w:rFonts w:ascii="Times New Roman;Times;Serif" w:hAnsi="Times New Roman;Times;Serif"/>
          <w:b w:val="false"/>
          <w:i w:val="false"/>
          <w:caps w:val="false"/>
          <w:smallCaps w:val="false"/>
          <w:sz w:val="20"/>
        </w:rPr>
        <w:t xml:space="preserve">. Any Obligor shall fail to pay interest or any other Obligation (other than an amount referred to in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when and as the same shall become due and payable, and such failure shall continue unremedied for a period of three (3)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Any representation or warranty made or deemed made by or on behalf of any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prove to have been incorrect in any respect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Certain Covenants</w:t>
      </w:r>
      <w:r>
        <w:rPr>
          <w:rFonts w:ascii="Times New Roman;Times;Serif" w:hAnsi="Times New Roman;Times;Serif"/>
          <w:b w:val="false"/>
          <w:i w:val="false"/>
          <w:caps w:val="false"/>
          <w:smallCaps w:val="false"/>
          <w:sz w:val="20"/>
        </w:rPr>
        <w:t>. Any Obligor shall fail to observe or perform any covenant, condition or agreement contained in (i)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8.03</w:t>
      </w:r>
      <w:r>
        <w:rPr>
          <w:rFonts w:ascii="Times New Roman;Times;Serif" w:hAnsi="Times New Roman;Times;Serif"/>
          <w:b w:val="false"/>
          <w:i w:val="false"/>
          <w:caps w:val="false"/>
          <w:smallCaps w:val="false"/>
          <w:sz w:val="20"/>
        </w:rPr>
        <w:t xml:space="preserve"> (with respect to the Borrower’s existence), </w:t>
      </w:r>
      <w:r>
        <w:rPr>
          <w:rFonts w:ascii="Times New Roman;Times;Serif" w:hAnsi="Times New Roman;Times;Serif"/>
          <w:b/>
          <w:i w:val="false"/>
          <w:caps w:val="false"/>
          <w:smallCaps w:val="false"/>
          <w:sz w:val="20"/>
        </w:rPr>
        <w:t>8.11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8.15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8.17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8.18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0000FF"/>
          <w:sz w:val="20"/>
          <w:u w:val="single"/>
        </w:rPr>
        <w:t>8,21</w:t>
      </w:r>
      <w:r>
        <w:rPr>
          <w:rFonts w:ascii="Times New Roman;Times;Serif" w:hAnsi="Times New Roman;Times;Serif"/>
          <w:b w:val="false"/>
          <w:i w:val="false"/>
          <w:caps w:val="false"/>
          <w:smallCaps w:val="false"/>
          <w:color w:val="0000FF"/>
          <w:sz w:val="20"/>
          <w:u w:val="single"/>
        </w:rPr>
        <w:t xml:space="preserve">, </w:t>
      </w:r>
      <w:r>
        <w:rPr>
          <w:rFonts w:ascii="Times New Roman;Times;Serif" w:hAnsi="Times New Roman;Times;Serif"/>
          <w:b/>
          <w:i w:val="false"/>
          <w:caps w:val="false"/>
          <w:smallCaps w:val="false"/>
          <w:color w:val="0000FF"/>
          <w:sz w:val="20"/>
          <w:u w:val="single"/>
        </w:rPr>
        <w:t>8.22</w:t>
      </w:r>
      <w:r>
        <w:rPr>
          <w:rFonts w:ascii="Times New Roman;Times;Serif" w:hAnsi="Times New Roman;Times;Serif"/>
          <w:b w:val="false"/>
          <w:i w:val="false"/>
          <w:caps w:val="false"/>
          <w:smallCaps w:val="false"/>
          <w:color w:val="0000FF"/>
          <w:sz w:val="20"/>
          <w:u w:val="single"/>
        </w:rPr>
        <w:t xml:space="preserve">, </w:t>
      </w:r>
      <w:r>
        <w:rPr>
          <w:rFonts w:ascii="Times New Roman;Times;Serif" w:hAnsi="Times New Roman;Times;Serif"/>
          <w:b/>
          <w:i w:val="false"/>
          <w:caps w:val="false"/>
          <w:smallCaps w:val="false"/>
          <w:color w:val="0000FF"/>
          <w:sz w:val="20"/>
          <w:u w:val="single"/>
        </w:rPr>
        <w:t>8.23</w:t>
      </w:r>
      <w:r>
        <w:rPr>
          <w:rFonts w:ascii="Times New Roman;Times;Serif" w:hAnsi="Times New Roman;Times;Serif"/>
          <w:b w:val="false"/>
          <w:i w:val="false"/>
          <w:caps w:val="false"/>
          <w:smallCaps w:val="false"/>
          <w:color w:val="0000FF"/>
          <w:sz w:val="20"/>
          <w:u w:val="single"/>
        </w:rPr>
        <w:t xml:space="preserve">, </w:t>
      </w:r>
      <w:r>
        <w:rPr>
          <w:rFonts w:ascii="Times New Roman;Times;Serif" w:hAnsi="Times New Roman;Times;Serif"/>
          <w:b/>
          <w:i w:val="false"/>
          <w:caps w:val="false"/>
          <w:smallCaps w:val="false"/>
          <w:color w:val="0000FF"/>
          <w:sz w:val="20"/>
          <w:u w:val="single"/>
        </w:rPr>
        <w:t xml:space="preserve">8.24, 8.25, </w:t>
      </w:r>
      <w:r>
        <w:rPr>
          <w:rFonts w:ascii="Times New Roman;Times;Serif" w:hAnsi="Times New Roman;Times;Serif"/>
          <w:b/>
          <w:i w:val="false"/>
          <w:caps w:val="false"/>
          <w:smallCaps w:val="false"/>
          <w:sz w:val="20"/>
        </w:rPr>
        <w:t xml:space="preserve">Section 9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Section 10</w:t>
      </w:r>
      <w:r>
        <w:rPr>
          <w:rFonts w:ascii="Times New Roman;Times;Serif" w:hAnsi="Times New Roman;Times;Serif"/>
          <w:b w:val="false"/>
          <w:i w:val="false"/>
          <w:caps w:val="false"/>
          <w:smallCaps w:val="false"/>
          <w:sz w:val="20"/>
        </w:rPr>
        <w:t xml:space="preserve"> or (i) any of the Company Warrants or the 701 Warrants</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caps w:val="false"/>
          <w:smallCaps w:val="false"/>
          <w:strike/>
          <w:color w:val="FF0000"/>
          <w:sz w:val="20"/>
        </w:rPr>
        <w:t>provided</w:t>
      </w:r>
      <w:r>
        <w:rPr>
          <w:rFonts w:ascii="Times New Roman;Times;Serif" w:hAnsi="Times New Roman;Times;Serif"/>
          <w:b w:val="false"/>
          <w:i w:val="false"/>
          <w:caps w:val="false"/>
          <w:smallCaps w:val="false"/>
          <w:strike/>
          <w:color w:val="FF0000"/>
          <w:sz w:val="20"/>
        </w:rPr>
        <w:t xml:space="preserve"> that any Event of Default under </w:t>
      </w:r>
      <w:r>
        <w:rPr>
          <w:rFonts w:ascii="Times New Roman;Times;Serif" w:hAnsi="Times New Roman;Times;Serif"/>
          <w:b/>
          <w:i w:val="false"/>
          <w:caps w:val="false"/>
          <w:smallCaps w:val="false"/>
          <w:strike/>
          <w:color w:val="FF0000"/>
          <w:sz w:val="20"/>
        </w:rPr>
        <w:t xml:space="preserve">Section 10.02 </w:t>
      </w:r>
      <w:r>
        <w:rPr>
          <w:rFonts w:ascii="Times New Roman;Times;Serif" w:hAnsi="Times New Roman;Times;Serif"/>
          <w:b w:val="false"/>
          <w:i w:val="false"/>
          <w:caps w:val="false"/>
          <w:smallCaps w:val="false"/>
          <w:strike/>
          <w:color w:val="FF0000"/>
          <w:sz w:val="20"/>
        </w:rPr>
        <w:t xml:space="preserve">is subject to cure as provided in </w:t>
      </w:r>
      <w:r>
        <w:rPr>
          <w:rFonts w:ascii="Times New Roman;Times;Serif" w:hAnsi="Times New Roman;Times;Serif"/>
          <w:b/>
          <w:i w:val="false"/>
          <w:caps w:val="false"/>
          <w:smallCaps w:val="false"/>
          <w:strike/>
          <w:color w:val="FF0000"/>
          <w:sz w:val="20"/>
        </w:rPr>
        <w:t xml:space="preserve">Sections 11.04 </w:t>
      </w:r>
      <w:r>
        <w:rPr>
          <w:rFonts w:ascii="Times New Roman;Times;Serif" w:hAnsi="Times New Roman;Times;Serif"/>
          <w:b w:val="false"/>
          <w:i w:val="false"/>
          <w:caps w:val="false"/>
          <w:smallCaps w:val="false"/>
          <w:strike/>
          <w:color w:val="FF0000"/>
          <w:sz w:val="20"/>
        </w:rPr>
        <w:t xml:space="preserve">and an Event of Default with respect to such Section shall not occur until the expiration of the 15th Business Day subsequent to the date on which the financial statements with respect to the applicable fiscal quarter (or the fiscal year ended on the last day of such fiscal quarter) are required to be delivered pursuant to </w:t>
      </w:r>
      <w:r>
        <w:rPr>
          <w:rFonts w:ascii="Times New Roman;Times;Serif" w:hAnsi="Times New Roman;Times;Serif"/>
          <w:b/>
          <w:i w:val="false"/>
          <w:caps w:val="false"/>
          <w:smallCaps w:val="false"/>
          <w:strike/>
          <w:color w:val="FF0000"/>
          <w:sz w:val="20"/>
        </w:rPr>
        <w:t>Section 8.01(a)</w:t>
      </w:r>
      <w:r>
        <w:rPr>
          <w:rFonts w:ascii="Times New Roman;Times;Serif" w:hAnsi="Times New Roman;Times;Serif"/>
          <w:b w:val="false"/>
          <w:i w:val="false"/>
          <w:caps w:val="false"/>
          <w:smallCaps w:val="false"/>
          <w:strike/>
          <w:color w:val="FF0000"/>
          <w:sz w:val="20"/>
        </w:rPr>
        <w:t xml:space="preserve"> or </w:t>
      </w:r>
      <w:r>
        <w:rPr>
          <w:rFonts w:ascii="Times New Roman;Times;Serif" w:hAnsi="Times New Roman;Times;Serif"/>
          <w:b/>
          <w:i w:val="false"/>
          <w:caps w:val="false"/>
          <w:smallCaps w:val="false"/>
          <w:strike/>
          <w:color w:val="FF0000"/>
          <w:sz w:val="20"/>
        </w:rPr>
        <w:t>8.01(b)</w:t>
      </w:r>
      <w:r>
        <w:rPr>
          <w:rFonts w:ascii="Times New Roman;Times;Serif" w:hAnsi="Times New Roman;Times;Serif"/>
          <w:b w:val="false"/>
          <w:i w:val="false"/>
          <w:caps w:val="false"/>
          <w:smallCaps w:val="false"/>
          <w:strike/>
          <w:color w:val="FF0000"/>
          <w:sz w:val="20"/>
        </w:rPr>
        <w:t>, as applicable.</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Other Covenants</w:t>
      </w:r>
      <w:r>
        <w:rPr>
          <w:rFonts w:ascii="Times New Roman;Times;Serif" w:hAnsi="Times New Roman;Times;Serif"/>
          <w:b w:val="false"/>
          <w:i w:val="false"/>
          <w:caps w:val="false"/>
          <w:smallCaps w:val="false"/>
          <w:sz w:val="20"/>
        </w:rPr>
        <w:t xml:space="preserve">. Any Obligor shall fail to observe or perform any covenant, condition or agreement contained in this Agreement (other than those specified in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or any other Loan Document, and, in the case of any failure that is capable of cure, such failure shall continue unremedied for a period of thirty (30) or more days;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breach of </w:t>
      </w:r>
      <w:r>
        <w:rPr>
          <w:rFonts w:ascii="Times New Roman;Times;Serif" w:hAnsi="Times New Roman;Times;Serif"/>
          <w:b/>
          <w:i w:val="false"/>
          <w:caps w:val="false"/>
          <w:smallCaps w:val="false"/>
          <w:sz w:val="20"/>
        </w:rPr>
        <w:t>Section 8.01(b)</w:t>
      </w:r>
      <w:r>
        <w:rPr>
          <w:rFonts w:ascii="Times New Roman;Times;Serif" w:hAnsi="Times New Roman;Times;Serif"/>
          <w:b w:val="false"/>
          <w:i w:val="false"/>
          <w:caps w:val="false"/>
          <w:smallCaps w:val="false"/>
          <w:sz w:val="20"/>
        </w:rPr>
        <w:t> as a result of any “going concern” or like qualification or exception or emphasis of matter of going concern footnote is subject to a cure period of 120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Payment Default on Other Indebtedness</w:t>
      </w:r>
      <w:r>
        <w:rPr>
          <w:rFonts w:ascii="Times New Roman;Times;Serif" w:hAnsi="Times New Roman;Times;Serif"/>
          <w:b w:val="false"/>
          <w:i w:val="false"/>
          <w:caps w:val="false"/>
          <w:smallCaps w:val="false"/>
          <w:sz w:val="20"/>
        </w:rPr>
        <w:t>. Any Obligor or any of its Subsidiaries shall fail to make any payment (whether of principal or interest and regardless of amount) in respect of any Material Indebtedness, when and as the same shall become due and payable after giving effect to any applicable grace or cure period as originally provided by the terms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Other Defaults on Other Indebtedness</w:t>
      </w:r>
      <w:r>
        <w:rPr>
          <w:rFonts w:ascii="Times New Roman;Times;Serif" w:hAnsi="Times New Roman;Times;Serif"/>
          <w:b w:val="false"/>
          <w:i w:val="false"/>
          <w:caps w:val="false"/>
          <w:smallCaps w:val="false"/>
          <w:sz w:val="20"/>
        </w:rPr>
        <w:t xml:space="preserve">. (i) Any material breach of, or “event of default” or similar event under, any Contract governing any Material Indebtedness shall occur and such breach or “event of default” or similar event shall continue unremedied, uncured or unwaived after the expiration of any grace or cure period thereunder, or (ii) any event or condition occurs (x) that results in any Material Indebtedness becoming due prior to its scheduled maturity or (y)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or prior to the final date of its original term;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i w:val="false"/>
          <w:caps w:val="false"/>
          <w:smallCaps w:val="false"/>
          <w:sz w:val="20"/>
        </w:rPr>
        <w:t>Section 11.01(g) </w:t>
      </w:r>
      <w:r>
        <w:rPr>
          <w:rFonts w:ascii="Times New Roman;Times;Serif" w:hAnsi="Times New Roman;Times;Serif"/>
          <w:b w:val="false"/>
          <w:i w:val="false"/>
          <w:caps w:val="false"/>
          <w:smallCaps w:val="false"/>
          <w:sz w:val="20"/>
        </w:rPr>
        <w:t xml:space="preserve">shall not apply to (x) secured Indebtedness that becomes due as a result of the voluntary sale or transfer of the property or assets securing such Material Indebtedness, (y) any conversion of any convertible Indebtedness or satisfaction of any condition giving rise to or permitting a conversion of any convertible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has the right to settle any such Indebtedness into Equity Interests of the Borrower (and nominal cash payments in respect of fractional shares and cash payments in respect of accrued and unpaid interest) in accordance with the express terms or conditions thereof and (z) with respect to any Material Indebtedness consisting of Hedging Agreements, termination events or equivalent events pursuant to the terms of such Hedging Agreements and not as a result of any default thereunder by any Obligor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Insolvency, Bankruptcy,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Obligor or any of its Material Subsidiaries becomes insolvent,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Obligor or any of its Material Subsidiaries commits an act of bankruptcy or makes an assignment of its property for the general benefit of its creditors or makes a proposal (or files a notice of its intention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Obligor or any of its Material Subsidiaries institutes any proceeding seeking to adjudicate it an insolvent, or seeking liquidation, dissolution, winding-up, reorganization, compromise, arrangement, adjustment, protection, moratorium, relief, stay of proceedings of creditors generally (or any class of creditors), or composition of it or its debts or any other relief, under any Law, whether U.S. or non-U.S., now or hereafter in effect relating to bankruptcy, winding-up, insolvency, reorganization, receivership, plans of arrangement or relief or protection of debtors or at common law or in equity, or files an answer admitting the material allegations of a petition filed against it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Obligor or any of its Material Subsidiaries applies for the appointment of, or the taking of possession by, a receiver, interim receiver, receiver/manager, sequestrator, conservator, custodian, administrator, trustee, liquidator, voluntary administrator, receiver and manager or other similar official for it or any substantial part of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Any Obligor or any of its Material Subsidiaries takes any action, corporate or otherwise, to approve, effect, consent to or authorize any of the actions described in this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 or otherwise acts in furtherance thereof or fails to act in a timely and appropriate manner in defense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petition is filed, application made or other proceeding instituted against or in respect of any Obligor or any of its Material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b w:val="false"/>
          <w:i w:val="false"/>
          <w:caps w:val="false"/>
          <w:smallCaps w:val="false"/>
          <w:sz w:val="20"/>
        </w:rPr>
        <w:t>            seeking to adjudicate it as insolvent;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b w:val="false"/>
          <w:i w:val="false"/>
          <w:caps w:val="false"/>
          <w:smallCaps w:val="false"/>
          <w:sz w:val="20"/>
        </w:rPr>
        <w:t>            seeking a receiving order against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b w:val="false"/>
          <w:i w:val="false"/>
          <w:caps w:val="false"/>
          <w:smallCaps w:val="false"/>
          <w:sz w:val="20"/>
        </w:rPr>
        <w:t>            seeking liquidation, dissolution, winding-up, reorganization, compromise, arrangement, adjustment, protection, moratorium, relief, stay of proceedings of creditors generally (or any class of creditors), deed of company arrangement or composition of it or its debts or any other relief under any Law, whether U.S. or non-U.S., now or hereafter in effect relating to bankruptcy, winding-up, insolvency, reorganization, receivership, plans of arrangement or relief or protection of debtors or at common law or in equity;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b w:val="false"/>
          <w:i w:val="false"/>
          <w:caps w:val="false"/>
          <w:smallCaps w:val="false"/>
          <w:sz w:val="20"/>
        </w:rPr>
        <w:t xml:space="preserve">            seeking the entry of an order for relief or the appointment of, or the taking of possession by, a receiver, interim receiver, receiver/manager, sequestrator, conservator, custodian, administrator, trustee, liquidator, voluntary administrator, receiver and manager or other similar official for it or any substantial part of its property, and such petition, application or proceeding continues undismissed, or unstayed and in effect, for a period of forty-five (45) days after the institution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 order, decree or judgment is granted or entered (whether or not entered or subject to appeal) against such Obligor or such Subsidiary thereunder in the interim, such grace period will cease to apply;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such Obligor or Material Subsidiary files an answer admitting the material allegations of a petition filed against it in any such proceeding, such grace period will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Any other event occurs which, under the Laws of any applicable jurisdiction, has an effect equivalent to any of the events referred to in this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Judgments</w:t>
      </w:r>
      <w:r>
        <w:rPr>
          <w:rFonts w:ascii="Times New Roman;Times;Serif" w:hAnsi="Times New Roman;Times;Serif"/>
          <w:b w:val="false"/>
          <w:i w:val="false"/>
          <w:caps w:val="false"/>
          <w:smallCaps w:val="false"/>
          <w:sz w:val="20"/>
        </w:rPr>
        <w:t>. One or more judgments for the payment of money in an aggregate amount in excess of $15,000,000 (or the Equivalent Amount in other currencies) (except to the extent fully covered (other than to the extent of customary deductibles) by insurance pursuant to which the insurer has not denied coverage) shall be rendered against any Obligor or any of its Subsidiaries or any combination thereof and the same shall remain undischarged for a period of forty-five (45) calendar days during which execution shall not be effectively stayed, or any action shall be legally taken by a judgment creditor to attach or levy upon any assets of any Obligor to enforce any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An ERISA Event shall have occurred that when taken together with all other ERISA Events that have occurred, would reasonably be expected to result in liability of the Borrower and its Subsidiaries in an aggregate amount in excess of $15,000,000 (or the Equivalent Amount in other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A Change of Control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 xml:space="preserve">Regulatory Matters, Etc. </w:t>
      </w:r>
      <w:r>
        <w:rPr>
          <w:rFonts w:ascii="Times New Roman;Times;Serif" w:hAnsi="Times New Roman;Times;Serif"/>
          <w:b w:val="false"/>
          <w:i w:val="false"/>
          <w:caps w:val="false"/>
          <w:smallCaps w:val="false"/>
          <w:sz w:val="20"/>
        </w:rPr>
        <w:t>If any of the following occurs: (i) the FDA or any other U.S. Regulatory Authority initiates enforcement action against, or issues a warning letter with respect to BXCL 501 that causes any Obligor to discontinue or withdraw, or would reasonably be expected to cause any Obligor to discontinue or withdraw, marketing or sales BXCL 501, or causes a material delay in the manufacture or sale of BXCL 501, which discontinuance or delay would reasonably be expected to last for more than ninety (90) days, (ii) an FDA Class 1 Recall of BXCL 501 in the U.S., to the extent BXCL 501 has generated or is expected to generate at least $15,000,000 (or the Equivalent Amount in other currencies) in revenue for the Borrower and its Subsidiaries for sales or licenses to third parties over any period of twelve (12) consecutive months, or (iii) any Obligor enters into a settlement agreement with the FDA or any other U.S. Regulatory Authority in respect of BXCL 501 that results in aggregate liability as to any single or related series of transactions, incidents or conditions, in excess of $15,000,000 (or the Equivalent Amount in other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 xml:space="preserve">Impairment of Security, Etc. </w:t>
      </w:r>
      <w:r>
        <w:rPr>
          <w:rFonts w:ascii="Times New Roman;Times;Serif" w:hAnsi="Times New Roman;Times;Serif"/>
          <w:b w:val="false"/>
          <w:i w:val="false"/>
          <w:caps w:val="false"/>
          <w:smallCaps w:val="false"/>
          <w:sz w:val="20"/>
        </w:rPr>
        <w:t xml:space="preserve">Subject in all respects to any applicable post-closing periods and certain other time periods under the Loan Documents for any Obligor or Subsidiary to take perfection actions, if any of the following events occurs: (i) Any Lien created by any of the Security Documents shall at any time not constitute a valid and perfected Lien on the applicable Collateral in favor of the Secured Parties, free and clear of all other Liens (other than Permitted Liens) except due to the action or inaction of the Administrative Agent, (ii) except for expiration in accordance with its terms, any of the Security Documents or any Guarantee of any of the Obligations (including that contained in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shall for whatever reason cease to be in full force and effect, (iii) any Obligor shall, directly or indirectly, contest in any manner such effectiveness, validity, binding nature or enforceability of any such Lien or any Loan Document, or (iv) any injunction, whether temporary or permanent, shall be rendered against any Obligor that prevents the Obligors from selling or manufacturing the Products or their commercially available successors, or any of their other material and commercially available products in the United States for more than forty-five (45) calendar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Defaults Other Than Bankruptcy Defaults</w:t>
      </w:r>
      <w:r>
        <w:rPr>
          <w:rFonts w:ascii="Times New Roman;Times;Serif" w:hAnsi="Times New Roman;Times;Serif"/>
          <w:b w:val="false"/>
          <w:i w:val="false"/>
          <w:caps w:val="false"/>
          <w:smallCaps w:val="false"/>
          <w:sz w:val="20"/>
        </w:rPr>
        <w:t xml:space="preserve">. Upon the occurrence of any Event of Default, then, and in every such event (other than an Event of Default described in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 and at any time thereafter during the continuance of such event, the Administrative Agent may (or upon the direction of the Majority Lenders, shall),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including any applicable Prepayment Fee shall become due and payable immediately (in the case of the Loans, at the Prepayment Price therefor), without presentment, demand, protest or other notice of any kind, all of which are hereby waived by each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Bankruptcy Defaults</w:t>
      </w:r>
      <w:r>
        <w:rPr>
          <w:rFonts w:ascii="Times New Roman;Times;Serif" w:hAnsi="Times New Roman;Times;Serif"/>
          <w:b w:val="false"/>
          <w:i w:val="false"/>
          <w:caps w:val="false"/>
          <w:smallCaps w:val="false"/>
          <w:sz w:val="20"/>
        </w:rPr>
        <w:t xml:space="preserve">. In case of an Event of Default described in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 the principal of the Loans then outstanding, together with accrued interest thereon and all fees and other Obligations, including any applicable Prepayment Fee shall automatically become due and payable immediately (in the case of the Loans, at the Prepayment Price therefor), without presentment, demand, protest or other notice of any kind, all of which are hereby waived by each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Additional Remedies</w:t>
      </w:r>
      <w:r>
        <w:rPr>
          <w:rFonts w:ascii="Times New Roman;Times;Serif" w:hAnsi="Times New Roman;Times;Serif"/>
          <w:b w:val="false"/>
          <w:i w:val="false"/>
          <w:caps w:val="false"/>
          <w:smallCaps w:val="false"/>
          <w:sz w:val="20"/>
        </w:rPr>
        <w:t xml:space="preserve">. If an Event of Default has occurred and is continuing, if any Obligor shall be in default under a Material Agreement, the Administrative Agent shall have the right (but not the obligation) to cause the default or defaults under such Material Agreement to be remedied (including by paying any unpaid amount thereunder) and otherwise exercise any and all rights of such Obligor, as the case may be, thereunder, as may be necessary to prevent or cure any default. Without limiting the foregoing, upon any such default, each Obligor shall promptly execute, acknowledge and deliver to the Administrative Agent such instruments as may reasonably be required of such Obligor to permit the Administrative Agent to cure any default under the applicable Material Agreement or permit the Administrative Agent to take such other action required to enable the Administrative Agent to cure or remedy the matter in default and preserve the interests of the Administrative Agent. Any amounts paid by the Administrative Agent pursuant to this </w:t>
      </w:r>
      <w:r>
        <w:rPr>
          <w:rFonts w:ascii="Times New Roman;Times;Serif" w:hAnsi="Times New Roman;Times;Serif"/>
          <w:b/>
          <w:i w:val="false"/>
          <w:caps w:val="false"/>
          <w:smallCaps w:val="false"/>
          <w:sz w:val="20"/>
        </w:rPr>
        <w:t>Section 11.03</w:t>
      </w:r>
      <w:r>
        <w:rPr>
          <w:rFonts w:ascii="Times New Roman;Times;Serif" w:hAnsi="Times New Roman;Times;Serif"/>
          <w:b w:val="false"/>
          <w:i w:val="false"/>
          <w:caps w:val="false"/>
          <w:smallCaps w:val="false"/>
          <w:sz w:val="20"/>
        </w:rPr>
        <w:t xml:space="preserve"> shall be payable in accordance with </w:t>
      </w:r>
      <w:r>
        <w:rPr>
          <w:rFonts w:ascii="Times New Roman;Times;Serif" w:hAnsi="Times New Roman;Times;Serif"/>
          <w:b/>
          <w:i w:val="false"/>
          <w:caps w:val="false"/>
          <w:smallCaps w:val="false"/>
          <w:sz w:val="20"/>
        </w:rPr>
        <w:t>Section 14.03(a)</w:t>
      </w:r>
      <w:r>
        <w:rPr>
          <w:rFonts w:ascii="Times New Roman;Times;Serif" w:hAnsi="Times New Roman;Times;Serif"/>
          <w:b w:val="false"/>
          <w:i w:val="false"/>
          <w:caps w:val="false"/>
          <w:smallCaps w:val="false"/>
          <w:sz w:val="20"/>
        </w:rPr>
        <w:t>, shall accrue interest at the Default Rate if not paid when due, and shall constitute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trike/>
          <w:color w:val="FF0000"/>
          <w:sz w:val="20"/>
        </w:rPr>
        <w:t>Minimum Revenue Covenant Cure</w:t>
      </w:r>
      <w:r>
        <w:rPr>
          <w:rFonts w:ascii="Times New Roman;Times;Serif" w:hAnsi="Times New Roman;Times;Serif"/>
          <w:b/>
          <w:i w:val="false"/>
          <w:caps w:val="false"/>
          <w:smallCaps w:val="false"/>
          <w:color w:val="0000FF"/>
          <w:sz w:val="20"/>
          <w:u w:val="single"/>
        </w:rPr>
        <w:t>[Reserved]</w:t>
      </w: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Notwithstanding anything to the contrary contained in </w:t>
      </w:r>
      <w:r>
        <w:rPr>
          <w:rFonts w:ascii="Times New Roman;Times;Serif" w:hAnsi="Times New Roman;Times;Serif"/>
          <w:b/>
          <w:i w:val="false"/>
          <w:caps w:val="false"/>
          <w:smallCaps w:val="false"/>
          <w:strike/>
          <w:color w:val="FF0000"/>
          <w:sz w:val="20"/>
        </w:rPr>
        <w:t>Section 11.02</w:t>
      </w:r>
      <w:r>
        <w:rPr>
          <w:rFonts w:ascii="Times New Roman;Times;Serif" w:hAnsi="Times New Roman;Times;Serif"/>
          <w:b w:val="false"/>
          <w:i w:val="false"/>
          <w:caps w:val="false"/>
          <w:smallCaps w:val="false"/>
          <w:strike/>
          <w:color w:val="FF0000"/>
          <w:sz w:val="20"/>
        </w:rPr>
        <w:t xml:space="preserve">, in the event the Borrower fails to comply with the requirements of the Minimum Revenue Covenant, during the period from the end of the relevant fiscal quarter until the expiration of the fifteenth Business Day subsequent to the date the financial statements are required to be delivered pursuant to </w:t>
      </w:r>
      <w:r>
        <w:rPr>
          <w:rFonts w:ascii="Times New Roman;Times;Serif" w:hAnsi="Times New Roman;Times;Serif"/>
          <w:b/>
          <w:i w:val="false"/>
          <w:caps w:val="false"/>
          <w:smallCaps w:val="false"/>
          <w:strike/>
          <w:color w:val="FF0000"/>
          <w:sz w:val="20"/>
        </w:rPr>
        <w:t>Section 8.01(a)</w:t>
      </w:r>
      <w:r>
        <w:rPr>
          <w:rFonts w:ascii="Times New Roman;Times;Serif" w:hAnsi="Times New Roman;Times;Serif"/>
          <w:b w:val="false"/>
          <w:i w:val="false"/>
          <w:caps w:val="false"/>
          <w:smallCaps w:val="false"/>
          <w:strike/>
          <w:color w:val="FF0000"/>
          <w:sz w:val="20"/>
        </w:rPr>
        <w:t xml:space="preserve"> or </w:t>
      </w:r>
      <w:r>
        <w:rPr>
          <w:rFonts w:ascii="Times New Roman;Times;Serif" w:hAnsi="Times New Roman;Times;Serif"/>
          <w:b/>
          <w:i w:val="false"/>
          <w:caps w:val="false"/>
          <w:smallCaps w:val="false"/>
          <w:strike/>
          <w:color w:val="FF0000"/>
          <w:sz w:val="20"/>
        </w:rPr>
        <w:t>8.01(b)</w:t>
      </w:r>
      <w:r>
        <w:rPr>
          <w:rFonts w:ascii="Times New Roman;Times;Serif" w:hAnsi="Times New Roman;Times;Serif"/>
          <w:b w:val="false"/>
          <w:i w:val="false"/>
          <w:caps w:val="false"/>
          <w:smallCaps w:val="false"/>
          <w:strike/>
          <w:color w:val="FF0000"/>
          <w:sz w:val="20"/>
        </w:rPr>
        <w:t>, the Borrower shall have the right to make a Revenue Cure Payment (the “</w:t>
      </w:r>
      <w:r>
        <w:rPr>
          <w:rFonts w:ascii="Times New Roman;Times;Serif" w:hAnsi="Times New Roman;Times;Serif"/>
          <w:b/>
          <w:i/>
          <w:caps w:val="false"/>
          <w:smallCaps w:val="false"/>
          <w:strike/>
          <w:color w:val="FF0000"/>
          <w:sz w:val="20"/>
        </w:rPr>
        <w:t>Minimum Revenue Cure Right</w:t>
      </w:r>
      <w:r>
        <w:rPr>
          <w:rFonts w:ascii="Times New Roman;Times;Serif" w:hAnsi="Times New Roman;Times;Serif"/>
          <w:b w:val="false"/>
          <w:i w:val="false"/>
          <w:caps w:val="false"/>
          <w:smallCaps w:val="false"/>
          <w:strike/>
          <w:color w:val="FF0000"/>
          <w:sz w:val="20"/>
        </w:rPr>
        <w:t>”). Upon the Administrative Agent’s receipt of the applicable Revenue Cure Payment, the Borrower shall then be in compliance with the requirements of the Minimum Revenue Covenant and the Borrower shall be deemed to have satisfied the requirements of the Minimum Revenue Covenant as of the relevant date of determination with the same effect as though there had been no failure to comply therewith at such date, and the applicable breach of the Minimum Revenue Covenant and any related default that had occurred shall be deemed cured for the purposes of this Agreement. Any Revenue Cure Payment shall be applied to the prepayment of the Loans, which shall include the Prepayment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Upon the Administrative Agent’s receipt of a notice from the Borrower that it intends to exercise the Minimum Revenue Cure Right (a “</w:t>
      </w:r>
      <w:r>
        <w:rPr>
          <w:rFonts w:ascii="Times New Roman;Times;Serif" w:hAnsi="Times New Roman;Times;Serif"/>
          <w:b/>
          <w:i/>
          <w:caps w:val="false"/>
          <w:smallCaps w:val="false"/>
          <w:strike/>
          <w:color w:val="FF0000"/>
          <w:sz w:val="20"/>
        </w:rPr>
        <w:t>Notice of Intent to Cure Revenue Covenant</w:t>
      </w:r>
      <w:r>
        <w:rPr>
          <w:rFonts w:ascii="Times New Roman;Times;Serif" w:hAnsi="Times New Roman;Times;Serif"/>
          <w:b w:val="false"/>
          <w:i w:val="false"/>
          <w:caps w:val="false"/>
          <w:smallCaps w:val="false"/>
          <w:strike/>
          <w:color w:val="FF0000"/>
          <w:sz w:val="20"/>
        </w:rPr>
        <w:t xml:space="preserve">”), until the fifteenth Business Day subsequent to the date the financial statements are required to be delivered pursuant to </w:t>
      </w:r>
      <w:r>
        <w:rPr>
          <w:rFonts w:ascii="Times New Roman;Times;Serif" w:hAnsi="Times New Roman;Times;Serif"/>
          <w:b/>
          <w:i w:val="false"/>
          <w:caps w:val="false"/>
          <w:smallCaps w:val="false"/>
          <w:strike/>
          <w:color w:val="FF0000"/>
          <w:sz w:val="20"/>
        </w:rPr>
        <w:t>Section 8.01(a)</w:t>
      </w:r>
      <w:r>
        <w:rPr>
          <w:rFonts w:ascii="Times New Roman;Times;Serif" w:hAnsi="Times New Roman;Times;Serif"/>
          <w:b w:val="false"/>
          <w:i w:val="false"/>
          <w:caps w:val="false"/>
          <w:smallCaps w:val="false"/>
          <w:strike/>
          <w:color w:val="FF0000"/>
          <w:sz w:val="20"/>
        </w:rPr>
        <w:t xml:space="preserve"> or </w:t>
      </w:r>
      <w:r>
        <w:rPr>
          <w:rFonts w:ascii="Times New Roman;Times;Serif" w:hAnsi="Times New Roman;Times;Serif"/>
          <w:b/>
          <w:i w:val="false"/>
          <w:caps w:val="false"/>
          <w:smallCaps w:val="false"/>
          <w:strike/>
          <w:color w:val="FF0000"/>
          <w:sz w:val="20"/>
        </w:rPr>
        <w:t>8.01(b)</w:t>
      </w:r>
      <w:r>
        <w:rPr>
          <w:rFonts w:ascii="Times New Roman;Times;Serif" w:hAnsi="Times New Roman;Times;Serif"/>
          <w:b w:val="false"/>
          <w:i w:val="false"/>
          <w:caps w:val="false"/>
          <w:smallCaps w:val="false"/>
          <w:strike/>
          <w:color w:val="FF0000"/>
          <w:sz w:val="20"/>
        </w:rPr>
        <w:t> to which such Notice of Intent to Cure Revenue Covenant relates, no Lender shall be required to extend any credit pursuant to its Commitment during such period, and neither the Administrative Agent nor any Lender shall exercise the right to accelerate payment of the Loans or terminate the Commitments and neither the Administrative Agent nor any other Lender shall exercise any right to foreclose on or take possession of the Collateral solely on the basis of an allegation of an Event of Default having occurred and being continuing under Section 10.02 due to failure by the Borrower to comply with the requirements of the Minimum Revenue Covenant for the applicable period. If within such fifteen Business Day period, the Majority Lenders decline the exercise by the Borrower of the Minimum Revenue Cure Right by written notice to the Administrative Agent and the Borrower to that effect, then the Borrower shall be deemed to have satisfied the requirements of the Minimum Revenue Covenant as of the relevant date of determination with the same effect as though there had been no failure to comply therewith at such date, and the applicable breach of the Minimum Revenue Covenant and any related default that had occurred shall be deemed cured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 xml:space="preserve">Notwithstanding anything else in this Agreement, there shall be no more than three (3) fiscal quarters in which the cure rights set forth in this </w:t>
      </w:r>
      <w:r>
        <w:rPr>
          <w:rFonts w:ascii="Times New Roman;Times;Serif" w:hAnsi="Times New Roman;Times;Serif"/>
          <w:b/>
          <w:i w:val="false"/>
          <w:caps w:val="false"/>
          <w:smallCaps w:val="false"/>
          <w:strike/>
          <w:color w:val="FF0000"/>
          <w:sz w:val="20"/>
        </w:rPr>
        <w:t>Section 11.04</w:t>
      </w:r>
      <w:r>
        <w:rPr>
          <w:rFonts w:ascii="Times New Roman;Times;Serif" w:hAnsi="Times New Roman;Times;Serif"/>
          <w:b w:val="false"/>
          <w:i w:val="false"/>
          <w:caps w:val="false"/>
          <w:smallCaps w:val="false"/>
          <w:strike/>
          <w:color w:val="FF0000"/>
          <w:sz w:val="20"/>
        </w:rPr>
        <w:t xml:space="preserve"> are exercised during the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Payment of Prepayment Fee</w:t>
      </w:r>
      <w:r>
        <w:rPr>
          <w:rFonts w:ascii="Times New Roman;Times;Serif" w:hAnsi="Times New Roman;Times;Serif"/>
          <w:b w:val="false"/>
          <w:i w:val="false"/>
          <w:caps w:val="false"/>
          <w:smallCaps w:val="false"/>
          <w:sz w:val="20"/>
        </w:rPr>
        <w:t xml:space="preserve">. Notwithstanding anything in this Agreement to the contrary, the Prepayment Fee shall automatically be due and payable at any time the Obligations become due and payable prior to the Maturity Date in accordance with the terms hereof as though such Indebtedness was voluntarily prepaid and shall constitute part of the Obligations, whether due to acceleration pursuant to the terms of this Agreement (in which case it shall be due immediately, upon the giving of notice to Borrower in accordance with </w:t>
      </w:r>
      <w:r>
        <w:rPr>
          <w:rFonts w:ascii="Times New Roman;Times;Serif" w:hAnsi="Times New Roman;Times;Serif"/>
          <w:b/>
          <w:i w:val="false"/>
          <w:caps w:val="false"/>
          <w:smallCaps w:val="false"/>
          <w:sz w:val="20"/>
        </w:rPr>
        <w:t>Section 11.02(a)</w:t>
      </w:r>
      <w:r>
        <w:rPr>
          <w:rFonts w:ascii="Times New Roman;Times;Serif" w:hAnsi="Times New Roman;Times;Serif"/>
          <w:b w:val="false"/>
          <w:i w:val="false"/>
          <w:caps w:val="false"/>
          <w:smallCaps w:val="false"/>
          <w:sz w:val="20"/>
        </w:rPr>
        <w:t xml:space="preserve">, or automatically, in accordance with </w:t>
      </w:r>
      <w:r>
        <w:rPr>
          <w:rFonts w:ascii="Times New Roman;Times;Serif" w:hAnsi="Times New Roman;Times;Serif"/>
          <w:b/>
          <w:i w:val="false"/>
          <w:caps w:val="false"/>
          <w:smallCaps w:val="false"/>
          <w:sz w:val="20"/>
        </w:rPr>
        <w:t>Section 11.02(b)</w:t>
      </w:r>
      <w:r>
        <w:rPr>
          <w:rFonts w:ascii="Times New Roman;Times;Serif" w:hAnsi="Times New Roman;Times;Serif"/>
          <w:b w:val="false"/>
          <w:i w:val="false"/>
          <w:caps w:val="false"/>
          <w:smallCaps w:val="false"/>
          <w:sz w:val="20"/>
        </w:rPr>
        <w:t xml:space="preserve">), by operation of law or otherwise (including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as a result thereof. Any Prepayment Fee payable pursuant to this Agreement shall be presumed to be the liquidated damages sustained by each Lender as the result of the early termination, acceleration or prepayment and each Obligor agrees that such Prepayment Fee is reasonable under the circumstances currently existing. The Prepayment Fee shall also become due and payable under this Agreement in the event the Obligations (and/or this Agreement) are satisfied or released by foreclosure (whether by power of judicial proceeding), deed in lieu of foreclosure or by any other means or the Obligations are reinstated pursuant to Section 1124 of the Bankruptcy Code. If the Prepayment Fee becomes due and payable pursuant to this Agreement, the Prepayment Fee shall be deemed to be principal of the Loans and Obligations under this Agreement and interest shall accrue on the full principal amount of the Loans (including the Prepayment Fee) from and after the applicable triggering event. In the event the Prepayment Fee is determined not to be due and payable by order of any court of competent jurisdiction, including by operation of the Bankruptcy Code, despite such a triggering event having occurred, the Prepayment Fee shall nonetheless constitute Obligations under this Agreement for all purposes hereunder. </w:t>
      </w:r>
      <w:r>
        <w:rPr>
          <w:rFonts w:ascii="Times New Roman;Times;Serif" w:hAnsi="Times New Roman;Times;Serif"/>
          <w:b w:val="false"/>
          <w:i w:val="false"/>
          <w:caps/>
          <w:sz w:val="20"/>
        </w:rPr>
        <w:t>Each Obligor hereby waives the provisions of any present or future statute or law that prohibits or may prohibit the collection of the prepayment fee and any defense to payment, whether such defense may be based in public policy, ambiguity, or otherwise</w:t>
      </w:r>
      <w:r>
        <w:rPr>
          <w:rFonts w:ascii="Times New Roman;Times;Serif" w:hAnsi="Times New Roman;Times;Serif"/>
          <w:b w:val="false"/>
          <w:i w:val="false"/>
          <w:caps w:val="false"/>
          <w:smallCaps w:val="false"/>
          <w:sz w:val="20"/>
        </w:rPr>
        <w:t xml:space="preserve">. The Obligors, the Administrative Agent and the Lenders acknowledge and agree that any Prepayment Fee due and payable in accordance with this Agreement shall not constitute unmatured interest, whether under Section 5.02(b)(3) of the Bankruptcy Code or otherwise. Each Obligor further acknowledges and agrees, and waives any argument to the contrary, that payment of such amount does not constitute a penalty or an otherwise unenforceable or invalid obligation. Each Obligor expressly agrees that (i) the Prepayment Fee is reasonable and is the product of an arm’s-length transaction between sophisticated business people, ably represented by counsel, (ii) the Prepayment Fee shall be payable notwithstanding the then prevailing market rates at the time payment is made, (iii) there has been a course of conduct between the Lenders and the Obligors giving specific consideration in this transaction for such agreement to pay the Prepayment Fee, (iv) the Obligors shall be estopped hereafter from claiming differently than as agreed to in this </w:t>
      </w:r>
      <w:r>
        <w:rPr>
          <w:rFonts w:ascii="Times New Roman;Times;Serif" w:hAnsi="Times New Roman;Times;Serif"/>
          <w:b/>
          <w:i w:val="false"/>
          <w:caps w:val="false"/>
          <w:smallCaps w:val="false"/>
          <w:sz w:val="20"/>
        </w:rPr>
        <w:t>Section 11.05</w:t>
      </w:r>
      <w:r>
        <w:rPr>
          <w:rFonts w:ascii="Times New Roman;Times;Serif" w:hAnsi="Times New Roman;Times;Serif"/>
          <w:b w:val="false"/>
          <w:i w:val="false"/>
          <w:caps w:val="false"/>
          <w:smallCaps w:val="false"/>
          <w:sz w:val="20"/>
        </w:rPr>
        <w:t>, (v) their agreement to pay the Prepayment Fee is a material inducement to the Lenders to make the Loans, and (vi) the Prepayment Fee represents a good faith, reasonable estimate and calculation of the lost profits, losses or other damages of the Lenders and that it would be impractical and extremely difficult to ascertain the actual amount of damages to the Lenders or profits lost by the Lenders as a result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12.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Appointment and Duties</w:t>
      </w:r>
      <w:r>
        <w:rPr>
          <w:rFonts w:ascii="Times New Roman;Times;Serif" w:hAnsi="Times New Roman;Times;Serif"/>
          <w:b w:val="false"/>
          <w:i w:val="false"/>
          <w:caps w:val="false"/>
          <w:smallCaps w:val="false"/>
          <w:sz w:val="20"/>
        </w:rPr>
        <w:t>. Subject in all cases to clause (c)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Appointment of the Administrative Agent</w:t>
      </w:r>
      <w:r>
        <w:rPr>
          <w:rFonts w:ascii="Times New Roman;Times;Serif" w:hAnsi="Times New Roman;Times;Serif"/>
          <w:b w:val="false"/>
          <w:i w:val="false"/>
          <w:caps w:val="false"/>
          <w:smallCaps w:val="false"/>
          <w:sz w:val="20"/>
        </w:rPr>
        <w:t xml:space="preserve">. Each of the Lenders hereby irrevocably appoints Oaktree Fund Administration, LLC (together with any successor Administrative Agent pursuant to </w:t>
      </w:r>
      <w:r>
        <w:rPr>
          <w:rFonts w:ascii="Times New Roman;Times;Serif" w:hAnsi="Times New Roman;Times;Serif"/>
          <w:b/>
          <w:i w:val="false"/>
          <w:caps w:val="false"/>
          <w:smallCaps w:val="false"/>
          <w:sz w:val="20"/>
        </w:rPr>
        <w:t>Section 12.09</w:t>
      </w:r>
      <w:r>
        <w:rPr>
          <w:rFonts w:ascii="Times New Roman;Times;Serif" w:hAnsi="Times New Roman;Times;Serif"/>
          <w:b w:val="false"/>
          <w:i w:val="false"/>
          <w:caps w:val="false"/>
          <w:smallCaps w:val="false"/>
          <w:sz w:val="20"/>
        </w:rPr>
        <w:t xml:space="preserve">) as the Administrative Agent hereunder and authorizes the Administrative Agent to (i) execute and deliver the Loan Documents and accept delivery thereof on its behalf from any Obligor or any of its Subsidiaries, (ii) take such action on its behalf and to exercise all rights, powers and remedies and perform the duties as are expressly delegated to the Administrative Agent under such Loan Documents and (iii) exercise such powers as are reasonably incidental thereto. Except as expressly set forth herein, the provisions of this </w:t>
      </w:r>
      <w:r>
        <w:rPr>
          <w:rFonts w:ascii="Times New Roman;Times;Serif" w:hAnsi="Times New Roman;Times;Serif"/>
          <w:b/>
          <w:i w:val="false"/>
          <w:caps w:val="false"/>
          <w:smallCaps w:val="false"/>
          <w:sz w:val="20"/>
        </w:rPr>
        <w:t>Section</w:t>
      </w:r>
      <w:r>
        <w:rPr>
          <w:rFonts w:ascii="Times New Roman;Times;Serif" w:hAnsi="Times New Roman;Times;Serif"/>
          <w:b w:val="false"/>
          <w:i w:val="false"/>
          <w:caps w:val="false"/>
          <w:smallCaps w:val="false"/>
          <w:sz w:val="20"/>
        </w:rPr>
        <w:t> 12 are solely for the benefit of the Administrative Agent and the Lenders, and no Obligor or any Affiliate thereof shall have rights as a third-party beneficiary of any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Duties as Collateral and Disbursing Agent</w:t>
      </w:r>
      <w:r>
        <w:rPr>
          <w:rFonts w:ascii="Times New Roman;Times;Serif" w:hAnsi="Times New Roman;Times;Serif"/>
          <w:b w:val="false"/>
          <w:i w:val="false"/>
          <w:caps w:val="false"/>
          <w:smallCaps w:val="false"/>
          <w:sz w:val="20"/>
        </w:rPr>
        <w:t xml:space="preserve">. Without limiting the generality of </w:t>
      </w:r>
      <w:r>
        <w:rPr>
          <w:rFonts w:ascii="Times New Roman;Times;Serif" w:hAnsi="Times New Roman;Times;Serif"/>
          <w:b/>
          <w:i w:val="false"/>
          <w:caps w:val="false"/>
          <w:smallCaps w:val="false"/>
          <w:sz w:val="20"/>
        </w:rPr>
        <w:t>Section 12.01(a)</w:t>
      </w:r>
      <w:r>
        <w:rPr>
          <w:rFonts w:ascii="Times New Roman;Times;Serif" w:hAnsi="Times New Roman;Times;Serif"/>
          <w:b w:val="false"/>
          <w:i w:val="false"/>
          <w:caps w:val="false"/>
          <w:smallCaps w:val="false"/>
          <w:sz w:val="20"/>
        </w:rPr>
        <w:t xml:space="preserve">, the Administrative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proceeding described in </w:t>
      </w:r>
      <w:r>
        <w:rPr>
          <w:rFonts w:ascii="Times New Roman;Times;Serif" w:hAnsi="Times New Roman;Times;Serif"/>
          <w:b/>
          <w:i w:val="false"/>
          <w:caps w:val="false"/>
          <w:smallCaps w:val="false"/>
          <w:sz w:val="20"/>
        </w:rPr>
        <w:t>Section 11.01(h) </w:t>
      </w:r>
      <w:r>
        <w:rPr>
          <w:rFonts w:ascii="Times New Roman;Times;Serif" w:hAnsi="Times New Roman;Times;Serif"/>
          <w:b w:val="false"/>
          <w:i w:val="false"/>
          <w:caps w:val="false"/>
          <w:smallCaps w:val="false"/>
          <w:sz w:val="20"/>
        </w:rPr>
        <w:t xml:space="preserve">or any other bankruptcy, insolvency or similar proceeding), and each Person making any payment in connection with any Loan Document to any Secured Party is hereby authorized to make such payment to the Administrative Agent, (ii) file and prove claims and file other documents necessary or desirable to allow the claims of the Secured Parties with respect to any Obligation in any proceeding described in </w:t>
      </w:r>
      <w:r>
        <w:rPr>
          <w:rFonts w:ascii="Times New Roman;Times;Serif" w:hAnsi="Times New Roman;Times;Serif"/>
          <w:b/>
          <w:i w:val="false"/>
          <w:caps w:val="false"/>
          <w:smallCaps w:val="false"/>
          <w:sz w:val="20"/>
        </w:rPr>
        <w:t>Section 11.01(h) </w:t>
      </w:r>
      <w:r>
        <w:rPr>
          <w:rFonts w:ascii="Times New Roman;Times;Serif" w:hAnsi="Times New Roman;Times;Serif"/>
          <w:b w:val="false"/>
          <w:i w:val="false"/>
          <w:caps w:val="false"/>
          <w:smallCaps w:val="false"/>
          <w:sz w:val="20"/>
        </w:rPr>
        <w:t xml:space="preserve">or any other bankruptcy, insolvency or similar proceeding (but not to vote, consent or otherwise act on behalf of such Secured Party), (iii) act as collateral agent for each Secured Party for purposes of acquiring, holding, enforcing and perfecting all Liens created by the Loan Documents and all other purposes stated therein, (iv) 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the Administrative Agent and the other Secured Parties with respect to the Collateral, whether under the Loan Documents, applicable Laws or otherwise and (vii) execute any amendment, consent or waiver under the Loan Documents on behalf of any Lender that has consented in writing to such amendment, consent or waiver;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hereby appoints, authorizes and directs each Lender to act as collateral sub-agent for the Administrative Agent and the Lenders for purposes of the perfection of all Liens with respect to the Collateral, including any deposit account maintained by a Obligor with, and cash and cash equivalents held by, such Lender, and may further authorize and direct the Lenders to take further actions as collateral sub-agents for purposes of enforcing such Liens or otherwise to transfer the Collateral subject thereto to the Administrative Agent, and each Lender hereby agrees to take such further actions to the extent, and only to the extent, so authorized and directed.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Limited Duties</w:t>
      </w:r>
      <w:r>
        <w:rPr>
          <w:rFonts w:ascii="Times New Roman;Times;Serif" w:hAnsi="Times New Roman;Times;Serif"/>
          <w:b w:val="false"/>
          <w:i w:val="false"/>
          <w:caps w:val="false"/>
          <w:smallCaps w:val="false"/>
          <w:sz w:val="20"/>
        </w:rPr>
        <w:t xml:space="preserve">. The Lenders and the Obligors hereby each acknowledge and agree that the Administrative Agent (i) has undertaken its role hereunder purely as an accommodation to the parties hereto and the Transactions, (ii) is receiving no compensation for undertaking such role and (iii) subject only to the notice provisions set forth in </w:t>
      </w:r>
      <w:r>
        <w:rPr>
          <w:rFonts w:ascii="Times New Roman;Times;Serif" w:hAnsi="Times New Roman;Times;Serif"/>
          <w:b/>
          <w:i w:val="false"/>
          <w:caps w:val="false"/>
          <w:smallCaps w:val="false"/>
          <w:sz w:val="20"/>
        </w:rPr>
        <w:t>Section 12.09</w:t>
      </w:r>
      <w:r>
        <w:rPr>
          <w:rFonts w:ascii="Times New Roman;Times;Serif" w:hAnsi="Times New Roman;Times;Serif"/>
          <w:b w:val="false"/>
          <w:i w:val="false"/>
          <w:caps w:val="false"/>
          <w:smallCaps w:val="false"/>
          <w:sz w:val="20"/>
        </w:rPr>
        <w:t xml:space="preserve">, may resign from such role at any time for any reason or no reason whatsoever. Without limiting the foregoing, the parties hereto further acknowledge and agree that under the Loan Documents, the Administrative Agent (i) is acting solely on behalf of the Lenders (except to the limited extent provided in </w:t>
      </w:r>
      <w:r>
        <w:rPr>
          <w:rFonts w:ascii="Times New Roman;Times;Serif" w:hAnsi="Times New Roman;Times;Serif"/>
          <w:b/>
          <w:i w:val="false"/>
          <w:caps w:val="false"/>
          <w:smallCaps w:val="false"/>
          <w:sz w:val="20"/>
        </w:rPr>
        <w:t>Section 12.11</w:t>
      </w:r>
      <w:r>
        <w:rPr>
          <w:rFonts w:ascii="Times New Roman;Times;Serif" w:hAnsi="Times New Roman;Times;Serif"/>
          <w:b w:val="false"/>
          <w:i w:val="false"/>
          <w:caps w:val="false"/>
          <w:smallCaps w:val="false"/>
          <w:sz w:val="20"/>
        </w:rPr>
        <w:t xml:space="preserve">), with duties that are entirely administrative in nature, notwithstanding the use of the defined term “the Administrative Agent”, the terms “agent”, “administrative agent” and “collateral agent” and similar terms in any Loan Document to refer to the Administrative Agent, which terms are used for title purposes only, (ii) is not assuming any duty or obligation under any Loan Document other than as expressly set forth therein or any role as agent, fiduciary or trustee of or for any Lender or any other Secured Party and (iii) shall have no implied functions, responsibilities, duties, obligations or other liabilities under any Loan Document (fiduciary or otherwise), in each case, regardless of whether a Default has occurred and is continuing, and each Lender hereby waives and agrees not to assert any claim against the Administrative Agent based on the roles, duties and legal relationships expressly disclaimed in this </w:t>
      </w:r>
      <w:r>
        <w:rPr>
          <w:rFonts w:ascii="Times New Roman;Times;Serif" w:hAnsi="Times New Roman;Times;Serif"/>
          <w:b/>
          <w:i w:val="false"/>
          <w:caps w:val="false"/>
          <w:smallCaps w:val="false"/>
          <w:sz w:val="20"/>
        </w:rPr>
        <w:t>clause (c)</w:t>
      </w:r>
      <w:r>
        <w:rPr>
          <w:rFonts w:ascii="Times New Roman;Times;Serif" w:hAnsi="Times New Roman;Times;Serif"/>
          <w:b w:val="false"/>
          <w:i w:val="false"/>
          <w:caps w:val="false"/>
          <w:smallCaps w:val="false"/>
          <w:sz w:val="20"/>
        </w:rPr>
        <w:t>. Without in any way limiting the foregoing, the Administrative Agent shall not, except as expressly set forth in this Agreement and in the other Loan Documents, have any duty to disclose, and shall not be liable for the failure to disclose, any information relating to any Obligor or any of its Affiliates that is communicated to or obtained by the Person serving as the Administrative Agent or any of its Affiliates in any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Binding Effect</w:t>
      </w:r>
      <w:r>
        <w:rPr>
          <w:rFonts w:ascii="Times New Roman;Times;Serif" w:hAnsi="Times New Roman;Times;Serif"/>
          <w:b w:val="false"/>
          <w:i w:val="false"/>
          <w:caps w:val="false"/>
          <w:smallCaps w:val="false"/>
          <w:sz w:val="20"/>
        </w:rPr>
        <w:t>. Each Lender agrees that (i) any action taken by the Administrative Agent or the Majority Lenders (or, if expressly required hereby, a greater proportion of the Lenders) in accordance with the provisions of the Loan Documents, (ii) any action taken by the Administrative Agent in reliance upon the instructions of the Majority Lenders (or, where so required, such greater proportion) and (iii) the exercise by the Administrative Agent or the Majority Lenders (or, where so required, such greater proportion) of the powers set forth herein or therein, together with such other powers as are reasonably incidental thereto, shall be authorized and binding upon all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Use of Discretion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 Action without Instructions</w:t>
      </w:r>
      <w:r>
        <w:rPr>
          <w:rFonts w:ascii="Times New Roman;Times;Serif" w:hAnsi="Times New Roman;Times;Serif"/>
          <w:b w:val="false"/>
          <w:i w:val="false"/>
          <w:caps w:val="false"/>
          <w:smallCaps w:val="false"/>
          <w:sz w:val="20"/>
        </w:rPr>
        <w:t xml:space="preserve">. The Administrative Agent shall not be required to exercise any discretion or take, or to omit to take, any action, including with respect to enforcement or collection, except (subject to </w:t>
      </w:r>
      <w:r>
        <w:rPr>
          <w:rFonts w:ascii="Times New Roman;Times;Serif" w:hAnsi="Times New Roman;Times;Serif"/>
          <w:b/>
          <w:i w:val="false"/>
          <w:caps w:val="false"/>
          <w:smallCaps w:val="false"/>
          <w:sz w:val="20"/>
        </w:rPr>
        <w:t>clause (b) </w:t>
      </w:r>
      <w:r>
        <w:rPr>
          <w:rFonts w:ascii="Times New Roman;Times;Serif" w:hAnsi="Times New Roman;Times;Serif"/>
          <w:b w:val="false"/>
          <w:i w:val="false"/>
          <w:caps w:val="false"/>
          <w:smallCaps w:val="false"/>
          <w:sz w:val="20"/>
        </w:rPr>
        <w:t>below) any action it is required to take or omit to take (i) under any Loan Document or (ii) pursuant to written instructions from the Majority Lenders (or, where expressly required by the terms of this Agreement, a greater proportion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Right Not to Follow Certain Instructions</w:t>
      </w:r>
      <w:r>
        <w:rPr>
          <w:rFonts w:ascii="Times New Roman;Times;Serif" w:hAnsi="Times New Roman;Times;Serif"/>
          <w:b w:val="false"/>
          <w:i w:val="false"/>
          <w:caps w:val="false"/>
          <w:smallCaps w:val="false"/>
          <w:sz w:val="20"/>
        </w:rPr>
        <w:t xml:space="preserve">. Notwithstanding </w:t>
      </w:r>
      <w:r>
        <w:rPr>
          <w:rFonts w:ascii="Times New Roman;Times;Serif" w:hAnsi="Times New Roman;Times;Serif"/>
          <w:b/>
          <w:i w:val="false"/>
          <w:caps w:val="false"/>
          <w:smallCaps w:val="false"/>
          <w:sz w:val="20"/>
        </w:rPr>
        <w:t>Section 12.03(a) </w:t>
      </w:r>
      <w:r>
        <w:rPr>
          <w:rFonts w:ascii="Times New Roman;Times;Serif" w:hAnsi="Times New Roman;Times;Serif"/>
          <w:b w:val="false"/>
          <w:i w:val="false"/>
          <w:caps w:val="false"/>
          <w:smallCaps w:val="false"/>
          <w:sz w:val="20"/>
        </w:rPr>
        <w:t xml:space="preserve">or any other term or provision of this </w:t>
      </w: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the Administrative Agent shall not be required to take, or to omit to take, any action (i) unless, upon demand, the Administrative Agent receives an indemnification satisfactory to it from the Lenders (or, to the extent applicable and acceptable to the Administrative Agent, any other Secured Party) against all liabilities that, by reason of such action or omission, may be imposed on, incurred by or asserted against the Administrative Agent or any Related Party thereof or (ii) that is, in the opinion of the Administrative Agent, in its sole and absolute discretion, contrary to any Loan Document, Law or the best interests of the Administrative Agent or any of its Affiliates or Related Parties, including, for the avoidance of doubt, any action that may be in violation of the automatic stay in connection with any Insolvency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Delegation of Rights and Duties</w:t>
      </w:r>
      <w:r>
        <w:rPr>
          <w:rFonts w:ascii="Times New Roman;Times;Serif" w:hAnsi="Times New Roman;Times;Serif"/>
          <w:b w:val="false"/>
          <w:i w:val="false"/>
          <w:caps w:val="false"/>
          <w:smallCaps w:val="false"/>
          <w:sz w:val="20"/>
        </w:rPr>
        <w:t xml:space="preserve">. The Administrative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Secured Party). The Administrative Agent and any such Person may perform any and all of its duties and exercise its rights and powers by or through their respective Related Parties. Any such Person and its Related Parties shall benefit from this </w:t>
      </w: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xml:space="preserve"> to the extent provided by the Administrative Agent; provided, however, that the exculpatory provisions of this </w:t>
      </w: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xml:space="preserve"> shall apply to any such sub-agent and to the Related Parties of the Administrative Agent and of any such sub-agent, and shall apply to their respective activities in connection with their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Reliance and Liability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may, without incurring any liability hereunder, (i) consult with any of its Related Parties and, whether or not selected by it, any other advisors, accountants and other experts (including advisors to, and accountants and experts engaged by, any Obligor) and (ii) rely and act upon any notice, request, certificate, consent, statement, instrument, document or other writing (including and electronic message, Internet or intranet website posting or other distribution), telephone message or conversation or oral conversation, in each case believed by it to be genuine and transmitted, signed or otherwise authenticated by the appropriate parties.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written notice to the contrary from such Lender prior to the making of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Administrative Agent nor any of its Related Parties shall be liable for any action taken or omitted to be taken by any of them under or in connection with any Loan Document, and each Lender and the Borrower hereby waive and shall not assert (and the Borrower shall cause each other Obligor to waive and agree not to assert) any right, claim or cause of action based thereon, except to the extent of liabilities resulting primarily from the fraudulent conduct or behavior of the Administrative Agent or, as the case may be, such Related Party (each as determined in a final, non-appealable judgment or order by a court of competent jurisdiction) in connection with the duties expressly set forth herein. Without limiting the foregoing,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shall not be responsible or otherwise incur liability for any action or omission taken in reliance upon the instructions of, or with the consent of, the Majority Lenders (or such other number or percentage of the Lenders as shall be necessary, or as the Administrative Agent shall believe in good faith to be necessary, under the circumstances as provided in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or for the actions or omissions of any of its Related Parties selected with reasonable care (other than employees, officers and directors of the Administrative Agent, when acting on behalf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shall not be responsible to any Secured Party for the (a) validity, enforceability, effectiveness or genuineness of this Agreement, any other Loan Document or any other agreement, instrument or document, or (b) due execution, legality, validity, enforceability, effectiveness, genuineness, sufficiency or value of, or the attachment, perfection or priority of any Lien created or purported to be created under or in connection with,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makes no warranty or representation, and shall not be responsible, to any Secured Party for, and shall not have any duty to ascertain or inquire into, any statement, document, information, certificate, report, representation or warranty made or furnished by or on behalf of any Related Party, in or in connection with any Loan Document or any transaction contemplated therein, whether or not transmitted by the Administrative Agent, including as to completeness, accuracy, scope or adequacy thereof, or for the scope, nature or results of any due diligence performed by the Administrative Agent in connection with the Loan Documents, including, for the avoidance of doubt, the satisfaction of any condition set forth in </w:t>
      </w:r>
      <w:r>
        <w:rPr>
          <w:rFonts w:ascii="Times New Roman;Times;Serif" w:hAnsi="Times New Roman;Times;Serif"/>
          <w:b/>
          <w:i w:val="false"/>
          <w:caps w:val="false"/>
          <w:smallCaps w:val="false"/>
          <w:sz w:val="20"/>
        </w:rPr>
        <w:t>Section 6</w:t>
      </w:r>
      <w:r>
        <w:rPr>
          <w:rFonts w:ascii="Times New Roman;Times;Serif" w:hAnsi="Times New Roman;Times;Serif"/>
          <w:b w:val="false"/>
          <w:i w:val="false"/>
          <w:caps w:val="false"/>
          <w:smallCaps w:val="false"/>
          <w:sz w:val="20"/>
        </w:rPr>
        <w:t xml:space="preserve"> of this Agreement or elsewhere herein (other than to confirm receipt of items expressly required to be delivered to the Administrative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shall not have any duty to ascertain or to inquire as to the performance or observance of any provision of any Loan Document or whether any condition set forth in any Loan Document is satisfied or waived, including, without limiting the generality of the foregoing, as to the financial condition of any Obligor or as to the existence or continuation or possible occurrence or continuation of any Default or Event of Default and shall not be deemed to have notice or knowledge of such occurrence or continuation unless it has received a notice from the Borrower, any Lender describing such Default or Event of Default clearly labeled “notice of default” (in which case the Administrative Agent shall promptly give notice of such receipt to all Lenders);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for each of the items set forth in </w:t>
      </w:r>
      <w:r>
        <w:rPr>
          <w:rFonts w:ascii="Times New Roman;Times;Serif" w:hAnsi="Times New Roman;Times;Serif"/>
          <w:b/>
          <w:i w:val="false"/>
          <w:caps w:val="false"/>
          <w:smallCaps w:val="false"/>
          <w:sz w:val="20"/>
        </w:rPr>
        <w:t>clauses (i)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above, each Lender and the Borrower hereby waives and agrees not to assert (and the Borrower shall cause each other Obligor to waive and agree not to assert) any right, claim or cause of action it might have against the Administrative Agent based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Administrative Agent Individually</w:t>
      </w:r>
      <w:r>
        <w:rPr>
          <w:rFonts w:ascii="Times New Roman;Times;Serif" w:hAnsi="Times New Roman;Times;Serif"/>
          <w:b w:val="false"/>
          <w:i w:val="false"/>
          <w:caps w:val="false"/>
          <w:smallCaps w:val="false"/>
          <w:sz w:val="20"/>
        </w:rPr>
        <w:t>. The Administrative Agent and its Affiliates may make loans and other extensions of credit to, acquire stock and stock equivalents of, accept deposits from, act as the financial advisor for or in any other advisory capacity for, or engage in any kind of business with, any Obligor or Affiliate thereof as though it were not acting as the Administrative Agent and may receive separate fees and other payments therefor. To the extent the Administrative Agent or any of its Affiliates makes any Loan or otherwise becomes a Lender hereunder, it shall have and may exercise the same rights and powers hereunder and shall be subject to the same obligations and liabilities as any other Lender and the terms “Lender”, “Majority Lender”, and any similar terms shall, except where otherwise expressly provided in any Loan Document, include the Administrative Agent or such Affiliate, as the case may be, in its individual capacity as Lender or as one of the Majority Lenders,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Lender Credit Decision</w:t>
      </w:r>
      <w:r>
        <w:rPr>
          <w:rFonts w:ascii="Times New Roman;Times;Serif" w:hAnsi="Times New Roman;Times;Serif"/>
          <w:b w:val="false"/>
          <w:i w:val="false"/>
          <w:caps w:val="false"/>
          <w:smallCaps w:val="false"/>
          <w:sz w:val="20"/>
        </w:rPr>
        <w:t>. Each Lender acknowledges that it has, independently and without reliance upon the Administrative Agent, any Lender or any of their Related Parties or upon any document solely or in part because such document was transmitted by the Administrative Agent or any of its Related Parties, conducted its own independent investigation of the financial condition and affairs of each Obligor and has made and continues to make its own credit decisions in connection with entering into, and taking or not taking any action under, any Loan Document or with respect to any transaction contemplated in any Loan Document, in each case based on such documents and information as it shall deem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Expenses; Indemnities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agrees to reimburse the Administrative Agent and each of its Related Parties (to the extent not reimbursed by any Obligor) promptly upon demand for such Lender’s Proportionate Share of any costs and expenses (including fees, charges and disbursements of financial, legal (including charges and disbursements of Sullivan &amp; Cromwell LLP and Hogan Lovells US LLP) and other advisors and Other Taxes paid in the name of, or on behalf of, any Obligor) that may be incurred by the Administrative Agent or any of its Related Parties in connection with the preparation, syndication, execution, delivery, administration, modification, consent, waiver or enforcement (whether through negotiations, through any work-out, bankruptcy, restructuring or other legal or other proceeding or otherwise) of, or legal advice in respect of its rights or responsibilities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Lender further agrees to indemnify the Administrative Agent (or any sub-agent thereof) and any Related Parties of the Administrative Agent (or any such sub-agent) (to the extent not indefeasibly paid by any Obligor), from and against such Lender’s aggregate Proportionate Share of the liabilities (including Taxes, interests and penalties imposed for not properly withholding or backup withholding on payments made to on or for the account of any Lender) that may be imposed on, incurred by or asserted against the Administrative Agent (or any sub-agent thereof) or any Related Parties of the Administrative Agent (or any such sub-agent) in any matter relating to or arising out of, in connection with or as a result of any Loan Document or any other act, event or transaction related, contemplated in or attendant to any such document, or, in each case, any action taken or omitted to be taken by the Administrative Agent (or any sub-agent thereof) or any Related Parties of the Administrative Agent (or any such sub-agent) under or with respect to any of the foregoing;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no Lender shall be liable to the Administrative Agent (or any sub-agent thereof) or any Related Parties of the Administrative Agent (or any such sub-agent) to the extent such liability has resulted primarily from the gross negligence or willful misconduct of the Administrative Agent (or any sub-agent thereof) or, as the case may be, such Related Party of the Administrative Agent (or any sub-agent thereof), as determined by a court of competent jurisdiction in a final non-appealable judgment or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Resignation of the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upon not less than 30 days prior written notice, the Administrative Agent may resign as the “the Administrative Agent” hereunder, in whole or in part (in the sole and absolute discretion of the Administrative Agent). If the Administrative Agent delivers any such notice, the Majority Lenders shall have the right, in consultation with the Borrower, to appoint a successor, which shall be (i) a Lender holding at least thirty percent (30%) of the outstanding principal amount of the Loans or any Affiliate thereof or (ii) any other financial institution consented to by the Borrower (provided that the consent of the Borrower shall not be required to the extent an Event of Default has occurred and is continuing). If a successor Administrative Agent has not been appointed on or before the effectiveness of the resignation of the resigning Administrative Agent (or such earlier date as shall be agreed by the Majority Lenders) (the “</w:t>
      </w:r>
      <w:r>
        <w:rPr>
          <w:rFonts w:ascii="Times New Roman;Times;Serif" w:hAnsi="Times New Roman;Times;Serif"/>
          <w:b/>
          <w:i/>
          <w:caps w:val="false"/>
          <w:smallCaps w:val="false"/>
          <w:sz w:val="20"/>
        </w:rPr>
        <w:t>Resignation Effective Date</w:t>
      </w:r>
      <w:r>
        <w:rPr>
          <w:rFonts w:ascii="Times New Roman;Times;Serif" w:hAnsi="Times New Roman;Times;Serif"/>
          <w:b w:val="false"/>
          <w:i w:val="false"/>
          <w:caps w:val="false"/>
          <w:smallCaps w:val="false"/>
          <w:sz w:val="20"/>
        </w:rPr>
        <w:t>”), then the resigning Administrative Agent may (but shall not be obligated to), on behalf of the Lenders, appoint any Person reasonably chosen by it as the successor Administrative Agent, notwithstanding whether the Majority Lenders have appointed a successor or the Borrower has consented to such successor. Whether or not a successor has been appointed, such resignation shall become effective on the Resignation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Effective from the Resignation Effective Date, (i) the resigning Administrative Agent shall be discharged from its duties and obligations under the Loan Documents to the extent set forth in the applicable resignation notice, (ii) the Lenders shall assume and perform all of the duties of the Administrative Agent until a successor Administrative Agent shall have accepted a valid appointment hereunder, (iii) the resigning Administrative Agent and its Related Parties shall no longer have the benefit of any provision of any Loan Document other than with respect to (x) any actions taken or omitted to be taken while such resigning Administrative Agent was, or because the Administrative Agent had been, validly acting as the Administrative Agent under the Loan Documents or (y) any continuing duties such resigning Administrative Agent will continue to perform, and (iv) subject to its rights under </w:t>
      </w:r>
      <w:r>
        <w:rPr>
          <w:rFonts w:ascii="Times New Roman;Times;Serif" w:hAnsi="Times New Roman;Times;Serif"/>
          <w:b/>
          <w:i w:val="false"/>
          <w:caps w:val="false"/>
          <w:smallCaps w:val="false"/>
          <w:sz w:val="20"/>
        </w:rPr>
        <w:t>Section 12.04</w:t>
      </w:r>
      <w:r>
        <w:rPr>
          <w:rFonts w:ascii="Times New Roman;Times;Serif" w:hAnsi="Times New Roman;Times;Serif"/>
          <w:b w:val="false"/>
          <w:i w:val="false"/>
          <w:caps w:val="false"/>
          <w:smallCaps w:val="false"/>
          <w:sz w:val="20"/>
        </w:rPr>
        <w:t>, the resigning Administrative Agent shall take such action as may be reasonably necessary to assign to the successor Administrative Agent its rights as the Administrative Agent under the Loan Documents. Effective immediately upon its acceptance of a valid appointment as the Administrative Agent, a successor Administrative Agent shall succeed to, and become vested with, all the rights, powers, privileges and duties of the resigning Administrative Agent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Release of Collateral or Guarantors</w:t>
      </w:r>
      <w:r>
        <w:rPr>
          <w:rFonts w:ascii="Times New Roman;Times;Serif" w:hAnsi="Times New Roman;Times;Serif"/>
          <w:b w:val="false"/>
          <w:i w:val="false"/>
          <w:caps w:val="false"/>
          <w:smallCaps w:val="false"/>
          <w:sz w:val="20"/>
        </w:rPr>
        <w:t xml:space="preserve">. Each Lender hereby consents to the release and hereby directs the Administrative Agent to release, and the Administrative Agent hereby agrees, (or, in the case of </w:t>
      </w:r>
      <w:r>
        <w:rPr>
          <w:rFonts w:ascii="Times New Roman;Times;Serif" w:hAnsi="Times New Roman;Times;Serif"/>
          <w:b/>
          <w:i w:val="false"/>
          <w:caps w:val="false"/>
          <w:smallCaps w:val="false"/>
          <w:sz w:val="20"/>
        </w:rPr>
        <w:t>Section 12.10(b)</w:t>
      </w:r>
      <w:r>
        <w:rPr>
          <w:rFonts w:ascii="Times New Roman;Times;Serif" w:hAnsi="Times New Roman;Times;Serif"/>
          <w:b w:val="false"/>
          <w:i w:val="false"/>
          <w:caps w:val="false"/>
          <w:smallCaps w:val="false"/>
          <w:sz w:val="20"/>
        </w:rPr>
        <w:t>, release or subordinate)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Subsidiary of the Borrower from its guaranty of any Obligation of any Obligor (i) if all of the Equity Interests in such Subsidiary owned by any Obligor or any of its Subsidiaries are disposed of in an Asset Sale permitted under the Loan Documents (including pursuant to a waiver or consent), to the extent that, after giving effect to such Asset Sale, such Subsidiary would not be required to guaranty any Obligations pursuant to </w:t>
      </w:r>
      <w:r>
        <w:rPr>
          <w:rFonts w:ascii="Times New Roman;Times;Serif" w:hAnsi="Times New Roman;Times;Serif"/>
          <w:b/>
          <w:i w:val="false"/>
          <w:caps w:val="false"/>
          <w:smallCaps w:val="false"/>
          <w:sz w:val="20"/>
        </w:rPr>
        <w:t>Section 8.11(a) </w:t>
      </w:r>
      <w:r>
        <w:rPr>
          <w:rFonts w:ascii="Times New Roman;Times;Serif" w:hAnsi="Times New Roman;Times;Serif"/>
          <w:b w:val="false"/>
          <w:i w:val="false"/>
          <w:caps w:val="false"/>
          <w:smallCaps w:val="false"/>
          <w:sz w:val="20"/>
        </w:rPr>
        <w:t xml:space="preserve">and (ii) upon (x) termination of the Commitments and (y) payment and satisfaction in full of all Loans and all other Obligations that the Administrative Agent has been notified in writing are then due and payable (other than inchoate indemnification and expense reimbursement obligations for which no claim has been made); </w:t>
      </w:r>
      <w:r>
        <w:rPr>
          <w:rFonts w:ascii="Times New Roman;Times;Serif" w:hAnsi="Times New Roman;Times;Serif"/>
          <w:b w:val="false"/>
          <w:i w:val="false"/>
          <w:caps w:val="false"/>
          <w:smallCaps w:val="false"/>
          <w:color w:val="0000FF"/>
          <w:sz w:val="20"/>
          <w:u w:val="single"/>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Lien held by the Administrative Agent for the benefit of the Secured Parties against (i) any Collateral that is disposed of by an Obligor in an Asset Sale permitted by the Loan Documents (including pursuant to a valid waiver or consent), (ii) any property subject to a Lien described in </w:t>
      </w:r>
      <w:r>
        <w:rPr>
          <w:rFonts w:ascii="Times New Roman;Times;Serif" w:hAnsi="Times New Roman;Times;Serif"/>
          <w:b/>
          <w:i w:val="false"/>
          <w:caps w:val="false"/>
          <w:smallCaps w:val="false"/>
          <w:sz w:val="20"/>
        </w:rPr>
        <w:t>Section 9.02(c) </w:t>
      </w:r>
      <w:r>
        <w:rPr>
          <w:rFonts w:ascii="Times New Roman;Times;Serif" w:hAnsi="Times New Roman;Times;Serif"/>
          <w:b w:val="false"/>
          <w:i w:val="false"/>
          <w:caps w:val="false"/>
          <w:smallCaps w:val="false"/>
          <w:sz w:val="20"/>
        </w:rPr>
        <w:t>and (iii) all of the Collateral and all Obligors, upon (x) termination of the Commitments and (y) payment and satisfaction in full of all Loans and all other Obligations that the Administrative Agent has been notified in writing are then due and payable (other than inchoate indemnification and expense reimbursement obligations for which no claim has been made)</w:t>
      </w:r>
      <w:r>
        <w:rPr>
          <w:rFonts w:ascii="Times New Roman;Times;Serif" w:hAnsi="Times New Roman;Times;Serif"/>
          <w:b w:val="false"/>
          <w:i w:val="false"/>
          <w:caps w:val="false"/>
          <w:smallCaps w:val="false"/>
          <w:strike/>
          <w:color w:val="FF0000"/>
          <w:sz w:val="20"/>
        </w:rPr>
        <w:t>; and</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any guaranty of any Obligation by any BXCL 701 Subsidiary on the BXCL 701 Release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Lender hereby directs the Administrative Agent, and the Administrative Agent hereby agrees, upon receipt of reasonable advance notice from the Borrower, to execute and deliver or file such documents and to perform other actions reasonably necessary to release the guarantees and Liens when and as directed in this </w:t>
      </w:r>
      <w:r>
        <w:rPr>
          <w:rFonts w:ascii="Times New Roman;Times;Serif" w:hAnsi="Times New Roman;Times;Serif"/>
          <w:b/>
          <w:i w:val="false"/>
          <w:caps w:val="false"/>
          <w:smallCaps w:val="false"/>
          <w:sz w:val="20"/>
        </w:rPr>
        <w:t>Section 12.10</w:t>
      </w:r>
      <w:r>
        <w:rPr>
          <w:rFonts w:ascii="Times New Roman;Times;Serif" w:hAnsi="Times New Roman;Times;Serif"/>
          <w:b w:val="false"/>
          <w:i w:val="false"/>
          <w:caps w:val="false"/>
          <w:smallCaps w:val="false"/>
          <w:sz w:val="20"/>
        </w:rPr>
        <w:t xml:space="preserve"> and deliver to the Borrower, at the expense of the Borrower, any portion of such Collateral so released pursuant to this </w:t>
      </w:r>
      <w:r>
        <w:rPr>
          <w:rFonts w:ascii="Times New Roman;Times;Serif" w:hAnsi="Times New Roman;Times;Serif"/>
          <w:b/>
          <w:i w:val="false"/>
          <w:caps w:val="false"/>
          <w:smallCaps w:val="false"/>
          <w:sz w:val="20"/>
        </w:rPr>
        <w:t xml:space="preserve">Section 12.10 </w:t>
      </w:r>
      <w:r>
        <w:rPr>
          <w:rFonts w:ascii="Times New Roman;Times;Serif" w:hAnsi="Times New Roman;Times;Serif"/>
          <w:b w:val="false"/>
          <w:i w:val="false"/>
          <w:caps w:val="false"/>
          <w:smallCaps w:val="false"/>
          <w:sz w:val="20"/>
        </w:rPr>
        <w:t>that is in possession of the Administrative Agent. In addition, in connection with any Permitted Licenses, each Lender hereby authorizes Administrative Agent to, and at the request of the Borrower, the Administrative Agent shall, negotiate and enter into a non-disturbance agreement and other similar agreements in form and substance reasonably satisfactory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Additional Secured Parties</w:t>
      </w:r>
      <w:r>
        <w:rPr>
          <w:rFonts w:ascii="Times New Roman;Times;Serif" w:hAnsi="Times New Roman;Times;Serif"/>
          <w:b w:val="false"/>
          <w:i w:val="false"/>
          <w:caps w:val="false"/>
          <w:smallCaps w:val="false"/>
          <w:sz w:val="20"/>
        </w:rPr>
        <w:t xml:space="preserve">. The benefit of the provisions of the Loan Documents directly relating to the Collateral or any Lien granted thereunder shall extend to and be available to any Secured Party that is not a Lender as long as, by accepting such benefits, such Secured Party agrees, as among the Administrative Agent and all other Secured Parties, that such Secured Party is bound by (and, if requested by the Administrative Agent, shall confirm such agreement in a writing in form and substance acceptable to the Administrative Agent) this </w:t>
      </w:r>
      <w:r>
        <w:rPr>
          <w:rFonts w:ascii="Times New Roman;Times;Serif" w:hAnsi="Times New Roman;Times;Serif"/>
          <w:b/>
          <w:i w:val="false"/>
          <w:caps w:val="false"/>
          <w:smallCaps w:val="false"/>
          <w:sz w:val="20"/>
        </w:rPr>
        <w:t xml:space="preserve">Section 12 </w:t>
      </w:r>
      <w:r>
        <w:rPr>
          <w:rFonts w:ascii="Times New Roman;Times;Serif" w:hAnsi="Times New Roman;Times;Serif"/>
          <w:b w:val="false"/>
          <w:i w:val="false"/>
          <w:caps w:val="false"/>
          <w:smallCaps w:val="false"/>
          <w:sz w:val="20"/>
        </w:rPr>
        <w:t xml:space="preserve">and the decisions and actions of the Administrative Agent and the Majority Lenders (or, where expressly required by the terms of this Agreement, a greater proportion of the Lenders) to the same extent a Lender is bound;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(i) such Secured Party shall be bound by </w:t>
      </w:r>
      <w:r>
        <w:rPr>
          <w:rFonts w:ascii="Times New Roman;Times;Serif" w:hAnsi="Times New Roman;Times;Serif"/>
          <w:b/>
          <w:i w:val="false"/>
          <w:caps w:val="false"/>
          <w:smallCaps w:val="false"/>
          <w:sz w:val="20"/>
        </w:rPr>
        <w:t>Section 12.08</w:t>
      </w:r>
      <w:r>
        <w:rPr>
          <w:rFonts w:ascii="Times New Roman;Times;Serif" w:hAnsi="Times New Roman;Times;Serif"/>
          <w:b w:val="false"/>
          <w:i w:val="false"/>
          <w:caps w:val="false"/>
          <w:smallCaps w:val="false"/>
          <w:sz w:val="20"/>
        </w:rPr>
        <w:t xml:space="preserve"> only to the extent of Liabilities, costs and expenses with respect to or otherwise relating to the Collateral held for the benefit of such Secured Party, in which case the obligations of such Secured Party thereunder shall not be limited by any concept of Pro Rata Share or similar concept, (ii) each of the Administrative Agent and each Lender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(iii) such Secured Party shall not have any right to be notified of, consent to, direct, require or be heard with respect to, any action taken or omitted in respect of the Collateral or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Agent May File Proofs of Claim</w:t>
      </w:r>
      <w:r>
        <w:rPr>
          <w:rFonts w:ascii="Times New Roman;Times;Serif" w:hAnsi="Times New Roman;Times;Serif"/>
          <w:b w:val="false"/>
          <w:i w:val="false"/>
          <w:caps w:val="false"/>
          <w:smallCaps w:val="false"/>
          <w:sz w:val="20"/>
        </w:rPr>
        <w:t>. In case of the pendency of any Insolvency Proceeding or any other judicial proceeding relating to any Obligor, the Administrative Agent (irrespective of whether the principal of any Loan shall then be due and payable as herein expressed or by declaration or otherwise and irrespective of whether the Administrative Agent shall have made any demand on the Borrower or any other Obligor) shall be entitled and empowered (but not obligated) by intervention or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Times;Serif" w:hAnsi="Times New Roman;Times;Serif"/>
          <w:b/>
          <w:i w:val="false"/>
          <w:caps w:val="false"/>
          <w:smallCaps w:val="false"/>
          <w:sz w:val="20"/>
        </w:rPr>
        <w:t>Section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14.03</w:t>
      </w:r>
      <w:r>
        <w:rPr>
          <w:rFonts w:ascii="Times New Roman;Times;Serif" w:hAnsi="Times New Roman;Times;Serif"/>
          <w:b w:val="false"/>
          <w:i w:val="false"/>
          <w:caps w:val="false"/>
          <w:smallCaps w:val="false"/>
          <w:sz w:val="20"/>
        </w:rPr>
        <w:t>)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to the Administrative Agent under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Acknowledgements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Administrative Agent notifies a Lender, or any Person who has received funds on behalf of a Lender (any such Lender or other recipient, a “</w:t>
      </w:r>
      <w:r>
        <w:rPr>
          <w:rFonts w:ascii="Times New Roman;Times;Serif" w:hAnsi="Times New Roman;Times;Serif"/>
          <w:b/>
          <w:i/>
          <w:caps w:val="false"/>
          <w:smallCaps w:val="false"/>
          <w:sz w:val="20"/>
        </w:rPr>
        <w:t>Payment Recipient</w:t>
      </w:r>
      <w:r>
        <w:rPr>
          <w:rFonts w:ascii="Times New Roman;Times;Serif" w:hAnsi="Times New Roman;Times;Serif"/>
          <w:b w:val="false"/>
          <w:i w:val="false"/>
          <w:caps w:val="false"/>
          <w:smallCaps w:val="false"/>
          <w:sz w:val="20"/>
        </w:rPr>
        <w:t xml:space="preserve">”), that the Administrative Agent has determined in its reasonable discretion (whether or not after receipt of any notice under immediately succeeding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that any funds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Times New Roman;Times;Serif" w:hAnsi="Times New Roman;Times;Serif"/>
          <w:b/>
          <w:i/>
          <w:caps w:val="false"/>
          <w:smallCaps w:val="false"/>
          <w:sz w:val="20"/>
        </w:rPr>
        <w:t>Erroneous Payment</w:t>
      </w:r>
      <w:r>
        <w:rPr>
          <w:rFonts w:ascii="Times New Roman;Times;Serif" w:hAnsi="Times New Roman;Times;Serif"/>
          <w:b w:val="false"/>
          <w:i w:val="false"/>
          <w:caps w:val="false"/>
          <w:smallCaps w:val="false"/>
          <w:sz w:val="20"/>
        </w:rPr>
        <w:t xml:space="preserve">”) and demands the return of such Erroneous Payment (or a portion thereof), such Erroneous Payment shall at all times remain the property of the Administrative Agent, and such Lender shall (or, with respect to any Payment Recipient who received such funds on its behalf, shall cause such Payment Recipient to) promptly, but in no event later than five Qatari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shall be conclusive, absent manifest error. Notwithstanding the foregoing, without limiting any other rights or remedies (whether at law or in equity), the Administrative Agent may not make any demand under this clause (a) with respect to an Erroneous Payment unless such demand is made within 5 Business Days of the date of receipt of such Erroneous Payment by the applicable Payment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immediately preceding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each Lender, or any Person who has received funds on behalf of a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in each case: (i) (A) in the case of immediately preceding </w:t>
      </w:r>
      <w:r>
        <w:rPr>
          <w:rFonts w:ascii="Times New Roman;Times;Serif" w:hAnsi="Times New Roman;Times;Serif"/>
          <w:b/>
          <w:i w:val="false"/>
          <w:caps w:val="false"/>
          <w:smallCaps w:val="false"/>
          <w:sz w:val="20"/>
        </w:rPr>
        <w:t>clauses (x) or (y)</w:t>
      </w:r>
      <w:r>
        <w:rPr>
          <w:rFonts w:ascii="Times New Roman;Times;Serif" w:hAnsi="Times New Roman;Times;Serif"/>
          <w:b w:val="false"/>
          <w:i w:val="false"/>
          <w:caps w:val="false"/>
          <w:smallCaps w:val="false"/>
          <w:sz w:val="20"/>
        </w:rPr>
        <w:t xml:space="preserve">, an error shall be presumed to have been made (absent written confirmation from the Administrative Agent to the contrary) or (B) an error has been made (in the case of immediately preceding </w:t>
      </w:r>
      <w:r>
        <w:rPr>
          <w:rFonts w:ascii="Times New Roman;Times;Serif" w:hAnsi="Times New Roman;Times;Serif"/>
          <w:b/>
          <w:i w:val="false"/>
          <w:caps w:val="false"/>
          <w:smallCaps w:val="false"/>
          <w:sz w:val="20"/>
        </w:rPr>
        <w:t>clause (z)</w:t>
      </w:r>
      <w:r>
        <w:rPr>
          <w:rFonts w:ascii="Times New Roman;Times;Serif" w:hAnsi="Times New Roman;Times;Serif"/>
          <w:b w:val="false"/>
          <w:i w:val="false"/>
          <w:caps w:val="false"/>
          <w:smallCaps w:val="false"/>
          <w:sz w:val="20"/>
        </w:rPr>
        <w:t xml:space="preserve">), in each case, with respect to such payment, prepayment or repayment; and (ii) such Lender shall (and shall cause any other recipient that receives funds on its respective behalf to) promptly (and, in all events, within one Business Day of its knowledge of such error) use commercially reasonable efforts to notify the Administrative Agent of its receipt of such payment, prepayment or repayment, the details thereof (in reasonable detail) and that it is so notifying the Administrative Agent pursuant to this </w:t>
      </w:r>
      <w:r>
        <w:rPr>
          <w:rFonts w:ascii="Times New Roman;Times;Serif" w:hAnsi="Times New Roman;Times;Serif"/>
          <w:b/>
          <w:i w:val="false"/>
          <w:caps w:val="false"/>
          <w:smallCaps w:val="false"/>
          <w:sz w:val="20"/>
        </w:rPr>
        <w:t>Section 12.13(b)(ii)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Lender hereby authorizes the Administrative Agent to set off, net and apply any and all amounts at any time owing to such Lender under any Loan Document, or otherwise payable or distributable by the Administrative Agent to such Lender from any source, against any amount due to the Administrative Agent under immediately preceding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or under the indemnification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an Erroneous Payment (or portion thereof) is not recovered by the Administrative Agent for any reason, after demand therefor by the Administrative Agent in accordance with immediately preceding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from any Lender that has received such Erroneous Payment (or portion thereof) (and/or from any Payment Recipient who received such Erroneous Payment (or portion thereof) on its respective behalf) (such unrecovered amount, an “</w:t>
      </w:r>
      <w:r>
        <w:rPr>
          <w:rFonts w:ascii="Times New Roman;Times;Serif" w:hAnsi="Times New Roman;Times;Serif"/>
          <w:b/>
          <w:i/>
          <w:caps w:val="false"/>
          <w:smallCaps w:val="false"/>
          <w:sz w:val="20"/>
        </w:rPr>
        <w:t>Erroneous Payment Return Deficiency</w:t>
      </w:r>
      <w:r>
        <w:rPr>
          <w:rFonts w:ascii="Times New Roman;Times;Serif" w:hAnsi="Times New Roman;Times;Serif"/>
          <w:b w:val="false"/>
          <w:i w:val="false"/>
          <w:caps w:val="false"/>
          <w:smallCaps w:val="false"/>
          <w:sz w:val="20"/>
        </w:rPr>
        <w:t>”), upon the Administrative Agent’s notice to such Lender at any time, (i) such Lender shall be deemed to have assigned its Loans (but not its Commitments) with respect to which such Erroneous Payment was made (the “</w:t>
      </w:r>
      <w:r>
        <w:rPr>
          <w:rFonts w:ascii="Times New Roman;Times;Serif" w:hAnsi="Times New Roman;Times;Serif"/>
          <w:b/>
          <w:i/>
          <w:caps w:val="false"/>
          <w:smallCaps w:val="false"/>
          <w:sz w:val="20"/>
        </w:rPr>
        <w:t>Erroneous Payment Impacted Loans</w:t>
      </w:r>
      <w:r>
        <w:rPr>
          <w:rFonts w:ascii="Times New Roman;Times;Serif" w:hAnsi="Times New Roman;Times;Serif"/>
          <w:b w:val="false"/>
          <w:i w:val="false"/>
          <w:caps w:val="false"/>
          <w:smallCaps w:val="false"/>
          <w:sz w:val="20"/>
        </w:rPr>
        <w:t>”) in an amount equal to the Erroneous Payment Return Deficiency (or such lesser amount as the Administrative Agent may specify) (such assignment of the Loans (but not Commitments) of the Erroneous Payment Impacted Loans, the “</w:t>
      </w:r>
      <w:r>
        <w:rPr>
          <w:rFonts w:ascii="Times New Roman;Times;Serif" w:hAnsi="Times New Roman;Times;Serif"/>
          <w:b/>
          <w:i/>
          <w:caps w:val="false"/>
          <w:smallCaps w:val="false"/>
          <w:sz w:val="20"/>
        </w:rPr>
        <w:t>Erroneous Payment Deficiency Assignment</w:t>
      </w:r>
      <w:r>
        <w:rPr>
          <w:rFonts w:ascii="Times New Roman;Times;Serif" w:hAnsi="Times New Roman;Times;Serif"/>
          <w:b w:val="false"/>
          <w:i w:val="false"/>
          <w:caps w:val="false"/>
          <w:smallCaps w:val="false"/>
          <w:sz w:val="20"/>
        </w:rPr>
        <w: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as applicable,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Commitments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under the Loan Documents with respect to each Erroneous Payment Return Deficiency.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parties hereto agree that an Erroneous Payment shall not pay, prepay, repay, discharge or otherwise satisfy any Obligations owed by the Borrower or any other Obligor, except, in each case, to the extent such Erroneous Payment is, and solely with respect to the amount of such Erroneous Payment that is, comprised of funds received by the Administrative Agent from the Borrower or any other Obligor for the purpose of making such Erroneous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waiver of any defense based on “discharge for value” or any similar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party’s obligations, agreements and waivers under this </w:t>
      </w:r>
      <w:r>
        <w:rPr>
          <w:rFonts w:ascii="Times New Roman;Times;Serif" w:hAnsi="Times New Roman;Times;Serif"/>
          <w:b/>
          <w:i w:val="false"/>
          <w:caps w:val="false"/>
          <w:smallCaps w:val="false"/>
          <w:sz w:val="20"/>
        </w:rPr>
        <w:t>Section 12.13</w:t>
      </w:r>
      <w:r>
        <w:rPr>
          <w:rFonts w:ascii="Times New Roman;Times;Serif" w:hAnsi="Times New Roman;Times;Serif"/>
          <w:b w:val="false"/>
          <w:i w:val="false"/>
          <w:caps w:val="false"/>
          <w:smallCaps w:val="false"/>
          <w:sz w:val="20"/>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13.</w:t>
      </w:r>
      <w:r>
        <w:rPr>
          <w:rFonts w:ascii="Times New Roman;Times;Serif" w:hAnsi="Times New Roman;Times;Serif"/>
          <w:b/>
          <w:i w:val="false"/>
          <w:caps w:val="false"/>
          <w:smallCaps w:val="false"/>
          <w:sz w:val="20"/>
        </w:rPr>
        <w:br/>
        <w:t>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The Guaranty</w:t>
      </w:r>
      <w:r>
        <w:rPr>
          <w:rFonts w:ascii="Times New Roman;Times;Serif" w:hAnsi="Times New Roman;Times;Serif"/>
          <w:b w:val="false"/>
          <w:i w:val="false"/>
          <w:caps w:val="false"/>
          <w:smallCaps w:val="false"/>
          <w:sz w:val="20"/>
        </w:rPr>
        <w:t>. The Subsidiary Guarantors hereby unconditionally jointly and severally guarantee to the Administrative Agent and the Lenders, and their successors and assigns, the full and punctual payment in full or performance (whether at stated maturity, by acceleration or otherwise) of the Obligations, including (i) principal of and interest on the Loans, (ii) all fees and other amounts and Obligations from time to time owing to the Administrative Agent and the Lenders by the Borrower and each other Obligor under this Agreement or under any other Loan Document, in each case strictly in accordance with the terms hereof and thereof and (iii) the punctual and faithful performance, keeping, observance and fulfillment by the Borrower and Subsidiary Guarantors of all the agreements, conditions, covenants and obligations of the Borrower and Subsidiary Guarantors contained in the Loan Documents (such obligations being herein collectively called the “</w:t>
      </w:r>
      <w:r>
        <w:rPr>
          <w:rFonts w:ascii="Times New Roman;Times;Serif" w:hAnsi="Times New Roman;Times;Serif"/>
          <w:b/>
          <w:i/>
          <w:caps w:val="false"/>
          <w:smallCaps w:val="false"/>
          <w:sz w:val="20"/>
        </w:rPr>
        <w:t>Guaranteed Obligations</w:t>
      </w:r>
      <w:r>
        <w:rPr>
          <w:rFonts w:ascii="Times New Roman;Times;Serif" w:hAnsi="Times New Roman;Times;Serif"/>
          <w:b w:val="false"/>
          <w:i w:val="false"/>
          <w:caps w:val="false"/>
          <w:smallCaps w:val="false"/>
          <w:sz w:val="20"/>
        </w:rPr>
        <w:t>”). The Subsidiary Guarantors hereby further jointly and severally agree that if the Borrower or any other Obligor shall fail to pay any amount in full when due or perform any such obligation (whether at stated maturity, by acceleration or otherwise), the Subsidiary Guarantors will promptly pay the same or perform such obligation at the place and in the manner specified herein or in the relevant Loan Document, as the case may be, without any demand or notice whatsoever, and that in the case of any extension of time of payment or performance or renewal of any of the Guaranteed Obligations, the same will be promptly paid in full or performed when due (whether at extended maturity, by acceleration or otherwise) in accordance with the terms of such extension or renewal.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Obligations Unconditional</w:t>
      </w:r>
      <w:r>
        <w:rPr>
          <w:rFonts w:ascii="Times New Roman;Times;Serif" w:hAnsi="Times New Roman;Times;Serif"/>
          <w:b w:val="false"/>
          <w:i w:val="false"/>
          <w:caps w:val="false"/>
          <w:smallCaps w:val="false"/>
          <w:sz w:val="20"/>
        </w:rPr>
        <w:t xml:space="preserve">. The obligations of the Subsidiary Guarantors under </w:t>
      </w:r>
      <w:r>
        <w:rPr>
          <w:rFonts w:ascii="Times New Roman;Times;Serif" w:hAnsi="Times New Roman;Times;Serif"/>
          <w:b/>
          <w:i w:val="false"/>
          <w:caps w:val="false"/>
          <w:smallCaps w:val="false"/>
          <w:sz w:val="20"/>
        </w:rPr>
        <w:t>Section 13.01</w:t>
      </w:r>
      <w:r>
        <w:rPr>
          <w:rFonts w:ascii="Times New Roman;Times;Serif" w:hAnsi="Times New Roman;Times;Serif"/>
          <w:b w:val="false"/>
          <w:i w:val="false"/>
          <w:caps w:val="false"/>
          <w:smallCaps w:val="false"/>
          <w:sz w:val="20"/>
        </w:rPr>
        <w:t xml:space="preserve"> shall constitute a guaranty of payment and performance and not of collection and are absolute and unconditional, joint and several, irrespective of the value, genuineness, validity, regularity or enforceability of the Guaranteed Obligations under this Agreement or any other agreement or instrument referred to herein, or any substitution, release or exchange of any other guarantee of or security for any of the Guaranteed Obligations, and, to the fullest extent permitted by all applicable Laws, irrespective of any other circumstance whatsoever that might otherwise constitute a legal or equitable discharge or defense of a surety or guarantor, it being the intent of this </w:t>
      </w:r>
      <w:r>
        <w:rPr>
          <w:rFonts w:ascii="Times New Roman;Times;Serif" w:hAnsi="Times New Roman;Times;Serif"/>
          <w:b/>
          <w:i w:val="false"/>
          <w:caps w:val="false"/>
          <w:smallCaps w:val="false"/>
          <w:sz w:val="20"/>
        </w:rPr>
        <w:t>Section 13.02</w:t>
      </w:r>
      <w:r>
        <w:rPr>
          <w:rFonts w:ascii="Times New Roman;Times;Serif" w:hAnsi="Times New Roman;Times;Serif"/>
          <w:b w:val="false"/>
          <w:i w:val="false"/>
          <w:caps w:val="false"/>
          <w:smallCaps w:val="false"/>
          <w:sz w:val="20"/>
        </w:rPr>
        <w:t xml:space="preserve"> that the obligations of the Subsidiary Guarantors hereunder shall be absolute and unconditional, joint and several, under any and all circumstances. Without limiting the generality of the foregoing, it is agreed that the occurrence of any one or more of the following shall not alter or impair the liability of the Subsidiary Guarantors hereunder, which shall remain absolute and unconditional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or from time to time, without notice to the Subsidiary Guarantors, the time for any performance of or compliance with any of the Guaranteed Obligations shall be extended, or such performance or compliance shall be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of the acts mentioned in any of the provisions of this Agreement or any other agreement or instrument referred to herein shall be done or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maturity of any of the Guaranteed Obligations shall be accelerated, or any of the Guaranteed Obligations shall be extended, modified, supplemented or amended in any respect, or any right under this Agreement or any other agreement or instrument referred to herein shall be waived or any other guarantee of any of the Guaranteed Obligations or any security therefor shall be released or exchanged in whole or in part or otherwise dealt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lien or security interest granted to, or in favor of, the Secured Parties as security for any of the Guaranteed Obligations shall fail to be perfected or preserved;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modification or amendment of or supplement to this Agreement or any other Loan Document, including any such amendment which may increase the amount of, or the interest rates applicable to, any of the Guaranteed Obligations guaranteed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change in the corporate, partnership, limited liability company or other existence, structure or ownership of the Borrower, any Subsidiary Guarantor or any other guarantor of any of the Guaranteed Obligations, or any Insolvency Proceeding or other similar proceeding affecting the Borrower, any Subsidiary Guarantor or any other guarantor of the Guaranteed Obligations, or any of their respective assets, or any resulting release or discharge of any obligation of the Borrower, any Subsidiary Guarantor or any other guarantor of any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existence of any claim, setoff or other rights which any Subsidiary Guarantor may have at any time against the Borrower, any other Subsidiary Guarantor or any other guarantor of any of the Guaranteed Obligations, the Administrative Agent, any Secured Party or any other Person, whether in connection herewith or in connection with any unrelated transactions;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 other provisions in this Guaranty, nothing in this Guaranty shall prevent the assertion of any such claim by separate suit or compulsory counterclaim;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unenforceability or invalidity of the Guaranteed Obligations or any part thereof or the lack of genuineness, enforceability or validity of any agreement relating thereto or with respect to the collateral, if any, securing the Guaranteed Obligations or any part thereof, or any other invalidity or unenforceability relating to or against the Borrower, any Subsidiary Guarantor or any other guarantor of any of the Guaranteed Obligations, for any reason, related to this Agreement or any other Loan Document, or any provision of applicable Law, decree, order or regulation of any jurisdiction purporting to prohibit the payment of any of the Guaranteed Obligations by the Borrower, any Subsidiary Guarantor or any other guarantor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disallowance, under any state or federal bankruptcy, insolvency or similar law, of all or any portion of the claims of the Secured Parties or the Administrative Agent for repayment of all or any part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failure of any other guarantor to sign or become party to this Agreement or any amendment, change, or reaffirmation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any other act or omission to act or delay of any kind by the Borrower, such Guarantor, any other guarantor of the Guaranteed Obligations, the Administrative Agent, any Secured Party or any other Person or any other circumstance whatsoever which might, but for the provisions of this </w:t>
      </w:r>
      <w:r>
        <w:rPr>
          <w:rFonts w:ascii="Times New Roman;Times;Serif" w:hAnsi="Times New Roman;Times;Serif"/>
          <w:b/>
          <w:i w:val="false"/>
          <w:caps w:val="false"/>
          <w:smallCaps w:val="false"/>
          <w:sz w:val="20"/>
        </w:rPr>
        <w:t>Section 13.02</w:t>
      </w:r>
      <w:r>
        <w:rPr>
          <w:rFonts w:ascii="Times New Roman;Times;Serif" w:hAnsi="Times New Roman;Times;Serif"/>
          <w:b w:val="false"/>
          <w:i w:val="false"/>
          <w:caps w:val="false"/>
          <w:smallCaps w:val="false"/>
          <w:sz w:val="20"/>
        </w:rPr>
        <w:t xml:space="preserve"> constitute a legal or equitable discharge of any Guarantor’s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Guarantors hereby expressly waive diligence, presentment, demand of payment, protest and all notices whatsoever, and any requirement that the Administrative Agent or any Lender exhaust any right, power or remedy or proceed against the Borrower or any other Subsidiary Guarantor under this Agreement or any other agreement or instrument referred to herein, or against any other Person under any other guarantee of, or security for, any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Discharge Only Upon Payment in Full</w:t>
      </w:r>
      <w:r>
        <w:rPr>
          <w:rFonts w:ascii="Times New Roman;Times;Serif" w:hAnsi="Times New Roman;Times;Serif"/>
          <w:b w:val="false"/>
          <w:i w:val="false"/>
          <w:caps w:val="false"/>
          <w:smallCaps w:val="false"/>
          <w:sz w:val="20"/>
        </w:rPr>
        <w:t>. Subject to any prior release herefrom of any Subsidiary Guarantor by the Administrative Agent in accordance with (and pursuant to authority granted to the Administrative Agent under) the terms of this Agreement, each Subsidiary Guarantor’s obligations hereunder shall remain in full force and effect until all of the Guaranteed Obligations shall have been indefeasibly paid in full in cash (other than inchoate indemnification and expense reimbursement obligations for which no claim has been made) and all other financing arrangements among the Borrower or any Subsidiary Guarantor and the Secured Parties under or in connection with this Agreement and each other Loan Document shall have terminated (herein, the “</w:t>
      </w:r>
      <w:r>
        <w:rPr>
          <w:rFonts w:ascii="Times New Roman;Times;Serif" w:hAnsi="Times New Roman;Times;Serif"/>
          <w:b/>
          <w:i/>
          <w:caps w:val="false"/>
          <w:smallCaps w:val="false"/>
          <w:sz w:val="20"/>
        </w:rPr>
        <w:t>Termination Conditions</w:t>
      </w:r>
      <w:r>
        <w:rPr>
          <w:rFonts w:ascii="Times New Roman;Times;Serif" w:hAnsi="Times New Roman;Times;Serif"/>
          <w:b w:val="false"/>
          <w:i w:val="false"/>
          <w:caps w:val="false"/>
          <w:smallCaps w:val="false"/>
          <w:sz w:val="20"/>
        </w:rPr>
        <w:t xml:space="preserve">”), and until the prior and complete satisfaction of the Termination Conditions all of the rights and remedies under this Guaranty and the other Loan Documents shall survive. Notwithstanding the foregoing, the Administrative Agent hereby agrees to release any Subsidiary of the Borrower from its guaranty of any Obligation of any Obligor if all of the Equity Interests in such Subsidiary owned by any Obligor or any of its Subsidiaries are disposed of in an Asset Sale permitted under the Loan Documents (including pursuant to a waiver or consent), to the extent that, after giving effect to such Asset Sale, such Subsidiary would not be required to guarantee any Obligations pursuant to </w:t>
      </w:r>
      <w:r>
        <w:rPr>
          <w:rFonts w:ascii="Times New Roman;Times;Serif" w:hAnsi="Times New Roman;Times;Serif"/>
          <w:b/>
          <w:i w:val="false"/>
          <w:caps w:val="false"/>
          <w:smallCaps w:val="false"/>
          <w:sz w:val="20"/>
        </w:rPr>
        <w:t>Section 8.11(a)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Additional Waivers; General Waivers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Additional Waivers. </w:t>
      </w:r>
      <w:r>
        <w:rPr>
          <w:rFonts w:ascii="Times New Roman;Times;Serif" w:hAnsi="Times New Roman;Times;Serif"/>
          <w:b w:val="false"/>
          <w:i w:val="false"/>
          <w:caps w:val="false"/>
          <w:smallCaps w:val="false"/>
          <w:sz w:val="20"/>
        </w:rPr>
        <w:t>Notwithstanding anything herein to the contrary, each of the Subsidiary Guarantors hereby absolutely, unconditionally, knowingly, and expressly waives: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right it may have to revoke this Guaranty as to future indebtedness or notice of acceptance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notice of acceptance hereof; (B) notice of any other financial accommodations made or maintained under the Loan Documents or the creation or existence of any Guaranteed Obligations; (C) notice of the amount of the Guaranteed Obligations, subject, however, to each Subsidiary Guarantor’s right to make inquiry of the Administrative Agent and the Secured Parties to ascertain the amount of the Guaranteed Obligations at any reasonable time; (D) notice of any adverse change in the financial condition of the Borrower or of any other fact that might increase such Subsidiary Guarantor’s risk hereunder; (E) notice of presentment for payment, demand, protest, and notice thereof as to any instruments among the Loan Documents; (F) notice of any Event of Default; and (G) all other notices (except if such notice is specifically required to be given to such Subsidiary Guarantor under this Guaranty or under the other Loan Documents) and demands to which each Subsidiary Guarantor might otherwise be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its right, if any, to require the Administrative Agent and the Secured Parties to institute suit against, or to exhaust any rights and remedies which the Administrative Agent and the Secured Parties now have or may hereafter have against, any other guarantor of the Guaranteed Obligations or any third party, or against any collateral provided by such other guarantors or any third party; and each Subsidiary Guarantor further waives any defense arising by reason of any disability or other defense (other than the defense that the Guaranteed Obligations shall have been fully and finally performed and indefeasibly paid) of any other guarantor of the Guaranteed Obligations or by reason of the cessation from any cause whatsoever of the liability of any other guarantor of the Guaranteed Obligations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any rights to assert against the Administrative Agent and the Secured Parties any defense (legal or equitable), set-off, counterclaim, or claim which such Subsidiary Guarantor may now or at any time hereafter have against any other guarantor of the Guaranteed Obligations or any third party liable to the Administrative Agent and the Secured Parties; (B) any defense, set-off, counterclaim or claim, of any kind or nature, arising directly or indirectly from the present or future lack of perfection, sufficiency, validity or enforceability of the Guaranteed Obligations or any security therefor; (C) any defense such Subsidiary Guarantor has to performance hereunder, and any right such Subsidiary Guarantor has to be exonerated, arising by reason of: (1) the impairment or suspension of the Administrative Agent’s and the Secured Parties’ rights or remedies against any other guarantor of the Guaranteed Obligations; (2) the alteration by the Administrative Agent and the Secured Parties of the Guaranteed Obligations; (3) any discharge of the obligations of any other guarantor of the Guaranteed Obligations to the Administrative Agent and the Secured Parties by operation of law as a result of the Administrative Agent’s and the Secured Parties’ intervention or omission; or (4) the acceptance by the Administrative Agent and the Secured Parties of anything in partial satisfaction of the Guaranteed Obligations; and (D) the benefit of any statute of limitations affecting such Subsidiary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Subsidiary Guarantor’s liability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defense arising by reason of or deriving from (A) any claim or defense based upon an election of remedies by the Administrative Agent and the other Secured Parties; or (B) any election by the Administrative Agent and the other Secured Parties under any provision of any state or federal bankruptcy, insolvency or similar law to limit the amount of, or any collateral securing, its claim against the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General Waivers</w:t>
      </w:r>
      <w:r>
        <w:rPr>
          <w:rFonts w:ascii="Times New Roman;Times;Serif" w:hAnsi="Times New Roman;Times;Serif"/>
          <w:b w:val="false"/>
          <w:i w:val="false"/>
          <w:caps w:val="false"/>
          <w:smallCaps w:val="false"/>
          <w:sz w:val="20"/>
        </w:rPr>
        <w:t>. Each Subsidiary Guarantor irrevocably waives, to the fullest extent permitted by law, any notice not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Reinstatement</w:t>
      </w:r>
      <w:r>
        <w:rPr>
          <w:rFonts w:ascii="Times New Roman;Times;Serif" w:hAnsi="Times New Roman;Times;Serif"/>
          <w:b w:val="false"/>
          <w:i w:val="false"/>
          <w:caps w:val="false"/>
          <w:smallCaps w:val="false"/>
          <w:sz w:val="20"/>
        </w:rPr>
        <w:t xml:space="preserve">. The obligations of the Subsidiary Guarantors under this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shall be automatically reinstated if and to the extent that for any reason any payment by or on behalf of the Borrower in respect of the Guaranteed Obligations is at any time rescinded, annulled, avoided, set aside, invalidated, declared to be fraudulent or must be otherwise restored or repaid by any holder of any of the Guaranteed Obligations, whether as a result of any proceedings in bankruptcy or reorganization, equitable cause or otherwise, and the Subsidiary Guarantors jointly and severally agree that they will indemnify the Secured Parties on demand for all reasonable costs and expenses (including fees of counsel) incurred by such Persons in connection with such rescission, repayment or restoration, including any such costs and expenses incurred in defending against any claim alleging that such payment constituted a preference, fraudulent transfer or similar payment under any state or federal bankruptcy, insolvency or similar law. The provisions of this </w:t>
      </w:r>
      <w:r>
        <w:rPr>
          <w:rFonts w:ascii="Times New Roman;Times;Serif" w:hAnsi="Times New Roman;Times;Serif"/>
          <w:b/>
          <w:i w:val="false"/>
          <w:caps w:val="false"/>
          <w:smallCaps w:val="false"/>
          <w:sz w:val="20"/>
        </w:rPr>
        <w:t>Section 13.05</w:t>
      </w:r>
      <w:r>
        <w:rPr>
          <w:rFonts w:ascii="Times New Roman;Times;Serif" w:hAnsi="Times New Roman;Times;Serif"/>
          <w:b w:val="false"/>
          <w:i w:val="false"/>
          <w:caps w:val="false"/>
          <w:smallCaps w:val="false"/>
          <w:sz w:val="20"/>
        </w:rPr>
        <w:t xml:space="preserve"> shall survive termination of this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Subrogation</w:t>
      </w:r>
      <w:r>
        <w:rPr>
          <w:rFonts w:ascii="Times New Roman;Times;Serif" w:hAnsi="Times New Roman;Times;Serif"/>
          <w:b w:val="false"/>
          <w:i w:val="false"/>
          <w:caps w:val="false"/>
          <w:smallCaps w:val="false"/>
          <w:sz w:val="20"/>
        </w:rPr>
        <w:t xml:space="preserve">. The Subsidiary Guarantors hereby jointly and severally agree that, until the prior and complete satisfaction of all Termination Conditions, they (i) shall have no right of subrogation with respect to the Guaranteed Obligations and (ii) waive any right to enforce any remedy which the Secured Parties or the Administrative Agent now have or may hereafter have against the Borrower, any endorser or any other guarantor of all or any part of the Guaranteed Obligations or any other Person, and each Subsidiary Guarantor waives any benefit of, and any right to participate in, any security or collateral that may from time to time be given to the Secured Parties and the Administrative Agent to secure the payment or performance of all or any part of the Guaranteed Obligations or any other liability of the Borrower to the Secured Parties. Should any Subsidiary Guarantor have the right, notwithstanding the foregoing, to exercise its subrogation rights prior to complete satisfaction of the Termination Conditions, each Subsidiary Guarantor hereby expressly and irrevocably (A) subordinates any and all rights at law or in equity to subrogation, reimbursement, exoneration, contribution, indemnification or set-off that such Subsidiary Guarantor may have prior to the complete satisfaction of the Termination Conditions, and (B) waives any and all defenses available to a surety, guarantor or accommodation co-obligor until all Termination Conditions are satisfied in full. Each Subsidiary Guarantor acknowledges and agrees that this subordination is intended to benefit the Administrative Agent and the Secured Parties and shall not limit or otherwise affect such Subsidiary Guarantor’s liability hereunder or the enforceability of this Guaranty, and that the Administrative Agent, the Secured Parties and their respective successors and assigns are intended third party beneficiaries of the waivers and agreements set forth in this </w:t>
      </w:r>
      <w:r>
        <w:rPr>
          <w:rFonts w:ascii="Times New Roman;Times;Serif" w:hAnsi="Times New Roman;Times;Serif"/>
          <w:b/>
          <w:i w:val="false"/>
          <w:caps w:val="false"/>
          <w:smallCaps w:val="false"/>
          <w:sz w:val="20"/>
        </w:rPr>
        <w:t>Section 13.06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Remedies</w:t>
      </w:r>
      <w:r>
        <w:rPr>
          <w:rFonts w:ascii="Times New Roman;Times;Serif" w:hAnsi="Times New Roman;Times;Serif"/>
          <w:b w:val="false"/>
          <w:i w:val="false"/>
          <w:caps w:val="false"/>
          <w:smallCaps w:val="false"/>
          <w:sz w:val="20"/>
        </w:rPr>
        <w:t xml:space="preserve">. The Subsidiary Guarantors jointly and severally agree that, as between the Subsidiary Guarantors, on one hand, and the Administrative Agent and the Lenders, on the other hand, the obligations of the Borrower under this Agreement and under the other Loan Documents may be declared to be forthwith due and payable as provided in </w:t>
      </w:r>
      <w:r>
        <w:rPr>
          <w:rFonts w:ascii="Times New Roman;Times;Serif" w:hAnsi="Times New Roman;Times;Serif"/>
          <w:b/>
          <w:i w:val="false"/>
          <w:caps w:val="false"/>
          <w:smallCaps w:val="false"/>
          <w:sz w:val="20"/>
        </w:rPr>
        <w:t>Section 11</w:t>
      </w:r>
      <w:r>
        <w:rPr>
          <w:rFonts w:ascii="Times New Roman;Times;Serif" w:hAnsi="Times New Roman;Times;Serif"/>
          <w:b w:val="false"/>
          <w:i w:val="false"/>
          <w:caps w:val="false"/>
          <w:smallCaps w:val="false"/>
          <w:sz w:val="20"/>
        </w:rPr>
        <w:t xml:space="preserve"> (and shall be deemed to have become automatically due and payable in the circumstances provided in </w:t>
      </w:r>
      <w:r>
        <w:rPr>
          <w:rFonts w:ascii="Times New Roman;Times;Serif" w:hAnsi="Times New Roman;Times;Serif"/>
          <w:b/>
          <w:i w:val="false"/>
          <w:caps w:val="false"/>
          <w:smallCaps w:val="false"/>
          <w:sz w:val="20"/>
        </w:rPr>
        <w:t>Section 11</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i w:val="false"/>
          <w:caps w:val="false"/>
          <w:smallCaps w:val="false"/>
          <w:sz w:val="20"/>
        </w:rPr>
        <w:t xml:space="preserve">Section 13.01 </w:t>
      </w:r>
      <w:r>
        <w:rPr>
          <w:rFonts w:ascii="Times New Roman;Times;Serif" w:hAnsi="Times New Roman;Times;Serif"/>
          <w:b w:val="false"/>
          <w:i w:val="false"/>
          <w:caps w:val="false"/>
          <w:smallCaps w:val="false"/>
          <w:sz w:val="20"/>
        </w:rPr>
        <w:t xml:space="preserve">notwithstanding any stay, injunction or other prohibition, including any such stay upon an Insolvency Proceeding,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Subsidiary Guarantors for purposes of </w:t>
      </w:r>
      <w:r>
        <w:rPr>
          <w:rFonts w:ascii="Times New Roman;Times;Serif" w:hAnsi="Times New Roman;Times;Serif"/>
          <w:b/>
          <w:i w:val="false"/>
          <w:caps w:val="false"/>
          <w:smallCaps w:val="false"/>
          <w:sz w:val="20"/>
        </w:rPr>
        <w:t>Section 13.01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Instrument for the Payment of Money</w:t>
      </w:r>
      <w:r>
        <w:rPr>
          <w:rFonts w:ascii="Times New Roman;Times;Serif" w:hAnsi="Times New Roman;Times;Serif"/>
          <w:b w:val="false"/>
          <w:i w:val="false"/>
          <w:caps w:val="false"/>
          <w:smallCaps w:val="false"/>
          <w:sz w:val="20"/>
        </w:rPr>
        <w:t xml:space="preserve">. Each Subsidiary Guarantor hereby acknowledges that the guarantee in this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constitutes an instrument for the payment of money, and consents and agrees that the Administrative Agent and the Lenders, at their sole option, in the event of a dispute by such Subsidiary Guarantor in the payment of any moneys due hereunder, shall have the right to proceed by motion for summary judgment in lieu of complaint pursuant to N.Y. Civ. Prac. L&amp;R § 3213.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Continuing Guarantee</w:t>
      </w:r>
      <w:r>
        <w:rPr>
          <w:rFonts w:ascii="Times New Roman;Times;Serif" w:hAnsi="Times New Roman;Times;Serif"/>
          <w:b w:val="false"/>
          <w:i w:val="false"/>
          <w:caps w:val="false"/>
          <w:smallCaps w:val="false"/>
          <w:sz w:val="20"/>
        </w:rPr>
        <w:t xml:space="preserve">. The guarantee in this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is a continuing guarantee, and shall apply to all Guaranteed Obligations whenever arising.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Contribution with Respect to Guaranteed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any Subsidiary Guarantor shall make a payment under this Guaranty (a “</w:t>
      </w:r>
      <w:r>
        <w:rPr>
          <w:rFonts w:ascii="Times New Roman;Times;Serif" w:hAnsi="Times New Roman;Times;Serif"/>
          <w:b/>
          <w:i/>
          <w:caps w:val="false"/>
          <w:smallCaps w:val="false"/>
          <w:sz w:val="20"/>
        </w:rPr>
        <w:t>Guarantor Payment</w:t>
      </w:r>
      <w:r>
        <w:rPr>
          <w:rFonts w:ascii="Times New Roman;Times;Serif" w:hAnsi="Times New Roman;Times;Serif"/>
          <w:b w:val="false"/>
          <w:i w:val="false"/>
          <w:caps w:val="false"/>
          <w:smallCaps w:val="false"/>
          <w:sz w:val="20"/>
        </w:rPr>
        <w:t xml:space="preserve">”) which, taking into account all other Guarantor Payments then previously or concurrently made by any other Subsidiary Guarantor, exceeds the amount which otherwise would have been paid by or attributable to such Subsidiary Guarantor if each Subsidiary Guarantor had paid the aggregate Guaranteed Obligations satisfied by such Guarantor Payment in the same proportion as such Subsidiary Guarantor’s “Allocable Amount” (as defined below) (as determined immediately prior to such Guarantor Payment) bore to the aggregate Allocable Amounts of each of the Subsidiary Guarantors as determined immediately prior to the making of such Guarantor Payment, </w:t>
      </w:r>
      <w:r>
        <w:rPr>
          <w:rFonts w:ascii="Times New Roman;Times;Serif" w:hAnsi="Times New Roman;Times;Serif"/>
          <w:b w:val="false"/>
          <w:i/>
          <w:caps w:val="false"/>
          <w:smallCaps w:val="false"/>
          <w:sz w:val="20"/>
        </w:rPr>
        <w:t>then</w:t>
      </w:r>
      <w:r>
        <w:rPr>
          <w:rFonts w:ascii="Times New Roman;Times;Serif" w:hAnsi="Times New Roman;Times;Serif"/>
          <w:b w:val="false"/>
          <w:i w:val="false"/>
          <w:caps w:val="false"/>
          <w:smallCaps w:val="false"/>
          <w:sz w:val="20"/>
        </w:rPr>
        <w:t xml:space="preserve">, following the prior and complete satisfaction of the Termination Conditions, such Subsidiary Guarantor shall be entitled to receive contribution and indemnification payments from, and be reimbursed by, each other Subsidiary Guarantor for the amount of such excess,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based upon their respective Allocable Amounts in effect immediately prior to such Guarantor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any date of determination, the “</w:t>
      </w:r>
      <w:r>
        <w:rPr>
          <w:rFonts w:ascii="Times New Roman;Times;Serif" w:hAnsi="Times New Roman;Times;Serif"/>
          <w:b/>
          <w:i/>
          <w:caps w:val="false"/>
          <w:smallCaps w:val="false"/>
          <w:sz w:val="20"/>
        </w:rPr>
        <w:t>Allocable Amount</w:t>
      </w:r>
      <w:r>
        <w:rPr>
          <w:rFonts w:ascii="Times New Roman;Times;Serif" w:hAnsi="Times New Roman;Times;Serif"/>
          <w:b w:val="false"/>
          <w:i w:val="false"/>
          <w:caps w:val="false"/>
          <w:smallCaps w:val="false"/>
          <w:sz w:val="20"/>
        </w:rPr>
        <w:t>” of any Subsidiary Guarantor shall be equal to the maximum amount of the claim which could then be recovered from such Subsidiary Guarantor under this Agreement without rendering such claim voidable or avoidable under any state or federal bankruptcy, insolvency or similar law or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w:t>
      </w:r>
      <w:r>
        <w:rPr>
          <w:rFonts w:ascii="Times New Roman;Times;Serif" w:hAnsi="Times New Roman;Times;Serif"/>
          <w:b/>
          <w:i w:val="false"/>
          <w:caps w:val="false"/>
          <w:smallCaps w:val="false"/>
          <w:sz w:val="20"/>
        </w:rPr>
        <w:t>Section 13.10</w:t>
      </w:r>
      <w:r>
        <w:rPr>
          <w:rFonts w:ascii="Times New Roman;Times;Serif" w:hAnsi="Times New Roman;Times;Serif"/>
          <w:b w:val="false"/>
          <w:i w:val="false"/>
          <w:caps w:val="false"/>
          <w:smallCaps w:val="false"/>
          <w:sz w:val="20"/>
        </w:rPr>
        <w:t xml:space="preserve"> is intended only to define the relative rights of the Subsidiary Guarantors, and nothing set forth in this </w:t>
      </w:r>
      <w:r>
        <w:rPr>
          <w:rFonts w:ascii="Times New Roman;Times;Serif" w:hAnsi="Times New Roman;Times;Serif"/>
          <w:b/>
          <w:i w:val="false"/>
          <w:caps w:val="false"/>
          <w:smallCaps w:val="false"/>
          <w:sz w:val="20"/>
        </w:rPr>
        <w:t>Section 13.10</w:t>
      </w:r>
      <w:r>
        <w:rPr>
          <w:rFonts w:ascii="Times New Roman;Times;Serif" w:hAnsi="Times New Roman;Times;Serif"/>
          <w:b w:val="false"/>
          <w:i w:val="false"/>
          <w:caps w:val="false"/>
          <w:smallCaps w:val="false"/>
          <w:sz w:val="20"/>
        </w:rPr>
        <w:t xml:space="preserve"> is intended to or shall impair the obligations of the Subsidiary Guarantors, jointly and severally, to pay any amounts as and when the same shall become due and payable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hereto acknowledge that the rights of contribution and indemnification hereunder shall constitute assets of the Subsidiary Guarantor or Subsidiary Guarantors to which such contribution and indemnification is 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rights of the indemnifying Subsidiary Guarantors against other Subsidiary Guarantors under this </w:t>
      </w:r>
      <w:r>
        <w:rPr>
          <w:rFonts w:ascii="Times New Roman;Times;Serif" w:hAnsi="Times New Roman;Times;Serif"/>
          <w:b/>
          <w:i w:val="false"/>
          <w:caps w:val="false"/>
          <w:smallCaps w:val="false"/>
          <w:sz w:val="20"/>
        </w:rPr>
        <w:t>Section 13.10</w:t>
      </w:r>
      <w:r>
        <w:rPr>
          <w:rFonts w:ascii="Times New Roman;Times;Serif" w:hAnsi="Times New Roman;Times;Serif"/>
          <w:b w:val="false"/>
          <w:i w:val="false"/>
          <w:caps w:val="false"/>
          <w:smallCaps w:val="false"/>
          <w:sz w:val="20"/>
        </w:rPr>
        <w:t xml:space="preserve"> shall be exercisable only upon the prior and complete satisfaction of the Termination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General Limitation on Guarantee Obligations</w:t>
      </w:r>
      <w:r>
        <w:rPr>
          <w:rFonts w:ascii="Times New Roman;Times;Serif" w:hAnsi="Times New Roman;Times;Serif"/>
          <w:b w:val="false"/>
          <w:i w:val="false"/>
          <w:caps w:val="false"/>
          <w:smallCaps w:val="false"/>
          <w:sz w:val="20"/>
        </w:rPr>
        <w:t xml:space="preserve">. In any action or proceeding involving any provincial, territorial or state corporate law, or any state or federal bankruptcy, insolvency, reorganization or other law affecting the rights of creditors generally, if the obligations of any Subsidiary Guarantor under </w:t>
      </w:r>
      <w:r>
        <w:rPr>
          <w:rFonts w:ascii="Times New Roman;Times;Serif" w:hAnsi="Times New Roman;Times;Serif"/>
          <w:b/>
          <w:i w:val="false"/>
          <w:caps w:val="false"/>
          <w:smallCaps w:val="false"/>
          <w:sz w:val="20"/>
        </w:rPr>
        <w:t xml:space="preserve">Section 13.01 </w:t>
      </w:r>
      <w:r>
        <w:rPr>
          <w:rFonts w:ascii="Times New Roman;Times;Serif" w:hAnsi="Times New Roman;Times;Serif"/>
          <w:b w:val="false"/>
          <w:i w:val="false"/>
          <w:caps w:val="false"/>
          <w:smallCaps w:val="false"/>
          <w:sz w:val="20"/>
        </w:rPr>
        <w:t xml:space="preserve">would otherwise be held or determined to be void, invalid or unenforceable, or subordinated to the claims of any other creditors, on account of the amount of its liability under </w:t>
      </w:r>
      <w:r>
        <w:rPr>
          <w:rFonts w:ascii="Times New Roman;Times;Serif" w:hAnsi="Times New Roman;Times;Serif"/>
          <w:b/>
          <w:i w:val="false"/>
          <w:caps w:val="false"/>
          <w:smallCaps w:val="false"/>
          <w:sz w:val="20"/>
        </w:rPr>
        <w:t>Section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13.01</w:t>
      </w:r>
      <w:r>
        <w:rPr>
          <w:rFonts w:ascii="Times New Roman;Times;Serif" w:hAnsi="Times New Roman;Times;Serif"/>
          <w:b w:val="false"/>
          <w:i w:val="false"/>
          <w:caps w:val="false"/>
          <w:smallCaps w:val="false"/>
          <w:sz w:val="20"/>
        </w:rPr>
        <w:t>, then, notwithstanding any other provision hereof to the contrary, the amount of such liability shall, without any further action by such Subsidiary Guarantor, the Administrative Agent, any Lender or any other Person, be automatically limited and reduced to the highest amount that is valid and enforceable and not subordinated to the claims of other creditors as determined in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14.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 Waiver</w:t>
      </w:r>
      <w:r>
        <w:rPr>
          <w:rFonts w:ascii="Times New Roman;Times;Serif" w:hAnsi="Times New Roman;Times;Serif"/>
          <w:b w:val="false"/>
          <w:i w:val="false"/>
          <w:caps w:val="false"/>
          <w:smallCaps w:val="false"/>
          <w:sz w:val="20"/>
        </w:rPr>
        <w:t>. No failure on the part of the Administrative Agent or the Lenders to exercise and no delay in 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notices, requests, instructions, directions and other communications provided for herein (including any modifications of, or waivers, requests or consents under, this Agreement) or in the other Loan Documents shall be given or made in writing (including by telecopy or email) delivered, if to the Borrower, another Obligor, the Administrative Agent or any Lender, to its address specified on the signature pages hereto or its Guarantee Assumption Agreement, as the case may be, or at such other address as shall be designated by such party in a written notice to the other parties. Except as otherwise provided in this Agreement or therein, all such communications shall be deemed to have been duly given upon receipt of a legible copy thereof, in each case given or addressed as aforesaid. All such communications provided for herein by telecopy shall be confirmed in writing promptly after the delivery of such communication (it being understood that non-receipt of written confirmation of such communication shall not invalidate such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in this </w:t>
      </w:r>
      <w:r>
        <w:rPr>
          <w:rFonts w:ascii="Times New Roman;Times;Serif" w:hAnsi="Times New Roman;Times;Serif"/>
          <w:b/>
          <w:i w:val="false"/>
          <w:caps w:val="false"/>
          <w:smallCaps w:val="false"/>
          <w:sz w:val="20"/>
        </w:rPr>
        <w:t xml:space="preserve">Section 14.02 </w:t>
      </w:r>
      <w:r>
        <w:rPr>
          <w:rFonts w:ascii="Times New Roman;Times;Serif" w:hAnsi="Times New Roman;Times;Serif"/>
          <w:b w:val="false"/>
          <w:i w:val="false"/>
          <w:caps w:val="false"/>
          <w:smallCaps w:val="false"/>
          <w:sz w:val="20"/>
        </w:rPr>
        <w:t>to the contrary, any notice, request, instruction, direction or other communication provided for herein and addressed to a QIA Lender (a “</w:t>
      </w:r>
      <w:r>
        <w:rPr>
          <w:rFonts w:ascii="Times New Roman;Times;Serif" w:hAnsi="Times New Roman;Times;Serif"/>
          <w:b w:val="false"/>
          <w:i w:val="false"/>
          <w:caps w:val="false"/>
          <w:smallCaps w:val="false"/>
          <w:sz w:val="20"/>
          <w:u w:val="single"/>
        </w:rPr>
        <w:t>QIA Lender Notice</w:t>
      </w:r>
      <w:r>
        <w:rPr>
          <w:rFonts w:ascii="Times New Roman;Times;Serif" w:hAnsi="Times New Roman;Times;Serif"/>
          <w:b w:val="false"/>
          <w:i w:val="false"/>
          <w:caps w:val="false"/>
          <w:smallCaps w:val="false"/>
          <w:sz w:val="20"/>
        </w:rPr>
        <w:t xml:space="preserve">”) shall be effective only if such QIA Lender Notice is (a) delivered either personally by hand or by an international courier service providing delivery service in Qatar to the address of such QIA Lender set forth in this Agreement under the signature pages hereto and, in each case (b) confirmed by email to such QIA Lender’s email addresses listed under the signature pages 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all such email addresses listed under the signature pages hereto for copy are copied and (ii) a “failed delivery” message is not received by the sender from such QIA Lender’s primary email addresses listed under the signature pages hereto. Delivery shall be deemed effective only if completed by 1:30 p.m. on a day in which banks are open for business in Qatar (a “</w:t>
      </w:r>
      <w:r>
        <w:rPr>
          <w:rFonts w:ascii="Times New Roman;Times;Serif" w:hAnsi="Times New Roman;Times;Serif"/>
          <w:b w:val="false"/>
          <w:i w:val="false"/>
          <w:caps w:val="false"/>
          <w:smallCaps w:val="false"/>
          <w:sz w:val="20"/>
          <w:u w:val="single"/>
        </w:rPr>
        <w:t>Qatari Business Day</w:t>
      </w:r>
      <w:r>
        <w:rPr>
          <w:rFonts w:ascii="Times New Roman;Times;Serif" w:hAnsi="Times New Roman;Times;Serif"/>
          <w:b w:val="false"/>
          <w:i w:val="false"/>
          <w:caps w:val="false"/>
          <w:smallCaps w:val="false"/>
          <w:sz w:val="20"/>
        </w:rPr>
        <w:t>”) or on the following Qatari Business Day if completed later.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Expenses, Indemnification,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xml:space="preserve">. Each Obligor, jointly and severally, agrees to pay or reimburse (i) the Administrative Agent and the Lenders and their respective Affiliates for all of their reasonable and documented out of pocket costs and expenses (including the fees, expenses, charges and disbursements of Sullivan &amp; Cromwell LLP, counsel to the Lenders, the fees (if necessary) of local and regulatory counsel for both of the Administrative Agent and the Lenders in each relevant material jurisdiction, and any sales, goods and services or other similar Taxes applicable thereto, and reasonable and documented printing, reproduction, document delivery, communication and travel costs) in connection with (x) the negotiation, preparation, execution and delivery of this Agreement and the other Loan Documents and the making of the Loans (exclusive of post-closing costs), (y) post-closing costs (including costs of the administration of this Agreement and the other Loan Documents) and (z) the negotiation or preparation of any modification, supplement or waiver of any of the terms of this Agreement or any of the other Loan Documents (whether or not consummated);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such costs and expenses obligated to be paid by the Obligors for activities prior to the Closing Date, shall not exceed $700,000 (or such greater amount as may be reasonably agreed to by the Borrower), plus the actual cost of any collateral filing and recordation fees and searches and (ii) each of the Administrative Agent and the Lenders for all of their documented out of pocket costs and expenses (including the fees and expenses of any legal counsel) in connection with the enforcement, exercise or protection of their rights in connection with this Agreement and the other Loan Documents, including their rights under this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or in connection with the Loans made hereunder, including such out-of-pocket expenses incurred during any workout, restructuring or negotiations in respect of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Each Obligor, jointly and severally, hereby indemnifies the Administrative Agent (and any sub-agent thereof), the Lenders and their respective Affiliates, directors, officers, employees, attorneys, agents, advisors and controlling parties (each, an “</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xml:space="preserve">”) from and against, and agrees to hold them harmless against, any and all Claims and Losses of any kind including reasonable and documented out of pocket fees and disbursements of any counsel for each Indemnified Party (limited to, at most, two legal counsels in each relevant jurisdiction, one for each of (A) the Oaktree Lenders and (B) the QIA Lenders), that may be incurred by or asserted or awarded against any Indemnified Party, in each case arising out of or in connection with or relating to (i) Agreement or any of the other Loan Documents or the Transactions, (ii) any use made or proposed to be made with the proceeds of the Loans, (iii) any actual or alleged presence or release of Hazardous Materials on or from any property owned or operated by any Obligor or any of its Subsidiaries, or (iv) any actual or prospective claim, investigation, litigation or proceeding relating to any of the foregoing, whether based on contract, tort, or any other theory, whether or not such investigation, litigation or proceeding is brought by any Obligor, any of its Subsidiaries, shareholders or creditors, an Indemnified Party or any other Person, or an Indemnified Party is otherwise a party thereto, and whether or not any of the conditions precedent set forth in </w:t>
      </w:r>
      <w:r>
        <w:rPr>
          <w:rFonts w:ascii="Times New Roman;Times;Serif" w:hAnsi="Times New Roman;Times;Serif"/>
          <w:b/>
          <w:i w:val="false"/>
          <w:caps w:val="false"/>
          <w:smallCaps w:val="false"/>
          <w:sz w:val="20"/>
        </w:rPr>
        <w:t>Section 6</w:t>
      </w:r>
      <w:r>
        <w:rPr>
          <w:rFonts w:ascii="Times New Roman;Times;Serif" w:hAnsi="Times New Roman;Times;Serif"/>
          <w:b w:val="false"/>
          <w:i w:val="false"/>
          <w:caps w:val="false"/>
          <w:smallCaps w:val="false"/>
          <w:sz w:val="20"/>
        </w:rPr>
        <w:t xml:space="preserve"> are satisfied or the other transactions contemplated by this Agreement are consummated, except to the extent such Claim or Loss is found in a final, non-appealable judgment by a court of competent jurisdiction to have resulted from such Indemnified Party’s gross negligence or willful misconduct.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Loans. The Borrower, its Subsidiaries and Affiliates and their respective directors, officers, employees, attorneys, agents, advisors and controlling parties are each sometimes referred to in this Agreement as a “</w:t>
      </w:r>
      <w:r>
        <w:rPr>
          <w:rFonts w:ascii="Times New Roman;Times;Serif" w:hAnsi="Times New Roman;Times;Serif"/>
          <w:b/>
          <w:i/>
          <w:caps w:val="false"/>
          <w:smallCaps w:val="false"/>
          <w:sz w:val="20"/>
        </w:rPr>
        <w:t>Borrower Party</w:t>
      </w:r>
      <w:r>
        <w:rPr>
          <w:rFonts w:ascii="Times New Roman;Times;Serif" w:hAnsi="Times New Roman;Times;Serif"/>
          <w:b w:val="false"/>
          <w:i w:val="false"/>
          <w:caps w:val="false"/>
          <w:smallCaps w:val="false"/>
          <w:sz w:val="20"/>
        </w:rPr>
        <w:t xml:space="preserve">”. No Lender shall assert any claim against any Borrower Party, on any theory of liability, for consequential, indirect, special or punitive damages arising out of or otherwise relating to this Agreement or any of the other Loan Documents or any of the Transactions or the actual or proposed use of the proceeds of the Loans. This Section shall not apply to Taxes other than Taxes relating to a non-Tax Claim or Loss governed by this </w:t>
      </w:r>
      <w:r>
        <w:rPr>
          <w:rFonts w:ascii="Times New Roman;Times;Serif" w:hAnsi="Times New Roman;Times;Serif"/>
          <w:b/>
          <w:i w:val="false"/>
          <w:caps w:val="false"/>
          <w:smallCaps w:val="false"/>
          <w:sz w:val="20"/>
        </w:rPr>
        <w:t>Section 14.03(b)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Amendments, Etc.</w:t>
      </w:r>
      <w:r>
        <w:rPr>
          <w:rFonts w:ascii="Times New Roman;Times;Serif" w:hAnsi="Times New Roman;Times;Serif"/>
          <w:b w:val="false"/>
          <w:i w:val="false"/>
          <w:caps w:val="false"/>
          <w:smallCaps w:val="false"/>
          <w:sz w:val="20"/>
        </w:rPr>
        <w:t xml:space="preserve"> Except as otherwise expressly provided in this Agreement, any provision of this Agreement and any other Loan Document (except for the Company Warrants or the 701 Warrants, which may be amended, waived or supplemented in accordance with the terms thereof) may be modified or supplemented only by an instrument in writing signed by the Borrower, the Administrative Agent and the Majority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such modification or supplement that is disproportionately adverse to any Lender as compared to other Lenders or subjects any Lender to any additional obligation shall not be effective without the consent of such affected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consent of all of the Lenders shall be required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modify, discharge, terminate or waive any of the terms of this Agreement or any other Loan Agreement (including by modifying any defined term used therein or any provision referenced therein) if such amendment, modification, discharge, termination or waiver would increase the amount of the Loans or Commitment, reduce the fees payable hereunder, reduce interest rates or other amounts payable with respect to the Loans, extend any date fixed for payment of principal (it being understood that the waiver of any prepayment of Loans shall not constitute an extension of any date fixed for payment of principal), interest or other amounts payable relating to the Loans, extend the repayment dates of the Loans, modify the Commitments, modify the definition of “Proportionate Share” or extend the Commitment Termination Date</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strike/>
          <w:color w:val="FF0000"/>
          <w:sz w:val="20"/>
        </w:rPr>
        <w:t>, for the avoidance of doubt, that any waiver or amendment relating to an Event of Default or Default arising out of a breach or prospective breach of the Minimum Revenue Covenant shall only require the consent of the Majority Lenders;</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amend, modify, discharge, terminate or waive any Security Document or Guarantee if the effect is to release all or substantially all of the Collateral, or to release all or substantially all of the value of the Guarantee, subject thereto other than pursuant to the terms hereof or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amend this </w:t>
      </w:r>
      <w:r>
        <w:rPr>
          <w:rFonts w:ascii="Times New Roman;Times;Serif" w:hAnsi="Times New Roman;Times;Serif"/>
          <w:b/>
          <w:i w:val="false"/>
          <w:caps w:val="false"/>
          <w:smallCaps w:val="false"/>
          <w:sz w:val="20"/>
        </w:rPr>
        <w:t>Section 14.04</w:t>
      </w:r>
      <w:r>
        <w:rPr>
          <w:rFonts w:ascii="Times New Roman;Times;Serif" w:hAnsi="Times New Roman;Times;Serif"/>
          <w:b w:val="false"/>
          <w:i w:val="false"/>
          <w:caps w:val="false"/>
          <w:smallCaps w:val="false"/>
          <w:sz w:val="20"/>
        </w:rPr>
        <w:t xml:space="preserve"> or the definition of “Majority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xml:space="preserve">. The provisions of this Agreement and the other Loan Documents shall be binding upon and inure to the benefit of the parties hereto or thereto and their respective successors and assigns permitted hereby or thereby, except that no Obligor may assign or otherwise transfer any of its rights or obligations hereunder (except in connection with an event permitted under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 xml:space="preserve">) without the prior written consent of each Lender. Any Lender may assign or otherwise transfer any of its rights or obligations hereunder or under any of the other Loan Documents (i) to an assignee in accordance with the provisions of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(ii) by way of participation in accordance with the provisions of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 xml:space="preserve">, or (iii) by way of pledge or assignment of a security interest subject to the restrictions of </w:t>
      </w:r>
      <w:r>
        <w:rPr>
          <w:rFonts w:ascii="Times New Roman;Times;Serif" w:hAnsi="Times New Roman;Times;Serif"/>
          <w:b/>
          <w:i w:val="false"/>
          <w:caps w:val="false"/>
          <w:smallCaps w:val="false"/>
          <w:sz w:val="20"/>
        </w:rPr>
        <w:t>Section 14.05(f)</w:t>
      </w:r>
      <w:r>
        <w:rPr>
          <w:rFonts w:ascii="Times New Roman;Times;Serif" w:hAnsi="Times New Roman;Times;Serif"/>
          <w:b w:val="false"/>
          <w:i w:val="false"/>
          <w:caps w:val="false"/>
          <w:smallCaps w:val="false"/>
          <w:sz w:val="20"/>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 and, to the extent expressly contemplated hereby, the Related Parties of each of the Administrative Agent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Assignments by Lender</w:t>
      </w:r>
      <w:r>
        <w:rPr>
          <w:rFonts w:ascii="Times New Roman;Times;Serif" w:hAnsi="Times New Roman;Times;Serif"/>
          <w:b w:val="false"/>
          <w:i w:val="false"/>
          <w:caps w:val="false"/>
          <w:smallCaps w:val="false"/>
          <w:sz w:val="20"/>
        </w:rPr>
        <w:t xml:space="preserve">. Any Lender may at any time assign to one or more Eligible Transferees (or, if an Event of Default has occurred and is continuing, to any Person) all or a portion of its rights and obligations under this Agreement (including all or a portion of the Loans at the time owing to it) and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such assignment shall be made to any Obligor, any Affiliate of any Obligor, any employees or directors of any Obligor at any time and (ii) no such assignment shall be made without the prior written consent of the Administrative Agent, not to be unreasonably withheld, conditioned or delayed. The consent of the Borrower (such consent not to be unreasonably withheld, conditioned or delayed) shall be required unless (x) a Default or Event of Default has occurred and is continuing at the time of such assignment or (y) such assignment is to an Eligible Transferee;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be deemed to have consented to any such assignment unless it shall object thereto by written notice to the Administrative Agent within five (5) Business Days after having received written notice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the consent of the Borrower shall not be required for any assignment to (x) Oaktree Capital Management, L.P. or any of its managed funds or accounts or (y) any Affiliate of the foregoing. Subject to the recording thereof by the Administrative Agent pursuant to </w:t>
      </w:r>
      <w:r>
        <w:rPr>
          <w:rFonts w:ascii="Times New Roman;Times;Serif" w:hAnsi="Times New Roman;Times;Serif"/>
          <w:b/>
          <w:i w:val="false"/>
          <w:caps w:val="false"/>
          <w:smallCaps w:val="false"/>
          <w:sz w:val="20"/>
        </w:rPr>
        <w:t>Section 14.05(d)</w:t>
      </w:r>
      <w:r>
        <w:rPr>
          <w:rFonts w:ascii="Times New Roman;Times;Serif" w:hAnsi="Times New Roman;Times;Serif"/>
          <w:b w:val="false"/>
          <w:i w:val="false"/>
          <w:caps w:val="false"/>
          <w:smallCaps w:val="false"/>
          <w:sz w:val="20"/>
        </w:rPr>
        <w:t xml:space="preserve">, and to receipt by the Administrative Agent of a processing and recordation fee in the amount of $3,500 (provided that the Administrative Agent may, in its sole discretion, elect to waive such processing and recordation fee in the case of any assignment) from and after the date such Assignment and Assumption is recorded in the Register, the assignee thereunder shall be a party to this Agreement and, to the extent of the interest assigned by such Assignment and Assumption, have the rights and obligations of the Lender under this Agreement and the other Loan Documents, and correspondingly the assigning Lender shall, to the extent of the interest assigned by such Assignment and Assumption, be released from its obligations under this Agreement (and, in the case of an Assignment and Assumption covering all of the Lender’s rights and obligations under this Agreement, such Lender shall cease to be a party hereto) and the other Loan Documents but shall continue to be entitled to the benefits of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xml:space="preserve">. Any assignment or transfer by the Lender of rights or obligations under this Agreement that does not comply with this </w:t>
      </w:r>
      <w:r>
        <w:rPr>
          <w:rFonts w:ascii="Times New Roman;Times;Serif" w:hAnsi="Times New Roman;Times;Serif"/>
          <w:b/>
          <w:i w:val="false"/>
          <w:caps w:val="false"/>
          <w:smallCaps w:val="false"/>
          <w:sz w:val="20"/>
        </w:rPr>
        <w:t>Section 14.05(b) </w:t>
      </w:r>
      <w:r>
        <w:rPr>
          <w:rFonts w:ascii="Times New Roman;Times;Serif" w:hAnsi="Times New Roman;Times;Serif"/>
          <w:b w:val="false"/>
          <w:i w:val="false"/>
          <w:caps w:val="false"/>
          <w:smallCaps w:val="false"/>
          <w:sz w:val="20"/>
        </w:rPr>
        <w:t xml:space="preserve">shall be treated for purposes of this Agreement as a sale by such Lender of a participation in such rights and obligations in accordance with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Amendments to Loan Documents</w:t>
      </w:r>
      <w:r>
        <w:rPr>
          <w:rFonts w:ascii="Times New Roman;Times;Serif" w:hAnsi="Times New Roman;Times;Serif"/>
          <w:b w:val="false"/>
          <w:i w:val="false"/>
          <w:caps w:val="false"/>
          <w:smallCaps w:val="false"/>
          <w:sz w:val="20"/>
        </w:rPr>
        <w:t xml:space="preserve">. Each of the Administrative Agent, the Lenders and the Obligors agrees to enter into such amendments to the Loan Documents, and such additional Security Documents and other instruments and agreements, in each case in form and substance reasonably acceptable to the Administrative Agent, the Lenders and the Obligors, as shall reasonably be necessary to implement and give effect to any assignment made under this </w:t>
      </w:r>
      <w:r>
        <w:rPr>
          <w:rFonts w:ascii="Times New Roman;Times;Serif" w:hAnsi="Times New Roman;Times;Serif"/>
          <w:b/>
          <w:i w:val="false"/>
          <w:caps w:val="false"/>
          <w:smallCaps w:val="false"/>
          <w:sz w:val="20"/>
        </w:rPr>
        <w:t>Section 14.05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The Administrative Agent, acting solely for this purpose as a non-fiduciary agent of the Borrower, shall maintain at one of its offices in the United States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written notice. Notwithstanding anything to the contrary, any assignment of any Loan shall be effective only upon appropriate entries with respect thereto being made in the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Participations</w:t>
      </w:r>
      <w:r>
        <w:rPr>
          <w:rFonts w:ascii="Times New Roman;Times;Serif" w:hAnsi="Times New Roman;Times;Serif"/>
          <w:b w:val="false"/>
          <w:i w:val="false"/>
          <w:caps w:val="false"/>
          <w:smallCaps w:val="false"/>
          <w:sz w:val="20"/>
        </w:rPr>
        <w:t>. Any Lender may at any time, without the consent of, or notice to, the Borrower, sell participations to any Eligible Transferee (other than a natural person or any Obligor or any of its Affiliates or Subsidiaries) (each, a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in all or a portion of the Lender’s rights and/or obligations under this Agreement (including all or a portion of the Commitment and/or the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Lender’s obligations under this Agreement shall remain unchanged, (ii) such Lender shall remain solely responsible to the other parties hereto for the performance of such obligations and (iii) the Borrower shall continue to deal solely and directly with such Lender in connection therewith. Any agreement or instrument pursuant to which any Lender sells such a participation shall provide that such Lender shall retain the sole right to enforce the Loan Documents and to approve any amendment, modification or waiver of any provision of the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that would (i) increase or extend the term of such Lender’s Commitment, (ii) extend the date fixed for the payment of principal of or interest on the Loans or any portion of any fee hereunder payable to the Participant, (iii) reduce the amount of any such payment of principal, or (iv) reduce the rate at which interest is payable thereon to a level below the rate at which the Participant is entitled to receive such interest. Subject to </w:t>
      </w:r>
      <w:r>
        <w:rPr>
          <w:rFonts w:ascii="Times New Roman;Times;Serif" w:hAnsi="Times New Roman;Times;Serif"/>
          <w:b/>
          <w:i w:val="false"/>
          <w:caps w:val="false"/>
          <w:smallCaps w:val="false"/>
          <w:sz w:val="20"/>
        </w:rPr>
        <w:t>Section 14.05(f)</w:t>
      </w:r>
      <w:r>
        <w:rPr>
          <w:rFonts w:ascii="Times New Roman;Times;Serif" w:hAnsi="Times New Roman;Times;Serif"/>
          <w:b w:val="false"/>
          <w:i w:val="false"/>
          <w:caps w:val="false"/>
          <w:smallCaps w:val="false"/>
          <w:sz w:val="20"/>
        </w:rPr>
        <w:t xml:space="preserve">, the Borrower agrees that each Participant shall be entitled to the benefits of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xml:space="preserve"> (subject to the requirements and limitations therein, including the requirements under </w:t>
      </w:r>
      <w:r>
        <w:rPr>
          <w:rFonts w:ascii="Times New Roman;Times;Serif" w:hAnsi="Times New Roman;Times;Serif"/>
          <w:b/>
          <w:i w:val="false"/>
          <w:caps w:val="false"/>
          <w:smallCaps w:val="false"/>
          <w:sz w:val="20"/>
        </w:rPr>
        <w:t>Section 5.03(f) </w:t>
      </w:r>
      <w:r>
        <w:rPr>
          <w:rFonts w:ascii="Times New Roman;Times;Serif" w:hAnsi="Times New Roman;Times;Serif"/>
          <w:b w:val="false"/>
          <w:i w:val="false"/>
          <w:caps w:val="false"/>
          <w:smallCaps w:val="false"/>
          <w:sz w:val="20"/>
        </w:rPr>
        <w:t xml:space="preserve">(it being understood that the documentation required under </w:t>
      </w:r>
      <w:r>
        <w:rPr>
          <w:rFonts w:ascii="Times New Roman;Times;Serif" w:hAnsi="Times New Roman;Times;Serif"/>
          <w:b/>
          <w:i w:val="false"/>
          <w:caps w:val="false"/>
          <w:smallCaps w:val="false"/>
          <w:sz w:val="20"/>
        </w:rPr>
        <w:t>Section 5.03(f) </w:t>
      </w:r>
      <w:r>
        <w:rPr>
          <w:rFonts w:ascii="Times New Roman;Times;Serif" w:hAnsi="Times New Roman;Times;Serif"/>
          <w:b w:val="false"/>
          <w:i w:val="false"/>
          <w:caps w:val="false"/>
          <w:smallCaps w:val="false"/>
          <w:sz w:val="20"/>
        </w:rPr>
        <w:t xml:space="preserve">shall be delivered to the participating Lender)) to the same extent as if it were a Lender and had acquired its interest by assignment pursuant to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such Participant (i) agrees to be subject to the provisions of </w:t>
      </w:r>
      <w:r>
        <w:rPr>
          <w:rFonts w:ascii="Times New Roman;Times;Serif" w:hAnsi="Times New Roman;Times;Serif"/>
          <w:b/>
          <w:i w:val="false"/>
          <w:caps w:val="false"/>
          <w:smallCaps w:val="false"/>
          <w:sz w:val="20"/>
        </w:rPr>
        <w:t>Section 5.04</w:t>
      </w:r>
      <w:r>
        <w:rPr>
          <w:rFonts w:ascii="Times New Roman;Times;Serif" w:hAnsi="Times New Roman;Times;Serif"/>
          <w:b w:val="false"/>
          <w:i w:val="false"/>
          <w:caps w:val="false"/>
          <w:smallCaps w:val="false"/>
          <w:sz w:val="20"/>
        </w:rPr>
        <w:t xml:space="preserve"> as if it were an assignee under </w:t>
      </w:r>
      <w:r>
        <w:rPr>
          <w:rFonts w:ascii="Times New Roman;Times;Serif" w:hAnsi="Times New Roman;Times;Serif"/>
          <w:b/>
          <w:i w:val="false"/>
          <w:caps w:val="false"/>
          <w:smallCaps w:val="false"/>
          <w:sz w:val="20"/>
        </w:rPr>
        <w:t>Section 14.05(b) </w:t>
      </w:r>
      <w:r>
        <w:rPr>
          <w:rFonts w:ascii="Times New Roman;Times;Serif" w:hAnsi="Times New Roman;Times;Serif"/>
          <w:b w:val="false"/>
          <w:i w:val="false"/>
          <w:caps w:val="false"/>
          <w:smallCaps w:val="false"/>
          <w:sz w:val="20"/>
        </w:rPr>
        <w:t xml:space="preserve">and (ii) shall not be entitled to receive any greater payment under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or the sale of the participation to such Participant is made with the Borrower’s prior written consent. To the extent permitted by Law, each Participant also shall be entitled to the benefits of </w:t>
      </w:r>
      <w:r>
        <w:rPr>
          <w:rFonts w:ascii="Times New Roman;Times;Serif" w:hAnsi="Times New Roman;Times;Serif"/>
          <w:b/>
          <w:i w:val="false"/>
          <w:caps w:val="false"/>
          <w:smallCaps w:val="false"/>
          <w:sz w:val="20"/>
        </w:rPr>
        <w:t>Section 4.03(a) </w:t>
      </w:r>
      <w:r>
        <w:rPr>
          <w:rFonts w:ascii="Times New Roman;Times;Serif" w:hAnsi="Times New Roman;Times;Serif"/>
          <w:b w:val="false"/>
          <w:i w:val="false"/>
          <w:caps w:val="false"/>
          <w:smallCaps w:val="false"/>
          <w:sz w:val="20"/>
        </w:rPr>
        <w:t>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Certain Pledges</w:t>
      </w:r>
      <w:r>
        <w:rPr>
          <w:rFonts w:ascii="Times New Roman;Times;Serif" w:hAnsi="Times New Roman;Times;Serif"/>
          <w:b w:val="false"/>
          <w:i w:val="false"/>
          <w:caps w:val="false"/>
          <w:smallCaps w:val="false"/>
          <w:sz w:val="20"/>
        </w:rPr>
        <w:t xml:space="preserve">. Any Lender may at any time pledge or assign a security interest in all or any portion of its rights under the Loan Documents to secure obligations of such Lender, including any pledge or assignment to secure obligations to a Federal Reserve Bank;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no such pledge or assignment shall release such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Survival</w:t>
      </w:r>
      <w:r>
        <w:rPr>
          <w:rFonts w:ascii="Times New Roman;Times;Serif" w:hAnsi="Times New Roman;Times;Serif"/>
          <w:b w:val="false"/>
          <w:i w:val="false"/>
          <w:caps w:val="false"/>
          <w:smallCaps w:val="false"/>
          <w:sz w:val="20"/>
        </w:rPr>
        <w:t xml:space="preserve">. The obligations of the Borrower under </w:t>
      </w:r>
      <w:r>
        <w:rPr>
          <w:rFonts w:ascii="Times New Roman;Times;Serif" w:hAnsi="Times New Roman;Times;Serif"/>
          <w:b/>
          <w:i w:val="false"/>
          <w:caps w:val="false"/>
          <w:smallCaps w:val="false"/>
          <w:sz w:val="20"/>
        </w:rPr>
        <w:t>Sections 5.01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14.14</w:t>
      </w:r>
      <w:r>
        <w:rPr>
          <w:rFonts w:ascii="Times New Roman;Times;Serif" w:hAnsi="Times New Roman;Times;Serif"/>
          <w:b w:val="false"/>
          <w:i w:val="false"/>
          <w:caps w:val="false"/>
          <w:smallCaps w:val="false"/>
          <w:sz w:val="20"/>
        </w:rPr>
        <w:t xml:space="preserve"> and the obligations of the Subsidiary Guarantors under </w:t>
      </w:r>
      <w:r>
        <w:rPr>
          <w:rFonts w:ascii="Times New Roman;Times;Serif" w:hAnsi="Times New Roman;Times;Serif"/>
          <w:b/>
          <w:i w:val="false"/>
          <w:caps w:val="false"/>
          <w:smallCaps w:val="false"/>
          <w:sz w:val="20"/>
        </w:rPr>
        <w:t xml:space="preserve">Section 13 </w:t>
      </w:r>
      <w:r>
        <w:rPr>
          <w:rFonts w:ascii="Times New Roman;Times;Serif" w:hAnsi="Times New Roman;Times;Serif"/>
          <w:b w:val="false"/>
          <w:i w:val="false"/>
          <w:caps w:val="false"/>
          <w:smallCaps w:val="false"/>
          <w:sz w:val="20"/>
        </w:rPr>
        <w:t>(solely to the extent guaranteeing any of the obligations under the foregoing Sections) shall survive the repayment of the Obligations and the termination of the Commitments and, in the case of the Lenders’ assignment of any interest in the Commitments or the Loans hereunder, shall survive, in the case of any event or circumstance that occurred prior to the effective date of such assignment, the making of such assignment, notwithstanding that the Lenders may cease to be “Lenders” hereunder. In addition, each representation and warranty made, or deemed to be made by a Borrowing Notice, herein or pursuant hereto shall survive the making of such representation and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Captions</w:t>
      </w:r>
      <w:r>
        <w:rPr>
          <w:rFonts w:ascii="Times New Roman;Times;Serif" w:hAnsi="Times New Roman;Times;Serif"/>
          <w:b w:val="false"/>
          <w:i w:val="false"/>
          <w:caps w:val="false"/>
          <w:smallCaps w:val="false"/>
          <w:sz w:val="20"/>
        </w:rPr>
        <w:t>. The table of contents and captions and section headings appearing herein are included solely for convenience of reference and are not intended to affect the interpretation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Counterparts, Effectiveness</w:t>
      </w:r>
      <w:r>
        <w:rPr>
          <w:rFonts w:ascii="Times New Roman;Times;Serif" w:hAnsi="Times New Roman;Times;Serif"/>
          <w:b w:val="false"/>
          <w:i w:val="false"/>
          <w:caps w:val="false"/>
          <w:smallCaps w:val="false"/>
          <w:sz w:val="20"/>
        </w:rPr>
        <w:t>. This Agreement may be executed in any number of counterparts, all of which taken together shall constitute one and the same instrument and any of the parties hereto may execute this Agreement by signing any such counterpart. Delivery of an executed signature page of this Agreement by facsimile transmission or electronic transmission (in PDF format) shall be effective as delivery of a manually executed counterpart hereof. This Agreement shall become effective when counterparts hereof executed on behalf of the Obligors, the Administrative Agent and the Lender shall have been received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Agreement and the rights and obligations of the parties hereunder shall be governed by, and construed in accordance with,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Jurisdiction, Service of Process and 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Submission to Jurisdiction</w:t>
      </w:r>
      <w:r>
        <w:rPr>
          <w:rFonts w:ascii="Times New Roman;Times;Serif" w:hAnsi="Times New Roman;Times;Serif"/>
          <w:b w:val="false"/>
          <w:i w:val="false"/>
          <w:caps w:val="false"/>
          <w:smallCaps w:val="false"/>
          <w:sz w:val="20"/>
        </w:rPr>
        <w:t>. Each party hereby irrevocably and unconditionally agrees that it will not commence any action, litigation or proceeding of any kind or description, whether in law or equity, whether in contract or tort or otherwise, against such other party in any way relating to this Agreement or any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Waiver of Venue, Etc</w:t>
      </w:r>
      <w:r>
        <w:rPr>
          <w:rFonts w:ascii="Times New Roman;Times;Serif" w:hAnsi="Times New Roman;Times;Serif"/>
          <w:b w:val="false"/>
          <w:i w:val="false"/>
          <w:caps w:val="false"/>
          <w:smallCaps w:val="false"/>
          <w:sz w:val="20"/>
        </w:rPr>
        <w:t>. Each party hereto irrevocably waives to the fullest extent 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party is or may be subject, by suit upon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Waiver of Jury Trial</w:t>
      </w:r>
      <w:r>
        <w:rPr>
          <w:rFonts w:ascii="Times New Roman;Times;Serif" w:hAnsi="Times New Roman;Times;Serif"/>
          <w:b w:val="false"/>
          <w:i w:val="false"/>
          <w:caps w:val="false"/>
          <w:smallCaps w:val="false"/>
          <w:sz w:val="20"/>
        </w:rPr>
        <w:t>. EACH PARTY HERETO HEREBY IRREVOCABLY WAIVES, TO THE FULLEST EXTENT PERMITTED BY APPLICABLE LAW, ANY AND ALL RIGHT TO TRIAL BY JURY IN ANY SUIT, ACTION OR PROCEEDING ARISING OUT OF OR RELATING TO THIS AGREEMENT, THE OTHER LOAN DOCUMENTS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Waiver of Immunity</w:t>
      </w:r>
      <w:r>
        <w:rPr>
          <w:rFonts w:ascii="Times New Roman;Times;Serif" w:hAnsi="Times New Roman;Times;Serif"/>
          <w:b w:val="false"/>
          <w:i w:val="false"/>
          <w:caps w:val="false"/>
          <w:smallCaps w:val="false"/>
          <w:sz w:val="20"/>
        </w:rPr>
        <w:t>. To the extent that any Obligor may be or become entitled 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and the other Loan Documents constitute the entire agreement among the parties with respect to the subject matter hereof and thereof and supersede any and all previous agreements and understandings, oral or written, relating to the subject matter hereof, including any confidentiality (or similar) agreements.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ADMINISTRATIVE AGENT OR THE LENDERS OTHER THAN THOSE EXPRESSLY SET FORTH IN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If any provision hereof is found by a court to be invalid or unenforceable, to the fullest extent permitted by any Law the parties agree that such invalidity or unenforceability shall not impair the validity or enforceability of any other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 Fiduciary Relationship</w:t>
      </w:r>
      <w:r>
        <w:rPr>
          <w:rFonts w:ascii="Times New Roman;Times;Serif" w:hAnsi="Times New Roman;Times;Serif"/>
          <w:b w:val="false"/>
          <w:i w:val="false"/>
          <w:caps w:val="false"/>
          <w:smallCaps w:val="false"/>
          <w:sz w:val="20"/>
        </w:rPr>
        <w:t>. The Borrower acknowledges that the Administrative Agent and the Lenders have no fiduciary relationship with, or fiduciary duty to, the Borrower arising out of or in connection with this Agreement or the other Loan Documents, and the relationship between the Lenders and the Borrower is solely that of creditor and debtor. This Agreement and the other Loan Documents do not create a joint venture among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Administrative Agent and each Lender agree to keep confidential all non-public information provided to them by any Obligor pursuant to this Agreement that is designated by such Obligor as confidential in accordance with its customary procedures for handling its own confidential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prevent the Administrative Agent or any Lender from disclosing any such information (i) to the Administrative Agent, any other Lender or any Affiliate of a Lender, (ii) subject to an agreement to comply with the provisions of this Section, to any Eligible Transferee or assignee permitted under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and any actual or prospective direct or indirect counterparty to any Hedging Agreement (or any professional advisor to such counterparty), (iii) to its employees, officers, directors, agents, attorneys, accountants, trustees and other professional advisors or those of any of its affiliates (collectively, its “</w:t>
      </w:r>
      <w:r>
        <w:rPr>
          <w:rFonts w:ascii="Times New Roman;Times;Serif" w:hAnsi="Times New Roman;Times;Serif"/>
          <w:b/>
          <w:i/>
          <w:caps w:val="false"/>
          <w:smallCaps w:val="false"/>
          <w:sz w:val="20"/>
        </w:rPr>
        <w:t>Related Parties</w:t>
      </w:r>
      <w:r>
        <w:rPr>
          <w:rFonts w:ascii="Times New Roman;Times;Serif" w:hAnsi="Times New Roman;Times;Serif"/>
          <w:b w:val="false"/>
          <w:i w:val="false"/>
          <w:caps w:val="false"/>
          <w:smallCaps w:val="false"/>
          <w:sz w:val="20"/>
        </w:rPr>
        <w:t xml:space="preserve">”), in each case on a need-to-know basis, (iv) upon the requirement or demand of any Governmental Authority or any Regulatory Authority purporting to have jurisdiction over such Person or its Related Parties (including any self-regulatory authority, such as the National Association of Insurance Commissioners), (v) in response to any order of any court or other Governmental Authority or as may otherwise be required pursuant to any Law, (vi) if required to do so in connection with any litigation or similar proceeding, (vii) that has been publicly disclosed (other than as a result of a disclosure in violation of this </w:t>
      </w:r>
      <w:r>
        <w:rPr>
          <w:rFonts w:ascii="Times New Roman;Times;Serif" w:hAnsi="Times New Roman;Times;Serif"/>
          <w:b/>
          <w:i w:val="false"/>
          <w:caps w:val="false"/>
          <w:smallCaps w:val="false"/>
          <w:sz w:val="20"/>
        </w:rPr>
        <w:t>Section 14.16</w:t>
      </w:r>
      <w:r>
        <w:rPr>
          <w:rFonts w:ascii="Times New Roman;Times;Serif" w:hAnsi="Times New Roman;Times;Serif"/>
          <w:b w:val="false"/>
          <w:i w:val="false"/>
          <w:caps w:val="false"/>
          <w:smallCaps w:val="false"/>
          <w:sz w:val="20"/>
        </w:rPr>
        <w:t xml:space="preserve">), (viii) to the National Association of Insurance Commissioners or any similar organization or any nationally recognized rating agency that requires access to information about a Lender’s investment portfolio in connection with ratings issued with respect to such Lender, (ix) to the extent necessary in connection with the exercise of any remedy hereunder or under any other Loan Document, (x) on a confidential basis to (A) any rating agency in connection with rating the Borrower or its Subsidiaries or the Loans or (B) the CUSIP Service Bureau or any similar agency in connection with the issuance and monitoring of CUSIP numbers of other market identifiers with respect to the Loans or (xi) to any other party 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disclosure pursuant to </w:t>
      </w:r>
      <w:r>
        <w:rPr>
          <w:rFonts w:ascii="Times New Roman;Times;Serif" w:hAnsi="Times New Roman;Times;Serif"/>
          <w:b/>
          <w:i w:val="false"/>
          <w:caps w:val="false"/>
          <w:smallCaps w:val="false"/>
          <w:sz w:val="20"/>
        </w:rPr>
        <w:t>clause (iv), (v)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above, the Administrative Agent or applicable Lender, as applicable, shall promptly provide notice to the Borrower to the extent reasonable and not prohibited by Law or any applicable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 provision of this Agreement otherwise requiring any QIA Lender to provide any information or documents to any Loan Party or any third party, such QIA Lender shall be entitled to withhold, edit, redact and/or otherwise limit disclosure of any such information or documents on the grounds of national security and/or financial or economic sensitivity and such QIA Lender shall have no liability whatsoever and shall be free and harmless from any claims whatsoever for exercising its rights pursuant to this </w:t>
      </w:r>
      <w:r>
        <w:rPr>
          <w:rFonts w:ascii="Times New Roman;Times;Serif" w:hAnsi="Times New Roman;Times;Serif"/>
          <w:b/>
          <w:i w:val="false"/>
          <w:caps w:val="false"/>
          <w:smallCaps w:val="false"/>
          <w:sz w:val="20"/>
        </w:rPr>
        <w:t>Section 14.16(b)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together with all fees, charges and other amounts that are treated as interest on such Loan under applicable Law (collectively, “</w:t>
      </w:r>
      <w:r>
        <w:rPr>
          <w:rFonts w:ascii="Times New Roman;Times;Serif" w:hAnsi="Times New Roman;Times;Serif"/>
          <w:b/>
          <w:i/>
          <w:caps w:val="false"/>
          <w:smallCaps w:val="false"/>
          <w:sz w:val="20"/>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i/>
          <w:caps w:val="false"/>
          <w:smallCaps w:val="false"/>
          <w:sz w:val="20"/>
        </w:rPr>
        <w:t>Maximum Rate</w:t>
      </w:r>
      <w:r>
        <w:rPr>
          <w:rFonts w:ascii="Times New Roman;Times;Serif" w:hAnsi="Times New Roman;Times;Serif"/>
          <w:b w:val="false"/>
          <w:i w:val="false"/>
          <w:caps w:val="false"/>
          <w:smallCaps w:val="false"/>
          <w:sz w:val="20"/>
        </w:rPr>
        <w:t>”) that may be contracted for, charged, taken, received or reserved by the Administrative Agent and the Lender holding such Loan in accordance with applicable Law, the rate of interest payable in respect of such Loan hereunder, together with all charges payable in respect thereof, shall be limited to the Maximum Rate. To the extent lawful, the interest and charges that would have been paid in respect of such Loan but were not paid as a result of the operation of this Section shall be cumulated and the interest and charges payable to such Lender in respect of other Loans or periods shall be increased (but not above the amount collectible at the Maximum Rate therefor) until such cumulated amount, together with interest thereon at the Federal Funds Effective Rate for each day to the date of repayment, shall have been received by such Lender. Any amount collected by such Lender that exceeds the maximum amount collectible at the Maximum Rate shall be applied to the reduction of the principal balance of such Loan so that at no time shall the interest and charges paid or payable in respect of such Loan exceed the maximum amount collectible at the Maximum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for the purposes of obtaining judgment in any court, it is necessary to convert a sum due hereunder in Dollars into another currency, the parties hereto agree, to the fullest extent permitted by Law, that the rate of exchange used shall be that at which, in accordance with normal banking procedures, the Administrative Agent could purchase Dollars with such other currency at the buying spot rate of exchange in the New York foreign exchange market on the Business Day immediately preceding that on which any such judgment, or any relevant part thereof,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Obligors in respect of any sum due to the Administrative Agent hereunder and under the other Loan Documents shall, notwithstanding any judgment in a currency other than Dollars, be discharged only to the extent that on the Business Day following receipt by the Administrative Agent of any sum adjudged to be so due in such other currency the Administrative Agent may, in accordance with normal banking procedures, purchase Dollars with such other currency. If the amount of Dollars so purchased is less than the sum originally due to the Administrative Agent in Dollars, the Borrower agrees, to the fullest extent that it may effectively do so, as a separate obligation and notwithstanding any such judgment, to indemnify the Administrative Agent against such loss. If the amount of Dollars so purchased exceeds the sum originally due to the Administrative Agent in Dollars, the Administrative Agent shall remit such excess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USA PATRIOT Act</w:t>
      </w:r>
      <w:r>
        <w:rPr>
          <w:rFonts w:ascii="Times New Roman;Times;Serif" w:hAnsi="Times New Roman;Times;Serif"/>
          <w:b w:val="false"/>
          <w:i w:val="false"/>
          <w:caps w:val="false"/>
          <w:smallCaps w:val="false"/>
          <w:sz w:val="20"/>
        </w:rPr>
        <w:t>. The Administrative Agent and the Lenders hereby notify the Obligors that pursuant to the requirements of the USA PATRIOT Act (Title III of Pub. L. 107-56 (signed into law October 26, 2001)) (the “</w:t>
      </w:r>
      <w:r>
        <w:rPr>
          <w:rFonts w:ascii="Times New Roman;Times;Serif" w:hAnsi="Times New Roman;Times;Serif"/>
          <w:b/>
          <w:i/>
          <w:caps w:val="false"/>
          <w:smallCaps w:val="false"/>
          <w:sz w:val="20"/>
        </w:rPr>
        <w:t>Patriot Act</w:t>
      </w:r>
      <w:r>
        <w:rPr>
          <w:rFonts w:ascii="Times New Roman;Times;Serif" w:hAnsi="Times New Roman;Times;Serif"/>
          <w:b w:val="false"/>
          <w:i w:val="false"/>
          <w:caps w:val="false"/>
          <w:smallCaps w:val="false"/>
          <w:sz w:val="20"/>
        </w:rPr>
        <w:t>”), they are required to obtain, verify and record information that identifies the Obligors, which information includes the name and address of each Obligor and other information that will allow such Person to identify such Obligor in accordance with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14.20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100724</Words>
  <Characters>540228</Characters>
  <CharactersWithSpaces>648931</CharactersWithSpaces>
  <Paragraphs>5841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