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34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001-38410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BioXcel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82-1386754</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2"/>
              </w:rPr>
              <w:t>780 E Main Street</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6"/>
              </w:rPr>
              <w:t>Branford, CT</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06405</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(203) 643-8060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63" w:lineRule="exact"/>
        <w:rPr>
          <w:sz w:val="24"/>
          <w:szCs w:val="24"/>
          <w:color w:val="auto"/>
        </w:rPr>
      </w:pPr>
    </w:p>
    <w:tbl>
      <w:tblPr>
        <w:tblLayout w:type="fixed"/>
        <w:tblInd w:w="1200" w:type="dxa"/>
        <w:tblCellMar>
          <w:top w:w="0" w:type="dxa"/>
          <w:left w:w="0" w:type="dxa"/>
          <w:bottom w:w="0" w:type="dxa"/>
          <w:right w:w="0" w:type="dxa"/>
        </w:tblCellMar>
      </w:tblPr>
      <w:tr>
        <w:trPr>
          <w:trHeight w:val="230"/>
        </w:trPr>
        <w:tc>
          <w:tcPr>
            <w:tcW w:w="4800" w:type="dxa"/>
            <w:vAlign w:val="bottom"/>
          </w:tcPr>
          <w:p>
            <w:pPr>
              <w:jc w:val="center"/>
              <w:ind w:right="1490"/>
              <w:spacing w:after="0"/>
              <w:rPr>
                <w:sz w:val="20"/>
                <w:szCs w:val="20"/>
                <w:color w:val="auto"/>
              </w:rPr>
            </w:pPr>
            <w:r>
              <w:rPr>
                <w:rFonts w:ascii="Arial" w:cs="Arial" w:eastAsia="Arial" w:hAnsi="Arial"/>
                <w:sz w:val="18"/>
                <w:szCs w:val="18"/>
                <w:color w:val="auto"/>
                <w:w w:val="90"/>
              </w:rPr>
              <w:t>Large accelerated filer o</w:t>
            </w:r>
          </w:p>
        </w:tc>
        <w:tc>
          <w:tcPr>
            <w:tcW w:w="3680" w:type="dxa"/>
            <w:vAlign w:val="bottom"/>
          </w:tcPr>
          <w:p>
            <w:pPr>
              <w:jc w:val="center"/>
              <w:ind w:left="1490"/>
              <w:spacing w:after="0"/>
              <w:rPr>
                <w:sz w:val="20"/>
                <w:szCs w:val="20"/>
                <w:color w:val="auto"/>
              </w:rPr>
            </w:pPr>
            <w:r>
              <w:rPr>
                <w:rFonts w:ascii="Arial" w:cs="Arial" w:eastAsia="Arial" w:hAnsi="Arial"/>
                <w:sz w:val="18"/>
                <w:szCs w:val="18"/>
                <w:color w:val="auto"/>
                <w:w w:val="92"/>
              </w:rPr>
              <w:t>Accelerated filer o</w:t>
            </w:r>
          </w:p>
        </w:tc>
        <w:tc>
          <w:tcPr>
            <w:tcW w:w="0" w:type="dxa"/>
            <w:vAlign w:val="bottom"/>
          </w:tcPr>
          <w:p>
            <w:pPr>
              <w:spacing w:after="0"/>
              <w:rPr>
                <w:sz w:val="1"/>
                <w:szCs w:val="1"/>
                <w:color w:val="auto"/>
              </w:rPr>
            </w:pPr>
          </w:p>
        </w:tc>
      </w:tr>
      <w:tr>
        <w:trPr>
          <w:trHeight w:val="418"/>
        </w:trPr>
        <w:tc>
          <w:tcPr>
            <w:tcW w:w="4800" w:type="dxa"/>
            <w:vAlign w:val="bottom"/>
          </w:tcPr>
          <w:p>
            <w:pPr>
              <w:jc w:val="center"/>
              <w:ind w:right="1490"/>
              <w:spacing w:after="0"/>
              <w:rPr>
                <w:sz w:val="20"/>
                <w:szCs w:val="20"/>
                <w:color w:val="auto"/>
              </w:rPr>
            </w:pPr>
            <w:r>
              <w:rPr>
                <w:rFonts w:ascii="Arial" w:cs="Arial" w:eastAsia="Arial" w:hAnsi="Arial"/>
                <w:sz w:val="18"/>
                <w:szCs w:val="18"/>
                <w:color w:val="auto"/>
                <w:w w:val="92"/>
              </w:rPr>
              <w:t>Non-accelerated filer x</w:t>
            </w:r>
          </w:p>
        </w:tc>
        <w:tc>
          <w:tcPr>
            <w:tcW w:w="3680" w:type="dxa"/>
            <w:vAlign w:val="bottom"/>
          </w:tcPr>
          <w:p>
            <w:pPr>
              <w:jc w:val="center"/>
              <w:ind w:left="1470"/>
              <w:spacing w:after="0"/>
              <w:rPr>
                <w:sz w:val="20"/>
                <w:szCs w:val="20"/>
                <w:color w:val="auto"/>
              </w:rPr>
            </w:pPr>
            <w:r>
              <w:rPr>
                <w:rFonts w:ascii="Arial" w:cs="Arial" w:eastAsia="Arial" w:hAnsi="Arial"/>
                <w:sz w:val="18"/>
                <w:szCs w:val="18"/>
                <w:color w:val="auto"/>
                <w:w w:val="91"/>
              </w:rPr>
              <w:t>Small reporting company o</w:t>
            </w:r>
          </w:p>
        </w:tc>
        <w:tc>
          <w:tcPr>
            <w:tcW w:w="0" w:type="dxa"/>
            <w:vAlign w:val="bottom"/>
          </w:tcPr>
          <w:p>
            <w:pPr>
              <w:spacing w:after="0"/>
              <w:rPr>
                <w:sz w:val="1"/>
                <w:szCs w:val="1"/>
                <w:color w:val="auto"/>
              </w:rPr>
            </w:pPr>
          </w:p>
        </w:tc>
      </w:tr>
      <w:tr>
        <w:trPr>
          <w:trHeight w:val="230"/>
        </w:trPr>
        <w:tc>
          <w:tcPr>
            <w:tcW w:w="4800" w:type="dxa"/>
            <w:vAlign w:val="bottom"/>
          </w:tcPr>
          <w:p>
            <w:pPr>
              <w:jc w:val="center"/>
              <w:ind w:right="1490"/>
              <w:spacing w:after="0"/>
              <w:rPr>
                <w:sz w:val="20"/>
                <w:szCs w:val="20"/>
                <w:color w:val="auto"/>
              </w:rPr>
            </w:pPr>
            <w:r>
              <w:rPr>
                <w:rFonts w:ascii="Arial" w:cs="Arial" w:eastAsia="Arial" w:hAnsi="Arial"/>
                <w:sz w:val="18"/>
                <w:szCs w:val="18"/>
                <w:color w:val="auto"/>
                <w:w w:val="92"/>
              </w:rPr>
              <w:t>(Do not check if a small reporting company)</w:t>
            </w:r>
          </w:p>
        </w:tc>
        <w:tc>
          <w:tcPr>
            <w:tcW w:w="3680" w:type="dxa"/>
            <w:vAlign w:val="bottom"/>
            <w:vMerge w:val="restart"/>
          </w:tcPr>
          <w:p>
            <w:pPr>
              <w:jc w:val="center"/>
              <w:ind w:left="1490"/>
              <w:spacing w:after="0"/>
              <w:rPr>
                <w:sz w:val="20"/>
                <w:szCs w:val="20"/>
                <w:color w:val="auto"/>
              </w:rPr>
            </w:pPr>
            <w:r>
              <w:rPr>
                <w:rFonts w:ascii="Arial" w:cs="Arial" w:eastAsia="Arial" w:hAnsi="Arial"/>
                <w:sz w:val="18"/>
                <w:szCs w:val="18"/>
                <w:color w:val="auto"/>
                <w:w w:val="92"/>
              </w:rPr>
              <w:t>Emerging growth company x</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ectPr>
          <w:pgSz w:w="11900" w:h="16874" w:orient="portrait"/>
          <w:cols w:equalWidth="0" w:num="1">
            <w:col w:w="11360"/>
          </w:cols>
          <w:pgMar w:left="240" w:top="233" w:right="29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The number of shares of the registrant’s common stock, $0.001 par value per share, outstanding at May 9, 2018 was 15,645,545.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80" w:type="dxa"/>
            <w:vAlign w:val="bottom"/>
            <w:gridSpan w:val="10"/>
            <w:vMerge w:val="restart"/>
          </w:tcPr>
          <w:p>
            <w:pPr>
              <w:jc w:val="center"/>
              <w:ind w:right="44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180" w:type="dxa"/>
            <w:vAlign w:val="bottom"/>
            <w:gridSpan w:val="10"/>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940" w:type="dxa"/>
            <w:vAlign w:val="bottom"/>
            <w:gridSpan w:val="15"/>
          </w:tcPr>
          <w:p>
            <w:pPr>
              <w:spacing w:after="0"/>
              <w:rPr>
                <w:sz w:val="20"/>
                <w:szCs w:val="20"/>
                <w:color w:val="auto"/>
              </w:rPr>
            </w:pPr>
            <w:r>
              <w:rPr>
                <w:rFonts w:ascii="Arial" w:cs="Arial" w:eastAsia="Arial" w:hAnsi="Arial"/>
                <w:sz w:val="18"/>
                <w:szCs w:val="18"/>
                <w:color w:val="auto"/>
              </w:rPr>
              <w:t>Unaudited Interim Financial Statements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940" w:type="dxa"/>
            <w:vAlign w:val="bottom"/>
            <w:gridSpan w:val="15"/>
          </w:tcPr>
          <w:p>
            <w:pPr>
              <w:spacing w:after="0" w:line="190" w:lineRule="exact"/>
              <w:rPr>
                <w:rFonts w:ascii="Arial" w:cs="Arial" w:eastAsia="Arial" w:hAnsi="Arial"/>
                <w:sz w:val="18"/>
                <w:szCs w:val="18"/>
                <w:color w:val="0000EE"/>
              </w:rPr>
            </w:pPr>
            <w:hyperlink w:anchor="page2">
              <w:r>
                <w:rPr>
                  <w:rFonts w:ascii="Arial" w:cs="Arial" w:eastAsia="Arial" w:hAnsi="Arial"/>
                  <w:sz w:val="18"/>
                  <w:szCs w:val="18"/>
                  <w:color w:val="0000EE"/>
                </w:rPr>
                <w:t>Balance Sheets as of March 31, 2018 (unaudited) and December 31, 2017</w:t>
              </w:r>
            </w:hyperlink>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5"/>
          </w:tcPr>
          <w:p>
            <w:pPr>
              <w:jc w:val="right"/>
              <w:ind w:right="40"/>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40" w:type="dxa"/>
            <w:vAlign w:val="bottom"/>
            <w:gridSpan w:val="15"/>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Statements of Operations for the three months ended March 31, 2018 and 2017 (unaudited)</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Statement of Stockholders’ Equity (Deficit) as of and for the three months ended March 31, 2018 (unaudited)</w:t>
              </w:r>
            </w:hyperlink>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Statements of Cash Flows for the three months ended March 31, 2018 and 2017 (unaudited)</w:t>
              </w:r>
            </w:hyperlink>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4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Financial Statements (unaudited)</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Item 2.</w:t>
              </w:r>
            </w:hyperlink>
          </w:p>
        </w:tc>
        <w:tc>
          <w:tcPr>
            <w:tcW w:w="640" w:type="dxa"/>
            <w:vAlign w:val="bottom"/>
            <w:gridSpan w:val="3"/>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48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3.</w:t>
              </w:r>
            </w:hyperlink>
          </w:p>
        </w:tc>
        <w:tc>
          <w:tcPr>
            <w:tcW w:w="640" w:type="dxa"/>
            <w:vAlign w:val="bottom"/>
            <w:gridSpan w:val="3"/>
          </w:tcPr>
          <w:p>
            <w:pPr>
              <w:spacing w:after="0"/>
              <w:rPr>
                <w:sz w:val="17"/>
                <w:szCs w:val="17"/>
                <w:color w:val="auto"/>
              </w:rPr>
            </w:pP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Quantitative and Qualitative Disclosures About Market Risk</w:t>
              </w:r>
            </w:hyperlink>
          </w:p>
        </w:tc>
        <w:tc>
          <w:tcPr>
            <w:tcW w:w="258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4.</w:t>
              </w:r>
            </w:hyperlink>
          </w:p>
        </w:tc>
        <w:tc>
          <w:tcPr>
            <w:tcW w:w="6940" w:type="dxa"/>
            <w:vAlign w:val="bottom"/>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4180" w:type="dxa"/>
            <w:vAlign w:val="bottom"/>
            <w:gridSpan w:val="9"/>
          </w:tcPr>
          <w:p>
            <w:pPr>
              <w:jc w:val="center"/>
              <w:ind w:right="1460"/>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 OTHER INFORMATION</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1.</w:t>
              </w:r>
            </w:hyperlink>
          </w:p>
        </w:tc>
        <w:tc>
          <w:tcPr>
            <w:tcW w:w="640" w:type="dxa"/>
            <w:vAlign w:val="bottom"/>
            <w:gridSpan w:val="3"/>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1420" w:type="dxa"/>
            <w:vAlign w:val="bottom"/>
            <w:gridSpan w:val="2"/>
          </w:tcPr>
          <w:p>
            <w:pPr>
              <w:spacing w:after="0"/>
              <w:rPr>
                <w:sz w:val="17"/>
                <w:szCs w:val="17"/>
                <w:color w:val="auto"/>
              </w:rPr>
            </w:pPr>
          </w:p>
        </w:tc>
        <w:tc>
          <w:tcPr>
            <w:tcW w:w="2720" w:type="dxa"/>
            <w:vAlign w:val="bottom"/>
            <w:tcBorders>
              <w:top w:val="single" w:sz="8" w:color="0000EE"/>
            </w:tcBorders>
            <w:gridSpan w:val="5"/>
          </w:tcPr>
          <w:p>
            <w:pPr>
              <w:spacing w:after="0"/>
              <w:rPr>
                <w:sz w:val="17"/>
                <w:szCs w:val="17"/>
                <w:color w:val="auto"/>
              </w:rPr>
            </w:pPr>
          </w:p>
        </w:tc>
        <w:tc>
          <w:tcPr>
            <w:tcW w:w="146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1A.</w:t>
              </w:r>
            </w:hyperlink>
          </w:p>
        </w:tc>
        <w:tc>
          <w:tcPr>
            <w:tcW w:w="6940" w:type="dxa"/>
            <w:vAlign w:val="bottom"/>
            <w:gridSpan w:val="1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6940" w:type="dxa"/>
            <w:vAlign w:val="bottom"/>
            <w:gridSpan w:val="1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6.</w:t>
              </w:r>
            </w:hyperlink>
          </w:p>
        </w:tc>
        <w:tc>
          <w:tcPr>
            <w:tcW w:w="640" w:type="dxa"/>
            <w:vAlign w:val="bottom"/>
            <w:gridSpan w:val="3"/>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Exhibits</w:t>
              </w:r>
            </w:hyperlink>
          </w:p>
        </w:tc>
        <w:tc>
          <w:tcPr>
            <w:tcW w:w="3740" w:type="dxa"/>
            <w:vAlign w:val="bottom"/>
            <w:tcBorders>
              <w:top w:val="single" w:sz="8" w:color="0000EE"/>
            </w:tcBorders>
            <w:gridSpan w:val="6"/>
          </w:tcPr>
          <w:p>
            <w:pPr>
              <w:spacing w:after="0"/>
              <w:rPr>
                <w:sz w:val="17"/>
                <w:szCs w:val="17"/>
                <w:color w:val="auto"/>
              </w:rPr>
            </w:pPr>
          </w:p>
        </w:tc>
        <w:tc>
          <w:tcPr>
            <w:tcW w:w="260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300" w:type="dxa"/>
            <w:vAlign w:val="bottom"/>
            <w:gridSpan w:val="10"/>
          </w:tcPr>
          <w:p>
            <w:pPr>
              <w:jc w:val="center"/>
              <w:ind w:left="3710"/>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gridSpan w:val="2"/>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0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gridSpan w:val="8"/>
          </w:tcPr>
          <w:p>
            <w:pPr>
              <w:jc w:val="center"/>
              <w:ind w:right="840"/>
              <w:spacing w:after="0"/>
              <w:rPr>
                <w:sz w:val="20"/>
                <w:szCs w:val="20"/>
                <w:color w:val="auto"/>
              </w:rPr>
            </w:pPr>
            <w:r>
              <w:rPr>
                <w:rFonts w:ascii="Arial" w:cs="Arial" w:eastAsia="Arial" w:hAnsi="Arial"/>
                <w:sz w:val="18"/>
                <w:szCs w:val="18"/>
                <w:b w:val="1"/>
                <w:bCs w:val="1"/>
                <w:color w:val="auto"/>
              </w:rPr>
              <w:t>BIOXCEL THERAPEUTICS, INC.</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w w:val="98"/>
              </w:rPr>
              <w:t>BALANCE SHEETS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80" w:type="dxa"/>
            <w:vAlign w:val="bottom"/>
            <w:gridSpan w:val="10"/>
          </w:tcPr>
          <w:p>
            <w:pPr>
              <w:jc w:val="center"/>
              <w:ind w:left="330"/>
              <w:spacing w:after="0"/>
              <w:rPr>
                <w:sz w:val="20"/>
                <w:szCs w:val="20"/>
                <w:color w:val="auto"/>
              </w:rPr>
            </w:pPr>
            <w:r>
              <w:rPr>
                <w:rFonts w:ascii="Arial" w:cs="Arial" w:eastAsia="Arial" w:hAnsi="Arial"/>
                <w:sz w:val="18"/>
                <w:szCs w:val="18"/>
                <w:b w:val="1"/>
                <w:bCs w:val="1"/>
                <w:color w:val="auto"/>
                <w:w w:val="88"/>
              </w:rPr>
              <w:t>(amounts in thousands, except shares and per share data)</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13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130"/>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w w:val="95"/>
              </w:rPr>
              <w:t>Current assets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55,465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808</w:t>
            </w: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shd w:val="clear" w:color="auto" w:fill="CCEEFF"/>
          </w:tcPr>
          <w:p>
            <w:pPr>
              <w:ind w:left="180"/>
              <w:spacing w:after="0"/>
              <w:rPr>
                <w:sz w:val="20"/>
                <w:szCs w:val="20"/>
                <w:color w:val="auto"/>
              </w:rPr>
            </w:pPr>
            <w:r>
              <w:rPr>
                <w:rFonts w:ascii="Arial" w:cs="Arial" w:eastAsia="Arial" w:hAnsi="Arial"/>
                <w:sz w:val="18"/>
                <w:szCs w:val="18"/>
                <w:color w:val="auto"/>
              </w:rPr>
              <w:t>Due from Parent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19"/>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56,317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Deferred offering expenses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w w:val="92"/>
              </w:rPr>
              <w:t>Equipment, net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w w:val="90"/>
              </w:rPr>
              <w:t>Total assets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56,321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shd w:val="clear" w:color="auto" w:fill="CCEEFF"/>
          </w:tcPr>
          <w:p>
            <w:pPr>
              <w:ind w:left="180"/>
              <w:spacing w:after="0"/>
              <w:rPr>
                <w:sz w:val="20"/>
                <w:szCs w:val="20"/>
                <w:color w:val="auto"/>
              </w:rPr>
            </w:pPr>
            <w:r>
              <w:rPr>
                <w:rFonts w:ascii="Arial" w:cs="Arial" w:eastAsia="Arial" w:hAnsi="Arial"/>
                <w:sz w:val="18"/>
                <w:szCs w:val="18"/>
                <w:color w:val="auto"/>
              </w:rPr>
              <w:t>Due to related party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tcPr>
          <w:p>
            <w:pPr>
              <w:ind w:left="180"/>
              <w:spacing w:after="0"/>
              <w:rPr>
                <w:sz w:val="20"/>
                <w:szCs w:val="20"/>
                <w:color w:val="auto"/>
              </w:rPr>
            </w:pPr>
            <w:r>
              <w:rPr>
                <w:rFonts w:ascii="Arial" w:cs="Arial" w:eastAsia="Arial" w:hAnsi="Arial"/>
                <w:sz w:val="18"/>
                <w:szCs w:val="18"/>
                <w:color w:val="auto"/>
              </w:rPr>
              <w:t>Payable to Parent for services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shd w:val="clear" w:color="auto" w:fill="CCEEFF"/>
          </w:tcPr>
          <w:p>
            <w:pPr>
              <w:ind w:left="180"/>
              <w:spacing w:after="0"/>
              <w:rPr>
                <w:sz w:val="20"/>
                <w:szCs w:val="20"/>
                <w:color w:val="auto"/>
              </w:rPr>
            </w:pPr>
            <w:r>
              <w:rPr>
                <w:rFonts w:ascii="Arial" w:cs="Arial" w:eastAsia="Arial" w:hAnsi="Arial"/>
                <w:sz w:val="18"/>
                <w:szCs w:val="18"/>
                <w:color w:val="auto"/>
              </w:rPr>
              <w:t>Notes payable to Parent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tcPr>
          <w:p>
            <w:pPr>
              <w:ind w:left="180"/>
              <w:spacing w:after="0"/>
              <w:rPr>
                <w:sz w:val="20"/>
                <w:szCs w:val="20"/>
                <w:color w:val="auto"/>
              </w:rPr>
            </w:pPr>
            <w:r>
              <w:rPr>
                <w:rFonts w:ascii="Arial" w:cs="Arial" w:eastAsia="Arial" w:hAnsi="Arial"/>
                <w:sz w:val="18"/>
                <w:szCs w:val="18"/>
                <w:color w:val="auto"/>
              </w:rPr>
              <w:t>Due to Parent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gridSpan w:val="19"/>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w w:val="89"/>
              </w:rPr>
              <w:t>Total liabilities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4,215</w:t>
            </w: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2,337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gridSpan w:val="19"/>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8"/>
                <w:szCs w:val="18"/>
                <w:b w:val="1"/>
                <w:bCs w:val="1"/>
                <w:color w:val="auto"/>
              </w:rPr>
              <w:t>Stockholders’ equity (deficit)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Preferred stock, $0.001 par value, 10,000,000 shares authorized; no shares issued or outstanding</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19"/>
          </w:tcPr>
          <w:p>
            <w:pPr>
              <w:spacing w:after="0" w:line="201" w:lineRule="exact"/>
              <w:rPr>
                <w:sz w:val="20"/>
                <w:szCs w:val="20"/>
                <w:color w:val="auto"/>
              </w:rPr>
            </w:pPr>
            <w:r>
              <w:rPr>
                <w:rFonts w:ascii="Arial" w:cs="Arial" w:eastAsia="Arial" w:hAnsi="Arial"/>
                <w:sz w:val="18"/>
                <w:szCs w:val="18"/>
                <w:color w:val="auto"/>
                <w:w w:val="91"/>
              </w:rPr>
              <w:t>Common stock, $0.001 par value, 50,000,000 shares authorized; 15,645,545 and 9,907,548 shares issued and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19"/>
          </w:tcPr>
          <w:p>
            <w:pPr>
              <w:ind w:left="160"/>
              <w:spacing w:after="0"/>
              <w:rPr>
                <w:sz w:val="20"/>
                <w:szCs w:val="20"/>
                <w:color w:val="auto"/>
              </w:rPr>
            </w:pPr>
            <w:r>
              <w:rPr>
                <w:rFonts w:ascii="Arial" w:cs="Arial" w:eastAsia="Arial" w:hAnsi="Arial"/>
                <w:sz w:val="18"/>
                <w:szCs w:val="18"/>
                <w:color w:val="auto"/>
              </w:rPr>
              <w:t>outstanding as of March 31, 2018 and December 31, 2017, respectively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60,822</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3,458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(8,732)</w:t>
            </w:r>
          </w:p>
        </w:tc>
        <w:tc>
          <w:tcPr>
            <w:tcW w:w="18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(4,450)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gridSpan w:val="19"/>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52,106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56,321</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-5713095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-5713095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2" w:name="page3"/>
    <w:bookmarkEnd w:id="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shares and per share data)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1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income</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net</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stockholders/Parent basic and diluted</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11,456,325</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9,480,000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(DEFICIT)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6"/>
            <w:vMerge w:val="restart"/>
          </w:tcPr>
          <w:p>
            <w:pPr>
              <w:jc w:val="right"/>
              <w:ind w:right="108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Paid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9,907,548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w w:val="80"/>
              </w:rPr>
              <w:t>(4,450)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Issuance of common shares</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283,452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 common shares, upon completion of</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Initial Public Offering, net of issuance costs of</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$5,898</w:t>
            </w:r>
          </w:p>
        </w:tc>
        <w:tc>
          <w:tcPr>
            <w:tcW w:w="29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5,454,545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54,097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54,102</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8"/>
              </w:rPr>
              <w:t>(4,282)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Balance as of March 31, 2018</w:t>
            </w:r>
          </w:p>
        </w:tc>
        <w:tc>
          <w:tcPr>
            <w:tcW w:w="1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15,645,545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60,822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8"/>
                <w:szCs w:val="18"/>
                <w:color w:val="auto"/>
                <w:w w:val="90"/>
              </w:rPr>
              <w:t>(8,732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80" w:type="dxa"/>
            <w:vAlign w:val="bottom"/>
            <w:gridSpan w:val="12"/>
          </w:tcPr>
          <w:p>
            <w:pPr>
              <w:jc w:val="center"/>
              <w:ind w:left="149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920" w:type="dxa"/>
            <w:vAlign w:val="bottom"/>
          </w:tcPr>
          <w:p>
            <w:pPr>
              <w:spacing w:after="0"/>
              <w:rPr>
                <w:sz w:val="24"/>
                <w:szCs w:val="24"/>
                <w:color w:val="auto"/>
              </w:rPr>
            </w:pPr>
          </w:p>
        </w:tc>
        <w:tc>
          <w:tcPr>
            <w:tcW w:w="3040" w:type="dxa"/>
            <w:vAlign w:val="bottom"/>
            <w:gridSpan w:val="7"/>
          </w:tcPr>
          <w:p>
            <w:pPr>
              <w:jc w:val="center"/>
              <w:spacing w:after="0"/>
              <w:rPr>
                <w:sz w:val="20"/>
                <w:szCs w:val="20"/>
                <w:color w:val="auto"/>
              </w:rPr>
            </w:pPr>
            <w:r>
              <w:rPr>
                <w:rFonts w:ascii="Arial" w:cs="Arial" w:eastAsia="Arial" w:hAnsi="Arial"/>
                <w:sz w:val="18"/>
                <w:szCs w:val="18"/>
                <w:b w:val="1"/>
                <w:bCs w:val="1"/>
                <w:color w:val="auto"/>
              </w:rPr>
              <w:t>BIOXCEL THERAPEUTICS, INC.</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4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8"/>
              </w:rPr>
              <w:t>STATEMENTS OF CASH FLOWS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88"/>
              </w:rPr>
              <w:t>(amounts in thousands)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8"/>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(4,282)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9"/>
              </w:rPr>
              <w:t>Reconciliation of net loss to net cash used in operating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-2755900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-2755900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68"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2,743</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related party</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net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56,512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rPr>
              <w:t>Net Parent investment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 to Parent for services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rPr>
              <w:t>Due to Parent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(484)</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note payable — Parent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55,590</w:t>
            </w:r>
          </w:p>
        </w:tc>
        <w:tc>
          <w:tcPr>
            <w:tcW w:w="2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increase in cash</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54,578</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 beginning of the period</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887</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at March 31, 2018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Supplemental disclosure of non-cash Financing Activity:</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Deferred issuance costs reclassified to additional paid-in-capital upon completion of initial public offering</w:t>
            </w:r>
          </w:p>
        </w:tc>
        <w:tc>
          <w:tcPr>
            <w:tcW w:w="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Principal Activities</w:t>
      </w:r>
    </w:p>
    <w:p>
      <w:pPr>
        <w:spacing w:after="0" w:line="22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BioXcel Therapeutics, Inc. (the “Company” or “BTI”) is a clinical stage biopharmaceutical company focused on novel artificial intelligence-based drug development to identify the next wave of medicines across neuroscience and immuno-oncology. The Company’s drug re-innovation approach leverages existing approved drugs and/or clinically validated product candidates together with big data and proprietary machine learning algorithms to identify new therapeutic indices. The Company is a majority-owned subsidiary of BioXcel Corporation (“BioXcel” or “Parent”) and was incorporated under the laws of the State of Delaware on March 29, 2017. The Company’s principal office is in Branford, Connecticut. Unless otherwise indicated or the context requires otherwise, references in this report to “we”, “our”, “us” and similar expressions refer to BioXcel Therapeutics, Inc.</w:t>
      </w:r>
    </w:p>
    <w:p>
      <w:pPr>
        <w:spacing w:after="0" w:line="178"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unaudited financial information for the three months ended March 31, 2018 and 2017, is presented on the same basis as the financial statements included in the Company’s registration statement on Form S-1 relating to its initial public offering of its common shares.</w:t>
      </w:r>
    </w:p>
    <w:p>
      <w:pPr>
        <w:spacing w:after="0" w:line="14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Company’s primary activities have been the development of a clinical plan and pre-clinical research and development of two advanced programs: BXCL501, a sublingual thin film formulation of dexmedetomidine designed for acute treatment of agitation resulting from neurological and psychiatric disorders, and BXCL701, an immuno-oncology agent designed for treatment of a rare form of prostate cancer and for treatment of pancreatic cancer. These two programs and two emerging programs BXCL502 and BXCL702 (together, “the BTI Business”) have been contributed to the Company from the Parent pursuant to a contribution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Initial Public Offering</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March 7, 2018, the Company’s registration statement on Form S-1 relating to its initial public offering of its common shares (the “IPO”) was declared effective by the Securities and Exchange Commission (“SEC”). The IPO closed on March 12, 2018 and the Company issued and sold 5,454,545 common shares at a public offering price of $11.00 per share. Gross proceeds totaled $60,000 and net proceeds totaled $54,102 after deducting underwriting discounts and commissions of $4,200 and other offering expenses of approximately $1,698.</w:t>
      </w:r>
    </w:p>
    <w:p>
      <w:pPr>
        <w:spacing w:after="0" w:line="187"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In connection with and effective upon the completion of its IPO the Company effectuated a 237 to one stock split. Accordingly, all share and per share amounts for all periods presented in the accompanying financial statements have been adjusted retroactively, where applicable, to reflect the stock split.</w:t>
      </w:r>
    </w:p>
    <w:p>
      <w:pPr>
        <w:spacing w:after="0" w:line="124"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Also, in connection with the completion of its IPO, the Company amended its articles of incorporation to authorize the issuance of up to 50,000,000 shares of common stock with a par value of $.001 each and 10,000,000 shares of preferred stock with a par value of $.001 par value each.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Basis of Presentation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The financial statements of the Company for the period through June 30, 2017 including the three month period ending March 31, 2017 are derived by carving out the historical results of operations and historical cost basis of the assets and liabilities associated with product candidates BXCL501, BXCL701, BXCL502 and BXCL702 that have been contributed to the Company by BioXcel, from the financial statements of BioXcel.</w:t>
      </w:r>
    </w:p>
    <w:p>
      <w:pPr>
        <w:sectPr>
          <w:pgSz w:w="11900" w:h="16838" w:orient="portrait"/>
          <w:cols w:equalWidth="0" w:num="1">
            <w:col w:w="11420"/>
          </w:cols>
          <w:pgMar w:left="240" w:top="140" w:right="239" w:bottom="0" w:gutter="0" w:footer="0" w:header="0"/>
        </w:sectPr>
      </w:pPr>
    </w:p>
    <w:bookmarkStart w:id="4" w:name="page5"/>
    <w:bookmarkEnd w:id="4"/>
    <w:p>
      <w:pPr>
        <w:ind w:right="180" w:firstLine="324"/>
        <w:spacing w:after="0" w:line="276" w:lineRule="auto"/>
        <w:rPr>
          <w:sz w:val="20"/>
          <w:szCs w:val="20"/>
          <w:color w:val="auto"/>
        </w:rPr>
      </w:pPr>
      <w:r>
        <w:rPr>
          <w:rFonts w:ascii="Arial" w:cs="Arial" w:eastAsia="Arial" w:hAnsi="Arial"/>
          <w:sz w:val="17"/>
          <w:szCs w:val="17"/>
          <w:color w:val="auto"/>
        </w:rPr>
        <w:t>These results reflect amounts specifically attributable to the BTI Business, which include expenses, assets and liabilities of BioXcel relating to the candidates that were contributed to the Company by BioXcel under a contribution agreement, effective June 30, 2017, as amended and restated on November 7, 2017, or the Contribution Agreement, for the period from January 1, 2015 until the formation of the Company on March 29, 2017 and further until June 30, 2017. The Company has also entered into a separation and shared services agreement with BioXcel that took effect on June 30, 2017, as amended and restated on November 7, 2017, or the Services Agreement, pursuant to</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which BioXcel provides the Company with certain general and administrative and development support services. However, consistent with accounting regulations, it has been assumed that the Company was a separate business since January 1, 2015 and accordingly the assets, liabilities and expenses relating to the BTI Business have been separated from the Parent in the financial statements for periods prior to and post incorporation through June 30, 2017. The financial statements for the three month period ended March 31, 2017 include reasonable allocations for assets and liabilities and expenses attributable to the BTI Business.</w:t>
      </w:r>
    </w:p>
    <w:p>
      <w:pPr>
        <w:spacing w:after="0" w:line="18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For the three month period ended March 31, 2018 the results are on a standalone entity basis. All assets and liabilities contributed by BioXcel to the Company have been recorded at historical book value.</w:t>
      </w:r>
    </w:p>
    <w:p>
      <w:pPr>
        <w:spacing w:after="0" w:line="170"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The balance sheet information as of December 31, 2017 was derived from the audited financial statements which include the accounts of BioXcel Therapeutics Inc. but does not include all disclosures required by accounting principles generally accepted in the United States (“GAAP”). The unaudited financial information should be read in conjunction with the financial statements and notes thereto included in the Company’s S-1.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accordance with Accounting Standards Update (“ASU”) 2014-15, Disclosure of Uncertainties about an Entity’s Ability to Continue as a Going Concern (Subtopic 205-40), management must evaluate whether there are conditions or events, considered in the aggregate, that raise substantial doubt about the Company’s ability to continue as a going concern within one year after the date that the financial statements are issued.</w:t>
      </w:r>
    </w:p>
    <w:p>
      <w:pPr>
        <w:spacing w:after="0" w:line="16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Management believes that as a result of the proceeds received in connection with its IPO that it has sufficient liquidity to meet its obligations as they come due for at least twelve months.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Company’s financial statements are prepared in accordance with GAAP. The preparation of BioXcel’s financial statements requires the Company to make estimates and assumptions that impact the reported amounts of assets, liabilities and expenses in its financial statements and the accompanying notes. The most significant estimates in the financial statements relate to the fair value of equity awards and valuation allowance related to the Company’s deferred tax assets and liabilities. For the quarter ended March 31, 2017, the most significant estimates include the valuation of the Parent’s common stock, allocation of expenses, assets and liabilities from the Parent. Although these estimates are based on the Company’s knowledge of current events and actions it may undertake in the future, actual results may ultimately materially differ from these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accompanying unaudited financial statements do not include all of the information and footnotes required by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2018 and the results of its operations for the three months ended March 31, 2018 and 2017 and its cash flows for the three months ended March 31, 2018 and 2017. The results for the three months ended March 31, 2018 are not necessarily indicative of results to be expected for the year ending December 31, 2018, any other interim periods or any future year or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 capitalized certain legal, professional accounting and other third-party fees that were directly associated with in-process equity financings as deferred offering costs until the equity financing was consummated. After consummation of an equity financing, these costs were recorded in shareholders’ equity (deficit) as a reduction of proceeds generated as a result of the offering. As of December 31, 2017, the Company recorded deferred offering costs relating to its IPO of $461. The Company’s IPO was completed in March 2018 and these costs, as well as additional IPO costs including commissions of $4,200 and an additional $1,237 of other expenses incurred in 2018, were recorded as a reduction to shareholders’ equity.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ectPr>
          <w:pgSz w:w="11900" w:h="16838" w:orient="portrait"/>
          <w:cols w:equalWidth="0" w:num="1">
            <w:col w:w="11400"/>
          </w:cols>
          <w:pgMar w:left="240" w:top="341" w:right="259" w:bottom="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Equipment consist of computers that are stated at cost and depreciated using the straight-line method over estimated useful life of 5 years.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The Company follows the guidance provided by FASB ASC Topic 360-10,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its inception the Company has not recognized any impairment or disposition of long 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accounts for stock-based compensation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requires the measurement and recognition of compensation expense based on estimated fair market values for all share-based awards made to employees and directors, including stock options. The Company’s stock-based compensation plan was adopted and became effective in August 2017. Prior to the Company adopting its stock-based compensation plan the Parent granted stock options to its employees. As a result, related stock-based compensation expense has been allocated to the Company over the required service period over which these BioXcel stock option awards vest in the same manner salary costs of employees have been allocated to the BTI Business in the carve-out process.</w:t>
      </w:r>
    </w:p>
    <w:p>
      <w:pPr>
        <w:spacing w:after="0" w:line="19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are not publicly traded.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awards to non-employees are re-measured at fair value each financial reporting date until performance is complete.</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actual and projected employee stock option exercise behaviors. The value of the award is recognized as an expense in the statement of operations over the requisite service period. The periodic expense is then determined based on the valuation of the options.</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adopted FASB ASU 2016-09 as of January 1, 2018 and has elected to account for forfeitures as they occur, by reversing compensation cost when the award is forfeited.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Research and development expenses include wages, benefits, facilities, supplies, external services, clinical study and manufacturing costs and other expenses that are directly related to its research and development activities.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 The Company expenses research and development costs as incurred.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defines fair value, establishes a framework for measuring fair value in GAAP and expands disclosures about fair value measurements.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67" w:lineRule="exact"/>
        <w:rPr>
          <w:sz w:val="20"/>
          <w:szCs w:val="20"/>
          <w:color w:val="auto"/>
        </w:rPr>
      </w:pPr>
    </w:p>
    <w:p>
      <w:pPr>
        <w:ind w:left="660" w:right="2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that are accessible at the measurement date for assets or liabilities. The fair value hierarchy gives the highest priority to Level 1 inputs.</w:t>
      </w:r>
    </w:p>
    <w:p>
      <w:pPr>
        <w:spacing w:after="0" w:line="170" w:lineRule="exact"/>
        <w:rPr>
          <w:rFonts w:ascii="Arial" w:cs="Arial" w:eastAsia="Arial" w:hAnsi="Arial"/>
          <w:sz w:val="18"/>
          <w:szCs w:val="18"/>
          <w:color w:val="auto"/>
        </w:rPr>
      </w:pPr>
    </w:p>
    <w:p>
      <w:pPr>
        <w:ind w:left="660" w:right="40" w:hanging="328"/>
        <w:spacing w:after="0" w:line="25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88" w:lineRule="exact"/>
        <w:rPr>
          <w:rFonts w:ascii="Arial" w:cs="Arial" w:eastAsia="Arial" w:hAnsi="Arial"/>
          <w:sz w:val="18"/>
          <w:szCs w:val="18"/>
          <w:color w:val="auto"/>
        </w:rPr>
      </w:pPr>
    </w:p>
    <w:p>
      <w:pPr>
        <w:ind w:left="660" w:right="40" w:hanging="328"/>
        <w:spacing w:after="0" w:line="34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ectPr>
          <w:pgSz w:w="11900" w:h="16838" w:orient="portrait"/>
          <w:cols w:equalWidth="0" w:num="1">
            <w:col w:w="11420"/>
          </w:cols>
          <w:pgMar w:left="240" w:top="125" w:right="239" w:bottom="0" w:gutter="0" w:footer="0" w:header="0"/>
        </w:sectPr>
      </w:pPr>
    </w:p>
    <w:bookmarkStart w:id="6" w:name="page7"/>
    <w:bookmarkEnd w:id="6"/>
    <w:p>
      <w:pPr>
        <w:ind w:right="220" w:firstLine="324"/>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cash, accounts payable and accrued expenses approximate fair value due to the short-term nature of these instruments.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computes basic net loss per share by dividing net loss available to common stockholders by the weighted average number of common shares outstanding for the period and excludes the effects of any potentially dilutive securities. Diluted earnings per share, if presented, would include the dilution that would occur upon the exercise or conversion of all potentially dilutive securities into common stock using the “treasury stock” and/or “if converted” methods as applicable. The potential dilutive securities included outstanding options (for both employees and non-employees) for the three months ended March 31, 2018 and 2017. Such securities have not been included in the loss per share calculation since their impact would be anti-dilutive. There were 2,348,575 shares of options that were excluded from the calculation of the loss per share for the three months ended March 31, 2018. The Company was incorporated on March 29, 2017 and net loss per common share for the three months ending March 31, 2017, was calculated as if the shares to the Parent were issued at formation.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 xml:space="preserve">In May 2014, the Financial Accounting Standards Board, or FASB, issued </w:t>
      </w:r>
      <w:r>
        <w:rPr>
          <w:rFonts w:ascii="Arial" w:cs="Arial" w:eastAsia="Arial" w:hAnsi="Arial"/>
          <w:sz w:val="17"/>
          <w:szCs w:val="17"/>
          <w:i w:val="1"/>
          <w:iCs w:val="1"/>
          <w:color w:val="auto"/>
        </w:rPr>
        <w:t>ASU 2014-09 Revenue from Contracts with Customers.</w:t>
      </w:r>
      <w:r>
        <w:rPr>
          <w:rFonts w:ascii="Arial" w:cs="Arial" w:eastAsia="Arial" w:hAnsi="Arial"/>
          <w:sz w:val="17"/>
          <w:szCs w:val="17"/>
          <w:color w:val="auto"/>
        </w:rPr>
        <w:t xml:space="preserve"> Under this guidance, an entity will recognize revenue when it transfers promised goods or services to customers in an amount that reflects what the entity expects to receive in exchange for the goods or services. This new guidance also requires more detailed disclosures to enable users of the financial statements to understand the nature, amount, timing and uncertainty of revenue and cash flows arising from contracts with customers. The Company adopted this guidance beginning on January 1, 2018. The guidance allows the selection of one of two methods of adoption, either the full retrospective approach, meaning the guidance would be applied to all periods presented, or modified retrospective approach, meaning the cumulative effect of applying the guidance would be recognized as an adjustment to opening accumulated deficit balance. Since the Company has no revenues to date, the Company does not believe the adoption of ASU-214-09 will have a material impact on its financial statements.</w:t>
      </w:r>
    </w:p>
    <w:p>
      <w:pPr>
        <w:spacing w:after="0" w:line="1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In February 2016, the FASB issued </w:t>
      </w:r>
      <w:r>
        <w:rPr>
          <w:rFonts w:ascii="Arial" w:cs="Arial" w:eastAsia="Arial" w:hAnsi="Arial"/>
          <w:sz w:val="16"/>
          <w:szCs w:val="16"/>
          <w:i w:val="1"/>
          <w:iCs w:val="1"/>
          <w:color w:val="auto"/>
        </w:rPr>
        <w:t>ASU 2016-02 Lease Accounting Topic 842</w:t>
      </w:r>
      <w:r>
        <w:rPr>
          <w:rFonts w:ascii="Arial" w:cs="Arial" w:eastAsia="Arial" w:hAnsi="Arial"/>
          <w:sz w:val="16"/>
          <w:szCs w:val="16"/>
          <w:color w:val="auto"/>
        </w:rPr>
        <w:t>. This ASU requires us to record all leases longer than one year on our balance sheet. Under the new guidance, when the Company records leases on its balance sheet under it will record a liability with a value equal to the present value of payments it will make over the life of the lease and an asset representing the underlying leased asset. The new accounting guidance requires the Company to determine if its leases are operating or financing leases, similar to current accounting guidance. The Company will record expense for operating type leases on a straight-line basis as an operating expense and it will record expense for finance type leases as interest expense. The new lease standard is effective for annual and interim periods beginning after December 15, 2018, with early adoption permitted. The Company must adopt the new standard on a modified retrospective basis, which requires it to reflect its leases on its balance sheet for the earliest comparative period presented. The Company is currently assessing the timing of adoption as well as the effects it will have on its financial statements and disclosures.</w:t>
      </w:r>
    </w:p>
    <w:p>
      <w:pPr>
        <w:spacing w:after="0" w:line="16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SEC staff issued Staff Accounting Bulletin (“SAB”) 118, which provides guidance on accounting for the tax effects of the U.S. tax reform announced on December 22, 2017 by the U.S. Government commonly referred to as the Tax Cuts and Jobs Act. SAB 118 provides a measurement period that should not extend beyond one year from the U.S. tax reform enactment date for companies to complete the accounting under Accounting Standards Codification (“ASC”) 740. In accordance with SAB 118, a company must reflect the income tax effects of those aspects of the U.S. tax reform for which the accounting under ASC 740 is complete. Specifically, the Company revalued its U.S. deferred tax assets and liabilities due to the federal income tax rate reduction from 35 percent to 21 percent. Since the Company has provided a full valuation allowance against its deferred tax assets, the revaluation of the deferred tax assets did not have a material impact on any period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BioXcel</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has entered into an asset contribution agreement, effective June 30, 2017, with BioXcel, as amended and restated on November 7, 2017, or the Contribution Agreement, pursuant to which BioXcel agreed to contribute BioXcel’s rights, title and interest in BXCL501, BXCL701, BXCL502 and BXCL702, and all of the assets and liabilities associated in consideration for (i) 9,480,000 shares of our common stock, (ii) $1 million upon completion of an initial public offering, (iii) $500 upon the later of the 12 month anniversary of an initial public offering and the first dosing of a patient in the bridging bioavailability/ bioequivalence study for the BXCL501 program, (iv) $500 upon the later of the 12 month anniversary of an initial public offering and the first dosing of a patient in the Phase 2 PoC open label monotherapy or combination trial with Keytruda for the BXCL701 program and (v) a one-time payment of $5,000 within 60 days after the achievement of $50,000 in cumulative net sales of any product or combination of products resulting from the development and commercialization of any one of the Candidates or a product derived therefrom. With the completion of the Company’s IPO in March 2018, $1 million was charged to Research and Development costs and included in accounts payable in connection with (ii) above and was paid on April 5, 2018.</w:t>
      </w:r>
    </w:p>
    <w:p>
      <w:pPr>
        <w:spacing w:after="0" w:line="16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Company has also entered into a separation and shared services agreement with BioXcel that took effect on June 30, 2017, as amended and restated on November 7, 2017, or the Services Agreement, pursuant to which BioXcel will allow the Company to continue to use the office space, equipment, services and leased employees based on the agreed upon terms and conditions for a payment of defined monthly and/or hourly fees.</w:t>
      </w:r>
    </w:p>
    <w:p>
      <w:pPr>
        <w:spacing w:after="0" w:line="16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connection with the Services Agreement, BioXcel had agreed to provide the Company a line of credit, which was capped at $1,000, or the Total Funding Amount, pursuant to the terms of a grid note, or the Grid Note. The Grid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Note was payable upon the earlier of (i) the completion of an initial public offering and (ii) December 31, 2018, together with interest on the unpaid balance of each advance made under the Grid Note, which would accrue at a rate per annum equal to the applicable federal rate for short-term loans as of the date</w:t>
      </w:r>
    </w:p>
    <w:p>
      <w:pPr>
        <w:sectPr>
          <w:pgSz w:w="11900" w:h="16838" w:orient="portrait"/>
          <w:cols w:equalWidth="0" w:num="1">
            <w:col w:w="11400"/>
          </w:cols>
          <w:pgMar w:left="240" w:top="125" w:right="259" w:bottom="0" w:gutter="0" w:footer="0" w:header="0"/>
        </w:sectPr>
      </w:pPr>
    </w:p>
    <w:bookmarkStart w:id="7" w:name="page8"/>
    <w:bookmarkEnd w:id="7"/>
    <w:p>
      <w:pPr>
        <w:ind w:right="360"/>
        <w:spacing w:after="0" w:line="277" w:lineRule="auto"/>
        <w:rPr>
          <w:sz w:val="20"/>
          <w:szCs w:val="20"/>
          <w:color w:val="auto"/>
        </w:rPr>
      </w:pPr>
      <w:r>
        <w:rPr>
          <w:rFonts w:ascii="Arial" w:cs="Arial" w:eastAsia="Arial" w:hAnsi="Arial"/>
          <w:sz w:val="18"/>
          <w:szCs w:val="18"/>
          <w:color w:val="auto"/>
        </w:rPr>
        <w:t>hereof, in each case calculated based on a 365-day year and actual days elapsed. As of December 31, 2017, the Company had drawn down $371 under the Grid Note and was repaid.</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All amounts due to BioXcel under the line of credit, the Grid Note, and for expenses paid on the Company’s behalf were paid following the completion of the Company’s IPO on March 20,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40" w:type="dxa"/>
            <w:vAlign w:val="bottom"/>
          </w:tcPr>
          <w:p>
            <w:pPr>
              <w:jc w:val="center"/>
              <w:ind w:left="159"/>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40" w:type="dxa"/>
            <w:vAlign w:val="bottom"/>
          </w:tcPr>
          <w:p>
            <w:pPr>
              <w:jc w:val="center"/>
              <w:ind w:left="119"/>
              <w:spacing w:after="0" w:line="149" w:lineRule="exact"/>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3700" w:type="dxa"/>
            <w:vAlign w:val="bottom"/>
            <w:gridSpan w:val="2"/>
          </w:tcPr>
          <w:p>
            <w:pPr>
              <w:jc w:val="center"/>
              <w:ind w:left="272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Computers</w:t>
            </w:r>
          </w:p>
        </w:tc>
        <w:tc>
          <w:tcPr>
            <w:tcW w:w="25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bottom w:val="single" w:sz="8" w:color="CCEEFF"/>
            </w:tcBorders>
            <w:shd w:val="clear" w:color="auto" w:fill="CCEEFF"/>
          </w:tcPr>
          <w:p>
            <w:pPr>
              <w:spacing w:after="0"/>
              <w:rPr>
                <w:sz w:val="18"/>
                <w:szCs w:val="18"/>
                <w:color w:val="auto"/>
              </w:rPr>
            </w:pPr>
          </w:p>
        </w:tc>
        <w:tc>
          <w:tcPr>
            <w:tcW w:w="25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is required to pay to BioXcel the amount of $5,000 within 60 days after the achievement of $50,000 in cumulative net sales of any product or combination of products resulting from the development and commercialization of any one of the candidates BXCL501, BXCL701, BXCL502, and BXCL702 or a product derived therefrom.</w:t>
      </w:r>
    </w:p>
    <w:p>
      <w:pPr>
        <w:spacing w:after="0" w:line="181"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Company is also required to pay to BioXcel the amount of $2,000 in connection with the IPO, (x) the first $1,000 was charged to Research and Development expenses during the three months ended March 31, 2018 and paid to BioXcel on April 5, 2018 and (y) the second $1,000, (i) $500 of which is payable upon the later of the 12 month anniversary of an offering and the first dosing of a patient in the bridging bioavailability/bioequivalence study for the BXCL501 program and (ii) $500 of which is payable upon the later of the 12 month anniversary of an offering and the first dosing of a patient in the Phase 2 PoC open label monotherapy or combination trial with Keytruda for the BXCL701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top w:val="single" w:sz="8" w:color="CCEEFF"/>
            </w:tcBorders>
            <w:shd w:val="clear" w:color="auto" w:fill="CCEEFF"/>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Professional and consultant fees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expenses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Drugs and clinical trial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-1442085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-1442085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Company is authorized to issue up to 10,000,000 preferred shares with a par value of $0.001 per share. No preferred shares are issued and outstanding.</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is authorized to issue up to 50,000,000 shares of common stock with a par value of $0.001 per share. The Company had 15,645,545 shares of common stock outstanding as of March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Each share of common stock has the right to one vote. The holders of common stock are entitled to dividends when funds are legally available and when declared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On March 7, 2018, the Company’s registration statement on Form S-1 relating to the Company’s IPO was declared effective by the SEC. The IPO closed on March 12, 2018 and we issued and sold 5,454,545 shares of common stock at a public offering price of $11.00 per share, for gross proceeds of $60,000 and net proceeds of $54,102 after deducting underwriting discounts and commissions of $4,200 and other offering expenses of $1,698.</w:t>
      </w:r>
    </w:p>
    <w:p>
      <w:pPr>
        <w:spacing w:after="0" w:line="16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January and February 2018, the Company issued 283,452 shares of common stock with an issuance price of $6.88 per share for gross and net proceeds of $1,950.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October 2017 the Company sold 271,839 shares of common stock with an issuance price of $4.82 per share with gross and net proceeds of $1,311.</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September 2017, the Company sold 155,709 shares of common stock with an issuance price of $4.82 per share with gross and net proceeds of $751.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ectPr>
          <w:pgSz w:w="11900" w:h="16838" w:orient="portrait"/>
          <w:cols w:equalWidth="0" w:num="1">
            <w:col w:w="11460"/>
          </w:cols>
          <w:pgMar w:left="240" w:top="125" w:right="199" w:bottom="86" w:gutter="0" w:footer="0" w:header="0"/>
        </w:sectPr>
      </w:pPr>
    </w:p>
    <w:bookmarkStart w:id="8" w:name="page9"/>
    <w:bookmarkEnd w:id="8"/>
    <w:p>
      <w:pPr>
        <w:ind w:right="360" w:firstLine="324"/>
        <w:spacing w:after="0" w:line="342" w:lineRule="auto"/>
        <w:rPr>
          <w:sz w:val="20"/>
          <w:szCs w:val="20"/>
          <w:color w:val="auto"/>
        </w:rPr>
      </w:pPr>
      <w:r>
        <w:rPr>
          <w:rFonts w:ascii="Arial" w:cs="Arial" w:eastAsia="Arial" w:hAnsi="Arial"/>
          <w:sz w:val="16"/>
          <w:szCs w:val="16"/>
          <w:color w:val="auto"/>
        </w:rPr>
        <w:t>The Company’s 2017 Stock Incentive Plan (the “2017 Stock Plan”) became effective in August 2017 and will expire in August 2027. Under the 2017 Stock Plan, the Company may grant incentive stock options, non-statutory stock options, restricted stock awards and other stock-based awards.</w:t>
      </w:r>
    </w:p>
    <w:p>
      <w:pPr>
        <w:spacing w:after="0" w:line="124"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As of March 31, 2018 there were 3,462,570 shares of the Company’s common stock authorized for issuance under the 2017 Stock Plan. Options granted under the 2017 Stock Plan have a term of ten years with vesting term determined by the board of directors, which is generally four years.</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fair value of options granted during the three months ended March 31, 2018 was estimated using the Black-Scholes option-pricing model with the following assumptions.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For the</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March 31, 2018</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5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$11.00</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520" w:type="dxa"/>
            <w:vAlign w:val="bottom"/>
            <w:gridSpan w:val="3"/>
          </w:tcPr>
          <w:p>
            <w:pPr>
              <w:jc w:val="right"/>
              <w:spacing w:after="0"/>
              <w:rPr>
                <w:sz w:val="20"/>
                <w:szCs w:val="20"/>
                <w:color w:val="auto"/>
              </w:rPr>
            </w:pPr>
            <w:r>
              <w:rPr>
                <w:rFonts w:ascii="Arial" w:cs="Arial" w:eastAsia="Arial" w:hAnsi="Arial"/>
                <w:sz w:val="18"/>
                <w:szCs w:val="18"/>
                <w:color w:val="auto"/>
              </w:rPr>
              <w:t>77.38%</w:t>
            </w:r>
          </w:p>
        </w:tc>
        <w:tc>
          <w:tcPr>
            <w:tcW w:w="1060" w:type="dxa"/>
            <w:vAlign w:val="bottom"/>
          </w:tcPr>
          <w:p>
            <w:pPr>
              <w:ind w:left="20"/>
              <w:spacing w:after="0"/>
              <w:rPr>
                <w:sz w:val="20"/>
                <w:szCs w:val="20"/>
                <w:color w:val="auto"/>
              </w:rPr>
            </w:pPr>
            <w:r>
              <w:rPr>
                <w:rFonts w:ascii="Arial" w:cs="Arial" w:eastAsia="Arial" w:hAnsi="Arial"/>
                <w:sz w:val="18"/>
                <w:szCs w:val="18"/>
                <w:color w:val="auto"/>
              </w:rPr>
              <w:t>- 77.58%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5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- 2.79%</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5520" w:type="dxa"/>
            <w:vAlign w:val="bottom"/>
            <w:gridSpan w:val="3"/>
          </w:tcPr>
          <w:p>
            <w:pPr>
              <w:jc w:val="right"/>
              <w:spacing w:after="0"/>
              <w:rPr>
                <w:sz w:val="20"/>
                <w:szCs w:val="20"/>
                <w:color w:val="auto"/>
              </w:rPr>
            </w:pPr>
            <w:r>
              <w:rPr>
                <w:rFonts w:ascii="Arial" w:cs="Arial" w:eastAsia="Arial" w:hAnsi="Arial"/>
                <w:sz w:val="18"/>
                <w:szCs w:val="18"/>
                <w:color w:val="auto"/>
              </w:rPr>
              <w:t>$6.82</w:t>
            </w:r>
          </w:p>
        </w:tc>
        <w:tc>
          <w:tcPr>
            <w:tcW w:w="1060" w:type="dxa"/>
            <w:vAlign w:val="bottom"/>
          </w:tcPr>
          <w:p>
            <w:pPr>
              <w:ind w:left="20"/>
              <w:spacing w:after="0"/>
              <w:rPr>
                <w:sz w:val="20"/>
                <w:szCs w:val="20"/>
                <w:color w:val="auto"/>
              </w:rPr>
            </w:pPr>
            <w:r>
              <w:rPr>
                <w:rFonts w:ascii="Arial" w:cs="Arial" w:eastAsia="Arial" w:hAnsi="Arial"/>
                <w:sz w:val="18"/>
                <w:szCs w:val="18"/>
                <w:color w:val="auto"/>
              </w:rPr>
              <w:t>- $7.46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5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Non-Employees</w:t>
            </w: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For the</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2018</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6580" w:type="dxa"/>
            <w:vAlign w:val="bottom"/>
            <w:gridSpan w:val="4"/>
            <w:shd w:val="clear" w:color="auto" w:fill="CCEEFF"/>
          </w:tcPr>
          <w:p>
            <w:pPr>
              <w:jc w:val="center"/>
              <w:ind w:left="4450"/>
              <w:spacing w:after="0"/>
              <w:rPr>
                <w:sz w:val="20"/>
                <w:szCs w:val="20"/>
                <w:color w:val="auto"/>
              </w:rPr>
            </w:pPr>
            <w:r>
              <w:rPr>
                <w:rFonts w:ascii="Arial" w:cs="Arial" w:eastAsia="Arial" w:hAnsi="Arial"/>
                <w:sz w:val="18"/>
                <w:szCs w:val="18"/>
                <w:color w:val="auto"/>
                <w:w w:val="89"/>
              </w:rPr>
              <w:t>$0.41 - $11.00</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580" w:type="dxa"/>
            <w:vAlign w:val="bottom"/>
            <w:gridSpan w:val="4"/>
          </w:tcPr>
          <w:p>
            <w:pPr>
              <w:jc w:val="center"/>
              <w:ind w:left="4470"/>
              <w:spacing w:after="0"/>
              <w:rPr>
                <w:sz w:val="20"/>
                <w:szCs w:val="20"/>
                <w:color w:val="auto"/>
              </w:rPr>
            </w:pPr>
            <w:r>
              <w:rPr>
                <w:rFonts w:ascii="Arial" w:cs="Arial" w:eastAsia="Arial" w:hAnsi="Arial"/>
                <w:sz w:val="18"/>
                <w:szCs w:val="18"/>
                <w:color w:val="auto"/>
                <w:w w:val="91"/>
              </w:rPr>
              <w:t>77.24% - 77.36%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6580" w:type="dxa"/>
            <w:vAlign w:val="bottom"/>
            <w:gridSpan w:val="4"/>
            <w:shd w:val="clear" w:color="auto" w:fill="CCEEFF"/>
          </w:tcPr>
          <w:p>
            <w:pPr>
              <w:jc w:val="center"/>
              <w:ind w:left="4450"/>
              <w:spacing w:after="0"/>
              <w:rPr>
                <w:sz w:val="20"/>
                <w:szCs w:val="20"/>
                <w:color w:val="auto"/>
              </w:rPr>
            </w:pPr>
            <w:r>
              <w:rPr>
                <w:rFonts w:ascii="Arial" w:cs="Arial" w:eastAsia="Arial" w:hAnsi="Arial"/>
                <w:sz w:val="18"/>
                <w:szCs w:val="18"/>
                <w:color w:val="auto"/>
                <w:w w:val="91"/>
              </w:rPr>
              <w:t>2.73% - 2.74%</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6580" w:type="dxa"/>
            <w:vAlign w:val="bottom"/>
            <w:gridSpan w:val="4"/>
          </w:tcPr>
          <w:p>
            <w:pPr>
              <w:jc w:val="center"/>
              <w:ind w:left="4450"/>
              <w:spacing w:after="0"/>
              <w:rPr>
                <w:sz w:val="20"/>
                <w:szCs w:val="20"/>
                <w:color w:val="auto"/>
              </w:rPr>
            </w:pPr>
            <w:r>
              <w:rPr>
                <w:rFonts w:ascii="Arial" w:cs="Arial" w:eastAsia="Arial" w:hAnsi="Arial"/>
                <w:sz w:val="18"/>
                <w:szCs w:val="18"/>
                <w:color w:val="auto"/>
                <w:w w:val="89"/>
              </w:rPr>
              <w:t>$8.18 - $10.00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580" w:type="dxa"/>
            <w:vAlign w:val="bottom"/>
            <w:gridSpan w:val="4"/>
            <w:shd w:val="clear" w:color="auto" w:fill="CCEEFF"/>
          </w:tcPr>
          <w:p>
            <w:pPr>
              <w:jc w:val="center"/>
              <w:ind w:left="4450"/>
              <w:spacing w:after="0"/>
              <w:rPr>
                <w:sz w:val="20"/>
                <w:szCs w:val="20"/>
                <w:color w:val="auto"/>
              </w:rPr>
            </w:pPr>
            <w:r>
              <w:rPr>
                <w:rFonts w:ascii="Arial" w:cs="Arial" w:eastAsia="Arial" w:hAnsi="Arial"/>
                <w:sz w:val="18"/>
                <w:szCs w:val="18"/>
                <w:color w:val="auto"/>
                <w:w w:val="89"/>
              </w:rPr>
              <w:t>9.4 - 9.95</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540" w:type="dxa"/>
            <w:vAlign w:val="bottom"/>
          </w:tcPr>
          <w:p>
            <w:pPr>
              <w:jc w:val="right"/>
              <w:ind w:right="257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Since the Company recently completed its IPO, it does not have a history of market prices of its common stock and, as such, volatility was estimated using historical volatilities of similar public companies. The expected life of the employee awards is estimated based on the simplified method, which calculates the expected life based upon the midpoint of the term of the award and the vesting period. The Company uses the simplified method because it does not have sufficient option exercise data to provide a reasonable basis upon which to estimate the expected term. The expected term of non-employee awards represents the awards contractual term.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life of the stock options.</w:t>
      </w:r>
    </w:p>
    <w:p>
      <w:pPr>
        <w:spacing w:after="0" w:line="17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summarizes information about stock option activity during the period the Plan was in effect (in thousands,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Remaining 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Number of Shares</w:t>
            </w:r>
          </w:p>
        </w:tc>
        <w:tc>
          <w:tcPr>
            <w:tcW w:w="120" w:type="dxa"/>
            <w:vAlign w:val="bottom"/>
          </w:tcPr>
          <w:p>
            <w:pPr>
              <w:spacing w:after="0"/>
              <w:rPr>
                <w:sz w:val="14"/>
                <w:szCs w:val="14"/>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Price per Share</w:t>
            </w:r>
          </w:p>
        </w:tc>
        <w:tc>
          <w:tcPr>
            <w:tcW w:w="140" w:type="dxa"/>
            <w:vAlign w:val="bottom"/>
          </w:tcPr>
          <w:p>
            <w:pPr>
              <w:spacing w:after="0"/>
              <w:rPr>
                <w:sz w:val="14"/>
                <w:szCs w:val="14"/>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Total Intrinsic Value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Life (in years)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as of January 1, 2018</w:t>
            </w:r>
          </w:p>
        </w:tc>
        <w:tc>
          <w:tcPr>
            <w:tcW w:w="15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1,813,524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13,894,762</w:t>
            </w:r>
          </w:p>
        </w:tc>
        <w:tc>
          <w:tcPr>
            <w:tcW w:w="3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160"/>
              <w:spacing w:after="0" w:line="149" w:lineRule="exact"/>
              <w:rPr>
                <w:sz w:val="20"/>
                <w:szCs w:val="20"/>
                <w:color w:val="auto"/>
              </w:rPr>
            </w:pPr>
            <w:r>
              <w:rPr>
                <w:rFonts w:ascii="Arial" w:cs="Arial" w:eastAsia="Arial" w:hAnsi="Arial"/>
                <w:sz w:val="14"/>
                <w:szCs w:val="14"/>
                <w:color w:val="auto"/>
              </w:rPr>
              <w:t>Employee options granted</w:t>
            </w:r>
          </w:p>
        </w:tc>
        <w:tc>
          <w:tcPr>
            <w:tcW w:w="15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143,148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2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Outstanding as of March 31, 2018</w:t>
            </w: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1,956,672</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17,395,705</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vested and exercisable as of March 31, 2018</w:t>
            </w:r>
          </w:p>
        </w:tc>
        <w:tc>
          <w:tcPr>
            <w:tcW w:w="15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1,369,623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13,463,394</w:t>
            </w:r>
          </w:p>
        </w:tc>
        <w:tc>
          <w:tcPr>
            <w:tcW w:w="3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Non-employee Options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Remaining 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 per Share</w:t>
            </w:r>
          </w:p>
        </w:tc>
        <w:tc>
          <w:tcPr>
            <w:tcW w:w="140" w:type="dxa"/>
            <w:vAlign w:val="bottom"/>
          </w:tcPr>
          <w:p>
            <w:pPr>
              <w:spacing w:after="0"/>
              <w:rPr>
                <w:sz w:val="14"/>
                <w:szCs w:val="14"/>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Total Intrinsic Value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Life (in years)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as of January 1, 2018</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496,515</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3,922,238</w:t>
            </w:r>
          </w:p>
        </w:tc>
        <w:tc>
          <w:tcPr>
            <w:tcW w:w="3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ind w:left="180"/>
              <w:spacing w:after="0" w:line="149" w:lineRule="exact"/>
              <w:rPr>
                <w:sz w:val="20"/>
                <w:szCs w:val="20"/>
                <w:color w:val="auto"/>
              </w:rPr>
            </w:pPr>
            <w:r>
              <w:rPr>
                <w:rFonts w:ascii="Arial" w:cs="Arial" w:eastAsia="Arial" w:hAnsi="Arial"/>
                <w:sz w:val="14"/>
                <w:szCs w:val="14"/>
                <w:color w:val="auto"/>
              </w:rPr>
              <w:t>Non-employee options granted</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68,256</w:t>
            </w:r>
          </w:p>
        </w:tc>
        <w:tc>
          <w:tcPr>
            <w:tcW w:w="3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Non-employee options forfeited</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40" w:type="dxa"/>
            <w:vAlign w:val="bottom"/>
            <w:gridSpan w:val="2"/>
          </w:tcPr>
          <w:p>
            <w:pPr>
              <w:spacing w:after="0"/>
              <w:rPr>
                <w:sz w:val="20"/>
                <w:szCs w:val="20"/>
                <w:color w:val="auto"/>
              </w:rPr>
            </w:pPr>
            <w:r>
              <w:rPr>
                <w:rFonts w:ascii="Arial" w:cs="Arial" w:eastAsia="Arial" w:hAnsi="Arial"/>
                <w:sz w:val="14"/>
                <w:szCs w:val="14"/>
                <w:color w:val="auto"/>
              </w:rPr>
              <w:t>Outstanding as of March 31, 2018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558,609</w:t>
            </w:r>
          </w:p>
        </w:tc>
        <w:tc>
          <w:tcPr>
            <w:tcW w:w="300" w:type="dxa"/>
            <w:vAlign w:val="bottom"/>
          </w:tcPr>
          <w:p>
            <w:pPr>
              <w:spacing w:after="0"/>
              <w:rPr>
                <w:sz w:val="17"/>
                <w:szCs w:val="17"/>
                <w:color w:val="auto"/>
              </w:rPr>
            </w:pPr>
          </w:p>
        </w:tc>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200" w:type="dxa"/>
            <w:vAlign w:val="bottom"/>
          </w:tcPr>
          <w:p>
            <w:pPr>
              <w:spacing w:after="0"/>
              <w:rPr>
                <w:sz w:val="17"/>
                <w:szCs w:val="17"/>
                <w:color w:val="auto"/>
              </w:rPr>
            </w:pPr>
          </w:p>
        </w:tc>
        <w:tc>
          <w:tcPr>
            <w:tcW w:w="5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4,820,170</w:t>
            </w:r>
          </w:p>
        </w:tc>
        <w:tc>
          <w:tcPr>
            <w:tcW w:w="3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2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Options vested and exercisable as of March 31, 2018</w:t>
            </w: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42,827</w:t>
            </w:r>
          </w:p>
        </w:tc>
        <w:tc>
          <w:tcPr>
            <w:tcW w:w="300" w:type="dxa"/>
            <w:vAlign w:val="bottom"/>
          </w:tcPr>
          <w:p>
            <w:pPr>
              <w:spacing w:after="0"/>
              <w:rPr>
                <w:sz w:val="12"/>
                <w:szCs w:val="12"/>
                <w:color w:val="auto"/>
              </w:rPr>
            </w:pPr>
          </w:p>
        </w:tc>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0.50</w:t>
            </w:r>
          </w:p>
        </w:tc>
        <w:tc>
          <w:tcPr>
            <w:tcW w:w="200" w:type="dxa"/>
            <w:vAlign w:val="bottom"/>
          </w:tcPr>
          <w:p>
            <w:pPr>
              <w:spacing w:after="0"/>
              <w:rPr>
                <w:sz w:val="12"/>
                <w:szCs w:val="12"/>
                <w:color w:val="auto"/>
              </w:rPr>
            </w:pPr>
          </w:p>
        </w:tc>
        <w:tc>
          <w:tcPr>
            <w:tcW w:w="560" w:type="dxa"/>
            <w:vAlign w:val="bottom"/>
            <w:tcBorders>
              <w:bottom w:val="single" w:sz="8" w:color="auto"/>
            </w:tcBorders>
          </w:tcPr>
          <w:p>
            <w:pPr>
              <w:jc w:val="right"/>
              <w:ind w:right="41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417,018</w:t>
            </w:r>
          </w:p>
        </w:tc>
        <w:tc>
          <w:tcPr>
            <w:tcW w:w="300" w:type="dxa"/>
            <w:vAlign w:val="bottom"/>
          </w:tcPr>
          <w:p>
            <w:pPr>
              <w:spacing w:after="0"/>
              <w:rPr>
                <w:sz w:val="12"/>
                <w:szCs w:val="12"/>
                <w:color w:val="auto"/>
              </w:rPr>
            </w:pPr>
          </w:p>
        </w:tc>
        <w:tc>
          <w:tcPr>
            <w:tcW w:w="1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 granted 211,404 options to purchase shares of common stock during the three months ended March 31, 2018. No options were exercised during the three months ended March 31, 2018. There were 947,289 shares available for grant as of March 31, 2018.</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recognized stock-based compensation expense of $1,196 for the three months ended March 31, 2018. There was no corresponding charge for the period ending March 31, 2017 as the plan did not exist.</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weighted-average grant-date fair value of options was $1,016 and $572 for employees and non-employees, respectively, for the three months ended March 31, 2018.</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Unrecognized compensation expense related to unvested awards as of March 31, 2018 was $3,590 for non-employees and $1,295 for employees and will be recognized over the remaining vesting periods of the underlying awards. The weighted-average period over which such compensation is expected to be recognized is 1.8 years for non-employees and 2.0 years for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BioXcel Charges</w:t>
      </w:r>
    </w:p>
    <w:p>
      <w:pPr>
        <w:spacing w:after="0" w:line="225" w:lineRule="exact"/>
        <w:rPr>
          <w:sz w:val="20"/>
          <w:szCs w:val="20"/>
          <w:color w:val="auto"/>
        </w:rPr>
      </w:pPr>
    </w:p>
    <w:p>
      <w:pPr>
        <w:ind w:firstLine="359"/>
        <w:spacing w:after="0" w:line="255" w:lineRule="auto"/>
        <w:rPr>
          <w:sz w:val="20"/>
          <w:szCs w:val="20"/>
          <w:color w:val="auto"/>
        </w:rPr>
      </w:pPr>
      <w:r>
        <w:rPr>
          <w:rFonts w:ascii="Arial" w:cs="Arial" w:eastAsia="Arial" w:hAnsi="Arial"/>
          <w:sz w:val="18"/>
          <w:szCs w:val="18"/>
          <w:color w:val="auto"/>
        </w:rPr>
        <w:t>BioXcel has granted stock options to its employees under its own Equity Incentive Plan (“BioXcel Plan”). Stock-based compensation expense from the BioXcel Plan is allocated to the Company over the period over which those stock option awards vest and are based the on the percentage of time spent on Company activities compared to BioXcel activities, which is the same basis used for allocation of salary costs. The BioXcel stock option awards are valued at fair value on the date of grant and that fair value is recognized over the requisite service period. The estimated fair value of these BioXcel stock option awards was determined using the Black Scholes option pricing model on the date of grant. Significant judgment and estimates were used to estimate the fair value of these awards, as they are not publicly traded.</w:t>
      </w:r>
    </w:p>
    <w:p>
      <w:pPr>
        <w:spacing w:after="0" w:line="193"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For the three months ended March 31, 2018 and 2017 share-based compensation expense recognized by the Company in its statements of operations related to BioXcel equity awards totaled $123 and $107, respectively.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share-based compensation charges for the three months ending March 31, 2018 and 2017 were $1,319 and $107,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16" w:lineRule="exact"/>
        <w:rPr>
          <w:sz w:val="20"/>
          <w:szCs w:val="20"/>
          <w:color w:val="auto"/>
        </w:rPr>
      </w:pPr>
    </w:p>
    <w:p>
      <w:pPr>
        <w:ind w:right="520" w:firstLine="324"/>
        <w:spacing w:after="0" w:line="259" w:lineRule="auto"/>
        <w:rPr>
          <w:sz w:val="20"/>
          <w:szCs w:val="20"/>
          <w:color w:val="auto"/>
        </w:rPr>
      </w:pPr>
      <w:r>
        <w:rPr>
          <w:rFonts w:ascii="Arial" w:cs="Arial" w:eastAsia="Arial" w:hAnsi="Arial"/>
          <w:sz w:val="18"/>
          <w:szCs w:val="18"/>
          <w:color w:val="auto"/>
        </w:rPr>
        <w:t>Deferred income tax assets and liabilities are recognized for the estimated future tax consequences attributable to differences between the financial reporting and tax bases of assets and liabilities and are measured using enacted tax rates in effect for the year in which those temporary differences are expected to be recovered or settled. A valuation allowance is provided for the amount of deferred tax assets that, based on available evidence, are not expected to be realized.</w:t>
      </w:r>
    </w:p>
    <w:p>
      <w:pPr>
        <w:spacing w:after="0" w:line="173"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As a result of the Company’s cumulative losses, management has concluded that a full valuation allowance against the Company’s net deferred tax assets is appropriate. No income tax liabilities existed as of March 31, 2018 and December 31, 2017 due to the Company’s continuing operating losses.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This Quarterly Report on Form 10-Q, or this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80"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initiate clinical trials for BXCL501, BXCL701 and our other product candidates;</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ectPr>
          <w:pgSz w:w="11900" w:h="16838" w:orient="portrait"/>
          <w:cols w:equalWidth="0" w:num="1">
            <w:col w:w="11420"/>
          </w:cols>
          <w:pgMar w:left="240" w:top="127" w:right="239" w:bottom="0" w:gutter="0" w:footer="0" w:header="0"/>
        </w:sectPr>
      </w:pPr>
    </w:p>
    <w:bookmarkStart w:id="10" w:name="page11"/>
    <w:bookmarkEnd w:id="10"/>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 for additional financing;</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11"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our relationship with BioXcel.</w:t>
      </w:r>
    </w:p>
    <w:p>
      <w:pPr>
        <w:spacing w:after="0" w:line="212"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5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appearing elsewhere in this Quarterly Report and our final prospectus for our initial public offering filed pursuant to Rule 424(b)(4) under the Securities Act of 1933, as amended, or the Securities Act, with the Securities and Exchange Commission, or the SEC, on March 9, 2018.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 dollar amounts in this discussion and analysis are to the nearest thousand unless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a clinical stage biopharmaceutical company focused on drug development that utilizes novel artificial intelligence, or AI, to identify the next wave of medicines across neuroscience and immuno-oncology. Our drug re-innovation approach leverages existing approved drugs and/or clinically validated product candidates together with big data and proprietary machine learning algorithms to identify new therapeutic indices. We believe that this differentiated approach has the potential to reduce the cost and time of drug development in diseases with substantial unmet medical need. Our two most advanced clinical development programs are BXCL501, a sublingual thin film formulation of the a</w:t>
      </w:r>
      <w:r>
        <w:rPr>
          <w:rFonts w:ascii="Arial" w:cs="Arial" w:eastAsia="Arial" w:hAnsi="Arial"/>
          <w:sz w:val="10"/>
          <w:szCs w:val="10"/>
          <w:color w:val="auto"/>
        </w:rPr>
        <w:t>2a</w:t>
      </w:r>
      <w:r>
        <w:rPr>
          <w:rFonts w:ascii="Arial" w:cs="Arial" w:eastAsia="Arial" w:hAnsi="Arial"/>
          <w:sz w:val="16"/>
          <w:szCs w:val="16"/>
          <w:color w:val="auto"/>
        </w:rPr>
        <w:t xml:space="preserve"> adrenergic receptor agonist dexmedetomidine, or Dex, for acute treatment of agitation resulting from neurological and psychiatric disorders, and BXCL701, an immuno-oncology agent for treatment of a rare form of prostate cancer and pancreatic cancer. We initiated a Phase 1b pharmacokinetic/pharmacodynamic, or PK/PD, safety study using the IV formulation of Dex in mild probable Alzheimer’s Disease Patients in December 2017 and we plan to initiate a Phase 1b PK/PD safety study using the IV formulation of Dex in schizophrenia patients in the second half of 2018. We expect to report data from both studies by the second half of 2018. We also intend to commence Phase 2 proof of concept, or PoC, open label clinical trials in 2018 for both programs. We expect that a data readout from the planned Phase 2 PoC open label clinical trials for the BXCL501 program will be available by the end of 2018. We intend to initiate a bridging bioavailability, or BA, and bioequivalence, or BE, study for the sublingual thin film formulation in the second half of 2018 that, if successful, could potentially lead to the start of a registration trial in the first half of 2019. Preliminary data from the planned Phase 2 PoC clinical trials of BXCL701 will be available in the first half of 2019. We also acquired the rights to two other product candidates, BXCL502 and BXCL702, which together with BXCL501 and BXCL701 collectively represent the “BTI Business.”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were formed to develop first-in-class, high value therapeutics by leveraging EvolverAI, a research and development engine created and owned by our parent, BioXcel Corporation, or BioXcel. We believe the combination of our therapeutic area expertise, our ability to generate product candidates through our exclusive collaborative relationship with BioXcel in the areas of neuroscience and immuno-oncology gives us a significant competitive advantage. EvolverAI was developed over the last decade and integrates millions of fragmented data points using artificial intelligence and proprietary machine learning algorithms. After evaluating multiple product candidates using EvolverAI, we selected our lead programs because our analysis indicated these drugs may have utility in new therapeutic indices where there is substantial unmet medical needs and limited competition. By focusing on clinical candidates with relevant human data, we believe our approach will help us design more efficient clinical trials, thereby accelerating our product candidates’ time to market. We retain global development and commercialization rights to these two programs.</w:t>
      </w:r>
    </w:p>
    <w:p>
      <w:pPr>
        <w:spacing w:after="0" w:line="17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Since our inception in March 2017, we have devoted substantially all of our resources to organizing and staffing our company, business planning, raising capital, acquiring and developing product candidates and related intellectual property rights, planning for commercialization, and conducting research and development activities for our product candidates. We do not have any products approved for sale and have not generated any revenue from product sales. Prior to our IPO in March 2018, we funded our operations primarily through the sales of approximately $4.0 million of common shares through private placement and loans from our Parent.</w:t>
      </w:r>
    </w:p>
    <w:p>
      <w:pPr>
        <w:sectPr>
          <w:pgSz w:w="11900" w:h="16838" w:orient="portrait"/>
          <w:cols w:equalWidth="0" w:num="1">
            <w:col w:w="11400"/>
          </w:cols>
          <w:pgMar w:left="240" w:top="328" w:right="259" w:bottom="0" w:gutter="0" w:footer="0" w:header="0"/>
        </w:sectPr>
      </w:pPr>
    </w:p>
    <w:bookmarkStart w:id="11" w:name="page12"/>
    <w:bookmarkEnd w:id="11"/>
    <w:p>
      <w:pPr>
        <w:jc w:val="both"/>
        <w:ind w:firstLine="324"/>
        <w:spacing w:after="0" w:line="257" w:lineRule="auto"/>
        <w:rPr>
          <w:sz w:val="20"/>
          <w:szCs w:val="20"/>
          <w:color w:val="auto"/>
        </w:rPr>
      </w:pPr>
      <w:r>
        <w:rPr>
          <w:rFonts w:ascii="Arial" w:cs="Arial" w:eastAsia="Arial" w:hAnsi="Arial"/>
          <w:sz w:val="18"/>
          <w:szCs w:val="18"/>
          <w:color w:val="auto"/>
        </w:rPr>
        <w:t>On March 7, 2018, our registration statement on Form S-1 relating to our IPO was declared effective by the SEC. The IPO closed on March 12, 2018 and we issued and sold 5,454,545 common shares at a public offering price of $11.00 per share. Gross proceeds totaled $60.0 million and net proceeds were $54.1 million after deducting underwriting discounts and commissions of $4.2 million and other offering expenses of approximately $1.7 million. All offering costs are directly associated with the offering and were recorded in stockholders’ equity as a reduction of the gross proceeds. The other offering expenses included legal, accounting, printing and filing fees.</w:t>
      </w:r>
    </w:p>
    <w:p>
      <w:pPr>
        <w:spacing w:after="0" w:line="188"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To date, we have not generated any revenue, we have incurred net losses and all of our operations have been financed by loans and advances from BioXcel and sales of our common stock. Our net losses were approximately $4.3 million and $0.5 million for the three months ended March 31, 2018 and 2017, respectively.</w:t>
      </w:r>
    </w:p>
    <w:p>
      <w:pPr>
        <w:spacing w:after="0" w:line="18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net losses have resulted from costs incurred in developing the drugs in our pipeline, planning, preparing and conducting clinical trials and general and administrative activities associated with our operations. We expect to continue to incur significant expenses and corresponding increased operating losses for the foreseeable future as we continue to develop our pipeline. Our costs may further increase as we conduct clinical trials and seek regulatory approval for and prepare to commercialize our candidates. We expect to incur significant expenses to continue to build the infrastructure necessary to support our expanded operations, clinical trials, commercialization, including manufacturing, marketing, sales and distribution functions. We will also experience increased costs associated with operating as an independent entity and as a public company.</w:t>
      </w:r>
    </w:p>
    <w:p>
      <w:pPr>
        <w:spacing w:after="0" w:line="17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will not generate revenue from product sales unless and until we successfully complete clinical development and obtain regulatory approval for our product candidates. We expect to continue to incur significant expenses for at least the next several years as we advance our product candidates from discovery through preclinical development and clinical trials and seek regulatory approval and pursue commercialization of any approved product candidate. In addition, if we obtain marketing approval for any of our product candidates, we expect to incur significant commercialization expenses related to product manufacturing, marketing, sales and distribution. In addition, we may incur expenses in connection with the in-license or acquisition of additional product candidates. We also expect to incur additional costs associated with operating as a public company, including significant legal, accounting, investor relations and other expenses that we did not incur as a private company.</w:t>
      </w:r>
    </w:p>
    <w:p>
      <w:pPr>
        <w:spacing w:after="0" w:line="178" w:lineRule="exact"/>
        <w:rPr>
          <w:sz w:val="20"/>
          <w:szCs w:val="20"/>
          <w:color w:val="auto"/>
        </w:rPr>
      </w:pPr>
    </w:p>
    <w:p>
      <w:pPr>
        <w:jc w:val="both"/>
        <w:ind w:right="180" w:firstLine="324"/>
        <w:spacing w:after="0" w:line="302"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debt financings or other capital sources, including collaborations with other companies or other strategic transactions. We may be unable to raise additional funds or enter into such other agreements or arrangements when needed on favorable terms, or at all. If we fail to raise capital or enter into such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agreements as, and when, needed, we may have to significantly delay, scale back or discontinue the development and commercialization of one or more of our product candidates or delay our pursuit of potential in-licenses or acquisitions.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As of March 31, 2018, we had cash of approximately $55.5 million, which we believe will enable us to fund our operating expenses and capital expenditure requirements for at least 12 months from the date of issuance of these financial statements. We have based these estimates on assumptions that may prove to be wrong, and we could exhaust our available capital resources sooner than we expect.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were incorporated on March 29, 2017 as a wholly-owned subsidiary of BioXcel. Prior to our March 2018 IPO our activities were funded by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Parent and a series of private placements of our common shares which include the following:</w:t>
      </w:r>
    </w:p>
    <w:p>
      <w:pPr>
        <w:spacing w:after="0" w:line="21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January and February 2018, the Company issued 283,452 $.001 par value common shares with an issuance price of $6.88 per share for gross and net proceeds of $1,950.</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 October 2017 the Company sold 271,839 shares of $.001 par value common shares with an issuance price of $4.82 per share with gross and net proceeds of $1,311.</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September 29, 2017, the Company sold 155,709 shares of $.001 common shares with an issuance price of $4.82 per share with gross and net proceeds of $751.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BioXcel</w:t>
      </w:r>
    </w:p>
    <w:p>
      <w:pPr>
        <w:spacing w:after="0" w:line="229"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color w:val="auto"/>
        </w:rPr>
        <w:t>We have entered into an asset contribution agreement, effective June 30, 2017, with BioXcel, as amended and restated on November 7, 2017, or the Contribution Agreement, pursuant to which BioXcel agreed to contribute to us, and we agreed to acquire from BioXcel, all of BioXcel’s rights, title and interest in and to BXCL501, BXCL701, BXCL502 and BXCL702, collectively, the Candidates, and all of the assets and liabilities associated with the Candidates, in consideration for (i) 9,480,000 shares of our common stock, (ii) $1 million upon completion of our IPO, (iii) $500 upon the later of the</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12 month anniversary of our IPO and the first dosing of a patient in the bridging bioavailability/bioequivalence study for the BXCL501 program, (iv) $500 upon the later of the 12 month anniversary of our IPO and the first dosing of a patient in the Phase 2 PoC open label monotherapy or combination trial with Keytruda for the BXCL701 program and (v) a one-time payment of $5 million within 60 days after the achievement of $50 million in cumulative net sales of any product or combination of products resulting from the development and commercialization of any one of the Candidates or a product derived therefrom. In addition, pursuant to the Contribution Agreement, upon completion of our IPO, BioXcel granted us a first right to negotiate exclusive rights to any additional product candidates in the fields of neuroscience and immuno-oncology that BioXcel may identify on its own, excluding the Candidates, and not in connection with BioXcel’s provision of services to us under the Services Agreement as defined and described below. This option for first negotiation shall be valid for a period of five years from the date of the Company’s IPO. With the completion of the Company’s IPO in March 2018, $1 million was charged to Research and Development costs and included in accounts payable in connection with the Contribution Agreement and was paid on April 5, 2018.</w:t>
      </w:r>
    </w:p>
    <w:p>
      <w:pPr>
        <w:sectPr>
          <w:pgSz w:w="11900" w:h="16838" w:orient="portrait"/>
          <w:cols w:equalWidth="0" w:num="1">
            <w:col w:w="11400"/>
          </w:cols>
          <w:pgMar w:left="240" w:top="341" w:right="259" w:bottom="0" w:gutter="0" w:footer="0" w:header="0"/>
        </w:sectPr>
      </w:pPr>
    </w:p>
    <w:bookmarkStart w:id="12" w:name="page13"/>
    <w:bookmarkEnd w:id="12"/>
    <w:p>
      <w:pPr>
        <w:ind w:right="80" w:firstLine="324"/>
        <w:spacing w:after="0" w:line="279" w:lineRule="auto"/>
        <w:rPr>
          <w:sz w:val="20"/>
          <w:szCs w:val="20"/>
          <w:color w:val="auto"/>
        </w:rPr>
      </w:pPr>
      <w:r>
        <w:rPr>
          <w:rFonts w:ascii="Arial" w:cs="Arial" w:eastAsia="Arial" w:hAnsi="Arial"/>
          <w:sz w:val="17"/>
          <w:szCs w:val="17"/>
          <w:color w:val="auto"/>
        </w:rPr>
        <w:t>We have entered into a separation and shared services agreement with BioXcel that took effect on June 30, 2017, as amended and restated on November 7, 2017, or the Services Agreement, pursuant to which BioXcel will allow us to continue to use the office space, equipment, services and leased employees based on the agreed upon terms and conditions for a payment of defined monthly and/or hourly fees. The parties have agreed that the services and office space provided under the Services Agreement shall decrease over time until the 12 month anniversary of the date of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Services Agreement, except for services to be provided by BioXcel through its subsidiary in India, which shall decrease until the 24 to 36 month anniversary of the date of the Services Agreement, provided such dates may be extended upon mutual agreement between the parties. On or before December 31, 2019, we shall have the option to enter into a collaborative services agreement with BioXcel pursuant to which BioXcel shall perform product identification and related services for us utilizing EvolverAI. We have agreed that this agreement will be negotiated in good faith and that such agreement will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five years from June 30, 2017.</w:t>
      </w:r>
    </w:p>
    <w:p>
      <w:pPr>
        <w:spacing w:after="0" w:line="18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connection with the Services Agreement, BioXcel agreed to provide us a line of credit, which was capped at $1 million, or the Total Funding Amount, pursuant to the terms of a grid note, or the Grid Note. The Grid Note was payable upon the earlier of (i) the completion of an IPO and (ii) December 31, 2018, together with interest on the unpaid balance of each advance made under the Grid Note, which shall accrue at a rate per annum equal to the applicable federal rate for short-term loans as of the date hereof, in each case calculated based on a 365-day year and actual days elapsed. As of December 31, 2017, we had drawn $371 under the Grid Note.</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All amounts due to BioXcel under the line of credit, the Grid Note, and for expenses paid on the Company’s behalf were paid to the Parent following the completion of the Company’s IPO on March 20,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periods prior to incorporation and through June 30, 2017, including the three months ended March 31, 2017 our financial statements are presented on a carve-out basis from the financial records of BioXcel. The carve-out includes reasonable allocations of assets and liabilities and expenses attributable to our business. For all periods after June 30, 2017, the allocations of assets, liabilities and expenses attributable to our business shall be made at prevailing prices pursuant to the terms of the Services Agreement, as described below.</w:t>
      </w:r>
    </w:p>
    <w:p>
      <w:pPr>
        <w:spacing w:after="0" w:line="187"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These results reflect amounts specifically attributable to the BTI Business, which include expenses, assets and liabilities of BioXcel relating to the Candidates that were contributed to us by BioXcel under the Contribution Agreement for the period from January 1, 2015 until June 30, 2017. The Services Agreement provides us with certain general and administrative and development support services that became effective June 30, 2017.</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However, consistent with accounting regulations, we have assumed that we were a separate business within BioXcel and we have reflected the related assets, liabilities and expenses in our results for periods prior to and post incorporation. These financial statements are presented on a carve-out basis and have been derived from the financial statements and accounting records of BioXcel and include reasonable allocations for assets and liabilities and expenses attributable to the business of the product candidates that were contributed.</w:t>
      </w:r>
    </w:p>
    <w:p>
      <w:pPr>
        <w:spacing w:after="0" w:line="18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Management believes the assumptions underlying the allocations of indirect expenses in the carve-out financial information are reasonable, however, our financial position, results of operations and cash flows may have been materially different if it had operated as a stand-alone entity for the three months ending March 31, 2017. For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three months ended March 31, 2017 results include carve-out amounts from our Parent. For the three months ended March 31, 2018 the results are on a standalone entity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preclinical and clinical candidates, which includes payments to BioXcel, our Parent.</w:t>
      </w:r>
    </w:p>
    <w:p>
      <w:pPr>
        <w:spacing w:after="0" w:line="170"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for consultants, laboratories and investigators that conduct our preclinical or clinical research activities;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pre-clinical trial materials and lab supplies; and</w:t>
      </w:r>
    </w:p>
    <w:p>
      <w:pPr>
        <w:sectPr>
          <w:pgSz w:w="11900" w:h="16838" w:orient="portrait"/>
          <w:cols w:equalWidth="0" w:num="1">
            <w:col w:w="11420"/>
          </w:cols>
          <w:pgMar w:left="240" w:top="125" w:right="239" w:bottom="0" w:gutter="0" w:footer="0" w:header="0"/>
        </w:sectPr>
      </w:pPr>
    </w:p>
    <w:bookmarkStart w:id="13" w:name="page14"/>
    <w:bookmarkEnd w:id="13"/>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other expenses.</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expense research and development costs to operations as incurred. Historically we have not segmented costs associated with our various development programs, however, beginning January 1, 2018, we have begun assigning costs to our individual development candidates.</w:t>
      </w:r>
    </w:p>
    <w:p>
      <w:pPr>
        <w:spacing w:after="0" w:line="147"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As of March 31, 2018, we had incurred an aggregate of approximately $7.2 million in research and development expenses related to the development of BXCL501 and BXCL701. We expect that our research and development expenses will increase as we plan for and commence our clinical trials of BXCL501 and BXCL701.</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Because of the numerous risks and uncertainties associated with product development, we cannot determine with certainty the duration and completion costs of these or other current or future clinical trials of BXCL501, BXCL701 or our other product candidates. We may never succeed in achieving regulatory approval for BXCL501, BXCL701 or any of our other product candidates. The duration, costs and timing of clinical trials and development of our product candidates will depend on a variety of factors, including the uncertainties of future clinical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and legal services, the cost of various consultants, occupancy costs and information systems costs.</w:t>
      </w:r>
    </w:p>
    <w:p>
      <w:pPr>
        <w:spacing w:after="0" w:line="166"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We expect that our general and administrative expenses will increase as we operate both as an independent entity and as a public company. We expect increased administrative costs resulting from our anticipated clinical trials and the potential commercialization of our product candidates. We believe that these increases will likely include increased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for director and officer liability insurance, hiring additional personnel to support future market research and future product commercialization efforts and increased fees for outside consultants, attorneys and accountants. We also expect to incur increased costs to comply with corporate governance, internal controls, investor relations and disclosures and similar requirements applicable to public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Analysis for the Three Months Ended March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4"/>
                <w:szCs w:val="14"/>
                <w:b w:val="1"/>
                <w:bCs w:val="1"/>
                <w:color w:val="auto"/>
              </w:rPr>
              <w:t>(Unaudited)</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300" w:type="dxa"/>
            <w:vAlign w:val="bottom"/>
          </w:tcPr>
          <w:p>
            <w:pPr>
              <w:spacing w:after="0"/>
              <w:rPr>
                <w:sz w:val="12"/>
                <w:szCs w:val="12"/>
                <w:color w:val="auto"/>
              </w:rPr>
            </w:pPr>
          </w:p>
        </w:tc>
        <w:tc>
          <w:tcPr>
            <w:tcW w:w="256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Increase / (Decrease) in $ &amp; %</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2,617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2260" w:type="dxa"/>
            <w:vAlign w:val="bottom"/>
            <w:gridSpan w:val="2"/>
          </w:tcPr>
          <w:p>
            <w:pPr>
              <w:jc w:val="right"/>
              <w:ind w:right="1140"/>
              <w:spacing w:after="0"/>
              <w:rPr>
                <w:sz w:val="20"/>
                <w:szCs w:val="20"/>
                <w:color w:val="auto"/>
              </w:rPr>
            </w:pPr>
            <w:r>
              <w:rPr>
                <w:rFonts w:ascii="Arial" w:cs="Arial" w:eastAsia="Arial" w:hAnsi="Arial"/>
                <w:sz w:val="18"/>
                <w:szCs w:val="18"/>
                <w:color w:val="auto"/>
              </w:rPr>
              <w:t>1,140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Loss from opertaions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(4,286)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3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(3,757)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60" w:type="dxa"/>
            <w:vAlign w:val="bottom"/>
            <w:gridSpan w:val="2"/>
          </w:tcPr>
          <w:p>
            <w:pPr>
              <w:jc w:val="right"/>
              <w:ind w:right="114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(4,282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220" w:type="dxa"/>
            <w:vAlign w:val="bottom"/>
            <w:tcBorders>
              <w:top w:val="single" w:sz="8" w:color="CCEEFF"/>
              <w:bottom w:val="single" w:sz="8" w:color="CCEEFF"/>
            </w:tcBorders>
            <w:shd w:val="clear" w:color="auto" w:fill="CCEEFF"/>
          </w:tcPr>
          <w:p>
            <w:pPr>
              <w:jc w:val="right"/>
              <w:ind w:right="10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560" w:firstLine="324"/>
        <w:spacing w:after="0" w:line="312" w:lineRule="auto"/>
        <w:rPr>
          <w:sz w:val="20"/>
          <w:szCs w:val="20"/>
          <w:color w:val="auto"/>
        </w:rPr>
      </w:pPr>
      <w:r>
        <w:rPr>
          <w:rFonts w:ascii="Arial" w:cs="Arial" w:eastAsia="Arial" w:hAnsi="Arial"/>
          <w:sz w:val="16"/>
          <w:szCs w:val="16"/>
          <w:color w:val="auto"/>
        </w:rPr>
        <w:t>Research and development expenses of $2,938 for the three months ended March 31, 2018, increased $2,617, or 815%, from $321 as compared to the three months ended March 31, 2017. The increase in drug development expenses included a payment to BioXcel of $1,000 pursuant to an asset contribution agreement for the BTI Business programs and an increase in stock-based compensation of $636 accounted for a majority of the increase.</w:t>
      </w:r>
    </w:p>
    <w:p>
      <w:pPr>
        <w:spacing w:after="0" w:line="14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Higher research activity levels also caused an increase in clinical trial expenses of $486 and compensation expense of $236. The remaining increase of $259 was due to legal expenses and other consulting charges.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General and administrative expenses of $1,348 for the three months ended March 31, 2018 increased $1,140, or 548%, from $208 as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March 31, 2017. The increase was primarily attributable to an increase in non-cash stock-based compensation of $577 from $25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March 31, 2017 which was mainly from the charges pertaining to our 2017 Equity Incentive Plan over and above the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costs transferred to us by our Parent. Compensation expenses increased by $192 from $25 for the three months ended March 31, 2017 to $218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2018. Additional expenses related to travel, professional and consultants’ fees and other expenses of $379 accounted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remainder of the increase.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25" w:right="239" w:bottom="117" w:gutter="0" w:footer="0" w:header="0"/>
        </w:sectPr>
      </w:pPr>
    </w:p>
    <w:bookmarkStart w:id="14" w:name="page15"/>
    <w:bookmarkEnd w:id="14"/>
    <w:p>
      <w:pPr>
        <w:ind w:right="620" w:firstLine="324"/>
        <w:spacing w:after="0" w:line="277" w:lineRule="auto"/>
        <w:rPr>
          <w:sz w:val="20"/>
          <w:szCs w:val="20"/>
          <w:color w:val="auto"/>
        </w:rPr>
      </w:pPr>
      <w:r>
        <w:rPr>
          <w:rFonts w:ascii="Arial" w:cs="Arial" w:eastAsia="Arial" w:hAnsi="Arial"/>
          <w:sz w:val="18"/>
          <w:szCs w:val="18"/>
          <w:color w:val="auto"/>
        </w:rPr>
        <w:t>We reported losses of approximately $4,282 and $529 for the three months ended March 31, 2018 and 2017, respectively. At March 31, 2018, the Company had shareholders’ equity of $52,106, working capital of $52,102 and cash of $55,465.</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may never achieve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We have focused our efforts on raising capital and building the products in our pipeline. Since our inception, and through our recently completed IPO, all our operations have been financed by our Parent, BioXcel, or the sales of our Common stock in a series of private placements and public offerings. The Company has not yet established an ongoing source of revenue sufficient to cover its operating costs and will need to do so in future periods.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(Unaudited)</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5"/>
          </w:tcPr>
          <w:p>
            <w:pPr>
              <w:ind w:left="200"/>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(1,012)</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For the three months ended March 31, 2018, net cash used in operating activities was approximately $1,012, which consisted of a net loss of $4,282 partially offset by $1,319 in stock-based compensation, an increase in accounts payable and accrued expenses of $2,743 and an increase in prepaid expenses of $805 for issuance costs associated with our IPO.</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the three months ended March 31, 2017, net cash used in operating activities was approximately $431, which consisted of a net loss of $529 partially offset by $107 in stock-based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net cash provided by financing activities was approximately $55,590 for the three months ended March 31, 2018 which was mainly attributable to the proceeds from issuance of common stock offset in part by repayment of loans to the Parent.</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2017 was approximately $431, which was attributable to investments made by BioXcel.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as we commence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188"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87"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commence our clinical development of BXCL501 and BXCL701;</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to identify, acquire, develop and commercialize additional product candidates;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drug development efforts;</w:t>
      </w:r>
    </w:p>
    <w:p>
      <w:pPr>
        <w:sectPr>
          <w:pgSz w:w="11900" w:h="16838" w:orient="portrait"/>
          <w:cols w:equalWidth="0" w:num="1">
            <w:col w:w="11420"/>
          </w:cols>
          <w:pgMar w:left="240" w:top="125" w:right="239" w:bottom="0" w:gutter="0" w:footer="0" w:header="0"/>
        </w:sectPr>
      </w:pPr>
    </w:p>
    <w:bookmarkStart w:id="15" w:name="page16"/>
    <w:bookmarkEnd w:id="15"/>
    <w:p>
      <w:pPr>
        <w:spacing w:after="0" w:line="103"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 candidates for which we may obtain regulatory approval;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begin to operate as a public company.</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expect that we will need to obtain substantial additional funding in order to complete our clinical trials.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w:t>
      </w:r>
    </w:p>
    <w:p>
      <w:pPr>
        <w:spacing w:after="0" w:line="18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the regulatory environment, and in certain cases, the results of outside appraisals. We periodically re-evaluate our estimates and assumptions with respect to these judgments and modify our approach when circumstances indicate that modifications are necessary.</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significant accounting policies are described in the notes to the financial statements included in the registration statement on Form S-1. As of March 31, 2018, there have been no material changes to any of the critical accounting policies contained therein.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 xml:space="preserve">In May 2014, the Financial Accounting Standards Board, or FASB, issued </w:t>
      </w:r>
      <w:r>
        <w:rPr>
          <w:rFonts w:ascii="Arial" w:cs="Arial" w:eastAsia="Arial" w:hAnsi="Arial"/>
          <w:sz w:val="17"/>
          <w:szCs w:val="17"/>
          <w:i w:val="1"/>
          <w:iCs w:val="1"/>
          <w:color w:val="auto"/>
        </w:rPr>
        <w:t>ASU 2014-09 Revenue from Contracts with Customers.</w:t>
      </w:r>
      <w:r>
        <w:rPr>
          <w:rFonts w:ascii="Arial" w:cs="Arial" w:eastAsia="Arial" w:hAnsi="Arial"/>
          <w:sz w:val="17"/>
          <w:szCs w:val="17"/>
          <w:color w:val="auto"/>
        </w:rPr>
        <w:t xml:space="preserve"> Under this guidance, an entity will recognize revenue when it transfers promised goods or services to customers in an amount that reflects what the entity expects to receive in exchange for the goods or services. This new guidance also requires more detailed disclosures to enable users of the financial statements to understand the nature, amount, timing and uncertainty of revenue and cash flows arising from contracts with customers. The Company adopted this guidance beginning on January 1, 2018. The guidance allows the selection of one of two methods of adoption, either the full retrospective approach, meaning the guidance would be applied to all periods presented, or modified retrospective approach, meaning the cumulative effect of applying the guidance would be recognized as an adjustment to opening accumulated deficit balance. Since the Company has no revenues to date, the Company does not believe the adoption of ASU-214-09 will have a material impact on its financial statements.</w:t>
      </w:r>
    </w:p>
    <w:p>
      <w:pPr>
        <w:spacing w:after="0" w:line="17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 xml:space="preserve">In February 2016, the FASB issued </w:t>
      </w:r>
      <w:r>
        <w:rPr>
          <w:rFonts w:ascii="Arial" w:cs="Arial" w:eastAsia="Arial" w:hAnsi="Arial"/>
          <w:sz w:val="16"/>
          <w:szCs w:val="16"/>
          <w:i w:val="1"/>
          <w:iCs w:val="1"/>
          <w:color w:val="auto"/>
        </w:rPr>
        <w:t>ASU 2016-02 Lease Accounting Topic 842</w:t>
      </w:r>
      <w:r>
        <w:rPr>
          <w:rFonts w:ascii="Arial" w:cs="Arial" w:eastAsia="Arial" w:hAnsi="Arial"/>
          <w:sz w:val="16"/>
          <w:szCs w:val="16"/>
          <w:color w:val="auto"/>
        </w:rPr>
        <w:t>. This ASU requires us to record all leases longer than one year on our balance sheet. Under the new guidance, when the Company records leases on its balance sheet under it will record a liability with a value equal to the present value of payments it will make over the life of the lease and an asset representing the underlying leased asset. The new accounting guidance requires the Company to determine if its leases are operating or financing leases, similar to current accounting guidance. The Company will record expense for operating type leases on a straight-line basis as an operating expense and it will record expense for finance type leases as interest expense. The new lease standard is effective for annual and interim periods beginning after December 15, 2018, with early adoption permitted. The Company must adopt the new standard on a modified retrospective basis, which requires it to reflect its leases on its balance sheet for the earliest comparative period presented. The Company is currently assessing the timing of adoption as well as the effects it will have on its financial statements and disclosures.</w:t>
      </w:r>
    </w:p>
    <w:p>
      <w:pPr>
        <w:spacing w:after="0" w:line="16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SEC staff issued Staff Accounting Bulletin (“SAB”) 118, which provides guidance on accounting for the tax effects of the U.S. tax reform announced on December 22, 2017 by the U.S. Government commonly referred to as the Tax Cuts and Jobs Act. SAB 118 provides a measurement period that should not extend beyond one year from the U.S. tax reform enactment date for companies to complete the accounting under Accounting Standards Codification (“ASC”) 740. In accordance with SAB 118, a company must reflect the income tax effects of those aspects of the U.S. tax reform for which the accounting under ASC 740 is complete. Specifically, the Company will be required to revalue its U.S. deferred tax assets and liabilities due to the federal</w:t>
      </w:r>
    </w:p>
    <w:p>
      <w:pPr>
        <w:sectPr>
          <w:pgSz w:w="11900" w:h="16941" w:orient="portrait"/>
          <w:cols w:equalWidth="0" w:num="1">
            <w:col w:w="11420"/>
          </w:cols>
          <w:pgMar w:left="240" w:top="125" w:right="239" w:bottom="0" w:gutter="0" w:footer="0" w:header="0"/>
        </w:sectPr>
      </w:pPr>
    </w:p>
    <w:bookmarkStart w:id="16" w:name="page17"/>
    <w:bookmarkEnd w:id="16"/>
    <w:p>
      <w:pPr>
        <w:ind w:right="520"/>
        <w:spacing w:after="0" w:line="277" w:lineRule="auto"/>
        <w:rPr>
          <w:sz w:val="20"/>
          <w:szCs w:val="20"/>
          <w:color w:val="auto"/>
        </w:rPr>
      </w:pPr>
      <w:r>
        <w:rPr>
          <w:rFonts w:ascii="Arial" w:cs="Arial" w:eastAsia="Arial" w:hAnsi="Arial"/>
          <w:sz w:val="18"/>
          <w:szCs w:val="18"/>
          <w:color w:val="auto"/>
        </w:rPr>
        <w:t>income tax rate reduction from 35 percent to 21 percent. Since the Company has provided a full valuation allowance against its deferred tax assets, the revaluation of the deferred tax assets did not have a material impact on any period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primary exposure to market risk is interest expense sensitivity, which is affected by changes in the general level of U.S. interest rates. Due to the short-term duration of Grid Note payable to BioXcel, we would not expect our operating results or cash flows to be affected to any significant degree by the effect of a sudden change in market interest rates on our note payable.</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balance sheet as of March 31, 2018 includes cash of $55.5 million. We do not participate in any foreign currency hedging activities and we do not have any other derivative financial instruments. We did not recognize any significant exchange rate losses during the three months ended March 31, 2018 and 2017, respectively.</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do not believe that our cash has significant risk of default or illiquidity. While we believe our cash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On April 5,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w:t>
      </w:r>
    </w:p>
    <w:p>
      <w:pPr>
        <w:spacing w:after="0" w:line="17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 market risk inherent in our financial instruments and in our financial position has historically been the potential loss arising from adverse changes in interest rates. As of March 31,2018 and December 31, 2017, we had cash of $55.5 million and $0.9 million, respectively. As of March 31, 2018, we held our cash in interest bearing cash accounts and accordingly, the value of these accounts is subject to fluctuation in interest rates.</w:t>
      </w:r>
    </w:p>
    <w:p>
      <w:pPr>
        <w:spacing w:after="0" w:line="166"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We do not engage in any hedging activities against changes in interest rates. We do not have any foreign currency or other derivative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2018.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connection with the audit of our financial statements for the years ended December 31, 2017 and 2016, our management concluded that the Company had a material weakness in its internal controls because it lacked adequately designed internal controls over the financial reporting and SEC filing process. The lack of an adequately designed internal control process made it difficult for management to ensure the timely preparation and review of the accounting for certain transactions, especially those that are technically complex, non-routine transactions or transactions subject to management estimates and judgements. In addition, the Company did not have adequately designed and documented financial close and management review controls to properly detect and prevent certain accounting errors and omitted disclosures in the financial statements and related footnotes. The Company believes it has addressed this weakness during the quarter ended March 31, 2018 by the establishment of a larger finance function with additional personnel, including the recruitment of a controller, assistant controller and administrative support personnel.</w:t>
      </w:r>
    </w:p>
    <w:p>
      <w:pPr>
        <w:spacing w:after="0" w:line="17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Based on the evaluation of our disclosure controls and procedures as of March 31, 2018, our Chief Executive Officer and Chief Financial Officer concluded that, as of such date, our disclosure controls and procedures are effective.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ectPr>
          <w:pgSz w:w="11900" w:h="16838" w:orient="portrait"/>
          <w:cols w:equalWidth="0" w:num="1">
            <w:col w:w="11380"/>
          </w:cols>
          <w:pgMar w:left="240" w:top="125" w:right="279" w:bottom="0" w:gutter="0" w:footer="0" w:header="0"/>
        </w:sectPr>
      </w:pPr>
    </w:p>
    <w:bookmarkStart w:id="17" w:name="page18"/>
    <w:bookmarkEnd w:id="17"/>
    <w:p>
      <w:pPr>
        <w:spacing w:after="0" w:line="79" w:lineRule="exact"/>
        <w:rPr>
          <w:sz w:val="20"/>
          <w:szCs w:val="20"/>
          <w:color w:val="auto"/>
        </w:rPr>
      </w:pPr>
    </w:p>
    <w:p>
      <w:pPr>
        <w:ind w:right="300" w:firstLine="441"/>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2018 that has materially affected, or is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You should carefully consider the risks described below, as well as general economic and business risks and the other information in this Quarterly Report on Form 10-Q.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7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Since our inception, we have incurred significant operating losses. Our net loss was $4.3 million, and $0.5 million for the three months ended March 31, 2018 and 2017, respectively. As of March 31, 2018, we had Stockholders’ equity of $52.1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65"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indications for our current product candidates and any future product candidates that we may pursue;</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continue to build our portfolio of product candidates through the acquisition or in-license of additional product candidates or technologies;</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are only in the preliminary stages of most of these activities and, in some cases, have not yet commenced certain of these activities. We may never succeed in any or all of these activities and, even if we do, we may never generate sufficient revenue to achieve profitability.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ectPr>
          <w:pgSz w:w="11900" w:h="16918" w:orient="portrait"/>
          <w:cols w:equalWidth="0" w:num="1">
            <w:col w:w="11420"/>
          </w:cols>
          <w:pgMar w:left="240" w:top="125" w:right="239" w:bottom="0" w:gutter="0" w:footer="0" w:header="0"/>
        </w:sectPr>
      </w:pPr>
    </w:p>
    <w:bookmarkStart w:id="18" w:name="page19"/>
    <w:bookmarkEnd w:id="18"/>
    <w:p>
      <w:pPr>
        <w:spacing w:after="0" w:line="9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anticipate that our expenses will increase substantially if and as we continue to develop and begin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current cash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IPO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Other than our grid note with BioXcel, we do not have any committed external source of funds. Further financing may not be available to us on acceptable terms, or at all. Our failure to raise capital as and when needed would have a negative impact on our financial condition and our ability to pursue our business strategy.</w:t>
      </w:r>
    </w:p>
    <w:p>
      <w:pPr>
        <w:spacing w:after="0" w:line="18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believe that our existing cash as of March 31, 2018, will enable us to fund our operating expenses and capital expenditure requirements for at least twelve months from the date of this Quarterly Report on Form 10-Q.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funds sooner than planned. Our future funding requirements, both short-term and long-term, will depend on many factors, including:</w:t>
      </w:r>
    </w:p>
    <w:p>
      <w:pPr>
        <w:spacing w:after="0" w:line="225"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225" w:lineRule="exact"/>
        <w:rPr>
          <w:rFonts w:ascii="Arial" w:cs="Arial" w:eastAsia="Arial" w:hAnsi="Arial"/>
          <w:sz w:val="18"/>
          <w:szCs w:val="18"/>
          <w:color w:val="auto"/>
        </w:rPr>
      </w:pPr>
    </w:p>
    <w:p>
      <w:pPr>
        <w:ind w:left="660" w:right="340" w:hanging="328"/>
        <w:spacing w:after="0" w:line="264"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as well as potentially establish a commercial infrastructure;</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physician acceptance or medical society recommendations that may affect commercial efforts;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investment in our securities may be adversely affected if BioXcel does not distribute the shares of our common stock owned by BioXcel.</w:t>
      </w:r>
    </w:p>
    <w:p>
      <w:pPr>
        <w:spacing w:after="0" w:line="24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Subject to the expiration of any applicable lock-up periods or other agreements we have or may have with BioXcel, it does not have any near-term plans to distribute the shares of BTI common stock held by BioXcel to the BioXcel stockholders. It is expected that any potential distribution will be taxable to BioXcel and its stockholders. Whether a Distribution is conducted in the future will depend on many factors, including BioXcel’s cash position, market capitalization, BioXcel’s investment opportunities, taxation to BioXcel and BioXcel’s stockholders and our status and prospects. In addition, the liquidity of the market for our common stock may be constrained for as long as BioXcel continues to hold a significant position in our common stock. Additionally, without a Distribution, there will be limited liquidity in the market for our common stock, which will impact our stockholders and our stock price. A lack of</w:t>
      </w:r>
    </w:p>
    <w:p>
      <w:pPr>
        <w:sectPr>
          <w:pgSz w:w="11900" w:h="16934" w:orient="portrait"/>
          <w:cols w:equalWidth="0" w:num="1">
            <w:col w:w="11420"/>
          </w:cols>
          <w:pgMar w:left="240" w:top="341" w:right="239" w:bottom="0" w:gutter="0" w:footer="0" w:header="0"/>
        </w:sectPr>
      </w:pPr>
    </w:p>
    <w:bookmarkStart w:id="19" w:name="page20"/>
    <w:bookmarkEnd w:id="19"/>
    <w:p>
      <w:pPr>
        <w:ind w:right="300"/>
        <w:spacing w:after="0" w:line="277" w:lineRule="auto"/>
        <w:rPr>
          <w:sz w:val="20"/>
          <w:szCs w:val="20"/>
          <w:color w:val="auto"/>
        </w:rPr>
      </w:pPr>
      <w:r>
        <w:rPr>
          <w:rFonts w:ascii="Arial" w:cs="Arial" w:eastAsia="Arial" w:hAnsi="Arial"/>
          <w:sz w:val="18"/>
          <w:szCs w:val="18"/>
          <w:color w:val="auto"/>
        </w:rPr>
        <w:t>liquidity in the market for our common stock may adversely affect our stock price and therefore, our ability to raise additional funds in the public markets, which may have a material adverse effect on our ability to grow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Sales of Unregistered Securities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During the period between January 1, 2018 and March 31, 2018, we issued to certain of our employees, consultants and directors, options to purchase an aggregate of 211,404 shares of our common stock at an exercise price of $11.00 per share. We deemed these issuances to be exempt from registration under the Securities Act either in reliance on Rule 701 of the Securities Act as sales and offers under compensatory benefit plans and contracts relating to compensation in compliance with Rule 701, or in reliance on Section 4(a)(2), as transactions by an issuer not involving a public offering. All recipients either received adequate information about our company or had access, through employment or other relationships, to such information. No underwriters were involved in the foregoing issuances of securities.</w:t>
      </w:r>
    </w:p>
    <w:p>
      <w:pPr>
        <w:spacing w:after="0" w:line="193"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On January 3, 2018, we sold an aggregate of 145,518 shares of our common stock to Peter Mueller, the chairman of our board of directors, at a price of $6.88 per share for aggregate gross proceeds to the Company of $1,000,482. Such offer, sale and issuance was exempt from registration under Section 4(a)</w:t>
      </w:r>
    </w:p>
    <w:p>
      <w:pPr>
        <w:spacing w:after="0"/>
        <w:rPr>
          <w:sz w:val="20"/>
          <w:szCs w:val="20"/>
          <w:color w:val="auto"/>
        </w:rPr>
      </w:pPr>
      <w:r>
        <w:rPr>
          <w:rFonts w:ascii="Arial" w:cs="Arial" w:eastAsia="Arial" w:hAnsi="Arial"/>
          <w:sz w:val="18"/>
          <w:szCs w:val="18"/>
          <w:color w:val="auto"/>
        </w:rPr>
        <w:t>(2) of the Securities Act.</w:t>
      </w:r>
    </w:p>
    <w:p>
      <w:pPr>
        <w:spacing w:after="0" w:line="211"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On January 31, 2018, we sold an aggregate of 28,914 shares of our common stock to an accredited investor at a price of $6.88 per share for aggregate gross proceeds to the Company of $198,793. Such offer, sale and issuance was exempt from registration under Section 4(a)(2) of the Securities Act.</w:t>
      </w:r>
    </w:p>
    <w:p>
      <w:pPr>
        <w:spacing w:after="0" w:line="12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On February 5, 2018, we sold an aggregate of 72,759 shares of our common stock to an accredited investor at a price of $6.88 per share for aggregate gross proceeds to the Company of $500,241. Such offer, sale and issuance was exempt from registration under Section 4(a)(2) of the Securities Act.</w:t>
      </w:r>
    </w:p>
    <w:p>
      <w:pPr>
        <w:spacing w:after="0" w:line="12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On February 9, 2018, we sold an aggregate of 36,261 shares of our common stock to an accredited investor at a price of $6.88 per share for aggregate gross proceeds to the Company of $249,306. Such offer, sale and issuance was exempt from registration under Section 4(a)(2) of the Securities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Use of IPO Proceeds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March 7, 2018, we completed the initial public offering of our common stock pursuant to which we issued and sold 5,454,545 shares of our common stock at a price to the public of $11.00 per share.</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received net proceeds of $54.1 million, after deducting underwriting discounts and commissions and offering expenses borne by us. Except for the repayment of $371 towards settlement of the grid note and reimbursement of $440 towards expenses to BioXcel, none of the expenses incurred by us were direct or indirect payments to any of (i) our directors or officers or their associates, (ii) persons owning 10 percent or more of our common stock, or (iii) our affiliates. Barclays Capital, UBS Investment Bank and BMO Capital Markets acted as joint book-running managers for the offering. Canaccord Genuity acted as lead manager.</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the final prospectus related to the offering, dated March 7, 2018 as filed with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560" w:type="dxa"/>
            <w:vAlign w:val="bottom"/>
            <w:gridSpan w:val="9"/>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556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9880" w:type="dxa"/>
            <w:vAlign w:val="bottom"/>
            <w:tcBorders>
              <w:bottom w:val="single" w:sz="8" w:color="0000EE"/>
            </w:tcBorders>
            <w:gridSpan w:val="11"/>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Amended and Restated Certificate of Incorporation of the Registrant (incorporated by reference to Exhibit 3.1 of the Registrant’s Current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12"/>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Report on Form 8-K filed with the SEC on March 12,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9320" w:type="dxa"/>
            <w:vAlign w:val="bottom"/>
            <w:tcBorders>
              <w:bottom w:val="single" w:sz="8" w:color="0000EE"/>
            </w:tcBorders>
            <w:gridSpan w:val="6"/>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Amended and Restated By-Laws of the Registrant (incorporated by reference to Exhibit 3.2 of the Registrant’s Current Report on</w:t>
              </w:r>
            </w:hyperlink>
          </w:p>
        </w:tc>
        <w:tc>
          <w:tcPr>
            <w:tcW w:w="6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Form 8-K filed March 12, 2018).</w:t>
              </w:r>
            </w:hyperlink>
          </w:p>
        </w:tc>
        <w:tc>
          <w:tcPr>
            <w:tcW w:w="7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96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9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Adopted Pursuant to Section 302 of the Sarbanes-Oxley Act of 2002</w:t>
              </w:r>
            </w:hyperlink>
          </w:p>
        </w:tc>
        <w:tc>
          <w:tcPr>
            <w:tcW w:w="49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95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3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9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Adopted Pursuant to Section 302 of the Sarbanes-Oxley Act of 2002.</w:t>
              </w:r>
            </w:hyperlink>
          </w:p>
        </w:tc>
        <w:tc>
          <w:tcPr>
            <w:tcW w:w="49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Oxley Act of 2002.</w:t>
              </w:r>
            </w:hyperlink>
          </w:p>
        </w:tc>
        <w:tc>
          <w:tcPr>
            <w:tcW w:w="3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18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95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1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Oxley 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4900" w:type="dxa"/>
            <w:vAlign w:val="bottom"/>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4900" w:type="dxa"/>
            <w:vAlign w:val="bottom"/>
          </w:tcPr>
          <w:p>
            <w:pPr>
              <w:ind w:left="4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4900" w:type="dxa"/>
            <w:vAlign w:val="bottom"/>
          </w:tcPr>
          <w:p>
            <w:pPr>
              <w:ind w:left="4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4900" w:type="dxa"/>
            <w:vAlign w:val="bottom"/>
          </w:tcPr>
          <w:p>
            <w:pPr>
              <w:ind w:left="4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4900" w:type="dxa"/>
            <w:vAlign w:val="bottom"/>
          </w:tcPr>
          <w:p>
            <w:pPr>
              <w:ind w:left="42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BioXcel Therapeutics, Inc.</w:t>
            </w:r>
          </w:p>
        </w:tc>
        <w:tc>
          <w:tcPr>
            <w:tcW w:w="40" w:type="dxa"/>
            <w:vAlign w:val="bottom"/>
          </w:tcPr>
          <w:p>
            <w:pPr>
              <w:spacing w:after="0"/>
              <w:rPr>
                <w:sz w:val="20"/>
                <w:szCs w:val="20"/>
                <w:color w:val="auto"/>
              </w:rPr>
            </w:pPr>
          </w:p>
        </w:tc>
      </w:tr>
      <w:tr>
        <w:trPr>
          <w:trHeight w:val="418"/>
        </w:trPr>
        <w:tc>
          <w:tcPr>
            <w:tcW w:w="3580" w:type="dxa"/>
            <w:vAlign w:val="bottom"/>
          </w:tcPr>
          <w:p>
            <w:pPr>
              <w:spacing w:after="0"/>
              <w:rPr>
                <w:sz w:val="20"/>
                <w:szCs w:val="20"/>
                <w:color w:val="auto"/>
              </w:rPr>
            </w:pPr>
            <w:r>
              <w:rPr>
                <w:rFonts w:ascii="Arial" w:cs="Arial" w:eastAsia="Arial" w:hAnsi="Arial"/>
                <w:sz w:val="18"/>
                <w:szCs w:val="18"/>
                <w:color w:val="auto"/>
              </w:rPr>
              <w:t>Dated: May 14, 2018</w:t>
            </w:r>
          </w:p>
        </w:tc>
        <w:tc>
          <w:tcPr>
            <w:tcW w:w="21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Vimal Mehta</w:t>
            </w:r>
          </w:p>
        </w:tc>
        <w:tc>
          <w:tcPr>
            <w:tcW w:w="4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Vimal Mehta</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634"/>
        </w:trPr>
        <w:tc>
          <w:tcPr>
            <w:tcW w:w="3580" w:type="dxa"/>
            <w:vAlign w:val="bottom"/>
          </w:tcPr>
          <w:p>
            <w:pPr>
              <w:spacing w:after="0"/>
              <w:rPr>
                <w:sz w:val="20"/>
                <w:szCs w:val="20"/>
                <w:color w:val="auto"/>
              </w:rPr>
            </w:pPr>
            <w:r>
              <w:rPr>
                <w:rFonts w:ascii="Arial" w:cs="Arial" w:eastAsia="Arial" w:hAnsi="Arial"/>
                <w:sz w:val="18"/>
                <w:szCs w:val="18"/>
                <w:color w:val="auto"/>
              </w:rPr>
              <w:t>Dated: May 14, 2018</w:t>
            </w:r>
          </w:p>
        </w:tc>
        <w:tc>
          <w:tcPr>
            <w:tcW w:w="21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Richard Steinhart</w:t>
            </w:r>
          </w:p>
        </w:tc>
        <w:tc>
          <w:tcPr>
            <w:tcW w:w="4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Richard Steinhart, Chief Financial Officer</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7840" w:type="dxa"/>
            <w:vAlign w:val="bottom"/>
            <w:gridSpan w:val="2"/>
          </w:tcPr>
          <w:p>
            <w:pPr>
              <w:jc w:val="right"/>
              <w:ind w:right="553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Vimal Mehta, Ph.D., certify that:</w:t>
      </w:r>
    </w:p>
    <w:p>
      <w:pPr>
        <w:spacing w:after="0" w:line="225" w:lineRule="exact"/>
        <w:rPr>
          <w:sz w:val="20"/>
          <w:szCs w:val="20"/>
          <w:color w:val="auto"/>
        </w:rPr>
      </w:pPr>
    </w:p>
    <w:p>
      <w:pPr>
        <w:ind w:left="620" w:hanging="171"/>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BioXcel Therapeutics, Inc.;</w:t>
      </w:r>
    </w:p>
    <w:p>
      <w:pPr>
        <w:spacing w:after="0" w:line="225" w:lineRule="exact"/>
        <w:rPr>
          <w:rFonts w:ascii="Arial" w:cs="Arial" w:eastAsia="Arial" w:hAnsi="Arial"/>
          <w:sz w:val="18"/>
          <w:szCs w:val="18"/>
          <w:color w:val="auto"/>
        </w:rPr>
      </w:pPr>
    </w:p>
    <w:p>
      <w:pPr>
        <w:ind w:right="360" w:firstLine="449"/>
        <w:spacing w:after="0" w:line="342" w:lineRule="auto"/>
        <w:tabs>
          <w:tab w:leader="none" w:pos="62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49"/>
        <w:spacing w:after="0" w:line="277" w:lineRule="auto"/>
        <w:tabs>
          <w:tab w:leader="none" w:pos="6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60" w:firstLine="449"/>
        <w:spacing w:after="0" w:line="277" w:lineRule="auto"/>
        <w:tabs>
          <w:tab w:leader="none" w:pos="6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rFonts w:ascii="Arial" w:cs="Arial" w:eastAsia="Arial" w:hAnsi="Arial"/>
          <w:sz w:val="18"/>
          <w:szCs w:val="18"/>
          <w:color w:val="auto"/>
        </w:rPr>
      </w:pPr>
    </w:p>
    <w:p>
      <w:pPr>
        <w:ind w:left="440" w:right="180" w:firstLine="449"/>
        <w:spacing w:after="0" w:line="264" w:lineRule="auto"/>
        <w:tabs>
          <w:tab w:leader="none" w:pos="106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hanging="191"/>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440" w:right="680" w:firstLine="449"/>
        <w:spacing w:after="0" w:line="342" w:lineRule="auto"/>
        <w:tabs>
          <w:tab w:leader="none" w:pos="1066"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40" w:right="160" w:firstLine="449"/>
        <w:spacing w:after="0" w:line="264" w:lineRule="auto"/>
        <w:tabs>
          <w:tab w:leader="none" w:pos="10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449"/>
        <w:spacing w:after="0" w:line="308" w:lineRule="auto"/>
        <w:tabs>
          <w:tab w:leader="none" w:pos="62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40" w:right="80" w:firstLine="449"/>
        <w:spacing w:after="0" w:line="277" w:lineRule="auto"/>
        <w:tabs>
          <w:tab w:leader="none" w:pos="106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580" w:firstLine="449"/>
        <w:spacing w:after="0" w:line="277" w:lineRule="auto"/>
        <w:tabs>
          <w:tab w:leader="none" w:pos="10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Vimal Mehta</w:t>
            </w:r>
          </w:p>
        </w:tc>
        <w:tc>
          <w:tcPr>
            <w:tcW w:w="4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34"/>
        </w:trPr>
        <w:tc>
          <w:tcPr>
            <w:tcW w:w="35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Steinhart, certify that:</w:t>
      </w:r>
    </w:p>
    <w:p>
      <w:pPr>
        <w:spacing w:after="0" w:line="225" w:lineRule="exact"/>
        <w:rPr>
          <w:sz w:val="20"/>
          <w:szCs w:val="20"/>
          <w:color w:val="auto"/>
        </w:rPr>
      </w:pPr>
    </w:p>
    <w:p>
      <w:pPr>
        <w:ind w:left="620" w:hanging="171"/>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BioXcel Therapeutics, Inc.;</w:t>
      </w:r>
    </w:p>
    <w:p>
      <w:pPr>
        <w:spacing w:after="0" w:line="225" w:lineRule="exact"/>
        <w:rPr>
          <w:rFonts w:ascii="Arial" w:cs="Arial" w:eastAsia="Arial" w:hAnsi="Arial"/>
          <w:sz w:val="18"/>
          <w:szCs w:val="18"/>
          <w:color w:val="auto"/>
        </w:rPr>
      </w:pPr>
    </w:p>
    <w:p>
      <w:pPr>
        <w:ind w:right="360" w:firstLine="449"/>
        <w:spacing w:after="0" w:line="342" w:lineRule="auto"/>
        <w:tabs>
          <w:tab w:leader="none" w:pos="62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49"/>
        <w:spacing w:after="0" w:line="277" w:lineRule="auto"/>
        <w:tabs>
          <w:tab w:leader="none" w:pos="6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60" w:firstLine="449"/>
        <w:spacing w:after="0" w:line="277" w:lineRule="auto"/>
        <w:tabs>
          <w:tab w:leader="none" w:pos="6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rFonts w:ascii="Arial" w:cs="Arial" w:eastAsia="Arial" w:hAnsi="Arial"/>
          <w:sz w:val="18"/>
          <w:szCs w:val="18"/>
          <w:color w:val="auto"/>
        </w:rPr>
      </w:pPr>
    </w:p>
    <w:p>
      <w:pPr>
        <w:ind w:left="440" w:right="180" w:firstLine="449"/>
        <w:spacing w:after="0" w:line="264" w:lineRule="auto"/>
        <w:tabs>
          <w:tab w:leader="none" w:pos="106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hanging="191"/>
        <w:spacing w:after="0"/>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440" w:right="680" w:firstLine="449"/>
        <w:spacing w:after="0" w:line="342" w:lineRule="auto"/>
        <w:tabs>
          <w:tab w:leader="none" w:pos="1066"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40" w:right="160" w:firstLine="449"/>
        <w:spacing w:after="0" w:line="264" w:lineRule="auto"/>
        <w:tabs>
          <w:tab w:leader="none" w:pos="10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449"/>
        <w:spacing w:after="0" w:line="308" w:lineRule="auto"/>
        <w:tabs>
          <w:tab w:leader="none" w:pos="62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40" w:right="80" w:firstLine="449"/>
        <w:spacing w:after="0" w:line="277" w:lineRule="auto"/>
        <w:tabs>
          <w:tab w:leader="none" w:pos="106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580" w:firstLine="449"/>
        <w:spacing w:after="0" w:line="277" w:lineRule="auto"/>
        <w:tabs>
          <w:tab w:leader="none" w:pos="10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Richard Steinhart</w:t>
            </w:r>
          </w:p>
        </w:tc>
        <w:tc>
          <w:tcPr>
            <w:tcW w:w="4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40" w:type="dxa"/>
            <w:vAlign w:val="bottom"/>
          </w:tcPr>
          <w:p>
            <w:pPr>
              <w:spacing w:after="0"/>
              <w:rPr>
                <w:sz w:val="20"/>
                <w:szCs w:val="20"/>
                <w:color w:val="auto"/>
              </w:rPr>
            </w:pPr>
          </w:p>
        </w:tc>
      </w:tr>
      <w:tr>
        <w:trPr>
          <w:trHeight w:val="334"/>
        </w:trPr>
        <w:tc>
          <w:tcPr>
            <w:tcW w:w="35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In connection with the Quarterly Report on Form 10-Q of BioXcel Therapeutics, Inc. (the “Company”) for the period ended March 31, 2018 as filed with the Securities and Exchange Commission on the date hereof (the “Report”), the undersigned, Vimal Mehta, Chief Executive Officer of the Company, hereby certifies, pursuant to 18 U.S.C. Section 1350, as adopted pursuant to Section 906 of the Sarbanes-Oxley Act of 2002, that to the best of his knowledge:</w:t>
      </w:r>
    </w:p>
    <w:p>
      <w:pPr>
        <w:spacing w:after="0" w:line="147" w:lineRule="exact"/>
        <w:rPr>
          <w:sz w:val="20"/>
          <w:szCs w:val="20"/>
          <w:color w:val="auto"/>
        </w:rPr>
      </w:pPr>
    </w:p>
    <w:p>
      <w:pPr>
        <w:ind w:left="700" w:hanging="25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Vimal Mehta</w:t>
            </w:r>
          </w:p>
        </w:tc>
        <w:tc>
          <w:tcPr>
            <w:tcW w:w="4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34"/>
        </w:trPr>
        <w:tc>
          <w:tcPr>
            <w:tcW w:w="35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ind w:left="1048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In connection with the Quarterly Report on Form 10-Q of BioXcel Therapeutics, Inc. (the “Company”) for the period ended March 31, 2018 as filed with the Securities and Exchange Commission on the date hereof (the “Report”), the undersigned, Richard Steinhart, Chief Financial Officer of the Company, hereby certifies, pursuant to 18 U.S.C. Section 1350, as adopted pursuant to Section 906 of the Sarbanes-Oxley Act of 2002, that to the best of his knowledge:</w:t>
      </w:r>
    </w:p>
    <w:p>
      <w:pPr>
        <w:spacing w:after="0" w:line="147" w:lineRule="exact"/>
        <w:rPr>
          <w:sz w:val="20"/>
          <w:szCs w:val="20"/>
          <w:color w:val="auto"/>
        </w:rPr>
      </w:pPr>
    </w:p>
    <w:p>
      <w:pPr>
        <w:ind w:left="700" w:hanging="251"/>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Richard Steinhart</w:t>
            </w:r>
          </w:p>
        </w:tc>
        <w:tc>
          <w:tcPr>
            <w:tcW w:w="4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40" w:type="dxa"/>
            <w:vAlign w:val="bottom"/>
          </w:tcPr>
          <w:p>
            <w:pPr>
              <w:spacing w:after="0"/>
              <w:rPr>
                <w:sz w:val="20"/>
                <w:szCs w:val="20"/>
                <w:color w:val="auto"/>
              </w:rPr>
            </w:pPr>
          </w:p>
        </w:tc>
      </w:tr>
      <w:tr>
        <w:trPr>
          <w:trHeight w:val="334"/>
        </w:trPr>
        <w:tc>
          <w:tcPr>
            <w:tcW w:w="35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57" Type="http://schemas.openxmlformats.org/officeDocument/2006/relationships/hyperlink" Target="http://www.sec.gov/Archives/edgar/data/1720893/000110465918016770/a18-8090_1ex3d1.htm" TargetMode="External"/><Relationship Id="rId58" Type="http://schemas.openxmlformats.org/officeDocument/2006/relationships/hyperlink" Target="http://www.sec.gov/Archives/edgar/data/1720893/000110465918016770/a18-8090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2020-01-15T10:52:48Z</dcterms:created>
  <dcterms:modified xsi:type="dcterms:W3CDTF">2020-01-15T10:52:48Z</dcterms:modified>
</cp:coreProperties>
</file>