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Yocca Frank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BIOXCEL THERAPEUTICS,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555 LONG WHARF DRIVE,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BioXcel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BTAI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HAVEN   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15, 2023, the Reporting Person was granted 562 RSUs, vesting as to 25% of the total number of RSUs on the first anniversary of March 15, 2023 and as to 6.25% of the total number of RSUs at the end of each successive three-month period thereafter, subject to the Reporting Person's continuous employment with the Issuer through the relevant vesting dates.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Steinhart,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27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Frank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Yocca, Ph.D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35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3272" TargetMode="External"/><Relationship Id="rId14" Type="http://schemas.openxmlformats.org/officeDocument/2006/relationships/hyperlink" Target="http://www.sec.gov/cgi-bin/browse-edgar?action=getcompany&amp;CIK=00017208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2026-06-17T19:01:24Z</dcterms:created>
  <dcterms:modified xsi:type="dcterms:W3CDTF">2026-06-17T19:01:24Z</dcterms:modified>
</cp:coreProperties>
</file>