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6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140335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4" w:lineRule="exact"/>
        <w:rPr>
          <w:sz w:val="24"/>
          <w:szCs w:val="24"/>
          <w:color w:val="auto"/>
        </w:rPr>
      </w:pPr>
    </w:p>
    <w:p>
      <w:pPr>
        <w:ind w:left="3140" w:right="280" w:hanging="2862"/>
        <w:spacing w:after="0" w:line="375" w:lineRule="auto"/>
        <w:tabs>
          <w:tab w:leader="none" w:pos="72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720" w:hanging="442"/>
        <w:spacing w:after="0"/>
        <w:tabs>
          <w:tab w:leader="none" w:pos="7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41" w:lineRule="exact"/>
        <w:rPr>
          <w:sz w:val="24"/>
          <w:szCs w:val="24"/>
          <w:color w:val="auto"/>
        </w:rPr>
      </w:pPr>
    </w:p>
    <w:tbl>
      <w:tblPr>
        <w:tblLayout w:type="fixed"/>
        <w:tblInd w:w="1460" w:type="dxa"/>
        <w:tblCellMar>
          <w:top w:w="0" w:type="dxa"/>
          <w:left w:w="0" w:type="dxa"/>
          <w:bottom w:w="0" w:type="dxa"/>
          <w:right w:w="0" w:type="dxa"/>
        </w:tblCellMar>
      </w:tblPr>
      <w:tr>
        <w:trPr>
          <w:trHeight w:val="234"/>
        </w:trPr>
        <w:tc>
          <w:tcPr>
            <w:tcW w:w="5440" w:type="dxa"/>
            <w:vAlign w:val="bottom"/>
            <w:gridSpan w:val="3"/>
          </w:tcPr>
          <w:p>
            <w:pPr>
              <w:ind w:left="1960"/>
              <w:spacing w:after="0"/>
              <w:rPr>
                <w:sz w:val="20"/>
                <w:szCs w:val="20"/>
                <w:color w:val="auto"/>
              </w:rPr>
            </w:pPr>
            <w:r>
              <w:rPr>
                <w:rFonts w:ascii="Arial" w:cs="Arial" w:eastAsia="Arial" w:hAnsi="Arial"/>
                <w:sz w:val="18"/>
                <w:szCs w:val="18"/>
                <w:b w:val="1"/>
                <w:bCs w:val="1"/>
                <w:color w:val="auto"/>
              </w:rPr>
              <w:t>For the transition period from</w:t>
            </w:r>
          </w:p>
        </w:tc>
        <w:tc>
          <w:tcPr>
            <w:tcW w:w="1360" w:type="dxa"/>
            <w:vAlign w:val="bottom"/>
          </w:tcPr>
          <w:p>
            <w:pPr>
              <w:ind w:left="46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3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Commission File Number: 001-38410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2360" w:type="dxa"/>
            <w:vAlign w:val="bottom"/>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6"/>
        </w:trPr>
        <w:tc>
          <w:tcPr>
            <w:tcW w:w="5440" w:type="dxa"/>
            <w:vAlign w:val="bottom"/>
            <w:gridSpan w:val="3"/>
          </w:tcPr>
          <w:p>
            <w:pPr>
              <w:jc w:val="center"/>
              <w:ind w:left="1781"/>
              <w:spacing w:after="0"/>
              <w:rPr>
                <w:sz w:val="20"/>
                <w:szCs w:val="20"/>
                <w:color w:val="auto"/>
              </w:rPr>
            </w:pPr>
            <w:r>
              <w:rPr>
                <w:rFonts w:ascii="Arial" w:cs="Arial" w:eastAsia="Arial" w:hAnsi="Arial"/>
                <w:sz w:val="25"/>
                <w:szCs w:val="25"/>
                <w:b w:val="1"/>
                <w:bCs w:val="1"/>
                <w:color w:val="auto"/>
                <w:w w:val="91"/>
              </w:rPr>
              <w:t>BioXcel Therapeutics,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440" w:type="dxa"/>
            <w:vAlign w:val="bottom"/>
            <w:gridSpan w:val="3"/>
          </w:tcPr>
          <w:p>
            <w:pPr>
              <w:jc w:val="center"/>
              <w:ind w:left="1781"/>
              <w:spacing w:after="0"/>
              <w:rPr>
                <w:sz w:val="20"/>
                <w:szCs w:val="20"/>
                <w:color w:val="auto"/>
              </w:rPr>
            </w:pPr>
            <w:r>
              <w:rPr>
                <w:rFonts w:ascii="Arial" w:cs="Arial" w:eastAsia="Arial" w:hAnsi="Arial"/>
                <w:sz w:val="14"/>
                <w:szCs w:val="14"/>
                <w:color w:val="auto"/>
                <w:w w:val="93"/>
              </w:rPr>
              <w:t>(Exact name of registrant as specified in its charter)</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360" w:type="dxa"/>
            <w:vAlign w:val="bottom"/>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5440" w:type="dxa"/>
            <w:vAlign w:val="bottom"/>
            <w:gridSpan w:val="3"/>
          </w:tcPr>
          <w:p>
            <w:pPr>
              <w:jc w:val="center"/>
              <w:ind w:right="3140"/>
              <w:spacing w:after="0"/>
              <w:rPr>
                <w:sz w:val="20"/>
                <w:szCs w:val="20"/>
                <w:color w:val="auto"/>
              </w:rPr>
            </w:pPr>
            <w:r>
              <w:rPr>
                <w:rFonts w:ascii="Arial" w:cs="Arial" w:eastAsia="Arial" w:hAnsi="Arial"/>
                <w:sz w:val="14"/>
                <w:szCs w:val="14"/>
                <w:b w:val="1"/>
                <w:bCs w:val="1"/>
                <w:color w:val="auto"/>
                <w:w w:val="94"/>
              </w:rPr>
              <w:t>Delaware</w:t>
            </w:r>
          </w:p>
        </w:tc>
        <w:tc>
          <w:tcPr>
            <w:tcW w:w="1360" w:type="dxa"/>
            <w:vAlign w:val="bottom"/>
          </w:tcPr>
          <w:p>
            <w:pPr>
              <w:jc w:val="right"/>
              <w:ind w:right="125"/>
              <w:spacing w:after="0"/>
              <w:rPr>
                <w:sz w:val="20"/>
                <w:szCs w:val="20"/>
                <w:color w:val="auto"/>
              </w:rPr>
            </w:pPr>
            <w:r>
              <w:rPr>
                <w:rFonts w:ascii="Arial" w:cs="Arial" w:eastAsia="Arial" w:hAnsi="Arial"/>
                <w:sz w:val="14"/>
                <w:szCs w:val="14"/>
                <w:b w:val="1"/>
                <w:bCs w:val="1"/>
                <w:color w:val="auto"/>
              </w:rPr>
              <w:t>82-1386754</w:t>
            </w:r>
          </w:p>
        </w:tc>
        <w:tc>
          <w:tcPr>
            <w:tcW w:w="0" w:type="dxa"/>
            <w:vAlign w:val="bottom"/>
          </w:tcPr>
          <w:p>
            <w:pPr>
              <w:spacing w:after="0"/>
              <w:rPr>
                <w:sz w:val="1"/>
                <w:szCs w:val="1"/>
                <w:color w:val="auto"/>
              </w:rPr>
            </w:pPr>
          </w:p>
        </w:tc>
      </w:tr>
      <w:tr>
        <w:trPr>
          <w:trHeight w:val="148"/>
        </w:trPr>
        <w:tc>
          <w:tcPr>
            <w:tcW w:w="5440" w:type="dxa"/>
            <w:vAlign w:val="bottom"/>
            <w:gridSpan w:val="3"/>
          </w:tcPr>
          <w:p>
            <w:pPr>
              <w:jc w:val="center"/>
              <w:ind w:right="3140"/>
              <w:spacing w:after="0" w:line="149" w:lineRule="exact"/>
              <w:rPr>
                <w:sz w:val="20"/>
                <w:szCs w:val="20"/>
                <w:color w:val="auto"/>
              </w:rPr>
            </w:pPr>
            <w:r>
              <w:rPr>
                <w:rFonts w:ascii="Arial" w:cs="Arial" w:eastAsia="Arial" w:hAnsi="Arial"/>
                <w:sz w:val="14"/>
                <w:szCs w:val="14"/>
                <w:color w:val="auto"/>
                <w:w w:val="94"/>
              </w:rPr>
              <w:t>(State or other jurisdiction of</w:t>
            </w:r>
          </w:p>
        </w:tc>
        <w:tc>
          <w:tcPr>
            <w:tcW w:w="1360" w:type="dxa"/>
            <w:vAlign w:val="bottom"/>
          </w:tcPr>
          <w:p>
            <w:pPr>
              <w:jc w:val="center"/>
              <w:ind w:left="185"/>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5440" w:type="dxa"/>
            <w:vAlign w:val="bottom"/>
            <w:gridSpan w:val="3"/>
          </w:tcPr>
          <w:p>
            <w:pPr>
              <w:ind w:left="340"/>
              <w:spacing w:after="0"/>
              <w:rPr>
                <w:sz w:val="20"/>
                <w:szCs w:val="20"/>
                <w:color w:val="auto"/>
              </w:rPr>
            </w:pPr>
            <w:r>
              <w:rPr>
                <w:rFonts w:ascii="Arial" w:cs="Arial" w:eastAsia="Arial" w:hAnsi="Arial"/>
                <w:sz w:val="14"/>
                <w:szCs w:val="14"/>
                <w:color w:val="auto"/>
              </w:rPr>
              <w:t>incorporation or organization)</w:t>
            </w:r>
          </w:p>
        </w:tc>
        <w:tc>
          <w:tcPr>
            <w:tcW w:w="1360" w:type="dxa"/>
            <w:vAlign w:val="bottom"/>
          </w:tcPr>
          <w:p>
            <w:pPr>
              <w:jc w:val="center"/>
              <w:ind w:left="205"/>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205"/>
        </w:trPr>
        <w:tc>
          <w:tcPr>
            <w:tcW w:w="5440" w:type="dxa"/>
            <w:vAlign w:val="bottom"/>
            <w:gridSpan w:val="3"/>
          </w:tcPr>
          <w:p>
            <w:pPr>
              <w:jc w:val="center"/>
              <w:ind w:right="3160"/>
              <w:spacing w:after="0"/>
              <w:rPr>
                <w:sz w:val="20"/>
                <w:szCs w:val="20"/>
                <w:color w:val="auto"/>
              </w:rPr>
            </w:pPr>
            <w:r>
              <w:rPr>
                <w:rFonts w:ascii="Arial" w:cs="Arial" w:eastAsia="Arial" w:hAnsi="Arial"/>
                <w:sz w:val="14"/>
                <w:szCs w:val="14"/>
                <w:b w:val="1"/>
                <w:bCs w:val="1"/>
                <w:color w:val="auto"/>
                <w:w w:val="97"/>
              </w:rPr>
              <w:t>555 Long Wharf Drive</w:t>
            </w:r>
          </w:p>
        </w:tc>
        <w:tc>
          <w:tcPr>
            <w:tcW w:w="136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auto"/>
              </w:rPr>
              <w:t>06511</w:t>
            </w:r>
          </w:p>
        </w:tc>
        <w:tc>
          <w:tcPr>
            <w:tcW w:w="0" w:type="dxa"/>
            <w:vAlign w:val="bottom"/>
          </w:tcPr>
          <w:p>
            <w:pPr>
              <w:spacing w:after="0"/>
              <w:rPr>
                <w:sz w:val="1"/>
                <w:szCs w:val="1"/>
                <w:color w:val="auto"/>
              </w:rPr>
            </w:pPr>
          </w:p>
        </w:tc>
      </w:tr>
      <w:tr>
        <w:trPr>
          <w:trHeight w:val="153"/>
        </w:trPr>
        <w:tc>
          <w:tcPr>
            <w:tcW w:w="5440" w:type="dxa"/>
            <w:vAlign w:val="bottom"/>
            <w:gridSpan w:val="3"/>
          </w:tcPr>
          <w:p>
            <w:pPr>
              <w:jc w:val="center"/>
              <w:ind w:right="3140"/>
              <w:spacing w:after="0" w:line="153" w:lineRule="exact"/>
              <w:rPr>
                <w:sz w:val="20"/>
                <w:szCs w:val="20"/>
                <w:color w:val="auto"/>
              </w:rPr>
            </w:pPr>
            <w:r>
              <w:rPr>
                <w:rFonts w:ascii="Arial" w:cs="Arial" w:eastAsia="Arial" w:hAnsi="Arial"/>
                <w:sz w:val="14"/>
                <w:szCs w:val="14"/>
                <w:b w:val="1"/>
                <w:bCs w:val="1"/>
                <w:color w:val="auto"/>
                <w:w w:val="96"/>
              </w:rPr>
              <w:t>New Haven, CT</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440" w:type="dxa"/>
            <w:vAlign w:val="bottom"/>
            <w:gridSpan w:val="3"/>
          </w:tcPr>
          <w:p>
            <w:pPr>
              <w:jc w:val="center"/>
              <w:ind w:right="3160"/>
              <w:spacing w:after="0"/>
              <w:rPr>
                <w:sz w:val="20"/>
                <w:szCs w:val="20"/>
                <w:color w:val="auto"/>
              </w:rPr>
            </w:pPr>
            <w:r>
              <w:rPr>
                <w:rFonts w:ascii="Arial" w:cs="Arial" w:eastAsia="Arial" w:hAnsi="Arial"/>
                <w:sz w:val="14"/>
                <w:szCs w:val="14"/>
                <w:color w:val="auto"/>
                <w:w w:val="95"/>
              </w:rPr>
              <w:t>(Address of principal executive offices)</w:t>
            </w:r>
          </w:p>
        </w:tc>
        <w:tc>
          <w:tcPr>
            <w:tcW w:w="1360" w:type="dxa"/>
            <w:vAlign w:val="bottom"/>
          </w:tcPr>
          <w:p>
            <w:pPr>
              <w:jc w:val="center"/>
              <w:ind w:left="205"/>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09"/>
        </w:trPr>
        <w:tc>
          <w:tcPr>
            <w:tcW w:w="4920" w:type="dxa"/>
            <w:vAlign w:val="bottom"/>
            <w:gridSpan w:val="2"/>
          </w:tcPr>
          <w:p>
            <w:pPr>
              <w:jc w:val="center"/>
              <w:ind w:left="2301"/>
              <w:spacing w:after="0"/>
              <w:rPr>
                <w:sz w:val="20"/>
                <w:szCs w:val="20"/>
                <w:color w:val="auto"/>
              </w:rPr>
            </w:pPr>
            <w:r>
              <w:rPr>
                <w:rFonts w:ascii="Arial" w:cs="Arial" w:eastAsia="Arial" w:hAnsi="Arial"/>
                <w:sz w:val="14"/>
                <w:szCs w:val="14"/>
                <w:b w:val="1"/>
                <w:bCs w:val="1"/>
                <w:color w:val="auto"/>
                <w:w w:val="93"/>
              </w:rPr>
              <w:t>(475) 238-6837</w:t>
            </w: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440" w:type="dxa"/>
            <w:vAlign w:val="bottom"/>
            <w:gridSpan w:val="3"/>
          </w:tcPr>
          <w:p>
            <w:pPr>
              <w:jc w:val="center"/>
              <w:ind w:left="1761"/>
              <w:spacing w:after="0"/>
              <w:rPr>
                <w:sz w:val="20"/>
                <w:szCs w:val="20"/>
                <w:color w:val="auto"/>
              </w:rPr>
            </w:pPr>
            <w:r>
              <w:rPr>
                <w:rFonts w:ascii="Arial" w:cs="Arial" w:eastAsia="Arial" w:hAnsi="Arial"/>
                <w:sz w:val="14"/>
                <w:szCs w:val="14"/>
                <w:color w:val="auto"/>
                <w:w w:val="92"/>
              </w:rPr>
              <w:t>(Registrant’s telephone number, including area code)</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8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0140"/>
          </w:cols>
          <w:pgMar w:left="840" w:top="665" w:right="919" w:bottom="1440" w:gutter="0" w:footer="0" w:header="0"/>
        </w:sectPr>
      </w:pPr>
    </w:p>
    <w:p>
      <w:pPr>
        <w:spacing w:after="0" w:line="109" w:lineRule="exact"/>
        <w:rPr>
          <w:sz w:val="24"/>
          <w:szCs w:val="24"/>
          <w:color w:val="auto"/>
        </w:rPr>
      </w:pPr>
    </w:p>
    <w:p>
      <w:pPr>
        <w:jc w:val="center"/>
        <w:ind w:right="120"/>
        <w:spacing w:after="0"/>
        <w:rPr>
          <w:sz w:val="20"/>
          <w:szCs w:val="20"/>
          <w:color w:val="auto"/>
        </w:rPr>
      </w:pPr>
      <w:r>
        <w:rPr>
          <w:rFonts w:ascii="Arial" w:cs="Arial" w:eastAsia="Arial" w:hAnsi="Arial"/>
          <w:sz w:val="12"/>
          <w:szCs w:val="12"/>
          <w:b w:val="1"/>
          <w:bCs w:val="1"/>
          <w:color w:val="auto"/>
        </w:rPr>
        <w:t>Title of each class</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4"/>
          <w:szCs w:val="14"/>
          <w:color w:val="auto"/>
        </w:rPr>
        <w:t>Common Stock,</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780"/>
        <w:spacing w:after="0"/>
        <w:rPr>
          <w:sz w:val="20"/>
          <w:szCs w:val="20"/>
          <w:color w:val="auto"/>
        </w:rPr>
      </w:pPr>
      <w:r>
        <w:rPr>
          <w:rFonts w:ascii="Arial" w:cs="Arial" w:eastAsia="Arial" w:hAnsi="Arial"/>
          <w:sz w:val="12"/>
          <w:szCs w:val="12"/>
          <w:b w:val="1"/>
          <w:bCs w:val="1"/>
          <w:color w:val="auto"/>
        </w:rPr>
        <w:t>Trading Symbol(s)</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4"/>
          <w:szCs w:val="14"/>
          <w:color w:val="auto"/>
        </w:rPr>
        <w:t>BTAI</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60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Nasdaq Capital Market</w:t>
      </w:r>
    </w:p>
    <w:p>
      <w:pPr>
        <w:spacing w:after="0" w:line="9" w:lineRule="exact"/>
        <w:rPr>
          <w:sz w:val="24"/>
          <w:szCs w:val="24"/>
          <w:color w:val="auto"/>
        </w:rPr>
      </w:pPr>
    </w:p>
    <w:p>
      <w:pPr>
        <w:sectPr>
          <w:pgSz w:w="11900" w:h="16838" w:orient="portrait"/>
          <w:cols w:equalWidth="0" w:num="3">
            <w:col w:w="3520" w:space="720"/>
            <w:col w:w="1920" w:space="720"/>
            <w:col w:w="3260"/>
          </w:cols>
          <w:pgMar w:left="840" w:top="665" w:right="919" w:bottom="1440" w:gutter="0" w:footer="0" w:header="0"/>
          <w:type w:val="continuous"/>
        </w:sectPr>
      </w:pPr>
    </w:p>
    <w:p>
      <w:pPr>
        <w:ind w:left="940"/>
        <w:spacing w:after="0"/>
        <w:rPr>
          <w:sz w:val="20"/>
          <w:szCs w:val="20"/>
          <w:color w:val="auto"/>
        </w:rPr>
      </w:pPr>
      <w:r>
        <w:rPr>
          <w:rFonts w:ascii="Arial" w:cs="Arial" w:eastAsia="Arial" w:hAnsi="Arial"/>
          <w:sz w:val="12"/>
          <w:szCs w:val="12"/>
          <w:color w:val="auto"/>
        </w:rPr>
        <w:t>$0.001 par value per share</w:t>
      </w:r>
    </w:p>
    <w:p>
      <w:pPr>
        <w:sectPr>
          <w:pgSz w:w="11900" w:h="16838" w:orient="portrait"/>
          <w:cols w:equalWidth="0" w:num="1">
            <w:col w:w="10140"/>
          </w:cols>
          <w:pgMar w:left="840" w:top="665" w:right="919" w:bottom="1440" w:gutter="0" w:footer="0" w:header="0"/>
          <w:type w:val="continuous"/>
        </w:sectPr>
      </w:pPr>
    </w:p>
    <w:p>
      <w:pPr>
        <w:spacing w:after="0" w:line="193" w:lineRule="exact"/>
        <w:rPr>
          <w:sz w:val="24"/>
          <w:szCs w:val="24"/>
          <w:color w:val="auto"/>
        </w:rPr>
      </w:pPr>
    </w:p>
    <w:p>
      <w:pPr>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ind w:right="38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40"/>
          </w:cols>
          <w:pgMar w:left="840" w:top="665" w:right="919" w:bottom="1440" w:gutter="0" w:footer="0" w:header="0"/>
          <w:type w:val="continuous"/>
        </w:sectPr>
      </w:pPr>
    </w:p>
    <w:p>
      <w:pPr>
        <w:spacing w:after="0" w:line="30" w:lineRule="exact"/>
        <w:rPr>
          <w:sz w:val="24"/>
          <w:szCs w:val="24"/>
          <w:color w:val="auto"/>
        </w:rPr>
      </w:pPr>
    </w:p>
    <w:p>
      <w:pPr>
        <w:ind w:left="1820"/>
        <w:spacing w:after="0" w:line="175" w:lineRule="exact"/>
        <w:rPr>
          <w:sz w:val="20"/>
          <w:szCs w:val="20"/>
          <w:color w:val="auto"/>
        </w:rPr>
      </w:pPr>
      <w:r>
        <w:rPr>
          <w:rFonts w:ascii="Arial" w:cs="Arial" w:eastAsia="Arial" w:hAnsi="Arial"/>
          <w:sz w:val="13"/>
          <w:szCs w:val="13"/>
          <w:color w:val="auto"/>
        </w:rPr>
        <w:t xml:space="preserve">Large 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96" w:lineRule="exact"/>
        <w:rPr>
          <w:sz w:val="24"/>
          <w:szCs w:val="24"/>
          <w:color w:val="auto"/>
        </w:rPr>
      </w:pPr>
    </w:p>
    <w:p>
      <w:pPr>
        <w:sectPr>
          <w:pgSz w:w="11900" w:h="16838" w:orient="portrait"/>
          <w:cols w:equalWidth="0" w:num="2">
            <w:col w:w="6380" w:space="720"/>
            <w:col w:w="3040"/>
          </w:cols>
          <w:pgMar w:left="840" w:top="665" w:right="919" w:bottom="1440" w:gutter="0" w:footer="0" w:header="0"/>
          <w:type w:val="continuous"/>
        </w:sectPr>
      </w:pPr>
    </w:p>
    <w:p>
      <w:pPr>
        <w:ind w:left="1860"/>
        <w:spacing w:after="0" w:line="175" w:lineRule="exact"/>
        <w:rPr>
          <w:sz w:val="20"/>
          <w:szCs w:val="20"/>
          <w:color w:val="auto"/>
        </w:rPr>
      </w:pPr>
      <w:r>
        <w:rPr>
          <w:rFonts w:ascii="Arial" w:cs="Arial" w:eastAsia="Arial" w:hAnsi="Arial"/>
          <w:sz w:val="13"/>
          <w:szCs w:val="13"/>
          <w:color w:val="auto"/>
        </w:rPr>
        <w:t xml:space="preserve">Non-accelerated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line="150" w:lineRule="exact"/>
        <w:rPr>
          <w:sz w:val="24"/>
          <w:szCs w:val="24"/>
          <w:color w:val="auto"/>
        </w:rPr>
      </w:pPr>
    </w:p>
    <w:p>
      <w:pPr>
        <w:sectPr>
          <w:pgSz w:w="11900" w:h="16838" w:orient="portrait"/>
          <w:cols w:equalWidth="0" w:num="2">
            <w:col w:w="6080" w:space="720"/>
            <w:col w:w="3340"/>
          </w:cols>
          <w:pgMar w:left="840" w:top="665" w:right="919" w:bottom="1440" w:gutter="0" w:footer="0" w:header="0"/>
          <w:type w:val="continuous"/>
        </w:sectPr>
      </w:pPr>
    </w:p>
    <w:p>
      <w:pPr>
        <w:ind w:left="6800"/>
        <w:spacing w:after="0" w:line="175" w:lineRule="exact"/>
        <w:rPr>
          <w:sz w:val="20"/>
          <w:szCs w:val="20"/>
          <w:color w:val="auto"/>
        </w:rPr>
      </w:pPr>
      <w:r>
        <w:rPr>
          <w:rFonts w:ascii="Arial" w:cs="Arial" w:eastAsia="Arial" w:hAnsi="Arial"/>
          <w:sz w:val="13"/>
          <w:szCs w:val="13"/>
          <w:color w:val="auto"/>
        </w:rPr>
        <w:t xml:space="preserve">Emerging growth company </w:t>
      </w:r>
      <w:r>
        <w:rPr>
          <w:rFonts w:ascii="Arial Unicode MS" w:cs="Arial Unicode MS" w:eastAsia="Arial Unicode MS" w:hAnsi="Arial Unicode MS"/>
          <w:sz w:val="13"/>
          <w:szCs w:val="13"/>
          <w:color w:val="auto"/>
        </w:rPr>
        <w:t>☒</w:t>
      </w:r>
    </w:p>
    <w:p>
      <w:pPr>
        <w:sectPr>
          <w:pgSz w:w="11900" w:h="16838" w:orient="portrait"/>
          <w:cols w:equalWidth="0" w:num="1">
            <w:col w:w="10140"/>
          </w:cols>
          <w:pgMar w:left="840" w:top="665" w:right="919" w:bottom="1440" w:gutter="0" w:footer="0" w:header="0"/>
          <w:type w:val="continuous"/>
        </w:sectPr>
      </w:pPr>
    </w:p>
    <w:p>
      <w:pPr>
        <w:spacing w:after="0" w:line="231" w:lineRule="exact"/>
        <w:rPr>
          <w:sz w:val="24"/>
          <w:szCs w:val="24"/>
          <w:color w:val="auto"/>
        </w:rPr>
      </w:pPr>
    </w:p>
    <w:p>
      <w:pPr>
        <w:ind w:right="16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4"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$0.001 par value per share, outstanding at November 7, 2022 was 28,023,225.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501015</wp:posOffset>
            </wp:positionV>
            <wp:extent cx="64979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64135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98425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0"/>
          </w:cols>
          <w:pgMar w:left="840" w:top="665" w:right="91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40" w:type="dxa"/>
            <w:vAlign w:val="bottom"/>
            <w:gridSpan w:val="9"/>
          </w:tcPr>
          <w:p>
            <w:pPr>
              <w:jc w:val="center"/>
              <w:ind w:right="2360"/>
              <w:spacing w:after="0"/>
              <w:rPr>
                <w:sz w:val="20"/>
                <w:szCs w:val="20"/>
                <w:color w:val="auto"/>
              </w:rPr>
            </w:pPr>
            <w:r>
              <w:rPr>
                <w:rFonts w:ascii="Arial" w:cs="Arial" w:eastAsia="Arial" w:hAnsi="Arial"/>
                <w:sz w:val="18"/>
                <w:szCs w:val="18"/>
                <w:b w:val="1"/>
                <w:bCs w:val="1"/>
                <w:color w:val="auto"/>
                <w:w w:val="89"/>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11"/>
            <w:vMerge w:val="restart"/>
          </w:tcPr>
          <w:p>
            <w:pPr>
              <w:jc w:val="center"/>
              <w:ind w:right="2040"/>
              <w:spacing w:after="0"/>
              <w:rPr>
                <w:sz w:val="20"/>
                <w:szCs w:val="20"/>
                <w:color w:val="auto"/>
              </w:rPr>
            </w:pPr>
            <w:r>
              <w:rPr>
                <w:rFonts w:ascii="Arial" w:cs="Arial" w:eastAsia="Arial" w:hAnsi="Arial"/>
                <w:sz w:val="18"/>
                <w:szCs w:val="18"/>
                <w:b w:val="1"/>
                <w:bCs w:val="1"/>
                <w:color w:val="auto"/>
              </w:rPr>
              <w:t>PART I - FINANCIAL INFORMATION</w:t>
            </w: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160" w:type="dxa"/>
            <w:vAlign w:val="bottom"/>
            <w:gridSpan w:val="11"/>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5"/>
              </w:rPr>
              <w:t>Forward Looking Statements</w:t>
            </w:r>
          </w:p>
        </w:tc>
        <w:tc>
          <w:tcPr>
            <w:tcW w:w="5160" w:type="dxa"/>
            <w:vAlign w:val="bottom"/>
            <w:gridSpan w:val="11"/>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40" w:type="dxa"/>
            <w:vAlign w:val="bottom"/>
            <w:gridSpan w:val="19"/>
          </w:tcPr>
          <w:p>
            <w:pPr>
              <w:spacing w:after="0" w:line="196" w:lineRule="exact"/>
              <w:rPr>
                <w:sz w:val="20"/>
                <w:szCs w:val="20"/>
                <w:color w:val="auto"/>
              </w:rPr>
            </w:pPr>
            <w:r>
              <w:rPr>
                <w:rFonts w:ascii="Arial" w:cs="Arial" w:eastAsia="Arial" w:hAnsi="Arial"/>
                <w:sz w:val="18"/>
                <w:szCs w:val="18"/>
                <w:color w:val="0000EE"/>
              </w:rPr>
              <w:t>Summary Risk Factors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1.</w:t>
            </w:r>
          </w:p>
        </w:tc>
        <w:tc>
          <w:tcPr>
            <w:tcW w:w="7140" w:type="dxa"/>
            <w:vAlign w:val="bottom"/>
            <w:gridSpan w:val="19"/>
          </w:tcPr>
          <w:p>
            <w:pPr>
              <w:spacing w:after="0" w:line="196" w:lineRule="exact"/>
              <w:rPr>
                <w:sz w:val="20"/>
                <w:szCs w:val="20"/>
                <w:color w:val="auto"/>
              </w:rPr>
            </w:pPr>
            <w:r>
              <w:rPr>
                <w:rFonts w:ascii="Arial" w:cs="Arial" w:eastAsia="Arial" w:hAnsi="Arial"/>
                <w:sz w:val="18"/>
                <w:szCs w:val="18"/>
                <w:color w:val="auto"/>
              </w:rPr>
              <w:t>F</w:t>
            </w:r>
            <w:r>
              <w:rPr>
                <w:rFonts w:ascii="Arial" w:cs="Arial" w:eastAsia="Arial" w:hAnsi="Arial"/>
                <w:sz w:val="18"/>
                <w:szCs w:val="18"/>
                <w:color w:val="0000EE"/>
              </w:rPr>
              <w:t>inancial Statements (Unaudited)</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40" w:type="dxa"/>
            <w:vAlign w:val="bottom"/>
            <w:gridSpan w:val="19"/>
          </w:tcPr>
          <w:p>
            <w:pPr>
              <w:spacing w:after="0" w:line="196" w:lineRule="exact"/>
              <w:rPr>
                <w:sz w:val="20"/>
                <w:szCs w:val="20"/>
                <w:color w:val="auto"/>
              </w:rPr>
            </w:pPr>
            <w:r>
              <w:rPr>
                <w:rFonts w:ascii="Arial" w:cs="Arial" w:eastAsia="Arial" w:hAnsi="Arial"/>
                <w:sz w:val="18"/>
                <w:szCs w:val="18"/>
                <w:color w:val="0000EE"/>
                <w:w w:val="95"/>
              </w:rPr>
              <w:t>Condensed Consolidated Balance Sheets as of September 30, 2022 and December 31, 2021</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40" w:type="dxa"/>
            <w:vAlign w:val="bottom"/>
            <w:gridSpan w:val="19"/>
          </w:tcPr>
          <w:p>
            <w:pPr>
              <w:spacing w:after="0" w:line="196" w:lineRule="exact"/>
              <w:rPr>
                <w:sz w:val="20"/>
                <w:szCs w:val="20"/>
                <w:color w:val="auto"/>
              </w:rPr>
            </w:pPr>
            <w:r>
              <w:rPr>
                <w:rFonts w:ascii="Arial" w:cs="Arial" w:eastAsia="Arial" w:hAnsi="Arial"/>
                <w:sz w:val="18"/>
                <w:szCs w:val="18"/>
                <w:color w:val="0000EE"/>
                <w:w w:val="89"/>
              </w:rPr>
              <w:t>Condensed Consolidated Statements of Operations for the three and nine months ended September</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8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30, 2022 and 2021</w:t>
            </w:r>
          </w:p>
        </w:tc>
        <w:tc>
          <w:tcPr>
            <w:tcW w:w="16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40" w:type="dxa"/>
            <w:vAlign w:val="bottom"/>
            <w:gridSpan w:val="19"/>
          </w:tcPr>
          <w:p>
            <w:pPr>
              <w:spacing w:after="0" w:line="196" w:lineRule="exact"/>
              <w:rPr>
                <w:sz w:val="20"/>
                <w:szCs w:val="20"/>
                <w:color w:val="auto"/>
              </w:rPr>
            </w:pPr>
            <w:r>
              <w:rPr>
                <w:rFonts w:ascii="Arial" w:cs="Arial" w:eastAsia="Arial" w:hAnsi="Arial"/>
                <w:sz w:val="18"/>
                <w:szCs w:val="18"/>
                <w:color w:val="0000EE"/>
                <w:w w:val="93"/>
              </w:rPr>
              <w:t>Condensed Consolidated Statements of Changes in Stockholders’ Equity for the three and nine</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0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months ended September 30, 2022 and 2021</w:t>
            </w:r>
          </w:p>
        </w:tc>
        <w:tc>
          <w:tcPr>
            <w:tcW w:w="440" w:type="dxa"/>
            <w:vAlign w:val="bottom"/>
            <w:gridSpan w:val="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40" w:type="dxa"/>
            <w:vAlign w:val="bottom"/>
            <w:gridSpan w:val="19"/>
          </w:tcPr>
          <w:p>
            <w:pPr>
              <w:spacing w:after="0" w:line="196" w:lineRule="exact"/>
              <w:rPr>
                <w:sz w:val="20"/>
                <w:szCs w:val="20"/>
                <w:color w:val="auto"/>
              </w:rPr>
            </w:pPr>
            <w:r>
              <w:rPr>
                <w:rFonts w:ascii="Arial" w:cs="Arial" w:eastAsia="Arial" w:hAnsi="Arial"/>
                <w:sz w:val="18"/>
                <w:szCs w:val="18"/>
                <w:color w:val="0000EE"/>
                <w:w w:val="89"/>
              </w:rPr>
              <w:t>Condensed Consolidated Statements of Cash Flows for the nine months ended September 30, 2022</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and 2021</w:t>
            </w:r>
          </w:p>
        </w:tc>
        <w:tc>
          <w:tcPr>
            <w:tcW w:w="1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40" w:type="dxa"/>
            <w:vAlign w:val="bottom"/>
            <w:gridSpan w:val="19"/>
          </w:tcPr>
          <w:p>
            <w:pPr>
              <w:spacing w:after="0" w:line="196" w:lineRule="exact"/>
              <w:rPr>
                <w:sz w:val="20"/>
                <w:szCs w:val="20"/>
                <w:color w:val="auto"/>
              </w:rPr>
            </w:pPr>
            <w:r>
              <w:rPr>
                <w:rFonts w:ascii="Arial" w:cs="Arial" w:eastAsia="Arial" w:hAnsi="Arial"/>
                <w:sz w:val="18"/>
                <w:szCs w:val="18"/>
                <w:color w:val="0000EE"/>
              </w:rPr>
              <w:t>Notes to Condensed Consolidated Financial Statements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2.</w:t>
            </w:r>
          </w:p>
        </w:tc>
        <w:tc>
          <w:tcPr>
            <w:tcW w:w="7140" w:type="dxa"/>
            <w:vAlign w:val="bottom"/>
            <w:gridSpan w:val="19"/>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7140" w:type="dxa"/>
            <w:vAlign w:val="bottom"/>
            <w:gridSpan w:val="19"/>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920" w:type="dxa"/>
            <w:vAlign w:val="bottom"/>
            <w:tcBorders>
              <w:left w:val="single" w:sz="8" w:color="0000EE"/>
            </w:tcBorders>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7140" w:type="dxa"/>
            <w:vAlign w:val="bottom"/>
            <w:gridSpan w:val="19"/>
          </w:tcPr>
          <w:p>
            <w:pPr>
              <w:spacing w:after="0" w:line="196" w:lineRule="exact"/>
              <w:rPr>
                <w:sz w:val="20"/>
                <w:szCs w:val="20"/>
                <w:color w:val="auto"/>
              </w:rPr>
            </w:pPr>
            <w:r>
              <w:rPr>
                <w:rFonts w:ascii="Arial" w:cs="Arial" w:eastAsia="Arial" w:hAnsi="Arial"/>
                <w:sz w:val="18"/>
                <w:szCs w:val="18"/>
                <w:color w:val="0000EE"/>
              </w:rPr>
              <w:t>Controls and Procedures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53"/>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11"/>
          </w:tcPr>
          <w:p>
            <w:pPr>
              <w:jc w:val="center"/>
              <w:ind w:right="2040"/>
              <w:spacing w:after="0"/>
              <w:rPr>
                <w:sz w:val="20"/>
                <w:szCs w:val="20"/>
                <w:color w:val="auto"/>
              </w:rPr>
            </w:pPr>
            <w:r>
              <w:rPr>
                <w:rFonts w:ascii="Arial" w:cs="Arial" w:eastAsia="Arial" w:hAnsi="Arial"/>
                <w:sz w:val="18"/>
                <w:szCs w:val="18"/>
                <w:b w:val="1"/>
                <w:bCs w:val="1"/>
                <w:color w:val="auto"/>
              </w:rPr>
              <w:t>PART II OTHER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6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140" w:type="dxa"/>
            <w:vAlign w:val="bottom"/>
            <w:gridSpan w:val="19"/>
          </w:tcPr>
          <w:p>
            <w:pPr>
              <w:spacing w:after="0"/>
              <w:rPr>
                <w:sz w:val="20"/>
                <w:szCs w:val="20"/>
                <w:color w:val="auto"/>
              </w:rPr>
            </w:pPr>
            <w:r>
              <w:rPr>
                <w:rFonts w:ascii="Arial" w:cs="Arial" w:eastAsia="Arial" w:hAnsi="Arial"/>
                <w:sz w:val="18"/>
                <w:szCs w:val="18"/>
                <w:color w:val="0000EE"/>
              </w:rPr>
              <w:t>Legal Proceedings</w:t>
            </w: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Arial" w:cs="Arial" w:eastAsia="Arial" w:hAnsi="Arial"/>
                <w:sz w:val="18"/>
                <w:szCs w:val="18"/>
                <w:color w:val="0000EE"/>
                <w:w w:val="92"/>
              </w:rPr>
              <w:t>Item 1A.</w:t>
            </w:r>
          </w:p>
        </w:tc>
        <w:tc>
          <w:tcPr>
            <w:tcW w:w="220" w:type="dxa"/>
            <w:vAlign w:val="bottom"/>
          </w:tcPr>
          <w:p>
            <w:pPr>
              <w:spacing w:after="0"/>
              <w:rPr>
                <w:sz w:val="17"/>
                <w:szCs w:val="17"/>
                <w:color w:val="auto"/>
              </w:rPr>
            </w:pPr>
          </w:p>
        </w:tc>
        <w:tc>
          <w:tcPr>
            <w:tcW w:w="7140" w:type="dxa"/>
            <w:vAlign w:val="bottom"/>
            <w:gridSpan w:val="19"/>
          </w:tcPr>
          <w:p>
            <w:pPr>
              <w:spacing w:after="0" w:line="196" w:lineRule="exact"/>
              <w:rPr>
                <w:sz w:val="20"/>
                <w:szCs w:val="20"/>
                <w:color w:val="auto"/>
              </w:rPr>
            </w:pPr>
            <w:r>
              <w:rPr>
                <w:rFonts w:ascii="Arial" w:cs="Arial" w:eastAsia="Arial" w:hAnsi="Arial"/>
                <w:sz w:val="18"/>
                <w:szCs w:val="18"/>
                <w:color w:val="0000EE"/>
              </w:rPr>
              <w:t>Risk Factors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Arial" w:cs="Arial" w:eastAsia="Arial" w:hAnsi="Arial"/>
                <w:sz w:val="18"/>
                <w:szCs w:val="18"/>
                <w:color w:val="0000EE"/>
              </w:rPr>
              <w:t>Item 2.</w:t>
            </w:r>
          </w:p>
        </w:tc>
        <w:tc>
          <w:tcPr>
            <w:tcW w:w="220" w:type="dxa"/>
            <w:vAlign w:val="bottom"/>
          </w:tcPr>
          <w:p>
            <w:pPr>
              <w:spacing w:after="0"/>
              <w:rPr>
                <w:sz w:val="17"/>
                <w:szCs w:val="17"/>
                <w:color w:val="auto"/>
              </w:rPr>
            </w:pPr>
          </w:p>
        </w:tc>
        <w:tc>
          <w:tcPr>
            <w:tcW w:w="7140" w:type="dxa"/>
            <w:vAlign w:val="bottom"/>
            <w:gridSpan w:val="19"/>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7140" w:type="dxa"/>
            <w:vAlign w:val="bottom"/>
            <w:gridSpan w:val="19"/>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494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7140" w:type="dxa"/>
            <w:vAlign w:val="bottom"/>
            <w:gridSpan w:val="19"/>
          </w:tcPr>
          <w:p>
            <w:pPr>
              <w:spacing w:after="0" w:line="196" w:lineRule="exact"/>
              <w:rPr>
                <w:sz w:val="20"/>
                <w:szCs w:val="20"/>
                <w:color w:val="auto"/>
              </w:rPr>
            </w:pPr>
            <w:r>
              <w:rPr>
                <w:rFonts w:ascii="Arial" w:cs="Arial" w:eastAsia="Arial" w:hAnsi="Arial"/>
                <w:sz w:val="18"/>
                <w:szCs w:val="18"/>
                <w:color w:val="0000EE"/>
              </w:rPr>
              <w:t>Mine Safety Disclosures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500" w:type="dxa"/>
            <w:vAlign w:val="bottom"/>
            <w:gridSpan w:val="1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5.</w:t>
            </w:r>
          </w:p>
        </w:tc>
        <w:tc>
          <w:tcPr>
            <w:tcW w:w="7140" w:type="dxa"/>
            <w:vAlign w:val="bottom"/>
            <w:gridSpan w:val="19"/>
          </w:tcPr>
          <w:p>
            <w:pPr>
              <w:spacing w:after="0" w:line="196" w:lineRule="exact"/>
              <w:rPr>
                <w:sz w:val="20"/>
                <w:szCs w:val="20"/>
                <w:color w:val="auto"/>
              </w:rPr>
            </w:pPr>
            <w:r>
              <w:rPr>
                <w:rFonts w:ascii="Arial" w:cs="Arial" w:eastAsia="Arial" w:hAnsi="Arial"/>
                <w:sz w:val="18"/>
                <w:szCs w:val="18"/>
                <w:color w:val="0000EE"/>
              </w:rPr>
              <w:t>Other Information</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960" w:type="dxa"/>
            <w:vAlign w:val="bottom"/>
            <w:gridSpan w:val="1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6.</w:t>
            </w:r>
          </w:p>
        </w:tc>
        <w:tc>
          <w:tcPr>
            <w:tcW w:w="7140" w:type="dxa"/>
            <w:vAlign w:val="bottom"/>
            <w:gridSpan w:val="19"/>
          </w:tcPr>
          <w:p>
            <w:pPr>
              <w:spacing w:after="0" w:line="196" w:lineRule="exact"/>
              <w:rPr>
                <w:sz w:val="20"/>
                <w:szCs w:val="20"/>
                <w:color w:val="auto"/>
              </w:rPr>
            </w:pPr>
            <w:r>
              <w:rPr>
                <w:rFonts w:ascii="Arial" w:cs="Arial" w:eastAsia="Arial" w:hAnsi="Arial"/>
                <w:sz w:val="18"/>
                <w:szCs w:val="18"/>
                <w:color w:val="0000EE"/>
              </w:rPr>
              <w:t>Exhibits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60" w:type="dxa"/>
            <w:vAlign w:val="bottom"/>
            <w:gridSpan w:val="1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5"/>
              </w:rPr>
              <w:t>Signatures</w:t>
            </w:r>
          </w:p>
        </w:tc>
        <w:tc>
          <w:tcPr>
            <w:tcW w:w="7140" w:type="dxa"/>
            <w:vAlign w:val="bottom"/>
            <w:gridSpan w:val="1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left="60" w:right="299" w:firstLine="324"/>
        <w:spacing w:after="0" w:line="250" w:lineRule="auto"/>
        <w:rPr>
          <w:sz w:val="20"/>
          <w:szCs w:val="20"/>
          <w:color w:val="auto"/>
        </w:rPr>
      </w:pPr>
      <w:r>
        <w:rPr>
          <w:rFonts w:ascii="Arial" w:cs="Arial" w:eastAsia="Arial" w:hAnsi="Arial"/>
          <w:sz w:val="17"/>
          <w:szCs w:val="17"/>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 10-Q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plans for IGALMI</w:t>
      </w:r>
      <w:r>
        <w:rPr>
          <w:rFonts w:ascii="Arial" w:cs="Arial" w:eastAsia="Arial" w:hAnsi="Arial"/>
          <w:sz w:val="26"/>
          <w:szCs w:val="26"/>
          <w:color w:val="auto"/>
          <w:vertAlign w:val="superscript"/>
        </w:rPr>
        <w:t>TM</w:t>
      </w:r>
      <w:r>
        <w:rPr>
          <w:rFonts w:ascii="Arial" w:cs="Arial" w:eastAsia="Arial" w:hAnsi="Arial"/>
          <w:sz w:val="18"/>
          <w:szCs w:val="18"/>
          <w:color w:val="auto"/>
        </w:rPr>
        <w:t>;</w:t>
      </w: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clinical trials for our product candidates;</w:t>
      </w: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505(b)(2) regulatory path approval;</w:t>
      </w: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w:t>
      </w:r>
    </w:p>
    <w:p>
      <w:pPr>
        <w:ind w:left="720" w:right="599" w:hanging="319"/>
        <w:spacing w:after="0" w:line="226"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seek to enter into collaborations for the development and commercialization of certain product candidates;</w:t>
      </w:r>
    </w:p>
    <w:p>
      <w:pPr>
        <w:spacing w:after="0" w:line="1"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w:t>
      </w: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ind w:left="720" w:right="159" w:hanging="319"/>
        <w:spacing w:after="0" w:line="185"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any product candidates for which we receive marketing approval;</w:t>
      </w:r>
    </w:p>
    <w:p>
      <w:pPr>
        <w:spacing w:after="0" w:line="1"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w:t>
      </w:r>
    </w:p>
    <w:p>
      <w:pPr>
        <w:ind w:left="720" w:hanging="319"/>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capital requirements and need for additional financing;</w:t>
      </w:r>
    </w:p>
    <w:p>
      <w:pPr>
        <w:spacing w:after="0" w:line="7" w:lineRule="exact"/>
        <w:rPr>
          <w:rFonts w:ascii="Arial" w:cs="Arial" w:eastAsia="Arial" w:hAnsi="Arial"/>
          <w:sz w:val="17"/>
          <w:szCs w:val="17"/>
          <w:color w:val="auto"/>
        </w:rPr>
      </w:pPr>
    </w:p>
    <w:p>
      <w:pPr>
        <w:ind w:left="720" w:right="1039" w:hanging="319"/>
        <w:spacing w:after="0" w:line="226"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investments in, or other strategic options for, our subsidiary, OnkosXcel Therapeutics, LLC (“OnkosXcel”);</w:t>
      </w:r>
    </w:p>
    <w:p>
      <w:pPr>
        <w:spacing w:after="0" w:line="1"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 with BioXcel LLC.</w:t>
      </w:r>
    </w:p>
    <w:p>
      <w:pPr>
        <w:spacing w:after="0" w:line="155" w:lineRule="exact"/>
        <w:rPr>
          <w:sz w:val="20"/>
          <w:szCs w:val="20"/>
          <w:color w:val="auto"/>
        </w:rPr>
      </w:pPr>
    </w:p>
    <w:p>
      <w:pPr>
        <w:ind w:left="60" w:right="139" w:firstLine="324"/>
        <w:spacing w:after="0" w:line="265" w:lineRule="auto"/>
        <w:rPr>
          <w:sz w:val="20"/>
          <w:szCs w:val="20"/>
          <w:color w:val="auto"/>
        </w:rPr>
      </w:pPr>
      <w:r>
        <w:rPr>
          <w:rFonts w:ascii="Arial" w:cs="Arial" w:eastAsia="Arial" w:hAnsi="Arial"/>
          <w:sz w:val="16"/>
          <w:szCs w:val="16"/>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Factors that may cause actual results to differ materially from current expectations include, among other things, those listed under “Summary Risk Factors,” Part II, Item 1A. “Risk Factors,” and Part I, Item 2. “Management’s Discussion and Analysis of Financial Condition and Results of Operations” and elsewhere in this Quarterly Report on Form 10-Q. Given these uncertainties, you should not rely on these forward-looking statements as predictions of future events. Except as required by law, we assume no obligation to update or revise these forward-looking statements for any reason, even if new information becomes available in the future.</w:t>
      </w:r>
    </w:p>
    <w:p>
      <w:pPr>
        <w:spacing w:after="0" w:line="129" w:lineRule="exact"/>
        <w:rPr>
          <w:sz w:val="20"/>
          <w:szCs w:val="20"/>
          <w:color w:val="auto"/>
        </w:rPr>
      </w:pPr>
    </w:p>
    <w:p>
      <w:pPr>
        <w:ind w:left="60" w:right="299" w:firstLine="324"/>
        <w:spacing w:after="0" w:line="250"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40" w:lineRule="exact"/>
        <w:rPr>
          <w:sz w:val="20"/>
          <w:szCs w:val="20"/>
          <w:color w:val="auto"/>
        </w:rPr>
      </w:pPr>
    </w:p>
    <w:p>
      <w:pPr>
        <w:ind w:left="60" w:right="299" w:firstLine="324"/>
        <w:spacing w:after="0" w:line="259" w:lineRule="auto"/>
        <w:rPr>
          <w:sz w:val="20"/>
          <w:szCs w:val="20"/>
          <w:color w:val="auto"/>
        </w:rPr>
      </w:pPr>
      <w:r>
        <w:rPr>
          <w:rFonts w:ascii="Arial" w:cs="Arial" w:eastAsia="Arial" w:hAnsi="Arial"/>
          <w:sz w:val="17"/>
          <w:szCs w:val="17"/>
          <w:color w:val="auto"/>
        </w:rPr>
        <w:t>As used in this Quarterly Report on Form 10-Q, unless otherwise specified or the context otherwise requires, the terms “we,” “our,” “us,” the “Company” or “BTI” refer to BioXcel Therapeutics, Inc. and “BioXcel LLC” refers to the Company’s former parent company and significant stockholder, BioXcel LLC and its predecessor, BioXcel Corporation. All brand names or trademarks appearing in this Quarterly Report on Form 10-Q are the property of their respective owners, including IGALMI</w:t>
      </w:r>
      <w:r>
        <w:rPr>
          <w:rFonts w:ascii="Arial" w:cs="Arial" w:eastAsia="Arial" w:hAnsi="Arial"/>
          <w:sz w:val="25"/>
          <w:szCs w:val="25"/>
          <w:color w:val="auto"/>
          <w:vertAlign w:val="superscript"/>
        </w:rPr>
        <w:t>TM</w:t>
      </w:r>
      <w:r>
        <w:rPr>
          <w:rFonts w:ascii="Arial" w:cs="Arial" w:eastAsia="Arial" w:hAnsi="Arial"/>
          <w:sz w:val="17"/>
          <w:szCs w:val="17"/>
          <w:color w:val="auto"/>
        </w:rPr>
        <w:t>, which is a trademark of BioXcel Therapeutics, Inc.</w:t>
      </w:r>
    </w:p>
    <w:p>
      <w:pPr>
        <w:spacing w:after="0" w:line="7" w:lineRule="exact"/>
        <w:rPr>
          <w:sz w:val="20"/>
          <w:szCs w:val="20"/>
          <w:color w:val="auto"/>
        </w:rPr>
      </w:pPr>
    </w:p>
    <w:p>
      <w:pPr>
        <w:ind w:left="60" w:right="439" w:firstLine="324"/>
        <w:spacing w:after="0" w:line="294" w:lineRule="auto"/>
        <w:rPr>
          <w:sz w:val="20"/>
          <w:szCs w:val="20"/>
          <w:color w:val="auto"/>
        </w:rPr>
      </w:pPr>
      <w:r>
        <w:rPr>
          <w:rFonts w:ascii="Arial" w:cs="Arial" w:eastAsia="Arial" w:hAnsi="Arial"/>
          <w:sz w:val="16"/>
          <w:szCs w:val="16"/>
          <w:color w:val="auto"/>
        </w:rPr>
        <w:t xml:space="preserve">We may use our website as a distribution channel of material information about the Company. Financial and other important information regarding the Company is routinely posted on and accessible through the Investors &amp; Media section of its website at </w:t>
      </w:r>
      <w:r>
        <w:rPr>
          <w:rFonts w:ascii="Arial" w:cs="Arial" w:eastAsia="Arial" w:hAnsi="Arial"/>
          <w:sz w:val="16"/>
          <w:szCs w:val="16"/>
          <w:i w:val="1"/>
          <w:iCs w:val="1"/>
          <w:color w:val="auto"/>
        </w:rPr>
        <w:t>www.bioxceltherapeutics.com</w:t>
      </w:r>
      <w:r>
        <w:rPr>
          <w:rFonts w:ascii="Arial" w:cs="Arial" w:eastAsia="Arial" w:hAnsi="Arial"/>
          <w:sz w:val="16"/>
          <w:szCs w:val="16"/>
          <w:color w:val="auto"/>
        </w:rPr>
        <w:t>. In addition, you may automatically receive email alerts and</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064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219"/>
        <w:spacing w:after="0" w:line="291" w:lineRule="auto"/>
        <w:rPr>
          <w:sz w:val="20"/>
          <w:szCs w:val="20"/>
          <w:color w:val="auto"/>
        </w:rPr>
      </w:pPr>
      <w:r>
        <w:rPr>
          <w:rFonts w:ascii="Arial" w:cs="Arial" w:eastAsia="Arial" w:hAnsi="Arial"/>
          <w:sz w:val="17"/>
          <w:szCs w:val="17"/>
          <w:color w:val="auto"/>
        </w:rPr>
        <w:t xml:space="preserve">other information about the Company when you enroll your email address by visiting the “Email Alerts” option under the News / Events menu of the Investors &amp; Media section of our website at </w:t>
      </w:r>
      <w:r>
        <w:rPr>
          <w:rFonts w:ascii="Arial" w:cs="Arial" w:eastAsia="Arial" w:hAnsi="Arial"/>
          <w:sz w:val="17"/>
          <w:szCs w:val="17"/>
          <w:i w:val="1"/>
          <w:iCs w:val="1"/>
          <w:color w:val="auto"/>
        </w:rPr>
        <w:t>www.bioxceltherapeutics.com</w:t>
      </w:r>
      <w:r>
        <w:rPr>
          <w:rFonts w:ascii="Arial" w:cs="Arial" w:eastAsia="Arial" w:hAnsi="Arial"/>
          <w:sz w:val="17"/>
          <w:szCs w:val="17"/>
          <w:color w:val="auto"/>
        </w:rPr>
        <w:t>.</w:t>
      </w:r>
    </w:p>
    <w:p>
      <w:pPr>
        <w:spacing w:after="0" w:line="143"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SUMMARY RISK FACTORS</w:t>
      </w:r>
    </w:p>
    <w:p>
      <w:pPr>
        <w:spacing w:after="0" w:line="162" w:lineRule="exact"/>
        <w:rPr>
          <w:sz w:val="20"/>
          <w:szCs w:val="20"/>
          <w:color w:val="auto"/>
        </w:rPr>
      </w:pPr>
    </w:p>
    <w:p>
      <w:pPr>
        <w:ind w:left="60" w:right="599" w:firstLine="324"/>
        <w:spacing w:after="0" w:line="311" w:lineRule="auto"/>
        <w:rPr>
          <w:sz w:val="20"/>
          <w:szCs w:val="20"/>
          <w:color w:val="auto"/>
        </w:rPr>
      </w:pPr>
      <w:r>
        <w:rPr>
          <w:rFonts w:ascii="Arial" w:cs="Arial" w:eastAsia="Arial" w:hAnsi="Arial"/>
          <w:sz w:val="16"/>
          <w:szCs w:val="16"/>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the following:</w:t>
      </w:r>
    </w:p>
    <w:p>
      <w:pPr>
        <w:spacing w:after="0" w:line="149" w:lineRule="exact"/>
        <w:rPr>
          <w:sz w:val="20"/>
          <w:szCs w:val="20"/>
          <w:color w:val="auto"/>
        </w:rPr>
      </w:pPr>
    </w:p>
    <w:p>
      <w:pPr>
        <w:ind w:left="720" w:right="499" w:hanging="319"/>
        <w:spacing w:after="0" w:line="342"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a limited operating history and have not generated substantial product revenues to date, which may make it difficult to evaluate the success of our business to date and to assess our future viability.</w:t>
      </w:r>
    </w:p>
    <w:p>
      <w:pPr>
        <w:spacing w:after="0" w:line="123" w:lineRule="exact"/>
        <w:rPr>
          <w:rFonts w:ascii="Arial" w:cs="Arial" w:eastAsia="Arial" w:hAnsi="Arial"/>
          <w:sz w:val="16"/>
          <w:szCs w:val="16"/>
          <w:color w:val="auto"/>
        </w:rPr>
      </w:pPr>
    </w:p>
    <w:p>
      <w:pPr>
        <w:ind w:left="720" w:right="679" w:hanging="319"/>
        <w:spacing w:after="0" w:line="342"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incurred significant operating losses since inception and anticipate that we will continue to incur substantial operating losses for the foreseeable future and may never achieve or maintain profitability.</w:t>
      </w:r>
    </w:p>
    <w:p>
      <w:pPr>
        <w:spacing w:after="0" w:line="123" w:lineRule="exact"/>
        <w:rPr>
          <w:rFonts w:ascii="Arial" w:cs="Arial" w:eastAsia="Arial" w:hAnsi="Arial"/>
          <w:sz w:val="16"/>
          <w:szCs w:val="16"/>
          <w:color w:val="auto"/>
        </w:rPr>
      </w:pPr>
    </w:p>
    <w:p>
      <w:pPr>
        <w:ind w:left="720" w:right="579" w:hanging="319"/>
        <w:spacing w:after="0" w:line="342"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need substantial additional funding, and if we are unable to raise capital when needed, we could be forced to delay, reduce or eliminate our product development programs or commercialization efforts.</w:t>
      </w:r>
    </w:p>
    <w:p>
      <w:pPr>
        <w:spacing w:after="0" w:line="123" w:lineRule="exact"/>
        <w:rPr>
          <w:rFonts w:ascii="Arial" w:cs="Arial" w:eastAsia="Arial" w:hAnsi="Arial"/>
          <w:sz w:val="16"/>
          <w:szCs w:val="16"/>
          <w:color w:val="auto"/>
        </w:rPr>
      </w:pPr>
    </w:p>
    <w:p>
      <w:pPr>
        <w:ind w:left="720" w:right="319" w:hanging="319"/>
        <w:spacing w:after="0" w:line="286"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our financing facilities.</w:t>
      </w:r>
    </w:p>
    <w:p>
      <w:pPr>
        <w:spacing w:after="0" w:line="165" w:lineRule="exact"/>
        <w:rPr>
          <w:rFonts w:ascii="Arial" w:cs="Arial" w:eastAsia="Arial" w:hAnsi="Arial"/>
          <w:sz w:val="17"/>
          <w:szCs w:val="17"/>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limited experience in drug discovery and drug development.</w:t>
      </w:r>
    </w:p>
    <w:p>
      <w:pPr>
        <w:spacing w:after="0" w:line="215" w:lineRule="exact"/>
        <w:rPr>
          <w:rFonts w:ascii="Arial" w:cs="Arial" w:eastAsia="Arial" w:hAnsi="Arial"/>
          <w:sz w:val="18"/>
          <w:szCs w:val="18"/>
          <w:color w:val="auto"/>
        </w:rPr>
      </w:pPr>
    </w:p>
    <w:p>
      <w:pPr>
        <w:ind w:left="720" w:right="399" w:hanging="319"/>
        <w:spacing w:after="0" w:line="21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near term, we are dependent on the success of IGALMI</w:t>
      </w:r>
      <w:r>
        <w:rPr>
          <w:rFonts w:ascii="Arial" w:cs="Arial" w:eastAsia="Arial" w:hAnsi="Arial"/>
          <w:sz w:val="26"/>
          <w:szCs w:val="26"/>
          <w:color w:val="auto"/>
          <w:vertAlign w:val="superscript"/>
        </w:rPr>
        <w:t>TM</w:t>
      </w:r>
      <w:r>
        <w:rPr>
          <w:rFonts w:ascii="Arial" w:cs="Arial" w:eastAsia="Arial" w:hAnsi="Arial"/>
          <w:sz w:val="18"/>
          <w:szCs w:val="18"/>
          <w:color w:val="auto"/>
        </w:rPr>
        <w:t>, and three of our product candidates, BXCL501, BXCL502 and BXCL701. If we are unable to complete the clinical development of or obtain marketing approval for our product candidates or successfully commercialize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or our product candidates, either alone or with a collaborator, or if we experience significant delays in doing so, our business could be substantially harmed.</w:t>
      </w:r>
    </w:p>
    <w:p>
      <w:pPr>
        <w:spacing w:after="0" w:line="203" w:lineRule="exact"/>
        <w:rPr>
          <w:rFonts w:ascii="Arial" w:cs="Arial" w:eastAsia="Arial" w:hAnsi="Arial"/>
          <w:sz w:val="18"/>
          <w:szCs w:val="18"/>
          <w:color w:val="auto"/>
        </w:rPr>
      </w:pPr>
    </w:p>
    <w:p>
      <w:pPr>
        <w:ind w:left="720" w:right="15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3" w:lineRule="exact"/>
        <w:rPr>
          <w:rFonts w:ascii="Arial" w:cs="Arial" w:eastAsia="Arial" w:hAnsi="Arial"/>
          <w:sz w:val="18"/>
          <w:szCs w:val="18"/>
          <w:color w:val="auto"/>
        </w:rPr>
      </w:pPr>
    </w:p>
    <w:p>
      <w:pPr>
        <w:ind w:left="720" w:right="219" w:hanging="319"/>
        <w:spacing w:after="0" w:line="259"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regulatory approval processes of the United States (“U.S.”) Food and Drug Administration (“FDA”), and comparable foreign authorities are lengthy, time consuming, expensive and inherently unpredictable, and if we are ultimately unable to obtain regulatory approval for our product candidates, our business will be substantially harmed.</w:t>
      </w:r>
    </w:p>
    <w:p>
      <w:pPr>
        <w:spacing w:after="0" w:line="186" w:lineRule="exact"/>
        <w:rPr>
          <w:rFonts w:ascii="Arial" w:cs="Arial" w:eastAsia="Arial" w:hAnsi="Arial"/>
          <w:sz w:val="18"/>
          <w:szCs w:val="18"/>
          <w:color w:val="auto"/>
        </w:rPr>
      </w:pPr>
    </w:p>
    <w:p>
      <w:pPr>
        <w:ind w:left="720" w:right="41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trials are expensive, time-consuming and difficult to design and implement, and involve an uncertain outcome.</w:t>
      </w:r>
    </w:p>
    <w:p>
      <w:pPr>
        <w:spacing w:after="0" w:line="170" w:lineRule="exact"/>
        <w:rPr>
          <w:rFonts w:ascii="Arial" w:cs="Arial" w:eastAsia="Arial" w:hAnsi="Arial"/>
          <w:sz w:val="18"/>
          <w:szCs w:val="18"/>
          <w:color w:val="auto"/>
        </w:rPr>
      </w:pPr>
    </w:p>
    <w:p>
      <w:pPr>
        <w:ind w:left="720" w:right="35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spacing w:after="0" w:line="183" w:lineRule="exact"/>
        <w:rPr>
          <w:rFonts w:ascii="Arial" w:cs="Arial" w:eastAsia="Arial" w:hAnsi="Arial"/>
          <w:sz w:val="18"/>
          <w:szCs w:val="18"/>
          <w:color w:val="auto"/>
        </w:rPr>
      </w:pPr>
    </w:p>
    <w:p>
      <w:pPr>
        <w:ind w:left="720" w:right="559" w:hanging="319"/>
        <w:spacing w:after="0" w:line="286"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BioXcel LLC’s approach to the discovery and development of product candidates based on EvolverAI, its proprietary pharmaceutical discovery and development engine, is novel and unproven, and we do not know whether we will be able to develop any products of commercial value.</w:t>
      </w:r>
    </w:p>
    <w:p>
      <w:pPr>
        <w:spacing w:after="0" w:line="165" w:lineRule="exact"/>
        <w:rPr>
          <w:rFonts w:ascii="Arial" w:cs="Arial" w:eastAsia="Arial" w:hAnsi="Arial"/>
          <w:sz w:val="17"/>
          <w:szCs w:val="17"/>
          <w:color w:val="auto"/>
        </w:rPr>
      </w:pPr>
    </w:p>
    <w:p>
      <w:pPr>
        <w:ind w:left="720" w:right="239" w:hanging="319"/>
        <w:spacing w:after="0" w:line="311"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064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spacing w:after="0" w:line="277" w:lineRule="auto"/>
        <w:rPr>
          <w:sz w:val="20"/>
          <w:szCs w:val="20"/>
          <w:color w:val="auto"/>
        </w:rPr>
      </w:pPr>
      <w:r>
        <w:rPr>
          <w:rFonts w:ascii="Arial" w:cs="Arial" w:eastAsia="Arial" w:hAnsi="Arial"/>
          <w:sz w:val="18"/>
          <w:szCs w:val="18"/>
          <w:color w:val="auto"/>
        </w:rPr>
        <w:t>diagnostic device, we will not be able to commercialize the product candidate and our ability to generate revenue will be materially impaired.</w:t>
      </w:r>
    </w:p>
    <w:p>
      <w:pPr>
        <w:spacing w:after="0" w:line="160" w:lineRule="exact"/>
        <w:rPr>
          <w:sz w:val="20"/>
          <w:szCs w:val="20"/>
          <w:color w:val="auto"/>
        </w:rPr>
      </w:pPr>
    </w:p>
    <w:p>
      <w:pPr>
        <w:ind w:left="720" w:right="399" w:hanging="319"/>
        <w:spacing w:after="0" w:line="245"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Although the FDA approved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for the acute treatment of agitation associated with schizophrenia or bipolar I or II disorder, we still face extensive and ongoing regulatory requirements and obligations for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for any product candidates for which we obtain approval.</w:t>
      </w:r>
    </w:p>
    <w:p>
      <w:pPr>
        <w:spacing w:after="0" w:line="87" w:lineRule="exact"/>
        <w:rPr>
          <w:rFonts w:ascii="Arial" w:cs="Arial" w:eastAsia="Arial" w:hAnsi="Arial"/>
          <w:sz w:val="17"/>
          <w:szCs w:val="17"/>
          <w:color w:val="auto"/>
        </w:rPr>
      </w:pPr>
    </w:p>
    <w:p>
      <w:pPr>
        <w:ind w:left="720" w:right="35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and other regulatory agencies actively enforce the laws and regulations prohibiting the promotion of off-label uses.</w:t>
      </w:r>
    </w:p>
    <w:p>
      <w:pPr>
        <w:spacing w:after="0" w:line="170" w:lineRule="exact"/>
        <w:rPr>
          <w:rFonts w:ascii="Arial" w:cs="Arial" w:eastAsia="Arial" w:hAnsi="Arial"/>
          <w:sz w:val="18"/>
          <w:szCs w:val="18"/>
          <w:color w:val="auto"/>
        </w:rPr>
      </w:pPr>
    </w:p>
    <w:p>
      <w:pPr>
        <w:ind w:left="720" w:right="49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products do not gain market acceptance, our business will suffer because we might not be able to fund future operations.</w:t>
      </w:r>
    </w:p>
    <w:p>
      <w:pPr>
        <w:spacing w:after="0" w:line="170" w:lineRule="exact"/>
        <w:rPr>
          <w:rFonts w:ascii="Arial" w:cs="Arial" w:eastAsia="Arial" w:hAnsi="Arial"/>
          <w:sz w:val="18"/>
          <w:szCs w:val="18"/>
          <w:color w:val="auto"/>
        </w:rPr>
      </w:pPr>
    </w:p>
    <w:p>
      <w:pPr>
        <w:ind w:left="720" w:right="1019" w:hanging="319"/>
        <w:spacing w:after="0" w:line="340"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develop satisfactory sales and marketing capabilities, we may not succeed in commercializing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or any product candidate for which we may obtain regulatory approval.</w:t>
      </w:r>
    </w:p>
    <w:p>
      <w:pPr>
        <w:spacing w:after="0" w:line="2" w:lineRule="exact"/>
        <w:rPr>
          <w:rFonts w:ascii="Arial" w:cs="Arial" w:eastAsia="Arial" w:hAnsi="Arial"/>
          <w:sz w:val="16"/>
          <w:szCs w:val="16"/>
          <w:color w:val="auto"/>
        </w:rPr>
      </w:pPr>
    </w:p>
    <w:p>
      <w:pPr>
        <w:ind w:left="720" w:right="239" w:hanging="319"/>
        <w:spacing w:after="0" w:line="216"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we obtained FDA approval for IGALMI</w:t>
      </w:r>
      <w:r>
        <w:rPr>
          <w:rFonts w:ascii="Arial" w:cs="Arial" w:eastAsia="Arial" w:hAnsi="Arial"/>
          <w:sz w:val="26"/>
          <w:szCs w:val="26"/>
          <w:color w:val="auto"/>
          <w:vertAlign w:val="superscript"/>
        </w:rPr>
        <w:t>TM</w:t>
      </w:r>
      <w:r>
        <w:rPr>
          <w:rFonts w:ascii="Arial" w:cs="Arial" w:eastAsia="Arial" w:hAnsi="Arial"/>
          <w:sz w:val="18"/>
          <w:szCs w:val="18"/>
          <w:color w:val="auto"/>
        </w:rPr>
        <w:t>, our products and product candidates may not be accepted by physicians or the medical community in general.</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continue to depend on BioXcel LLC to provide us with certain services for our business.</w:t>
      </w:r>
    </w:p>
    <w:p>
      <w:pPr>
        <w:spacing w:after="0" w:line="225" w:lineRule="exact"/>
        <w:rPr>
          <w:rFonts w:ascii="Arial" w:cs="Arial" w:eastAsia="Arial" w:hAnsi="Arial"/>
          <w:sz w:val="18"/>
          <w:szCs w:val="18"/>
          <w:color w:val="auto"/>
        </w:rPr>
      </w:pPr>
    </w:p>
    <w:p>
      <w:pPr>
        <w:ind w:left="720" w:right="159" w:hanging="319"/>
        <w:spacing w:after="0" w:line="250"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substantially dependent on third parties for the manufacture of our clinical supplies of our product candidates, and our commercial supplies of IGALMI</w:t>
      </w:r>
      <w:r>
        <w:rPr>
          <w:rFonts w:ascii="Arial" w:cs="Arial" w:eastAsia="Arial" w:hAnsi="Arial"/>
          <w:sz w:val="25"/>
          <w:szCs w:val="25"/>
          <w:color w:val="auto"/>
          <w:vertAlign w:val="superscript"/>
        </w:rPr>
        <w:t>TM</w:t>
      </w:r>
      <w:r>
        <w:rPr>
          <w:rFonts w:ascii="Arial" w:cs="Arial" w:eastAsia="Arial" w:hAnsi="Arial"/>
          <w:sz w:val="17"/>
          <w:szCs w:val="17"/>
          <w:color w:val="auto"/>
        </w:rPr>
        <w:t>, and we intend to rely on third parties to produce commercial supplies of any other approved product candidate. Therefore, our development of our products could be stopped or delayed, and our commercialization of any future product could be stopped or delayed or made less profitable if third-party manufacturers fail to obtain approval of the FDA or comparable regulatory authorities or fail to provide us with drug product in sufficient quantities or at acceptable prices.</w:t>
      </w:r>
    </w:p>
    <w:p>
      <w:pPr>
        <w:spacing w:after="0" w:line="194" w:lineRule="exact"/>
        <w:rPr>
          <w:rFonts w:ascii="Arial" w:cs="Arial" w:eastAsia="Arial" w:hAnsi="Arial"/>
          <w:sz w:val="17"/>
          <w:szCs w:val="17"/>
          <w:color w:val="auto"/>
        </w:rPr>
      </w:pPr>
    </w:p>
    <w:p>
      <w:pPr>
        <w:ind w:left="720" w:right="879" w:hanging="319"/>
        <w:spacing w:after="0" w:line="308"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failure to find third-party collaborators to assist or share in the costs of product development could materially harm our business, financial condition and results of operations.</w:t>
      </w:r>
    </w:p>
    <w:p>
      <w:pPr>
        <w:spacing w:after="0" w:line="146" w:lineRule="exact"/>
        <w:rPr>
          <w:rFonts w:ascii="Arial" w:cs="Arial" w:eastAsia="Arial" w:hAnsi="Arial"/>
          <w:sz w:val="17"/>
          <w:szCs w:val="17"/>
          <w:color w:val="auto"/>
        </w:rPr>
      </w:pPr>
    </w:p>
    <w:p>
      <w:pPr>
        <w:ind w:left="720" w:right="15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1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BIOXCEL THERAPEUTICS, INC.</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31"/>
              <w:spacing w:after="0" w:line="149"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4"/>
                <w:szCs w:val="14"/>
                <w:color w:val="auto"/>
              </w:rPr>
            </w:pPr>
          </w:p>
        </w:tc>
        <w:tc>
          <w:tcPr>
            <w:tcW w:w="780" w:type="dxa"/>
            <w:vAlign w:val="bottom"/>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9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232,968</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assets</w:t>
            </w:r>
          </w:p>
        </w:tc>
        <w:tc>
          <w:tcPr>
            <w:tcW w:w="18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236,812</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8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244,818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239,439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9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11,492</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Due to related parties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Accrued interest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1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0"/>
        </w:trPr>
        <w:tc>
          <w:tcPr>
            <w:tcW w:w="50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8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23,378</w:t>
            </w:r>
          </w:p>
        </w:tc>
        <w:tc>
          <w:tcPr>
            <w:tcW w:w="2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16,667</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portion of operating lease liabilities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91,695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liabilities</w:t>
            </w:r>
          </w:p>
        </w:tc>
        <w:tc>
          <w:tcPr>
            <w:tcW w:w="18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117,832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17,772</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Commitments and contingencies (Note 15)</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20" w:type="dxa"/>
            <w:vAlign w:val="bottom"/>
          </w:tcPr>
          <w:p>
            <w:pPr>
              <w:ind w:left="220"/>
              <w:spacing w:after="0" w:line="201" w:lineRule="exact"/>
              <w:rPr>
                <w:sz w:val="20"/>
                <w:szCs w:val="20"/>
                <w:color w:val="auto"/>
              </w:rPr>
            </w:pPr>
            <w:r>
              <w:rPr>
                <w:rFonts w:ascii="Arial" w:cs="Arial" w:eastAsia="Arial" w:hAnsi="Arial"/>
                <w:sz w:val="18"/>
                <w:szCs w:val="18"/>
                <w:color w:val="auto"/>
                <w:w w:val="89"/>
              </w:rPr>
              <w:t>Common stock, $0.001 par value, 100,000 shares authorized as of</w:t>
            </w:r>
          </w:p>
        </w:tc>
        <w:tc>
          <w:tcPr>
            <w:tcW w:w="196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September 30, 2022</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3"/>
          </w:tcPr>
          <w:p>
            <w:pPr>
              <w:ind w:left="220"/>
              <w:spacing w:after="0"/>
              <w:rPr>
                <w:sz w:val="20"/>
                <w:szCs w:val="20"/>
                <w:color w:val="auto"/>
              </w:rPr>
            </w:pPr>
            <w:r>
              <w:rPr>
                <w:rFonts w:ascii="Arial" w:cs="Arial" w:eastAsia="Arial" w:hAnsi="Arial"/>
                <w:sz w:val="18"/>
                <w:szCs w:val="18"/>
                <w:color w:val="auto"/>
              </w:rPr>
              <w:t>and December 31, 2021; 28,023 and 27,980 shares issued and outstanding as of</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September 30, 2022 and December 31, 2021, respectively</w:t>
            </w:r>
          </w:p>
        </w:tc>
        <w:tc>
          <w:tcPr>
            <w:tcW w:w="1960" w:type="dxa"/>
            <w:vAlign w:val="bottom"/>
            <w:gridSpan w:val="2"/>
          </w:tcPr>
          <w:p>
            <w:pPr>
              <w:ind w:left="18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698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Preferred stock, $0.001 par value, 10,000 shares authorized; no shares issued and</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outstanding as of September 30, 2022 and December 31, 2021</w:t>
            </w: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Additional paid-in-capital</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483,695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467,427</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(356,737)</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(245,788)</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18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126,986</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221,667</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1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244,818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239,439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ectPr>
          <w:pgSz w:w="11900" w:h="16838" w:orient="portrait"/>
          <w:cols w:equalWidth="0" w:num="1">
            <w:col w:w="9059"/>
          </w:cols>
          <w:pgMar w:left="140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365125</wp:posOffset>
            </wp:positionV>
            <wp:extent cx="56064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59"/>
          </w:cols>
          <w:pgMar w:left="1400" w:top="517" w:right="144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426"/>
        </w:trPr>
        <w:tc>
          <w:tcPr>
            <w:tcW w:w="41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revenue, net</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48,097</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39,127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106,888</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(38,990)</w:t>
            </w:r>
          </w:p>
        </w:tc>
        <w:tc>
          <w:tcPr>
            <w:tcW w:w="20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(26,812)</w:t>
            </w: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(106,751)</w:t>
            </w:r>
          </w:p>
        </w:tc>
        <w:tc>
          <w:tcPr>
            <w:tcW w:w="2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Interest expense (income), net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1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(41,805)</w:t>
            </w:r>
          </w:p>
        </w:tc>
        <w:tc>
          <w:tcPr>
            <w:tcW w:w="200" w:type="dxa"/>
            <w:vAlign w:val="bottom"/>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(26,811)</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(110,949)</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(80,806)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Basic and diluted net loss per share attributable to</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common stockholders</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0"/>
              </w:rPr>
              <w:t>Weighted average shares outstanding - basic and diluted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28,022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27,972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27,997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25,832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4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Common stock</w:t>
            </w: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84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86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4"/>
              </w:rPr>
              <w:t>capital</w:t>
            </w:r>
          </w:p>
        </w:tc>
        <w:tc>
          <w:tcPr>
            <w:tcW w:w="104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2"/>
                <w:szCs w:val="12"/>
                <w:color w:val="auto"/>
              </w:rPr>
            </w:pPr>
          </w:p>
        </w:tc>
        <w:tc>
          <w:tcPr>
            <w:tcW w:w="70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345,529</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(138,857)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206,696</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5,565</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(26,376)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(26,376)</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351,945</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(165,233)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186,737</w:t>
            </w:r>
          </w:p>
        </w:tc>
        <w:tc>
          <w:tcPr>
            <w:tcW w:w="0" w:type="dxa"/>
            <w:vAlign w:val="bottom"/>
          </w:tcPr>
          <w:p>
            <w:pPr>
              <w:spacing w:after="0"/>
              <w:rPr>
                <w:sz w:val="1"/>
                <w:szCs w:val="1"/>
                <w:color w:val="auto"/>
              </w:rPr>
            </w:pPr>
          </w:p>
        </w:tc>
      </w:tr>
      <w:tr>
        <w:trPr>
          <w:trHeight w:val="202"/>
        </w:trPr>
        <w:tc>
          <w:tcPr>
            <w:tcW w:w="4120" w:type="dxa"/>
            <w:vAlign w:val="bottom"/>
          </w:tcPr>
          <w:p>
            <w:pPr>
              <w:ind w:left="20"/>
              <w:spacing w:after="0" w:line="201" w:lineRule="exact"/>
              <w:rPr>
                <w:sz w:val="20"/>
                <w:szCs w:val="20"/>
                <w:color w:val="auto"/>
              </w:rPr>
            </w:pPr>
            <w:r>
              <w:rPr>
                <w:rFonts w:ascii="Arial" w:cs="Arial" w:eastAsia="Arial" w:hAnsi="Arial"/>
                <w:sz w:val="18"/>
                <w:szCs w:val="18"/>
                <w:color w:val="auto"/>
                <w:w w:val="99"/>
              </w:rPr>
              <w:t>Issuance of common stock, net of issuance costs of</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$3,542</w:t>
            </w:r>
          </w:p>
        </w:tc>
        <w:tc>
          <w:tcPr>
            <w:tcW w:w="700" w:type="dxa"/>
            <w:vAlign w:val="bottom"/>
          </w:tcPr>
          <w:p>
            <w:pPr>
              <w:jc w:val="right"/>
              <w:spacing w:after="0"/>
              <w:rPr>
                <w:sz w:val="20"/>
                <w:szCs w:val="20"/>
                <w:color w:val="auto"/>
              </w:rPr>
            </w:pPr>
            <w:r>
              <w:rPr>
                <w:rFonts w:ascii="Arial" w:cs="Arial" w:eastAsia="Arial" w:hAnsi="Arial"/>
                <w:sz w:val="18"/>
                <w:szCs w:val="18"/>
                <w:color w:val="auto"/>
              </w:rPr>
              <w:t>3,279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101,024</w:t>
            </w:r>
          </w:p>
        </w:tc>
        <w:tc>
          <w:tcPr>
            <w:tcW w:w="1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101,027</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497</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(27,619)</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(27,619)</w:t>
            </w: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Arial" w:cs="Arial" w:eastAsia="Arial" w:hAnsi="Arial"/>
                <w:sz w:val="18"/>
                <w:szCs w:val="18"/>
                <w:color w:val="auto"/>
              </w:rPr>
              <w:t>Balance as of June 30, 2021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27,969</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460,235</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 (192,852)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267,411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issuance costs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4,885</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(26,811)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(26,811)</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465,191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(219,663)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245,556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120" w:type="dxa"/>
            <w:vAlign w:val="bottom"/>
          </w:tcPr>
          <w:p>
            <w:pPr>
              <w:spacing w:after="0"/>
              <w:rPr>
                <w:sz w:val="17"/>
                <w:szCs w:val="17"/>
                <w:color w:val="auto"/>
              </w:rPr>
            </w:pPr>
          </w:p>
        </w:tc>
        <w:tc>
          <w:tcPr>
            <w:tcW w:w="16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7"/>
                <w:szCs w:val="17"/>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7"/>
                <w:szCs w:val="17"/>
                <w:color w:val="auto"/>
              </w:rPr>
            </w:pPr>
          </w:p>
        </w:tc>
        <w:tc>
          <w:tcPr>
            <w:tcW w:w="700" w:type="dxa"/>
            <w:vAlign w:val="bottom"/>
          </w:tcPr>
          <w:p>
            <w:pPr>
              <w:jc w:val="right"/>
              <w:ind w:right="1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467,427</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(245,788)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221,667</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3,825</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(31,472)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(31,472)</w:t>
            </w: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Arial" w:cs="Arial" w:eastAsia="Arial" w:hAnsi="Arial"/>
                <w:sz w:val="18"/>
                <w:szCs w:val="18"/>
                <w:color w:val="auto"/>
              </w:rPr>
              <w:t>Balance as of March 31, 2022</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27,980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471,252</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 (277,260)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194,020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color w:val="auto"/>
              </w:rPr>
              <w:t>Issuance of stock purchase warrants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3,245</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(37,672)</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(37,672)</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479,164</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(314,932)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164,260</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4,483</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(41,805)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(41,805)</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483,695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(356,737)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126,986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BIOXCEL THERAPEUTICS, INC.</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8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(amounts in thousands)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21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66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CASH FLOW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(110,949)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(80,806)</w:t>
            </w: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Reconciliation of net loss to net cash used in operating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8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Accretion of debt discount and amortization of financing costs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ind w:left="220"/>
              <w:spacing w:after="0"/>
              <w:rPr>
                <w:sz w:val="20"/>
                <w:szCs w:val="20"/>
                <w:color w:val="auto"/>
              </w:rPr>
            </w:pPr>
            <w:r>
              <w:rPr>
                <w:rFonts w:ascii="Arial" w:cs="Arial" w:eastAsia="Arial" w:hAnsi="Arial"/>
                <w:sz w:val="18"/>
                <w:szCs w:val="18"/>
                <w:color w:val="auto"/>
              </w:rPr>
              <w:t>Change in fair value of derivative liabilities</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17,219</w:t>
            </w:r>
          </w:p>
        </w:tc>
      </w:tr>
      <w:tr>
        <w:trPr>
          <w:trHeight w:val="216"/>
        </w:trPr>
        <w:tc>
          <w:tcPr>
            <w:tcW w:w="6680" w:type="dxa"/>
            <w:vAlign w:val="bottom"/>
          </w:tcPr>
          <w:p>
            <w:pPr>
              <w:ind w:left="220"/>
              <w:spacing w:after="0"/>
              <w:rPr>
                <w:sz w:val="20"/>
                <w:szCs w:val="20"/>
                <w:color w:val="auto"/>
              </w:rPr>
            </w:pPr>
            <w:r>
              <w:rPr>
                <w:rFonts w:ascii="Arial" w:cs="Arial" w:eastAsia="Arial" w:hAnsi="Arial"/>
                <w:sz w:val="18"/>
                <w:szCs w:val="18"/>
                <w:color w:val="auto"/>
              </w:rPr>
              <w:t>PIK interest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disposal of equipment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68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ind w:left="340"/>
              <w:spacing w:after="0"/>
              <w:rPr>
                <w:sz w:val="20"/>
                <w:szCs w:val="20"/>
                <w:color w:val="auto"/>
              </w:rPr>
            </w:pPr>
            <w:r>
              <w:rPr>
                <w:rFonts w:ascii="Arial" w:cs="Arial" w:eastAsia="Arial" w:hAnsi="Arial"/>
                <w:sz w:val="18"/>
                <w:szCs w:val="18"/>
                <w:color w:val="auto"/>
              </w:rPr>
              <w:t>Prepaid expenses, other current assets and other assets</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(4,934)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(1,739)</w:t>
            </w: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6680" w:type="dxa"/>
            <w:vAlign w:val="bottom"/>
          </w:tcPr>
          <w:p>
            <w:pPr>
              <w:ind w:left="340"/>
              <w:spacing w:after="0"/>
              <w:rPr>
                <w:sz w:val="20"/>
                <w:szCs w:val="20"/>
                <w:color w:val="auto"/>
              </w:rPr>
            </w:pPr>
            <w:r>
              <w:rPr>
                <w:rFonts w:ascii="Arial" w:cs="Arial" w:eastAsia="Arial" w:hAnsi="Arial"/>
                <w:sz w:val="18"/>
                <w:szCs w:val="18"/>
                <w:color w:val="auto"/>
              </w:rPr>
              <w:t>Accounts payable, accrued expenses, and other current liabilities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3,795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2,807</w:t>
            </w: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10"/>
        </w:trPr>
        <w:tc>
          <w:tcPr>
            <w:tcW w:w="66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(62,221)</w:t>
            </w:r>
          </w:p>
        </w:tc>
      </w:tr>
      <w:tr>
        <w:trPr>
          <w:trHeight w:val="210"/>
        </w:trPr>
        <w:tc>
          <w:tcPr>
            <w:tcW w:w="6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CASH FLOW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Arial" w:cs="Arial" w:eastAsia="Arial" w:hAnsi="Arial"/>
                <w:sz w:val="18"/>
                <w:szCs w:val="18"/>
                <w:color w:val="auto"/>
              </w:rPr>
              <w:t>Purchases of equipment and leasehold improvements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09"/>
        </w:trPr>
        <w:tc>
          <w:tcPr>
            <w:tcW w:w="66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10"/>
        </w:trPr>
        <w:tc>
          <w:tcPr>
            <w:tcW w:w="6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CASH FLOW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Arial" w:cs="Arial" w:eastAsia="Arial" w:hAnsi="Arial"/>
                <w:sz w:val="18"/>
                <w:szCs w:val="18"/>
                <w:color w:val="auto"/>
              </w:rPr>
              <w:t>Proceeds from long-term debt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98,600</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issuance costs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(2,646)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ind w:left="120"/>
              <w:spacing w:after="0"/>
              <w:rPr>
                <w:sz w:val="20"/>
                <w:szCs w:val="20"/>
                <w:color w:val="auto"/>
              </w:rPr>
            </w:pPr>
            <w:r>
              <w:rPr>
                <w:rFonts w:ascii="Arial" w:cs="Arial" w:eastAsia="Arial" w:hAnsi="Arial"/>
                <w:sz w:val="18"/>
                <w:szCs w:val="18"/>
                <w:color w:val="auto"/>
              </w:rPr>
              <w:t>Proceeds from issuance of common stock, net of issuance costs</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100,993</w:t>
            </w: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 of stock options</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r>
      <w:tr>
        <w:trPr>
          <w:trHeight w:val="210"/>
        </w:trPr>
        <w:tc>
          <w:tcPr>
            <w:tcW w:w="66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96,187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102,447</w:t>
            </w:r>
          </w:p>
        </w:tc>
      </w:tr>
      <w:tr>
        <w:trPr>
          <w:trHeight w:val="210"/>
        </w:trPr>
        <w:tc>
          <w:tcPr>
            <w:tcW w:w="6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(654)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39,793</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the period</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232,968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213,119</w:t>
            </w:r>
          </w:p>
        </w:tc>
      </w:tr>
      <w:tr>
        <w:trPr>
          <w:trHeight w:val="25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end of the period</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232,314</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252,912</w:t>
            </w:r>
          </w:p>
        </w:tc>
      </w:tr>
      <w:tr>
        <w:trPr>
          <w:trHeight w:val="197"/>
        </w:trPr>
        <w:tc>
          <w:tcPr>
            <w:tcW w:w="6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stock purchase warrants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(amounts in thousands, except per share amounts and where otherwise noted)</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Nature of the Business</w:t>
      </w:r>
    </w:p>
    <w:p>
      <w:pPr>
        <w:spacing w:after="0" w:line="229" w:lineRule="exact"/>
        <w:rPr>
          <w:sz w:val="20"/>
          <w:szCs w:val="20"/>
          <w:color w:val="auto"/>
        </w:rPr>
      </w:pPr>
    </w:p>
    <w:p>
      <w:pPr>
        <w:ind w:left="60" w:right="279" w:firstLine="324"/>
        <w:spacing w:after="0" w:line="254" w:lineRule="auto"/>
        <w:rPr>
          <w:sz w:val="20"/>
          <w:szCs w:val="20"/>
          <w:color w:val="auto"/>
        </w:rPr>
      </w:pPr>
      <w:r>
        <w:rPr>
          <w:rFonts w:ascii="Arial" w:cs="Arial" w:eastAsia="Arial" w:hAnsi="Arial"/>
          <w:sz w:val="18"/>
          <w:szCs w:val="18"/>
          <w:color w:val="auto"/>
        </w:rPr>
        <w:t>BioXcel Therapeutics, Inc. (“BTI”) is a biopharmaceutical company focused on drug development that utilizes artificial intelligence (“AI”) to identify improved therapies in neuroscience and immuno-oncology. BTI's drug re-innovation approach leverages existing approved drugs and/or clinically validated product candidates together with big data and proprietary machine learning algorithms to identify new therapeutic indices. BTI's two most advanced clinical development programs are BXCL501, a proprietary, orally dissolving, thin film formulation of the adrenergic receptor agonist dexmedetomidine (“Dex”), for the treatment of agitation, and BXCL701, an orally administered, systemic innate immune activator for the treatment of a rare form of prostate cancer and advanced solid tumors that are refractory or treatment naïve to checkpoint inhibitors.</w:t>
      </w:r>
    </w:p>
    <w:p>
      <w:pPr>
        <w:spacing w:after="0" w:line="192"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As used in these condensed consolidated financial statements, unless otherwise specified or the context otherwise requires, the terms the “Company” or “BTI” refer to BioXcel Therapeutics, Inc., and “BioXcel LLC” refers to the Company’s former parent and current significant stockholder, BioXcel LLC and, its predecessor, BioXcel Corporation. OnkosXcel refers to BTI’s wholly-owned subsidiary for its advanced immuno-oncology assets, OnkosXcel Therapeutics, LLC.</w:t>
      </w:r>
    </w:p>
    <w:p>
      <w:pPr>
        <w:spacing w:after="0" w:line="188" w:lineRule="exact"/>
        <w:rPr>
          <w:sz w:val="20"/>
          <w:szCs w:val="20"/>
          <w:color w:val="auto"/>
        </w:rPr>
      </w:pPr>
    </w:p>
    <w:p>
      <w:pPr>
        <w:ind w:left="60" w:right="799" w:firstLine="324"/>
        <w:spacing w:after="0" w:line="277" w:lineRule="auto"/>
        <w:rPr>
          <w:sz w:val="20"/>
          <w:szCs w:val="20"/>
          <w:color w:val="auto"/>
        </w:rPr>
      </w:pPr>
      <w:r>
        <w:rPr>
          <w:rFonts w:ascii="Arial" w:cs="Arial" w:eastAsia="Arial" w:hAnsi="Arial"/>
          <w:sz w:val="18"/>
          <w:szCs w:val="18"/>
          <w:color w:val="auto"/>
        </w:rPr>
        <w:t>The Company was incorporated under the laws of the State of Delaware on March 29, 2017. The Company’s principal office is in New Haven, Connecticut.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225" w:lineRule="exact"/>
        <w:rPr>
          <w:sz w:val="20"/>
          <w:szCs w:val="20"/>
          <w:color w:val="auto"/>
        </w:rPr>
      </w:pPr>
    </w:p>
    <w:p>
      <w:pPr>
        <w:ind w:left="60" w:right="299" w:firstLine="324"/>
        <w:spacing w:after="0" w:line="296" w:lineRule="auto"/>
        <w:rPr>
          <w:sz w:val="20"/>
          <w:szCs w:val="20"/>
          <w:color w:val="auto"/>
        </w:rPr>
      </w:pPr>
      <w:r>
        <w:rPr>
          <w:rFonts w:ascii="Arial" w:cs="Arial" w:eastAsia="Arial" w:hAnsi="Arial"/>
          <w:sz w:val="16"/>
          <w:szCs w:val="16"/>
          <w:color w:val="auto"/>
        </w:rPr>
        <w:t>During the first quarter ended March 31, 2020, the novel coronavirus disease (“COVID-19”) was declared a pandemic and spread to multiple regions across the globe, including the U.S. and Europe. The outbreak and government response measures have significantly impacted, both directly and indirectly, businesses and commerce, as worker shortages have occurred; supply chains have been disrupted; facilities and production have been suspended; and demand for certain goods and services spiked, while demand for other goods and services have decreased.</w:t>
      </w:r>
    </w:p>
    <w:p>
      <w:pPr>
        <w:spacing w:after="0" w:line="161" w:lineRule="exact"/>
        <w:rPr>
          <w:sz w:val="20"/>
          <w:szCs w:val="20"/>
          <w:color w:val="auto"/>
        </w:rPr>
      </w:pPr>
    </w:p>
    <w:p>
      <w:pPr>
        <w:ind w:left="60" w:right="359" w:firstLine="324"/>
        <w:spacing w:after="0" w:line="301" w:lineRule="auto"/>
        <w:rPr>
          <w:sz w:val="20"/>
          <w:szCs w:val="20"/>
          <w:color w:val="auto"/>
        </w:rPr>
      </w:pPr>
      <w:r>
        <w:rPr>
          <w:rFonts w:ascii="Arial" w:cs="Arial" w:eastAsia="Arial" w:hAnsi="Arial"/>
          <w:sz w:val="16"/>
          <w:szCs w:val="16"/>
          <w:color w:val="auto"/>
        </w:rPr>
        <w:t>The Company continues to work closely with its clinical sites to monitor the potential impact of the evolving COVID-19 pandemic and the spread of its variants. BTI remains committed to its clinical programs and development plans. To date, BTI has not experienced any significant delays in any of its ongoing or planned clinical trials, except for occasional COVID-19-related disruptions to its TRANQUILITY II trial. However, this could rapidly change.</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ind w:left="60" w:right="179" w:firstLine="324"/>
        <w:spacing w:after="0" w:line="287" w:lineRule="auto"/>
        <w:rPr>
          <w:sz w:val="20"/>
          <w:szCs w:val="20"/>
          <w:color w:val="auto"/>
        </w:rPr>
      </w:pPr>
      <w:r>
        <w:rPr>
          <w:rFonts w:ascii="Arial" w:cs="Arial" w:eastAsia="Arial" w:hAnsi="Arial"/>
          <w:sz w:val="16"/>
          <w:szCs w:val="16"/>
          <w:color w:val="auto"/>
        </w:rPr>
        <w:t>The accompanying unaudited interim condensed consolidated financial statements do not include all of the information and notes required by Generally Accepted Accounting Principles in the U.S. (“GAAP”). The accompanying year-end balance sheet was derived from audited financial statements but does not include all disclosures required by GAAP. The unaudited interim condensed consolidated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September 30, 2022, the results of its operations for the three and nine months ended September 30, 2022 and 2021, and its cash flows for the nine months ended September 30, 2022 and 2021. The results for the three and nine months ended September 30, 2022 are not necessarily indicative of results to be expected for the year ending December 31, 2022, any other interim periods or any future year or period. The accompanying unaudited interim condensed consolidated financial statements of the Company should be read in conjunction with the audited financial statements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and notes thereto included in the Company’s Annual Report on Form 10-K for the year ended December 31, 2021 filed with the Securities and Exchange Commission on March 10, 2022.</w:t>
      </w:r>
    </w:p>
    <w:p>
      <w:pPr>
        <w:spacing w:after="0" w:line="170" w:lineRule="exact"/>
        <w:rPr>
          <w:sz w:val="20"/>
          <w:szCs w:val="20"/>
          <w:color w:val="auto"/>
        </w:rPr>
      </w:pPr>
    </w:p>
    <w:p>
      <w:pPr>
        <w:ind w:left="60" w:right="399" w:firstLine="324"/>
        <w:spacing w:after="0" w:line="342" w:lineRule="auto"/>
        <w:rPr>
          <w:sz w:val="20"/>
          <w:szCs w:val="20"/>
          <w:color w:val="auto"/>
        </w:rPr>
      </w:pPr>
      <w:r>
        <w:rPr>
          <w:rFonts w:ascii="Arial" w:cs="Arial" w:eastAsia="Arial" w:hAnsi="Arial"/>
          <w:sz w:val="16"/>
          <w:szCs w:val="16"/>
          <w:color w:val="auto"/>
        </w:rPr>
        <w:t>The Company’s condensed consolidated financial statements include the accounts for the Company and all entities where BTI has a controlling financial interest after elimination of all intercompany accounts and transactions.</w:t>
      </w:r>
    </w:p>
    <w:p>
      <w:pPr>
        <w:spacing w:after="0" w:line="124" w:lineRule="exact"/>
        <w:rPr>
          <w:sz w:val="20"/>
          <w:szCs w:val="20"/>
          <w:color w:val="auto"/>
        </w:rPr>
      </w:pPr>
    </w:p>
    <w:p>
      <w:pPr>
        <w:ind w:left="60" w:right="179" w:firstLine="324"/>
        <w:spacing w:after="0" w:line="289" w:lineRule="auto"/>
        <w:rPr>
          <w:sz w:val="20"/>
          <w:szCs w:val="20"/>
          <w:color w:val="auto"/>
        </w:rPr>
      </w:pPr>
      <w:r>
        <w:rPr>
          <w:rFonts w:ascii="Arial" w:cs="Arial" w:eastAsia="Arial" w:hAnsi="Arial"/>
          <w:sz w:val="16"/>
          <w:szCs w:val="16"/>
          <w:color w:val="auto"/>
        </w:rPr>
        <w:t>As of September 30, 2022, the Company had cash and cash equivalents of $232,314 and an accumulated deficit of $356,737. BTI has incurred substantial net losses and negative cash flows from operating activities in nearly every fiscal period since inception and expects this trend to continue for the foreseeable future. The Company recognized net losses of $41,805 and $26,811 for the three months ended September 30, 2022 and 2021, respectively and $110,949 and $80,806 for the nine months ended September 30, 2022 and 2021, respectively, and had net cash used in operating activities of $96,702 and $62,221 for the nine months ended September 30, 2022 and 2021, respectively. The Company believes that its existing cash and cash equivalents will be sufficient to cover its cash flow requirements for at least the next twelve months from the issuance date of these condensed consolidated financial statements. However, the Company’s future requirements may change and will depend on numerous factors.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amounts reported in the condensed consolidated financial statements and notes thereto. Although these estimates are based on the Company’s knowledge of current events and actions it may undertake in the future, actual results may ultimately materially differ from these estimates.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0" w:right="299" w:firstLine="324"/>
        <w:spacing w:after="0" w:line="301"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at the date of purchase to be cash equivalents. As of September 30, 2022 and December 31, 2021, cash equivalents were comprised primarily of money market funds. Cash and cash equivalents held at financial institutions may at times exceed federally insured amounts. BTI management believes it mitigates such risk by investing in or through major financial institutions.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15" w:lineRule="exact"/>
        <w:rPr>
          <w:sz w:val="20"/>
          <w:szCs w:val="20"/>
          <w:color w:val="auto"/>
        </w:rPr>
      </w:pPr>
    </w:p>
    <w:p>
      <w:pPr>
        <w:ind w:left="60" w:right="159" w:firstLine="324"/>
        <w:spacing w:after="0" w:line="258" w:lineRule="auto"/>
        <w:rPr>
          <w:sz w:val="20"/>
          <w:szCs w:val="20"/>
          <w:color w:val="auto"/>
        </w:rPr>
      </w:pPr>
      <w:r>
        <w:rPr>
          <w:rFonts w:ascii="Arial" w:cs="Arial" w:eastAsia="Arial" w:hAnsi="Arial"/>
          <w:sz w:val="17"/>
          <w:szCs w:val="17"/>
          <w:color w:val="auto"/>
        </w:rPr>
        <w:t>The accounts receivable arise from sales of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represent amounts due from distributors. Payment terms generally range from 30 to 75 days from the date of the sale transaction, and accordingly, do not involve a significant financing component. Receivables from product sales are recorded net of allowances which generally include distribution fees, prompt payment discounts, chargebacks, and credit losses. Allowances for distribution fees, prompt payment discounts and chargebacks are based on contractual terms. The Company estimated the current expected credit losses of its accounts receivable by assessing the risk of loss and available relevant information about collectability, existing contractual payment terms, actual payment patterns of its customers, individual customer circumstances, and reasonable and supportable forecast of economic conditions expected to exist throughout the contractual life of the receivable. Based on its assessment, as of September 30, 2022, the Company determined that an allowance for credit losses was not required. The Company did not have product sales prior to the third quarter of 2022 and therefore would not have required an allowance for credit losses.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15" w:lineRule="exact"/>
        <w:rPr>
          <w:sz w:val="20"/>
          <w:szCs w:val="20"/>
          <w:color w:val="auto"/>
        </w:rPr>
      </w:pPr>
    </w:p>
    <w:p>
      <w:pPr>
        <w:ind w:left="60" w:right="299" w:firstLine="324"/>
        <w:spacing w:after="0" w:line="231" w:lineRule="auto"/>
        <w:rPr>
          <w:sz w:val="20"/>
          <w:szCs w:val="20"/>
          <w:color w:val="auto"/>
        </w:rPr>
      </w:pPr>
      <w:r>
        <w:rPr>
          <w:rFonts w:ascii="Arial" w:cs="Arial" w:eastAsia="Arial" w:hAnsi="Arial"/>
          <w:sz w:val="18"/>
          <w:szCs w:val="18"/>
          <w:color w:val="auto"/>
        </w:rPr>
        <w:t>The Company sells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through a drop-ship program under which orders from hospitals and similar healthcare institutions are processed through wholesalers, but shipments of the product are sent directly to the individual hospitals and similar healthcare institutions. BTI also contracts directly with intermediaries such as group purchasing organizations (“GPOs”).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Inventory is stated at the lower of cost or net realizable value. Cost of inventory is determined on a first-in, first-out basis.</w:t>
      </w:r>
    </w:p>
    <w:p>
      <w:pPr>
        <w:spacing w:after="0" w:line="170"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BTI capitalizes inventory costs associated with the Company’s products prior to regulatory approval, when, based on management’s judgment, future commercialization is considered probable and the future economic benefit is expected to be realized; otherwise, such costs are expensed as research and development expense in the Condensed Consolidated Statements of Operations.</w:t>
      </w:r>
    </w:p>
    <w:p>
      <w:pPr>
        <w:spacing w:after="0" w:line="187"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The Company performs an assessment of the recoverability of capitalized inventory during each reporting period and writes down any excess and obsolete inventories to their estimated realizable value in the period in which the impairment is first identified. Such impairment charges, should they occur, will be recorded within cost of goods sold in the Condensed Consolidated Statements of Operations. The determination of whether inventory costs will be realizable requires estimates by management. If actual market conditions are less favorable than projected, write-downs of inventory may be required.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Property and equipment are recorded at cost and depreciated and amortized over the shorter of their remaining lease term or their estimated useful life on a straight-line basis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5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years</w:t>
            </w: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Furniture</w:t>
            </w:r>
          </w:p>
        </w:tc>
        <w:tc>
          <w:tcPr>
            <w:tcW w:w="506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5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Lesser of life of improvement or lease term</w:t>
            </w:r>
          </w:p>
        </w:tc>
      </w:tr>
    </w:tbl>
    <w:p>
      <w:pPr>
        <w:spacing w:after="0" w:line="202" w:lineRule="exact"/>
        <w:rPr>
          <w:sz w:val="20"/>
          <w:szCs w:val="20"/>
          <w:color w:val="auto"/>
        </w:rPr>
      </w:pPr>
    </w:p>
    <w:p>
      <w:pPr>
        <w:ind w:left="60" w:right="199" w:firstLine="324"/>
        <w:spacing w:after="0" w:line="279" w:lineRule="auto"/>
        <w:rPr>
          <w:sz w:val="20"/>
          <w:szCs w:val="20"/>
          <w:color w:val="auto"/>
        </w:rPr>
      </w:pPr>
      <w:r>
        <w:rPr>
          <w:rFonts w:ascii="Arial" w:cs="Arial" w:eastAsia="Arial" w:hAnsi="Arial"/>
          <w:sz w:val="17"/>
          <w:szCs w:val="17"/>
          <w:color w:val="auto"/>
        </w:rPr>
        <w:t>Expenditures for maintenance and repairs which do not improve or extend the useful lives of the respective assets are expensed as incurred. When assets are sold or retired, the related cost and accumulated depreciation are removed from their respective accounts and any resulting gain or loss is included within selling, general and administrative expenses in the Condensed Consolidated Statements of Operations.</w:t>
      </w:r>
    </w:p>
    <w:p>
      <w:pPr>
        <w:spacing w:after="0" w:line="171" w:lineRule="exact"/>
        <w:rPr>
          <w:sz w:val="20"/>
          <w:szCs w:val="20"/>
          <w:color w:val="auto"/>
        </w:rPr>
      </w:pPr>
    </w:p>
    <w:p>
      <w:pPr>
        <w:ind w:left="60" w:right="139" w:firstLine="324"/>
        <w:spacing w:after="0" w:line="296" w:lineRule="auto"/>
        <w:rPr>
          <w:sz w:val="20"/>
          <w:szCs w:val="20"/>
          <w:color w:val="auto"/>
        </w:rPr>
      </w:pPr>
      <w:r>
        <w:rPr>
          <w:rFonts w:ascii="Arial" w:cs="Arial" w:eastAsia="Arial" w:hAnsi="Arial"/>
          <w:sz w:val="16"/>
          <w:szCs w:val="16"/>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Impairment charges are recognized at the amount by which the carrying amount of an asset exceeds the fair value of the asset. Assets to be disposed of are reported at the lower of the carrying amount or the fair value less costs to sell.</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The Company determines if an arrangement is a lease at inception. Operating leases are included in operating lease right-of-use (“ROU”) assets, other current liabilities, and the long-term portion of operating lease liabilities in the Condensed Consolidated Balance Sheets.</w:t>
      </w:r>
    </w:p>
    <w:p>
      <w:pPr>
        <w:spacing w:after="0" w:line="184"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ROU assets represent BTI’s right to use an underlying asset for the lease term and lease liabilities represent the Company’s obligation to make lease payments arising from the lease. Operating lease ROU assets and lease liabilities are recognized at commencement date based on the present value of lease payments over the lease term. As BTI’s leases do not provide an implicit rate, it used an incremental borrowing rate based on the information available at commencement date in determining the present value of lease payments. The Company uses the implicit rate when readily determinable. The operating lease ROU asset also includes any prepaid lease payments made and excludes lease incentives. The Company’s leases may include options to extend the lease; such options are included in determining the lease term when it is reasonably certain that BTI will exercise that option. Renewal options were not included in the calculation of the related asset and liability since it is not reasonably certain BTI will exercise the relevant option. Lease expense for lease payments is recognized on a straight-line basis over the lease term.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Expenses Accrued Under Contractual Arrangements</w:t>
      </w:r>
    </w:p>
    <w:p>
      <w:pPr>
        <w:spacing w:after="0" w:line="225" w:lineRule="exact"/>
        <w:rPr>
          <w:sz w:val="20"/>
          <w:szCs w:val="20"/>
          <w:color w:val="auto"/>
        </w:rPr>
      </w:pPr>
    </w:p>
    <w:p>
      <w:pPr>
        <w:ind w:left="60" w:right="239" w:firstLine="324"/>
        <w:spacing w:after="0" w:line="291" w:lineRule="auto"/>
        <w:rPr>
          <w:sz w:val="20"/>
          <w:szCs w:val="20"/>
          <w:color w:val="auto"/>
        </w:rPr>
      </w:pPr>
      <w:r>
        <w:rPr>
          <w:rFonts w:ascii="Arial" w:cs="Arial" w:eastAsia="Arial" w:hAnsi="Arial"/>
          <w:sz w:val="16"/>
          <w:szCs w:val="16"/>
          <w:color w:val="auto"/>
        </w:rPr>
        <w:t>As part of the process of preparing the Company’s condensed consolidated financial statements, BTI is required to estimate its accrued expenses. This process involves reviewing open contracts and purchase orders, communicating with the applicable personnel to identify services that have been performed on BTI’s behalf and estimating the level of service performed and the associated cost incurred for the service when the Company has not yet been invoiced or otherwise notified of actual cost. BTI makes estimates of its accrued expenses as of each balance sheet date in its condensed consolidated financial statements based on facts and circumstances known to it at that time. The Company periodically confirms the accuracy of its estimates with the service providers and makes adjustments if necessary.</w:t>
      </w:r>
    </w:p>
    <w:p>
      <w:pPr>
        <w:spacing w:after="0" w:line="166" w:lineRule="exact"/>
        <w:rPr>
          <w:sz w:val="20"/>
          <w:szCs w:val="20"/>
          <w:color w:val="auto"/>
        </w:rPr>
      </w:pPr>
    </w:p>
    <w:p>
      <w:pPr>
        <w:ind w:left="60" w:right="159" w:firstLine="324"/>
        <w:spacing w:after="0" w:line="287" w:lineRule="auto"/>
        <w:rPr>
          <w:sz w:val="20"/>
          <w:szCs w:val="20"/>
          <w:color w:val="auto"/>
        </w:rPr>
      </w:pPr>
      <w:r>
        <w:rPr>
          <w:rFonts w:ascii="Arial" w:cs="Arial" w:eastAsia="Arial" w:hAnsi="Arial"/>
          <w:sz w:val="16"/>
          <w:szCs w:val="16"/>
          <w:color w:val="auto"/>
        </w:rPr>
        <w:t>BTI bases its expenses related to clinical trials on its estimates of the services received and efforts expended pursuant to contracts with multiple research institutions and contract research organizations (“CROs”) that conduct and manage clinical trials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expenses, the Company estimates the time period over which services will be performed and the level of effort to be expended in each period, which is based on an established protocol specific to each clinical trial. If the actual timing of the performance of services or the level of effort varies from the Company’s estimate, it adjusts the accrual accordingly. Although BTI does not expect its estimates to be materially different from amounts actually incurred, its understanding of the status and timing of services performed relative to the actual status and timing of services performed may vary and may result in the Company reporting amounts that are too high or too low in any particular period.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and Detachable Warrants</w:t>
      </w:r>
    </w:p>
    <w:p>
      <w:pPr>
        <w:spacing w:after="0" w:line="225" w:lineRule="exact"/>
        <w:rPr>
          <w:sz w:val="20"/>
          <w:szCs w:val="20"/>
          <w:color w:val="auto"/>
        </w:rPr>
      </w:pPr>
    </w:p>
    <w:p>
      <w:pPr>
        <w:ind w:left="60" w:right="199" w:firstLine="324"/>
        <w:spacing w:after="0" w:line="287" w:lineRule="auto"/>
        <w:rPr>
          <w:sz w:val="20"/>
          <w:szCs w:val="20"/>
          <w:color w:val="auto"/>
        </w:rPr>
      </w:pPr>
      <w:r>
        <w:rPr>
          <w:rFonts w:ascii="Arial" w:cs="Arial" w:eastAsia="Arial" w:hAnsi="Arial"/>
          <w:sz w:val="16"/>
          <w:szCs w:val="16"/>
          <w:color w:val="auto"/>
        </w:rPr>
        <w:t xml:space="preserve">Detachable warrants are evaluated for classification as either equity instruments, derivative liabilities, or liabilities depending on the specific terms of the warrant agreement. In circumstances in which debt is issued with equity-classified warrants, the proceeds from the issuance of debt are first allocated to the debt and the warrants at their estimated fair values. The portion of the proceeds allocated to the warrants are accounted for as paid-in capital and a debt discount. The remaining proceeds, as further reduced by discounts created by the bifurcation of any embedded derivatives, are allocated to the debt. Detachable warrants classified as derivative liabilities are accounted for as indicated under “Derivative Assets and Liabilities” section of this Note and as a debt discount. The Company accounts for debt as liabilities measured at amortized cost and amortizes the resulting debt discount from the allocation of proceeds to interest expense using the effective interest method over the expected term of the debt instrument. The Company considers whether there are any embedded features in debt instruments that require bifurcation and separately accounts for them as derivative financial instruments pursuant to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w:t>
      </w:r>
    </w:p>
    <w:p>
      <w:pPr>
        <w:spacing w:after="0" w:line="172" w:lineRule="exact"/>
        <w:rPr>
          <w:sz w:val="20"/>
          <w:szCs w:val="20"/>
          <w:color w:val="auto"/>
        </w:rPr>
      </w:pPr>
    </w:p>
    <w:p>
      <w:pPr>
        <w:ind w:left="60" w:right="159" w:firstLine="324"/>
        <w:spacing w:after="0" w:line="290" w:lineRule="auto"/>
        <w:rPr>
          <w:sz w:val="20"/>
          <w:szCs w:val="20"/>
          <w:color w:val="auto"/>
        </w:rPr>
      </w:pPr>
      <w:r>
        <w:rPr>
          <w:rFonts w:ascii="Arial" w:cs="Arial" w:eastAsia="Arial" w:hAnsi="Arial"/>
          <w:sz w:val="16"/>
          <w:szCs w:val="16"/>
          <w:color w:val="auto"/>
        </w:rPr>
        <w:t>The Company entered into financing arrangements, the terms of which involve significant assumptions and estimates, including future net product sales, in determining interest expense, amortization period of the debt discount, as well as the classification between current and long-term portions. In estimating future net product sales, the Company assesses prevailing market conditions using various external market data against the Company’s anticipated sales and planned commercial activities. Consequently, the Company imputes interest on the carrying value of the debt and records interest expense using an imputed effective interest rate. The Company reassesses the expected payments during each reporting period and accounts for any changes through an adjustment to the effective interest rate on a prospective basis, with a corresponding impact to the classification of the Company’s current and long-term portions of the debt.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Assets and Liabilities</w:t>
      </w:r>
    </w:p>
    <w:p>
      <w:pPr>
        <w:spacing w:after="0" w:line="225" w:lineRule="exact"/>
        <w:rPr>
          <w:sz w:val="20"/>
          <w:szCs w:val="20"/>
          <w:color w:val="auto"/>
        </w:rPr>
      </w:pPr>
    </w:p>
    <w:p>
      <w:pPr>
        <w:jc w:val="both"/>
        <w:ind w:left="60" w:right="199" w:firstLine="324"/>
        <w:spacing w:after="0" w:line="311" w:lineRule="auto"/>
        <w:rPr>
          <w:sz w:val="20"/>
          <w:szCs w:val="20"/>
          <w:color w:val="auto"/>
        </w:rPr>
      </w:pPr>
      <w:r>
        <w:rPr>
          <w:rFonts w:ascii="Arial" w:cs="Arial" w:eastAsia="Arial" w:hAnsi="Arial"/>
          <w:sz w:val="16"/>
          <w:szCs w:val="16"/>
          <w:color w:val="auto"/>
        </w:rPr>
        <w:t>Derivative assets and liabilities are recorded on the Company`s Condensed Consolidated Balance Sheets at their fair value on the date of issuance and are revalued on each balance sheet date until such instruments are settled or expire, with changes in the fair value between reporting periods to be recorded as other income or expense.</w:t>
      </w: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firstLine="324"/>
        <w:spacing w:after="0" w:line="286" w:lineRule="auto"/>
        <w:rPr>
          <w:sz w:val="20"/>
          <w:szCs w:val="20"/>
          <w:color w:val="auto"/>
        </w:rPr>
      </w:pPr>
      <w:r>
        <w:rPr>
          <w:rFonts w:ascii="Arial" w:cs="Arial" w:eastAsia="Arial" w:hAnsi="Arial"/>
          <w:sz w:val="17"/>
          <w:szCs w:val="17"/>
          <w:color w:val="auto"/>
        </w:rPr>
        <w:t>The Company does not use derivative instruments for speculative purposes or to hedge exposures to cash-flow or market risks. Certain financing facilities entered into by the Company include freestanding financial instruments and/or embedded features that require separate accounting as derivative assets and/or liabilities.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Company’s revenues consist of product sales of IGALMI</w:t>
      </w:r>
      <w:r>
        <w:rPr>
          <w:rFonts w:ascii="Arial" w:cs="Arial" w:eastAsia="Arial" w:hAnsi="Arial"/>
          <w:sz w:val="26"/>
          <w:szCs w:val="26"/>
          <w:color w:val="auto"/>
          <w:vertAlign w:val="superscript"/>
        </w:rPr>
        <w:t>TM</w:t>
      </w:r>
      <w:r>
        <w:rPr>
          <w:rFonts w:ascii="Arial" w:cs="Arial" w:eastAsia="Arial" w:hAnsi="Arial"/>
          <w:sz w:val="18"/>
          <w:szCs w:val="18"/>
          <w:color w:val="auto"/>
        </w:rPr>
        <w:t>.</w:t>
      </w:r>
    </w:p>
    <w:p>
      <w:pPr>
        <w:spacing w:after="0" w:line="143"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 xml:space="preserve">Under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Arrangements that include rights to additional goods or services that are exercisable at a customer’s discretion are generally considered options. The Company assesses if these options provide a material right to the customer and if so, they are considered performance obligations. The exercise of a material right may be accounted for as a contract modification or as a continuation of the contract for accounting purposes.</w:t>
      </w:r>
    </w:p>
    <w:p>
      <w:pPr>
        <w:spacing w:after="0" w:line="182"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For contracts determined to be within the scope of ASC 606, the Company assesses whether the goods or services promised within each contract are distinct to identify those that are performance obligations. This assessment involves subjective determinations and requires management to make judgments about the individual promised goods or services and whether such goods and services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and (ii) the entity’s promise to transfer the good or service to the customer is separately identifiable from other promises in the contract.</w:t>
      </w:r>
    </w:p>
    <w:p>
      <w:pPr>
        <w:spacing w:after="0" w:line="166" w:lineRule="exact"/>
        <w:rPr>
          <w:sz w:val="20"/>
          <w:szCs w:val="20"/>
          <w:color w:val="auto"/>
        </w:rPr>
      </w:pPr>
    </w:p>
    <w:p>
      <w:pPr>
        <w:ind w:left="60" w:right="199" w:firstLine="324"/>
        <w:spacing w:after="0" w:line="279" w:lineRule="auto"/>
        <w:rPr>
          <w:sz w:val="20"/>
          <w:szCs w:val="20"/>
          <w:color w:val="auto"/>
        </w:rPr>
      </w:pPr>
      <w:r>
        <w:rPr>
          <w:rFonts w:ascii="Arial" w:cs="Arial" w:eastAsia="Arial" w:hAnsi="Arial"/>
          <w:sz w:val="17"/>
          <w:szCs w:val="17"/>
          <w:color w:val="auto"/>
        </w:rPr>
        <w:t>The Company allocates the transaction price (the amount of consideration it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w:t>
      </w:r>
    </w:p>
    <w:p>
      <w:pPr>
        <w:spacing w:after="0" w:line="161" w:lineRule="exact"/>
        <w:rPr>
          <w:sz w:val="20"/>
          <w:szCs w:val="20"/>
          <w:color w:val="auto"/>
        </w:rPr>
      </w:pPr>
    </w:p>
    <w:p>
      <w:pPr>
        <w:ind w:left="60" w:right="179" w:firstLine="324"/>
        <w:spacing w:after="0" w:line="226" w:lineRule="auto"/>
        <w:rPr>
          <w:sz w:val="20"/>
          <w:szCs w:val="20"/>
          <w:color w:val="auto"/>
        </w:rPr>
      </w:pPr>
      <w:r>
        <w:rPr>
          <w:rFonts w:ascii="Arial" w:cs="Arial" w:eastAsia="Arial" w:hAnsi="Arial"/>
          <w:sz w:val="18"/>
          <w:szCs w:val="18"/>
          <w:color w:val="auto"/>
        </w:rPr>
        <w:t>BTI distributes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in the U.S. through arrangements with a distributor, wholesalers and GPOs. The distributor and wholesalers help process and fulfill orders from hospitals on the Company’s behalf. Based on the guidance in ASC 606, the Company believes the hospitals are its customers.</w:t>
      </w:r>
    </w:p>
    <w:p>
      <w:pPr>
        <w:spacing w:after="0" w:line="203" w:lineRule="exact"/>
        <w:rPr>
          <w:sz w:val="20"/>
          <w:szCs w:val="20"/>
          <w:color w:val="auto"/>
        </w:rPr>
      </w:pPr>
    </w:p>
    <w:p>
      <w:pPr>
        <w:ind w:left="60" w:right="139" w:firstLine="324"/>
        <w:spacing w:after="0" w:line="258" w:lineRule="auto"/>
        <w:rPr>
          <w:sz w:val="20"/>
          <w:szCs w:val="20"/>
          <w:color w:val="auto"/>
        </w:rPr>
      </w:pPr>
      <w:r>
        <w:rPr>
          <w:rFonts w:ascii="Arial" w:cs="Arial" w:eastAsia="Arial" w:hAnsi="Arial"/>
          <w:sz w:val="17"/>
          <w:szCs w:val="17"/>
          <w:color w:val="auto"/>
        </w:rPr>
        <w:t>The Company recognizes product revenues, net of consideration payable to customers, as well as variable consideration related to certain allowances and accruals that are determined using either the expected value or most likely amount method, depending on the type of the variable consideration, in its condensed consolidated financial statements at the point in time when control transfers to the customer, which is typically when the product has been delivered to the customer’s location. The amount included in the transaction price is constrained to the amount for which it is probable that a significant reversal of cumulative revenue recognized will not occur. The Company’s only performance obligation identified for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is to deliver the quantity of product ordered to the location specified by the customer’s order. The Company records shipping and handling costs associated with delivery of product to its customers within selling, general and administrative expenses on its Condensed Consolidated Statements of Operations. Under the Company’s current product sales arrangements, BTI does not have contract assets (unbilled receivables), as it generally invoices its customer at the time of revenue recognition, and contract liabilities, as the Company generally does not receive prepayments from its customers prior to product delivery.</w:t>
      </w:r>
    </w:p>
    <w:p>
      <w:pPr>
        <w:spacing w:after="0" w:line="178" w:lineRule="exact"/>
        <w:rPr>
          <w:sz w:val="20"/>
          <w:szCs w:val="20"/>
          <w:color w:val="auto"/>
        </w:rPr>
      </w:pPr>
    </w:p>
    <w:p>
      <w:pPr>
        <w:jc w:val="both"/>
        <w:ind w:left="60" w:right="379" w:firstLine="324"/>
        <w:spacing w:after="0" w:line="255" w:lineRule="auto"/>
        <w:rPr>
          <w:sz w:val="20"/>
          <w:szCs w:val="20"/>
          <w:color w:val="auto"/>
        </w:rPr>
      </w:pPr>
      <w:r>
        <w:rPr>
          <w:rFonts w:ascii="Arial" w:cs="Arial" w:eastAsia="Arial" w:hAnsi="Arial"/>
          <w:sz w:val="16"/>
          <w:szCs w:val="16"/>
          <w:color w:val="auto"/>
        </w:rPr>
        <w:t>BTI sells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at wholesale acquisition cost and calculate product revenue net of variable consideration and consideration payable to third parties associated with distribution of product. The Company records reserves, based on contractual terms, for the following components of consideration related to product sold during the reporting period.</w:t>
      </w:r>
    </w:p>
    <w:p>
      <w:pPr>
        <w:ind w:left="60"/>
        <w:spacing w:after="0"/>
        <w:rPr>
          <w:sz w:val="20"/>
          <w:szCs w:val="20"/>
          <w:color w:val="auto"/>
        </w:rPr>
      </w:pPr>
      <w:r>
        <w:rPr>
          <w:rFonts w:ascii="Arial" w:cs="Arial" w:eastAsia="Arial" w:hAnsi="Arial"/>
          <w:sz w:val="16"/>
          <w:szCs w:val="16"/>
          <w:color w:val="auto"/>
        </w:rPr>
        <w:t>Calculating these amounts involves estimates and judgments, and the Company reviews these estimates quarterly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records any material adjustments in the period they are identified, which affects net product revenue and earnings in the period such variances occur.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Trade Discounts and Allowances</w:t>
      </w:r>
    </w:p>
    <w:p>
      <w:pPr>
        <w:spacing w:after="0" w:line="225"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The Company provides the distributor and wholesalers with discounts for prompt payment and pays fees to the distributor, wholesalers and GPOs related to distribution of the product. BTI expects the relevant third parties to earn these discounts and fees, and therefore it deducts such amounts from gross product revenue and accounts receivable at the time it recognizes the related revenue.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Government Rebates</w:t>
      </w:r>
    </w:p>
    <w:p>
      <w:pPr>
        <w:spacing w:after="0" w:line="215" w:lineRule="exact"/>
        <w:rPr>
          <w:sz w:val="20"/>
          <w:szCs w:val="20"/>
          <w:color w:val="auto"/>
        </w:rPr>
      </w:pPr>
    </w:p>
    <w:p>
      <w:pPr>
        <w:ind w:left="60" w:right="139" w:firstLine="324"/>
        <w:spacing w:after="0" w:line="252" w:lineRule="auto"/>
        <w:rPr>
          <w:sz w:val="20"/>
          <w:szCs w:val="20"/>
          <w:color w:val="auto"/>
        </w:rPr>
      </w:pPr>
      <w:r>
        <w:rPr>
          <w:rFonts w:ascii="Arial" w:cs="Arial" w:eastAsia="Arial" w:hAnsi="Arial"/>
          <w:sz w:val="17"/>
          <w:szCs w:val="17"/>
          <w:color w:val="auto"/>
        </w:rPr>
        <w:t>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is eligible for purchase by, or qualifies for reimbursement from, Medicaid and other U.S. government programs that are eligible for rebates on the price they pay for the product. To determine the appropriate amount to reserve for these rebates, BTI applies the applicable government discount to these sales, and estimates the portion of total rebates that it anticipates will be claimed. The Company deducts certain government rebates from gross product revenue and accounts receivable at the time it recognizes the related revenue; other government rebates are recognized as an accrued liability at the time BTI recognizes the related revenue.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Chargebacks</w:t>
      </w:r>
    </w:p>
    <w:p>
      <w:pPr>
        <w:spacing w:after="0" w:line="225" w:lineRule="exact"/>
        <w:rPr>
          <w:sz w:val="20"/>
          <w:szCs w:val="20"/>
          <w:color w:val="auto"/>
        </w:rPr>
      </w:pPr>
    </w:p>
    <w:p>
      <w:pPr>
        <w:jc w:val="both"/>
        <w:ind w:left="60" w:right="239" w:firstLine="324"/>
        <w:spacing w:after="0" w:line="311" w:lineRule="auto"/>
        <w:rPr>
          <w:sz w:val="20"/>
          <w:szCs w:val="20"/>
          <w:color w:val="auto"/>
        </w:rPr>
      </w:pPr>
      <w:r>
        <w:rPr>
          <w:rFonts w:ascii="Arial" w:cs="Arial" w:eastAsia="Arial" w:hAnsi="Arial"/>
          <w:sz w:val="16"/>
          <w:szCs w:val="16"/>
          <w:color w:val="auto"/>
        </w:rPr>
        <w:t>BTI provides product discounts to hospitals associated with certain GPOs. The Company estimates the chargebacks that it expects to be obligated to provide based upon the terms of the applicable arrangements. BTI deducts such amounts from gross product revenue and accounts receivable at the time it recognizes the related revenue.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 Returns</w:t>
      </w:r>
    </w:p>
    <w:p>
      <w:pPr>
        <w:spacing w:after="0" w:line="225" w:lineRule="exact"/>
        <w:rPr>
          <w:sz w:val="20"/>
          <w:szCs w:val="20"/>
          <w:color w:val="auto"/>
        </w:rPr>
      </w:pPr>
    </w:p>
    <w:p>
      <w:pPr>
        <w:ind w:left="60" w:right="459" w:firstLine="324"/>
        <w:spacing w:after="0" w:line="296" w:lineRule="auto"/>
        <w:rPr>
          <w:sz w:val="20"/>
          <w:szCs w:val="20"/>
          <w:color w:val="auto"/>
        </w:rPr>
      </w:pPr>
      <w:r>
        <w:rPr>
          <w:rFonts w:ascii="Arial" w:cs="Arial" w:eastAsia="Arial" w:hAnsi="Arial"/>
          <w:sz w:val="16"/>
          <w:szCs w:val="16"/>
          <w:color w:val="auto"/>
        </w:rPr>
        <w:t>The Company provides contractual return rights to its customers including the right to return product within six months of product expiration and up to 12 months after product expiration, as well as for incorrect shipments, and damaged or defective product, which the Company expects to be rare. Management expects product returns to be minimal, thus BTI recognizes a nominal allowance for product returns at the time of each sale. In the future, if any of these factors and/or the history of product returns changes, the Company will adjust the allowance for product returns.</w:t>
      </w:r>
    </w:p>
    <w:p>
      <w:pPr>
        <w:spacing w:after="0" w:line="161"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BTI classifies all fees paid to the distributor, other than those discussed above and those related to warehouse operations, as selling, general and administrative expenses on its Condensed Consolidated Statements of Operations. Fees paid to the distributor for warehouse operations are classified as costs of goods sold on BTI’s Condensed Consolidated Statements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left="60" w:right="179" w:firstLine="324"/>
        <w:spacing w:after="0" w:line="301" w:lineRule="auto"/>
        <w:rPr>
          <w:sz w:val="20"/>
          <w:szCs w:val="20"/>
          <w:color w:val="auto"/>
        </w:rPr>
      </w:pPr>
      <w:r>
        <w:rPr>
          <w:rFonts w:ascii="Arial" w:cs="Arial" w:eastAsia="Arial" w:hAnsi="Arial"/>
          <w:sz w:val="16"/>
          <w:szCs w:val="16"/>
          <w:color w:val="auto"/>
        </w:rPr>
        <w:t>Cost of goods sold includes the cost of producing and distributing inventories that are related to product revenues during the respective period (including salary-related and stock-based compensation expenses for employees involved with production and distribution and freight costs). Cost of goods sold may also include costs related to excess or obsolete inventory adjustment charges, as well as costs related to warehouse operations paid to distributors.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0" w:right="279" w:firstLine="324"/>
        <w:spacing w:after="0" w:line="296" w:lineRule="auto"/>
        <w:rPr>
          <w:sz w:val="20"/>
          <w:szCs w:val="20"/>
          <w:color w:val="auto"/>
        </w:rPr>
      </w:pPr>
      <w:r>
        <w:rPr>
          <w:rFonts w:ascii="Arial" w:cs="Arial" w:eastAsia="Arial" w:hAnsi="Arial"/>
          <w:sz w:val="16"/>
          <w:szCs w:val="16"/>
          <w:color w:val="auto"/>
        </w:rPr>
        <w:t xml:space="preserve">The Company accounts for stock-based compensation in accordance with ASC 718,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which requires the measurement and recognition of compensation expense based on estimated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for all share-based awards made to employees, non-employees and directors, including stock options and restricted stock units (“RSUs”). The Company’s 2017 Equity Incentive Plan (the “2017 Plan”) became effective in August 2017. The Company’s 2020 Incentive Award Plan (the “2020 Plan”) became effective in May 2020. Following the effective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date of the 2020 Plan, the Company ceased granting awards under the 2017 Plan; however, the terms and conditions of the 2017 Plan continue to govern any outstanding awards granted thereunder.</w:t>
      </w:r>
    </w:p>
    <w:p>
      <w:pPr>
        <w:spacing w:after="0" w:line="170" w:lineRule="exact"/>
        <w:rPr>
          <w:sz w:val="20"/>
          <w:szCs w:val="20"/>
          <w:color w:val="auto"/>
        </w:rPr>
      </w:pPr>
    </w:p>
    <w:p>
      <w:pPr>
        <w:ind w:left="60" w:right="139" w:firstLine="324"/>
        <w:spacing w:after="0" w:line="273" w:lineRule="auto"/>
        <w:rPr>
          <w:sz w:val="20"/>
          <w:szCs w:val="20"/>
          <w:color w:val="auto"/>
        </w:rPr>
      </w:pPr>
      <w:r>
        <w:rPr>
          <w:rFonts w:ascii="Arial" w:cs="Arial" w:eastAsia="Arial" w:hAnsi="Arial"/>
          <w:sz w:val="17"/>
          <w:szCs w:val="17"/>
          <w:color w:val="auto"/>
        </w:rPr>
        <w:t>The Company’s stock-based awards are valued at fair value on the date of grant and that fair value is recognized as an expense in the Condensed Consolidated Statements of Operations over the requisite service period using the accelerated attribution method. The estimated fair value of stock-based awards was determined using the Black-Scholes pricing model on the date of grant. Prior to the Company’s initial public offering (“IPO”), significant judgment and estimates were used to estimate the fair value of these awards. Stock awards granted by the Company subsequent to the IPO are valued using market prices at the date of grant.</w:t>
      </w:r>
    </w:p>
    <w:p>
      <w:pPr>
        <w:spacing w:after="0" w:line="178" w:lineRule="exact"/>
        <w:rPr>
          <w:sz w:val="20"/>
          <w:szCs w:val="20"/>
          <w:color w:val="auto"/>
        </w:rPr>
      </w:pPr>
    </w:p>
    <w:p>
      <w:pPr>
        <w:ind w:left="60" w:right="339" w:firstLine="324"/>
        <w:spacing w:after="0" w:line="279" w:lineRule="auto"/>
        <w:rPr>
          <w:sz w:val="20"/>
          <w:szCs w:val="20"/>
          <w:color w:val="auto"/>
        </w:rPr>
      </w:pPr>
      <w:r>
        <w:rPr>
          <w:rFonts w:ascii="Arial" w:cs="Arial" w:eastAsia="Arial" w:hAnsi="Arial"/>
          <w:sz w:val="17"/>
          <w:szCs w:val="17"/>
          <w:color w:val="auto"/>
        </w:rPr>
        <w:t>The Black-Scholes pricing model is affected by the Company’s stock price, as well as assumptions regarding a number of variables including, but not limited to, the strike price of the instrument, the risk-free rate, the expected stock price volatility over the term of the awards, and time until expiration of the instrument. The Company has elected to account for forfeitures as they occur, by reversing compensation cost when the award is forfeited.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Research and development expenses include wages, benefits, stock-based compensation, facilities, supplies, external services, clinical study, manufacturing costs related to clinical trials and other expenses that are directly related to the Company’s research and development activities. At the end of the reporting period, the Company compares payments made to third-party service providers to the estimated progress toward completion of the research or development objectives. Depending on the timing of payments to the service providers and the progress that the Company estimates has been made for the program as a result of the level of service provided, the Company may record net prepaid or accrued expense relating to these costs. Such estimates are subject to change as additional information becomes available. The Company expenses research and development costs as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ind w:left="60" w:right="379" w:firstLine="324"/>
        <w:spacing w:after="0" w:line="308" w:lineRule="auto"/>
        <w:rPr>
          <w:sz w:val="20"/>
          <w:szCs w:val="20"/>
          <w:color w:val="auto"/>
        </w:rPr>
      </w:pPr>
      <w:r>
        <w:rPr>
          <w:rFonts w:ascii="Arial" w:cs="Arial" w:eastAsia="Arial" w:hAnsi="Arial"/>
          <w:sz w:val="17"/>
          <w:szCs w:val="17"/>
          <w:color w:val="auto"/>
        </w:rPr>
        <w:t>Costs related to filing and pursuing patent applications are recorded in selling, general and administrative expenses and are expensed as incurred since recoverability of such expenditures is uncertain.</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 xml:space="preserve">The Company applies the provisions of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w:t>
      </w:r>
      <w:r>
        <w:rPr>
          <w:rFonts w:ascii="Arial" w:cs="Arial" w:eastAsia="Arial" w:hAnsi="Arial"/>
          <w:sz w:val="17"/>
          <w:szCs w:val="17"/>
          <w:i w:val="1"/>
          <w:iCs w:val="1"/>
          <w:color w:val="auto"/>
        </w:rPr>
        <w:t>,</w:t>
      </w:r>
      <w:r>
        <w:rPr>
          <w:rFonts w:ascii="Arial" w:cs="Arial" w:eastAsia="Arial" w:hAnsi="Arial"/>
          <w:sz w:val="17"/>
          <w:szCs w:val="17"/>
          <w:color w:val="auto"/>
        </w:rPr>
        <w:t xml:space="preserve"> for financial assets and liabilities measured at fair value which requires disclosure that establishes a framework for measuring fair value. ASC 820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or observable inputs, and (2) an entity’s own assumptions about market participant assumptions developed based on the best information available in the circumstances, or unobservable inputs. The fair value hierarchy consists of three broad levels, which gives the highest priority to unadjusted quoted prices in active markets for identical assets or liabilities (Level 1) and the lowest priority to unobservable inputs (Level 3). ASC 820 requires that fair value measurements be classified and disclosed in one of three categories:</w:t>
      </w:r>
    </w:p>
    <w:p>
      <w:pPr>
        <w:spacing w:after="0" w:line="185" w:lineRule="exact"/>
        <w:rPr>
          <w:sz w:val="20"/>
          <w:szCs w:val="20"/>
          <w:color w:val="auto"/>
        </w:rPr>
      </w:pPr>
    </w:p>
    <w:p>
      <w:pPr>
        <w:ind w:left="60" w:right="719" w:firstLine="324"/>
        <w:spacing w:after="0" w:line="277" w:lineRule="auto"/>
        <w:rPr>
          <w:sz w:val="20"/>
          <w:szCs w:val="20"/>
          <w:color w:val="auto"/>
        </w:rPr>
      </w:pPr>
      <w:r>
        <w:rPr>
          <w:rFonts w:ascii="Arial" w:cs="Arial" w:eastAsia="Arial" w:hAnsi="Arial"/>
          <w:sz w:val="18"/>
          <w:szCs w:val="18"/>
          <w:color w:val="auto"/>
        </w:rPr>
        <w:t>Level 1: Quoted prices (unadjusted) in active markets that are accessible at the measurement date for assets or liabilities. The fair value hierarchy gives the highest priority to Level 1 inputs.</w:t>
      </w:r>
    </w:p>
    <w:p>
      <w:pPr>
        <w:spacing w:after="0" w:line="170" w:lineRule="exact"/>
        <w:rPr>
          <w:sz w:val="20"/>
          <w:szCs w:val="20"/>
          <w:color w:val="auto"/>
        </w:rPr>
      </w:pPr>
    </w:p>
    <w:p>
      <w:pPr>
        <w:ind w:left="60" w:right="219" w:firstLine="324"/>
        <w:spacing w:after="0" w:line="255" w:lineRule="auto"/>
        <w:rPr>
          <w:sz w:val="20"/>
          <w:szCs w:val="20"/>
          <w:color w:val="auto"/>
        </w:rPr>
      </w:pPr>
      <w:r>
        <w:rPr>
          <w:rFonts w:ascii="Arial" w:cs="Arial" w:eastAsia="Arial" w:hAnsi="Arial"/>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firstLine="324"/>
        <w:spacing w:after="0" w:line="263" w:lineRule="auto"/>
        <w:rPr>
          <w:sz w:val="20"/>
          <w:szCs w:val="20"/>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84"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considering counterparty credit risk in its assessment of fair value.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25" w:lineRule="exact"/>
        <w:rPr>
          <w:sz w:val="20"/>
          <w:szCs w:val="20"/>
          <w:color w:val="auto"/>
        </w:rPr>
      </w:pPr>
    </w:p>
    <w:p>
      <w:pPr>
        <w:ind w:left="60" w:right="219" w:firstLine="324"/>
        <w:spacing w:after="0" w:line="296" w:lineRule="auto"/>
        <w:rPr>
          <w:sz w:val="20"/>
          <w:szCs w:val="20"/>
          <w:color w:val="auto"/>
        </w:rPr>
      </w:pPr>
      <w:r>
        <w:rPr>
          <w:rFonts w:ascii="Arial" w:cs="Arial" w:eastAsia="Arial" w:hAnsi="Arial"/>
          <w:sz w:val="16"/>
          <w:szCs w:val="16"/>
          <w:color w:val="auto"/>
        </w:rPr>
        <w:t xml:space="preserve">Earnings (loss) per share (“EPS”) is calculated in accordance with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Basic EPS is calculated by dividing net income or loss attributable to common stockholders by the weighted average number of shares of common stock that were outstanding. Diluted EPS is calculated by adjusting the weighted average number of shares of common stock that were outstanding for the dilutive effect of common stock equivalents. In periods in which a net loss is recorded, no effect is given to potentially dilutive securities, since the effect would be antidilutive.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left="60" w:right="279" w:firstLine="324"/>
        <w:spacing w:after="0" w:line="301" w:lineRule="auto"/>
        <w:rPr>
          <w:sz w:val="20"/>
          <w:szCs w:val="20"/>
          <w:color w:val="auto"/>
        </w:rPr>
      </w:pPr>
      <w:r>
        <w:rPr>
          <w:rFonts w:ascii="Arial" w:cs="Arial" w:eastAsia="Arial" w:hAnsi="Arial"/>
          <w:sz w:val="16"/>
          <w:szCs w:val="16"/>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Company’s chief operating decision maker has made such decisions and assessed performance at the Company level as one segment.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left="60" w:right="179" w:firstLine="324"/>
        <w:spacing w:after="0" w:line="254"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No. 2019-12</w:t>
      </w:r>
      <w:r>
        <w:rPr>
          <w:rFonts w:ascii="Arial" w:cs="Arial" w:eastAsia="Arial" w:hAnsi="Arial"/>
          <w:sz w:val="18"/>
          <w:szCs w:val="18"/>
          <w:i w:val="1"/>
          <w:iCs w:val="1"/>
          <w:color w:val="auto"/>
        </w:rPr>
        <w:t>, Income Taxes (Topic 740): Simplifying the Accounting for Income Taxes</w:t>
      </w:r>
      <w:r>
        <w:rPr>
          <w:rFonts w:ascii="Arial" w:cs="Arial" w:eastAsia="Arial" w:hAnsi="Arial"/>
          <w:sz w:val="18"/>
          <w:szCs w:val="18"/>
          <w:color w:val="auto"/>
        </w:rPr>
        <w:t xml:space="preserve"> (“ASU No. 2019-12”), which amends the existing guidance relating to the accounting for income taxes. ASU No. 2019-12 is intended to simplify the accounting for income taxes by removing certain exceptions to the general principles of accounting for income taxes and to improve the consistent application of GAAP for other areas of accounting for income taxes by clarifying and amending existing guidance. ASU No. 2019-12 was effective for interim and annual periods beginning after December 15, 2020. The adoption of ASU No. 2019-12 did not have a material impact on the Company’s condensed consolidated financial statements.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Accounting Pronouncements effective in future periods</w:t>
      </w:r>
    </w:p>
    <w:p>
      <w:pPr>
        <w:spacing w:after="0" w:line="225" w:lineRule="exact"/>
        <w:rPr>
          <w:sz w:val="20"/>
          <w:szCs w:val="20"/>
          <w:color w:val="auto"/>
        </w:rPr>
      </w:pPr>
    </w:p>
    <w:p>
      <w:pPr>
        <w:ind w:left="60" w:right="179" w:firstLine="324"/>
        <w:spacing w:after="0" w:line="27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Credit Losses on Financial Instruments, </w:t>
      </w:r>
      <w:r>
        <w:rPr>
          <w:rFonts w:ascii="Arial" w:cs="Arial" w:eastAsia="Arial" w:hAnsi="Arial"/>
          <w:sz w:val="17"/>
          <w:szCs w:val="17"/>
          <w:color w:val="auto"/>
        </w:rPr>
        <w:t>and subsequent amendments to the initial guidance (collectively, “Topic 326”).</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Topic 326 requires measurement and recognition of expected credit losses for financial assets held. Topic 326 was to be effective for reporting periods beginning after December 15, 2019, with early adoption permitted. In November 2019, the FASB issued ASU No. 2019-10, </w:t>
      </w:r>
      <w:r>
        <w:rPr>
          <w:rFonts w:ascii="Arial" w:cs="Arial" w:eastAsia="Arial" w:hAnsi="Arial"/>
          <w:sz w:val="17"/>
          <w:szCs w:val="17"/>
          <w:i w:val="1"/>
          <w:iCs w:val="1"/>
          <w:color w:val="auto"/>
        </w:rPr>
        <w:t>Financial Instruments - Credit Losses (Topic 326), Derivatives and Hedging (Topic 815),</w:t>
      </w:r>
      <w:r>
        <w:rPr>
          <w:rFonts w:ascii="Arial" w:cs="Arial" w:eastAsia="Arial" w:hAnsi="Arial"/>
          <w:sz w:val="17"/>
          <w:szCs w:val="17"/>
          <w:color w:val="auto"/>
        </w:rPr>
        <w:t xml:space="preserve"> </w:t>
      </w:r>
      <w:r>
        <w:rPr>
          <w:rFonts w:ascii="Arial" w:cs="Arial" w:eastAsia="Arial" w:hAnsi="Arial"/>
          <w:sz w:val="17"/>
          <w:szCs w:val="17"/>
          <w:i w:val="1"/>
          <w:iCs w:val="1"/>
          <w:color w:val="auto"/>
        </w:rPr>
        <w:t>and Leases (Topic 842) - Effective Dates</w:t>
      </w:r>
      <w:r>
        <w:rPr>
          <w:rFonts w:ascii="Arial" w:cs="Arial" w:eastAsia="Arial" w:hAnsi="Arial"/>
          <w:sz w:val="17"/>
          <w:szCs w:val="17"/>
          <w:color w:val="auto"/>
        </w:rPr>
        <w:t>, which deferred the effective dates of Topic 326 for the Company, until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 2023. The Company does not expect the adoption of Topic 326 to have a material impact on its condensed consolidated financial statements.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Common Stock Financing Activities</w:t>
      </w:r>
    </w:p>
    <w:p>
      <w:pPr>
        <w:spacing w:after="0" w:line="229" w:lineRule="exact"/>
        <w:rPr>
          <w:sz w:val="20"/>
          <w:szCs w:val="20"/>
          <w:color w:val="auto"/>
        </w:rPr>
      </w:pPr>
    </w:p>
    <w:p>
      <w:pPr>
        <w:ind w:left="60" w:right="259" w:firstLine="324"/>
        <w:spacing w:after="0" w:line="308" w:lineRule="auto"/>
        <w:rPr>
          <w:sz w:val="20"/>
          <w:szCs w:val="20"/>
          <w:color w:val="auto"/>
        </w:rPr>
      </w:pPr>
      <w:r>
        <w:rPr>
          <w:rFonts w:ascii="Arial" w:cs="Arial" w:eastAsia="Arial" w:hAnsi="Arial"/>
          <w:sz w:val="17"/>
          <w:szCs w:val="17"/>
          <w:color w:val="auto"/>
        </w:rPr>
        <w:t>In June 2021, the Company sold, in a registered offering, 3,155 shares of its common stock at a public offering price of $31.70 per share. The Company received proceeds of $96,937, net of issuance costs of $3,076.</w:t>
      </w:r>
    </w:p>
    <w:p>
      <w:pPr>
        <w:spacing w:after="0" w:line="146" w:lineRule="exact"/>
        <w:rPr>
          <w:sz w:val="20"/>
          <w:szCs w:val="20"/>
          <w:color w:val="auto"/>
        </w:rPr>
      </w:pPr>
    </w:p>
    <w:p>
      <w:pPr>
        <w:ind w:left="60" w:right="199" w:firstLine="324"/>
        <w:spacing w:after="0" w:line="342" w:lineRule="auto"/>
        <w:rPr>
          <w:sz w:val="20"/>
          <w:szCs w:val="20"/>
          <w:color w:val="auto"/>
        </w:rPr>
      </w:pPr>
      <w:r>
        <w:rPr>
          <w:rFonts w:ascii="Arial" w:cs="Arial" w:eastAsia="Arial" w:hAnsi="Arial"/>
          <w:sz w:val="16"/>
          <w:szCs w:val="16"/>
          <w:color w:val="auto"/>
        </w:rPr>
        <w:t>In May 2021, the Company entered into an Open Market Sale Agreement (the “Sale Agreement”) with Jefferies LLC (“Jeffries”) pursuant to which the Company could offer and sell shares of its common stock, having an aggregate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301" w:lineRule="auto"/>
        <w:rPr>
          <w:sz w:val="20"/>
          <w:szCs w:val="20"/>
          <w:color w:val="auto"/>
        </w:rPr>
      </w:pPr>
      <w:r>
        <w:rPr>
          <w:rFonts w:ascii="Arial" w:cs="Arial" w:eastAsia="Arial" w:hAnsi="Arial"/>
          <w:sz w:val="16"/>
          <w:szCs w:val="16"/>
          <w:color w:val="auto"/>
        </w:rPr>
        <w:t>offering price of up to $100,000, from time to time, through an “at the market offering” program under which Jefferies will act as sale agent. The Company sold 124 shares under the Sale Agreement in June 2021. As of December 31, 2021, the Company received proceeds of $4,056, net of issuance costs of $500. The Company did not sell any shares, and thus did not receive any proceeds under this program, for the nine months ended September 30, 2022.</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Transactions with BioXcel LLC</w:t>
      </w:r>
    </w:p>
    <w:p>
      <w:pPr>
        <w:spacing w:after="0" w:line="229" w:lineRule="exact"/>
        <w:rPr>
          <w:sz w:val="20"/>
          <w:szCs w:val="20"/>
          <w:color w:val="auto"/>
        </w:rPr>
      </w:pPr>
    </w:p>
    <w:p>
      <w:pPr>
        <w:ind w:left="60" w:right="559" w:firstLine="324"/>
        <w:spacing w:after="0" w:line="257" w:lineRule="auto"/>
        <w:rPr>
          <w:sz w:val="20"/>
          <w:szCs w:val="20"/>
          <w:color w:val="auto"/>
        </w:rPr>
      </w:pPr>
      <w:r>
        <w:rPr>
          <w:rFonts w:ascii="Arial" w:cs="Arial" w:eastAsia="Arial" w:hAnsi="Arial"/>
          <w:sz w:val="18"/>
          <w:szCs w:val="18"/>
          <w:color w:val="auto"/>
        </w:rPr>
        <w:t>The Company entered into a Separation and Shared Services Agreement with BioXcel LLC that took effect on September 30, 2017 (as amended and restated, the “Services Agreement”), pursuant to which services provided by BioXcel LLC, through its subsidiaries in India and the U.S., will continue indefinitely, as agreed upon by the parties. These services are primarily for drug discovery, chemical, manufacturing and controls (“CMC”) and administrative support.</w:t>
      </w:r>
    </w:p>
    <w:p>
      <w:pPr>
        <w:spacing w:after="0" w:line="188" w:lineRule="exact"/>
        <w:rPr>
          <w:sz w:val="20"/>
          <w:szCs w:val="20"/>
          <w:color w:val="auto"/>
        </w:rPr>
      </w:pPr>
    </w:p>
    <w:p>
      <w:pPr>
        <w:ind w:left="60" w:right="199" w:firstLine="324"/>
        <w:spacing w:after="0" w:line="277" w:lineRule="auto"/>
        <w:rPr>
          <w:sz w:val="20"/>
          <w:szCs w:val="20"/>
          <w:color w:val="auto"/>
        </w:rPr>
      </w:pPr>
      <w:r>
        <w:rPr>
          <w:rFonts w:ascii="Arial" w:cs="Arial" w:eastAsia="Arial" w:hAnsi="Arial"/>
          <w:sz w:val="18"/>
          <w:szCs w:val="18"/>
          <w:color w:val="auto"/>
        </w:rPr>
        <w:t>Service charges recorded under the Services Agreement for the three and nine months ended September 30, 2022 and 2021 were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274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238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96"/>
        </w:trPr>
        <w:tc>
          <w:tcPr>
            <w:tcW w:w="35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r>
      <w:tr>
        <w:trPr>
          <w:trHeight w:val="196"/>
        </w:trPr>
        <w:tc>
          <w:tcPr>
            <w:tcW w:w="3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r>
      <w:tr>
        <w:trPr>
          <w:trHeight w:val="216"/>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10"/>
        </w:trPr>
        <w:tc>
          <w:tcPr>
            <w:tcW w:w="3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342</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r>
      <w:tr>
        <w:trPr>
          <w:trHeight w:val="20"/>
        </w:trPr>
        <w:tc>
          <w:tcPr>
            <w:tcW w:w="3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79" w:firstLine="324"/>
        <w:spacing w:after="0" w:line="308" w:lineRule="auto"/>
        <w:rPr>
          <w:sz w:val="20"/>
          <w:szCs w:val="20"/>
          <w:color w:val="auto"/>
        </w:rPr>
      </w:pPr>
      <w:r>
        <w:rPr>
          <w:rFonts w:ascii="Arial" w:cs="Arial" w:eastAsia="Arial" w:hAnsi="Arial"/>
          <w:sz w:val="17"/>
          <w:szCs w:val="17"/>
          <w:color w:val="auto"/>
        </w:rPr>
        <w:t>As of September 30, 2022, and December 31, 2021, $162 and $204, respectively, of these service charges are included in due to related parties in the Company’s Condensed Consolidated Balance Sheets.</w:t>
      </w:r>
    </w:p>
    <w:p>
      <w:pPr>
        <w:spacing w:after="0" w:line="146" w:lineRule="exact"/>
        <w:rPr>
          <w:sz w:val="20"/>
          <w:szCs w:val="20"/>
          <w:color w:val="auto"/>
        </w:rPr>
      </w:pPr>
    </w:p>
    <w:p>
      <w:pPr>
        <w:ind w:left="60" w:right="199" w:firstLine="324"/>
        <w:spacing w:after="0" w:line="287" w:lineRule="auto"/>
        <w:rPr>
          <w:sz w:val="20"/>
          <w:szCs w:val="20"/>
          <w:color w:val="auto"/>
        </w:rPr>
      </w:pPr>
      <w:r>
        <w:rPr>
          <w:rFonts w:ascii="Arial" w:cs="Arial" w:eastAsia="Arial" w:hAnsi="Arial"/>
          <w:sz w:val="16"/>
          <w:szCs w:val="16"/>
          <w:color w:val="auto"/>
        </w:rPr>
        <w:t>Under a Second Amended and Restated Shared Services Agreement signed in April 2022, the Company has an option, exercisable until December 31, 2024, to enter into a collaborative services agreement with BioXcel LLC pursuant to which BioXcel LLC shall perform product identification and related services for us utilizing EvolverAI, its proprietary pharmaceutical discovery and development engine. The parties are obligated to negotiate the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$10,000 in the aggregate and not be payable prior to proof of concept in humans and (ii) commercialization milestone payments shall be based on reaching annual net sales levels, be limited to 3% of the applicable net sales level, and not exceed $30,000 in the aggregate. In conjunction with the Second Amended and Restated Shared Services Agreement, the Company agreed to pay BioXcel LLC $18 per month to extend the option to December 31, 2024, from its prior expiration of March 13, 2023.</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Net Earnings (Loss) Per Share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calculations of basic and diluted net loss per share are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18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201"/>
        </w:trPr>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18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(numerator)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(41,805)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(26,811)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(110,949)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Weighted average shares (denominator)</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28,022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27,972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559" w:firstLine="324"/>
        <w:spacing w:after="0" w:line="308" w:lineRule="auto"/>
        <w:rPr>
          <w:sz w:val="20"/>
          <w:szCs w:val="20"/>
          <w:color w:val="auto"/>
        </w:rPr>
      </w:pPr>
      <w:r>
        <w:rPr>
          <w:rFonts w:ascii="Arial" w:cs="Arial" w:eastAsia="Arial" w:hAnsi="Arial"/>
          <w:sz w:val="17"/>
          <w:szCs w:val="17"/>
          <w:color w:val="auto"/>
        </w:rPr>
        <w:t>Potentially dilutive securities outstanding consists of stock options and RSUs. The Company had common stock equivalents outstanding at September 30, 2022 and 2021 of 4,986 and 4,152 shares, respectively.</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Inventory</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Inventory consists of the following:</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Arial" w:cs="Arial" w:eastAsia="Arial" w:hAnsi="Arial"/>
                <w:sz w:val="14"/>
                <w:szCs w:val="14"/>
                <w:b w:val="1"/>
                <w:bCs w:val="1"/>
                <w:color w:val="auto"/>
              </w:rPr>
              <w:t>September 30,</w:t>
            </w:r>
          </w:p>
        </w:tc>
      </w:tr>
      <w:tr>
        <w:trPr>
          <w:trHeight w:val="201"/>
        </w:trPr>
        <w:tc>
          <w:tcPr>
            <w:tcW w:w="7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r>
      <w:tr>
        <w:trPr>
          <w:trHeight w:val="209"/>
        </w:trPr>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16"/>
        </w:trPr>
        <w:tc>
          <w:tcPr>
            <w:tcW w:w="722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09"/>
        </w:trPr>
        <w:tc>
          <w:tcPr>
            <w:tcW w:w="7220" w:type="dxa"/>
            <w:vAlign w:val="bottom"/>
          </w:tcPr>
          <w:p>
            <w:pPr>
              <w:ind w:left="240"/>
              <w:spacing w:after="0"/>
              <w:rPr>
                <w:sz w:val="20"/>
                <w:szCs w:val="20"/>
                <w:color w:val="auto"/>
              </w:rPr>
            </w:pPr>
            <w:r>
              <w:rPr>
                <w:rFonts w:ascii="Arial" w:cs="Arial" w:eastAsia="Arial" w:hAnsi="Arial"/>
                <w:sz w:val="18"/>
                <w:szCs w:val="18"/>
                <w:color w:val="auto"/>
              </w:rPr>
              <w:t>Total inventory</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r>
      <w:tr>
        <w:trPr>
          <w:trHeight w:val="20"/>
        </w:trPr>
        <w:tc>
          <w:tcPr>
            <w:tcW w:w="7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219" w:firstLine="324"/>
        <w:spacing w:after="0" w:line="277" w:lineRule="auto"/>
        <w:rPr>
          <w:sz w:val="20"/>
          <w:szCs w:val="20"/>
          <w:color w:val="auto"/>
        </w:rPr>
      </w:pPr>
      <w:r>
        <w:rPr>
          <w:rFonts w:ascii="Arial" w:cs="Arial" w:eastAsia="Arial" w:hAnsi="Arial"/>
          <w:sz w:val="18"/>
          <w:szCs w:val="18"/>
          <w:color w:val="auto"/>
        </w:rPr>
        <w:t>There were no write-downs of inventory for the three and nine months ended September 30, 2022. The Company did not have commercial inventory as of December 31,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Property and Equipment, net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and Equipment, net consists of the following: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r>
      <w:tr>
        <w:trPr>
          <w:trHeight w:val="142"/>
        </w:trPr>
        <w:tc>
          <w:tcPr>
            <w:tcW w:w="6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Furniture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Construction-in-process</w:t>
            </w:r>
          </w:p>
        </w:tc>
        <w:tc>
          <w:tcPr>
            <w:tcW w:w="2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0"/>
        </w:trPr>
        <w:tc>
          <w:tcPr>
            <w:tcW w:w="66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property and equipment</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(848)</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09"/>
        </w:trPr>
        <w:tc>
          <w:tcPr>
            <w:tcW w:w="66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r>
      <w:tr>
        <w:trPr>
          <w:trHeight w:val="20"/>
        </w:trPr>
        <w:tc>
          <w:tcPr>
            <w:tcW w:w="6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59" w:firstLine="324"/>
        <w:spacing w:after="0" w:line="277" w:lineRule="auto"/>
        <w:rPr>
          <w:sz w:val="20"/>
          <w:szCs w:val="20"/>
          <w:color w:val="auto"/>
        </w:rPr>
      </w:pPr>
      <w:r>
        <w:rPr>
          <w:rFonts w:ascii="Arial" w:cs="Arial" w:eastAsia="Arial" w:hAnsi="Arial"/>
          <w:sz w:val="18"/>
          <w:szCs w:val="18"/>
          <w:color w:val="auto"/>
        </w:rPr>
        <w:t>Depreciation expense was $85 and $76 for the three months ended September 30, 2022 and 2021, respectively, and $246 and $221 for the nine months ended September 30, 2022 and 2021,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Accrued Expenses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expenses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4"/>
                <w:szCs w:val="14"/>
                <w:color w:val="auto"/>
              </w:rPr>
            </w:pPr>
          </w:p>
        </w:tc>
        <w:tc>
          <w:tcPr>
            <w:tcW w:w="1260" w:type="dxa"/>
            <w:vAlign w:val="bottom"/>
          </w:tcPr>
          <w:p>
            <w:pPr>
              <w:jc w:val="right"/>
              <w:ind w:right="13"/>
              <w:spacing w:after="0"/>
              <w:rPr>
                <w:sz w:val="20"/>
                <w:szCs w:val="20"/>
                <w:color w:val="auto"/>
              </w:rPr>
            </w:pPr>
            <w:r>
              <w:rPr>
                <w:rFonts w:ascii="Arial" w:cs="Arial" w:eastAsia="Arial" w:hAnsi="Arial"/>
                <w:sz w:val="14"/>
                <w:szCs w:val="14"/>
                <w:b w:val="1"/>
                <w:bCs w:val="1"/>
                <w:color w:val="auto"/>
                <w:w w:val="90"/>
              </w:rPr>
              <w:t>December 31, 2021</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260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2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expenses</w:t>
            </w:r>
          </w:p>
        </w:tc>
        <w:tc>
          <w:tcPr>
            <w:tcW w:w="2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2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3780" w:type="dxa"/>
            <w:vAlign w:val="bottom"/>
          </w:tcPr>
          <w:p>
            <w:pPr>
              <w:ind w:left="240"/>
              <w:spacing w:after="0"/>
              <w:rPr>
                <w:sz w:val="20"/>
                <w:szCs w:val="20"/>
                <w:color w:val="auto"/>
              </w:rPr>
            </w:pPr>
            <w:r>
              <w:rPr>
                <w:rFonts w:ascii="Arial" w:cs="Arial" w:eastAsia="Arial" w:hAnsi="Arial"/>
                <w:sz w:val="18"/>
                <w:szCs w:val="18"/>
                <w:color w:val="auto"/>
              </w:rPr>
              <w:t>Total accrued expenses</w:t>
            </w:r>
          </w:p>
        </w:tc>
        <w:tc>
          <w:tcPr>
            <w:tcW w:w="2160" w:type="dxa"/>
            <w:vAlign w:val="bottom"/>
          </w:tcPr>
          <w:p>
            <w:pPr>
              <w:spacing w:after="0"/>
              <w:rPr>
                <w:sz w:val="18"/>
                <w:szCs w:val="18"/>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13,949</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160" w:type="dxa"/>
            <w:vAlign w:val="bottom"/>
            <w:vMerge w:val="restart"/>
          </w:tcPr>
          <w:p>
            <w:pPr>
              <w:jc w:val="right"/>
              <w:ind w:right="1330"/>
              <w:spacing w:after="0"/>
              <w:rPr>
                <w:sz w:val="20"/>
                <w:szCs w:val="20"/>
                <w:color w:val="auto"/>
              </w:rPr>
            </w:pPr>
            <w:r>
              <w:rPr>
                <w:rFonts w:ascii="Arial" w:cs="Arial" w:eastAsia="Arial" w:hAnsi="Arial"/>
                <w:sz w:val="18"/>
                <w:szCs w:val="18"/>
                <w:color w:val="auto"/>
              </w:rPr>
              <w:t>19</w:t>
            </w: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78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Debt and Credit Facilities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Debt, net of unamortized discounts and financing costs, consists of the following:</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4"/>
              </w:rPr>
              <w:t>September 30, 2022</w:t>
            </w:r>
          </w:p>
        </w:tc>
      </w:tr>
      <w:tr>
        <w:trPr>
          <w:trHeight w:val="210"/>
        </w:trPr>
        <w:tc>
          <w:tcPr>
            <w:tcW w:w="7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Agreement and Guaranty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70,402</w:t>
            </w:r>
          </w:p>
        </w:tc>
      </w:tr>
      <w:tr>
        <w:trPr>
          <w:trHeight w:val="216"/>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Interest Financing Agreement</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r>
      <w:tr>
        <w:trPr>
          <w:trHeight w:val="210"/>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debt, gross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100,402</w:t>
            </w: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Original issue discount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16"/>
        </w:trPr>
        <w:tc>
          <w:tcPr>
            <w:tcW w:w="7180" w:type="dxa"/>
            <w:vAlign w:val="bottom"/>
          </w:tcPr>
          <w:p>
            <w:pPr>
              <w:ind w:left="240"/>
              <w:spacing w:after="0"/>
              <w:rPr>
                <w:sz w:val="20"/>
                <w:szCs w:val="20"/>
                <w:color w:val="auto"/>
              </w:rPr>
            </w:pPr>
            <w:r>
              <w:rPr>
                <w:rFonts w:ascii="Arial" w:cs="Arial" w:eastAsia="Arial" w:hAnsi="Arial"/>
                <w:sz w:val="18"/>
                <w:szCs w:val="18"/>
                <w:color w:val="auto"/>
              </w:rPr>
              <w:t>Discount from issuance of BTI Warrants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(3,245)</w:t>
            </w:r>
          </w:p>
        </w:tc>
      </w:tr>
      <w:tr>
        <w:trPr>
          <w:trHeight w:val="216"/>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from issuance of Equity Investment Right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r>
      <w:tr>
        <w:trPr>
          <w:trHeight w:val="216"/>
        </w:trPr>
        <w:tc>
          <w:tcPr>
            <w:tcW w:w="7180" w:type="dxa"/>
            <w:vAlign w:val="bottom"/>
          </w:tcPr>
          <w:p>
            <w:pPr>
              <w:ind w:left="240"/>
              <w:spacing w:after="0"/>
              <w:rPr>
                <w:sz w:val="20"/>
                <w:szCs w:val="20"/>
                <w:color w:val="auto"/>
              </w:rPr>
            </w:pPr>
            <w:r>
              <w:rPr>
                <w:rFonts w:ascii="Arial" w:cs="Arial" w:eastAsia="Arial" w:hAnsi="Arial"/>
                <w:sz w:val="18"/>
                <w:szCs w:val="18"/>
                <w:color w:val="auto"/>
              </w:rPr>
              <w:t>Discount from issuance of OnkosXcel Warrants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16"/>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Plus:</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Accretion of discounts and amortization of financing costs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09"/>
        </w:trPr>
        <w:tc>
          <w:tcPr>
            <w:tcW w:w="7180" w:type="dxa"/>
            <w:vAlign w:val="bottom"/>
          </w:tcPr>
          <w:p>
            <w:pPr>
              <w:ind w:left="24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91,695</w:t>
            </w:r>
          </w:p>
        </w:tc>
      </w:tr>
      <w:tr>
        <w:trPr>
          <w:trHeight w:val="20"/>
        </w:trPr>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firstLine="324"/>
        <w:spacing w:after="0" w:line="275" w:lineRule="auto"/>
        <w:rPr>
          <w:sz w:val="20"/>
          <w:szCs w:val="20"/>
          <w:color w:val="auto"/>
        </w:rPr>
      </w:pPr>
      <w:r>
        <w:rPr>
          <w:rFonts w:ascii="Arial" w:cs="Arial" w:eastAsia="Arial" w:hAnsi="Arial"/>
          <w:sz w:val="16"/>
          <w:szCs w:val="16"/>
          <w:color w:val="auto"/>
        </w:rPr>
        <w:t>On April 19, 2022 (the “Effective Date”), the Company entered into two strategic financing agreements: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a Revenue Interest Financing Agreement (the “RIFA”; and together with the Credit Agreement, the “OFA Facilities”) by and among the Company, the purchasers party thereto (the “Purchasers”) and OFA as administrative agent. Under the OFA Facilities, the Lenders and the Purchasers have agreed to, in the aggregate between the two OFA Facilities, provide up to $260,000 in gross funding to support the Company’s commercial activities of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sublingual film. In addition, the OFA Facilities are intended to support the expansion of clinical development efforts of BXCL501, which includes a Phase 3 program for the acute treatment of agitation in patients with Alzheimer’s disease, and for general corporate purposes. The Lenders and Purchasers are comprised of funds of Oaktree Capital Management, L.P. (“Oaktree”) and Qatar Investment Authority (“QIA”).</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the OFA Facilities is provided below.</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Credit Agreement provides up to $135,000 in senior secured term loans, of which the initial Tranche A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$70,000 was funded on April 28, 2022, and the remaining tranches may be borrowed at the Company’s option prior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2024, subject to satisfaction of certain conditions, including regulatory and financial milestones. Tranche B</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of the Credit Agreement is $35,000 and is available upon satisfaction of certain conditions, including receipt of certain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regulatory and financial milestones. Tranche C of the Credit Agreement is $30,000 and is available upon satisfaction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certain conditions, including specified minimum net sales of the Company attributable to sales of BXCL501 for a trailing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twelve consecutive month period. As of September 30, 2022, $65,000 remained available under the Credit Agreement,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subject to achievement of the specified conditions and milestones.</w:t>
      </w:r>
    </w:p>
    <w:p>
      <w:pPr>
        <w:spacing w:after="0" w:line="211" w:lineRule="exact"/>
        <w:rPr>
          <w:sz w:val="20"/>
          <w:szCs w:val="20"/>
          <w:color w:val="auto"/>
        </w:rPr>
      </w:pPr>
    </w:p>
    <w:p>
      <w:pPr>
        <w:ind w:left="60" w:right="259" w:firstLine="324"/>
        <w:spacing w:after="0" w:line="289" w:lineRule="auto"/>
        <w:rPr>
          <w:sz w:val="20"/>
          <w:szCs w:val="20"/>
          <w:color w:val="auto"/>
        </w:rPr>
      </w:pPr>
      <w:r>
        <w:rPr>
          <w:rFonts w:ascii="Arial" w:cs="Arial" w:eastAsia="Arial" w:hAnsi="Arial"/>
          <w:sz w:val="16"/>
          <w:szCs w:val="16"/>
          <w:color w:val="auto"/>
        </w:rPr>
        <w:t>The loans under the Credit Agreement do not amortize and mature on the fifth anniversary of the effective date; provided that the Company may, at its option, extend the maturity date to the sixth anniversary if, prior to December 31, 2024, the Company receives and satisfies certain conditions including receipt of certain regulatory and financial milestones. Borrowings under the Credit Agreement are issued at a 200-basis point original issue discount and bear interest at a fixed annual rate of 10.25%, payable quarterly. Of such interest, 225 basis points per annum is, at the Company’s option, payable in kind by capitalizing and adding such interest to the outstanding principal amount of loans from the first payment date on which such interest is owed through, and including, the third anniversary of such payment date, unless, with respect to any payment date, the Company elects to pay all or a portion of such interest in cash. The Company is required to pay a ticking fee equal to 0.75% per annum on the undrawn amount of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59" w:lineRule="auto"/>
        <w:rPr>
          <w:sz w:val="20"/>
          <w:szCs w:val="20"/>
          <w:color w:val="auto"/>
        </w:rPr>
      </w:pPr>
      <w:r>
        <w:rPr>
          <w:rFonts w:ascii="Arial" w:cs="Arial" w:eastAsia="Arial" w:hAnsi="Arial"/>
          <w:sz w:val="18"/>
          <w:szCs w:val="18"/>
          <w:color w:val="auto"/>
        </w:rPr>
        <w:t>commitments, payable quarterly commencing 120 days after the funding of the Tranche A term loan through the termination of the commitments, which is expensed as incurred and recognized as interest expense in the Condensed Consolidated Statements of Operations. The Company may voluntarily prepay the Credit Agreement at any time subject to a prepayment fee.</w:t>
      </w:r>
    </w:p>
    <w:p>
      <w:pPr>
        <w:spacing w:after="0" w:line="187" w:lineRule="exact"/>
        <w:rPr>
          <w:sz w:val="20"/>
          <w:szCs w:val="20"/>
          <w:color w:val="auto"/>
        </w:rPr>
      </w:pPr>
    </w:p>
    <w:p>
      <w:pPr>
        <w:ind w:left="60" w:right="239" w:firstLine="324"/>
        <w:spacing w:after="0" w:line="273" w:lineRule="auto"/>
        <w:rPr>
          <w:sz w:val="20"/>
          <w:szCs w:val="20"/>
          <w:color w:val="auto"/>
        </w:rPr>
      </w:pPr>
      <w:r>
        <w:rPr>
          <w:rFonts w:ascii="Arial" w:cs="Arial" w:eastAsia="Arial" w:hAnsi="Arial"/>
          <w:sz w:val="17"/>
          <w:szCs w:val="17"/>
          <w:color w:val="auto"/>
        </w:rPr>
        <w:t>The Company’s obligations under the Credit Agreement are guaranteed by BTI’s existing and subsequently acquired or organized subsidiaries, subject to certain exceptions. BTI’s obligations under the Credit Agreement and the related guarantees thereunder are secured, subject to customary permitted liens and other agreed upon exceptions, by (i) a pledge of all of the equity interests of all of the Company’s existing and any future direct subsidiaries, and (ii) a perfected security interest in all of its and the guarantors’ tangible and intangible assets (except that the guarantees provided by the BXCL701 Subsidiaries (defined below) are unsecured).</w:t>
      </w:r>
    </w:p>
    <w:p>
      <w:pPr>
        <w:spacing w:after="0" w:line="178" w:lineRule="exact"/>
        <w:rPr>
          <w:sz w:val="20"/>
          <w:szCs w:val="20"/>
          <w:color w:val="auto"/>
        </w:rPr>
      </w:pPr>
    </w:p>
    <w:p>
      <w:pPr>
        <w:ind w:left="60" w:right="139" w:firstLine="324"/>
        <w:spacing w:after="0" w:line="268" w:lineRule="auto"/>
        <w:rPr>
          <w:sz w:val="20"/>
          <w:szCs w:val="20"/>
          <w:color w:val="auto"/>
        </w:rPr>
      </w:pPr>
      <w:r>
        <w:rPr>
          <w:rFonts w:ascii="Arial" w:cs="Arial" w:eastAsia="Arial" w:hAnsi="Arial"/>
          <w:sz w:val="17"/>
          <w:szCs w:val="17"/>
          <w:color w:val="auto"/>
        </w:rPr>
        <w:t>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The Company must also comply with certain financial covenants, including (i) maintenance of cash or permitted cash equivalent investments in accounts controlled by OFA for the Lenders, of at least (a) $15,000 from the Effective Date until the date on which the second tranche of loans are funded (the “Step-Up Date”) and (b) $20,000 from and after the Step-Up Date, provided, in the case of (a) and (b), that following any Permitted BXCL701 Release Event (as defined below), such amount will increase by $12,500, and following such time as unaffiliated third parties hold ownership of at least 30% of the equity interests in the BXCL701 Subsidiaries (as defined below), such amount will increase by an additional $5,000 (provided, that such amount will in no event exceed 50% of the aggregate amount of loans outstanding at any time); and (ii) a minimum revenue test, measured quarterly beginning with the Company’s fiscal quarter ending on December 31, 2023, that requires it and its subsidiaries’ consolidated net revenue for the six consecutive month period ending on the last day of each such fiscal quarter to not be less than a minimum revenue amount specified in the Credit Agreement. The Company’s failure to comply with the financial covenants will result in an event of default, subject to certain cure rights with respect to the revenue covenant.</w:t>
      </w:r>
    </w:p>
    <w:p>
      <w:pPr>
        <w:spacing w:after="0" w:line="180" w:lineRule="exact"/>
        <w:rPr>
          <w:sz w:val="20"/>
          <w:szCs w:val="20"/>
          <w:color w:val="auto"/>
        </w:rPr>
      </w:pPr>
    </w:p>
    <w:p>
      <w:pPr>
        <w:ind w:left="60" w:right="199" w:firstLine="324"/>
        <w:spacing w:after="0" w:line="269" w:lineRule="auto"/>
        <w:rPr>
          <w:sz w:val="20"/>
          <w:szCs w:val="20"/>
          <w:color w:val="auto"/>
        </w:rPr>
      </w:pPr>
      <w:r>
        <w:rPr>
          <w:rFonts w:ascii="Arial" w:cs="Arial" w:eastAsia="Arial" w:hAnsi="Arial"/>
          <w:sz w:val="17"/>
          <w:szCs w:val="17"/>
          <w:color w:val="auto"/>
        </w:rPr>
        <w:t>Notwithstanding the foregoing, the Credit Agreement permits OnkosXcel (together with OnkosXcel Employee Holdings LLC, a wholly owned subsidiary of BTI, and their respective subsidiaries, the “BXCL701 Subsidiaries”) to receive third-party investment or transfer all or substantially all of their assets to an unaffiliated third-party, in each case subject to terms and conditions set forth in the Credit Agreement, including the escrow of certain proceeds received by BTI and its subsidiaries (other than the BXCL701 Subsidiaries) in respect of these disposition events and, under circumstances set forth in the Credit Agreement, the mandatory prepayment of such escrowed amounts. The Company’s equity interests in the BXCL701 Subsidiaries have been pledged in support of its obligations under the Credit Agreement, and the BXCL701 Subsidiaries have provided direct guarantees of BTI’s obligations under the Credit Agreement on an unsecured basis. However, the pledge, guarantee and other obligations of the BXCL701 Subsidiaries under the Credit Agreement will be released upon certain agreed upon events (“Permitted BXCL701 Release Events”), including an initial public offering by the BXCL701 Subsidiaries or the ownership by unaffiliated third parties of at least 20% of the equity interests in the BXCL701 Subsidiaries.</w:t>
      </w:r>
    </w:p>
    <w:p>
      <w:pPr>
        <w:spacing w:after="0" w:line="179"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The Credit Agreement contains events of default that are customary for financings of this type relating to, among other things, payment defaults, breach of covenants, breach of representations and warranties, cross default to material indebtedness, bankruptcy-related defaults, judgment defaults, breach of the financial covenants described above, and the occurrence of certain change of control events. In certain circumstances, events of default are subject to customary cure periods. Following an event of default and any applicable cure period, the Lenders will have the right upon notice to terminate any undrawn commitments and may accelerate all amounts outstanding under the Credit Agreement, in addition to other remedies available to them as the Company’s secured creditors.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Interest Financing Agreement</w:t>
      </w:r>
    </w:p>
    <w:p>
      <w:pPr>
        <w:spacing w:after="0" w:line="215" w:lineRule="exact"/>
        <w:rPr>
          <w:sz w:val="20"/>
          <w:szCs w:val="20"/>
          <w:color w:val="auto"/>
        </w:rPr>
      </w:pPr>
    </w:p>
    <w:p>
      <w:pPr>
        <w:ind w:left="60" w:right="159" w:firstLine="324"/>
        <w:spacing w:after="0" w:line="250" w:lineRule="auto"/>
        <w:rPr>
          <w:sz w:val="20"/>
          <w:szCs w:val="20"/>
          <w:color w:val="auto"/>
        </w:rPr>
      </w:pPr>
      <w:r>
        <w:rPr>
          <w:rFonts w:ascii="Arial" w:cs="Arial" w:eastAsia="Arial" w:hAnsi="Arial"/>
          <w:sz w:val="16"/>
          <w:szCs w:val="16"/>
          <w:color w:val="auto"/>
        </w:rPr>
        <w:t>The RIFA provides up to $120,000 in financing in exchange for a capped revenue interest on net sales of IGALMI</w:t>
      </w:r>
      <w:r>
        <w:rPr>
          <w:rFonts w:ascii="Arial" w:cs="Arial" w:eastAsia="Arial" w:hAnsi="Arial"/>
          <w:sz w:val="23"/>
          <w:szCs w:val="23"/>
          <w:color w:val="auto"/>
          <w:vertAlign w:val="superscript"/>
        </w:rPr>
        <w:t>TM</w:t>
      </w:r>
      <w:r>
        <w:rPr>
          <w:rFonts w:ascii="Arial" w:cs="Arial" w:eastAsia="Arial" w:hAnsi="Arial"/>
          <w:sz w:val="16"/>
          <w:szCs w:val="16"/>
          <w:color w:val="auto"/>
        </w:rPr>
        <w:t>, and other future BXCL501 products, if any, that receive regulatory approval for sale. The initial Tranche 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6" w:lineRule="auto"/>
        <w:rPr>
          <w:sz w:val="20"/>
          <w:szCs w:val="20"/>
          <w:color w:val="auto"/>
        </w:rPr>
      </w:pPr>
      <w:r>
        <w:rPr>
          <w:rFonts w:ascii="Arial" w:cs="Arial" w:eastAsia="Arial" w:hAnsi="Arial"/>
          <w:sz w:val="17"/>
          <w:szCs w:val="17"/>
          <w:color w:val="auto"/>
        </w:rPr>
        <w:t>of $30,000 was funded on July 8, 2022, and the remaining tranches may be borrowed at the Company’s option prior to December 31, 2024, subject to satisfaction of certain conditions, including certain regulatory, patent, and financial milestones. The effective interest rate on the RIFA as of September 30, 2022 is approximately 21%.</w:t>
      </w:r>
    </w:p>
    <w:p>
      <w:pPr>
        <w:spacing w:after="0" w:line="165"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6"/>
          <w:szCs w:val="16"/>
          <w:color w:val="auto"/>
        </w:rPr>
        <w:t>Under the terms of the RIFA, the Purchasers will receive tiered revenue interest payments on U.S. net sales of IGALMI</w:t>
      </w:r>
      <w:r>
        <w:rPr>
          <w:rFonts w:ascii="Arial" w:cs="Arial" w:eastAsia="Arial" w:hAnsi="Arial"/>
          <w:sz w:val="23"/>
          <w:szCs w:val="23"/>
          <w:color w:val="auto"/>
          <w:vertAlign w:val="superscript"/>
        </w:rPr>
        <w:t>TM</w:t>
      </w:r>
      <w:r>
        <w:rPr>
          <w:rFonts w:ascii="Arial" w:cs="Arial" w:eastAsia="Arial" w:hAnsi="Arial"/>
          <w:sz w:val="16"/>
          <w:szCs w:val="16"/>
          <w:color w:val="auto"/>
        </w:rPr>
        <w:t>, and other future BXCL501 products, if any, that receive regulatory approval for sale, equal to a royalty ranging from 0.375% to 7.750% of net sales of IGALMI</w:t>
      </w:r>
      <w:r>
        <w:rPr>
          <w:rFonts w:ascii="Arial" w:cs="Arial" w:eastAsia="Arial" w:hAnsi="Arial"/>
          <w:sz w:val="23"/>
          <w:szCs w:val="23"/>
          <w:color w:val="auto"/>
          <w:vertAlign w:val="superscript"/>
        </w:rPr>
        <w:t>TM</w:t>
      </w:r>
      <w:r>
        <w:rPr>
          <w:rFonts w:ascii="Arial" w:cs="Arial" w:eastAsia="Arial" w:hAnsi="Arial"/>
          <w:sz w:val="16"/>
          <w:szCs w:val="16"/>
          <w:color w:val="auto"/>
        </w:rPr>
        <w:t>, and other future BXCL501 products, if any, approved for sale in the U.S., subject to a hard cap equal to 1.75x the total amount funded. In addition, if the conditions to the second tranche of the financing provided under the RIFA have been met, once payments equal to the hard cap have been received by the Purchasers, the Company will be required to make revenue interest payments equal to a flat 0.375% royalty on U.S. net sales of IGALMI</w:t>
      </w:r>
      <w:r>
        <w:rPr>
          <w:rFonts w:ascii="Arial" w:cs="Arial" w:eastAsia="Arial" w:hAnsi="Arial"/>
          <w:sz w:val="23"/>
          <w:szCs w:val="23"/>
          <w:color w:val="auto"/>
          <w:vertAlign w:val="superscript"/>
        </w:rPr>
        <w:t>TM</w:t>
      </w:r>
      <w:r>
        <w:rPr>
          <w:rFonts w:ascii="Arial" w:cs="Arial" w:eastAsia="Arial" w:hAnsi="Arial"/>
          <w:sz w:val="16"/>
          <w:szCs w:val="16"/>
          <w:color w:val="auto"/>
        </w:rPr>
        <w:t>, and other future BXCL501 products, if any, that receive regulatory approval for sale, through and including March 31, 2036 (the “Tail Royalty”). The Company is also required to make certain additional payments to the Purchasers from time to time to ensure that the aggregate amount of payments received by the Purchasers under the RIFA is at least equal to certain agreed upon minimum levels as of certain specified dates, subject to terms and conditions set forth in the RIFA. Revenue interest payments due under the RIFA are payable quarterly based on net sales.</w:t>
      </w:r>
    </w:p>
    <w:p>
      <w:pPr>
        <w:spacing w:after="0" w:line="195" w:lineRule="exact"/>
        <w:rPr>
          <w:sz w:val="20"/>
          <w:szCs w:val="20"/>
          <w:color w:val="auto"/>
        </w:rPr>
      </w:pPr>
    </w:p>
    <w:p>
      <w:pPr>
        <w:ind w:left="60" w:right="359" w:firstLine="324"/>
        <w:spacing w:after="0" w:line="275" w:lineRule="auto"/>
        <w:rPr>
          <w:sz w:val="20"/>
          <w:szCs w:val="20"/>
          <w:color w:val="auto"/>
        </w:rPr>
      </w:pPr>
      <w:r>
        <w:rPr>
          <w:rFonts w:ascii="Arial" w:cs="Arial" w:eastAsia="Arial" w:hAnsi="Arial"/>
          <w:sz w:val="17"/>
          <w:szCs w:val="17"/>
          <w:color w:val="auto"/>
        </w:rPr>
        <w:t>Any time after the initial funding of the RIFA, BTI has the right (the “BTI Call Option”), but not the obligation, to buy out the Purchasers’ interests in the revenue interest payments at an agreed upon repurchase price. The BTI Call Option can be exercised in year one, two, three and thereafter at a multiple of the Purchasers invested capital of 1.225x, 1.375x, 1.525x and 2.25x, respectively. The Purchasers will not be entitled to any Tail Royalty if the BTI Call Option is exercised before the third anniversary of the Effective Date.</w:t>
      </w:r>
    </w:p>
    <w:p>
      <w:pPr>
        <w:spacing w:after="0" w:line="176" w:lineRule="exact"/>
        <w:rPr>
          <w:sz w:val="20"/>
          <w:szCs w:val="20"/>
          <w:color w:val="auto"/>
        </w:rPr>
      </w:pPr>
    </w:p>
    <w:p>
      <w:pPr>
        <w:ind w:left="60" w:right="279" w:firstLine="324"/>
        <w:spacing w:after="0" w:line="293" w:lineRule="auto"/>
        <w:rPr>
          <w:sz w:val="20"/>
          <w:szCs w:val="20"/>
          <w:color w:val="auto"/>
        </w:rPr>
      </w:pPr>
      <w:r>
        <w:rPr>
          <w:rFonts w:ascii="Arial" w:cs="Arial" w:eastAsia="Arial" w:hAnsi="Arial"/>
          <w:sz w:val="16"/>
          <w:szCs w:val="16"/>
          <w:color w:val="auto"/>
        </w:rPr>
        <w:t>The Company’s obligations under the RIFA are secured, subject to customary permitted liens and other agreed upon exceptions and subject to an intercreditor agreement between OFA for the Credit Agreement and RIFA, by a perfected security interest in (i) accounts receivable arising from net sales of BXCL501 products in the U.S. and one or more segregated bank accounts maintained for the purpose of receiving payments in respect of such accounts receivable, (ii) intellectual property that is claiming or covering BXCL501 itself or any method of using, making or manufacturing BXCL501 and (iii) regulatory approvals, clinical data, and all other assets that underlie BXCL501.</w:t>
      </w:r>
    </w:p>
    <w:p>
      <w:pPr>
        <w:spacing w:after="0" w:line="164" w:lineRule="exact"/>
        <w:rPr>
          <w:sz w:val="20"/>
          <w:szCs w:val="20"/>
          <w:color w:val="auto"/>
        </w:rPr>
      </w:pPr>
    </w:p>
    <w:p>
      <w:pPr>
        <w:ind w:left="60" w:right="179" w:firstLine="324"/>
        <w:spacing w:after="0" w:line="254" w:lineRule="auto"/>
        <w:rPr>
          <w:sz w:val="20"/>
          <w:szCs w:val="20"/>
          <w:color w:val="auto"/>
        </w:rPr>
      </w:pPr>
      <w:r>
        <w:rPr>
          <w:rFonts w:ascii="Arial" w:cs="Arial" w:eastAsia="Arial" w:hAnsi="Arial"/>
          <w:sz w:val="18"/>
          <w:szCs w:val="18"/>
          <w:color w:val="auto"/>
        </w:rPr>
        <w:t>The RIFA contains customary representations and warranties and certain restrictions on the Company’s ability to incur indebtedness and grant liens on intellectual property related to BXCL501. In addition, the RIFA provides that if certain events occur, including certain bankruptcy events, failure to make payments, a change of control, an out-license or sale of all of the rights in and to BXCL501 in the U.S., in each case except a permitted licensing transaction (as defined in the RIFA) and, subject to applicable cure periods, material breach of the covenants in the RIFA, OFA, at the direction of the Purchasers, may require the Company to repurchase the Purchasers’ interests in the revenue interest payments at an agreed upon repurchase price.</w:t>
      </w:r>
    </w:p>
    <w:p>
      <w:pPr>
        <w:spacing w:after="0" w:line="195" w:lineRule="exact"/>
        <w:rPr>
          <w:sz w:val="20"/>
          <w:szCs w:val="20"/>
          <w:color w:val="auto"/>
        </w:rPr>
      </w:pPr>
    </w:p>
    <w:p>
      <w:pPr>
        <w:ind w:left="60" w:right="439" w:firstLine="324"/>
        <w:spacing w:after="0" w:line="259" w:lineRule="auto"/>
        <w:rPr>
          <w:sz w:val="20"/>
          <w:szCs w:val="20"/>
          <w:color w:val="auto"/>
        </w:rPr>
      </w:pPr>
      <w:r>
        <w:rPr>
          <w:rFonts w:ascii="Arial" w:cs="Arial" w:eastAsia="Arial" w:hAnsi="Arial"/>
          <w:sz w:val="18"/>
          <w:szCs w:val="18"/>
          <w:color w:val="auto"/>
        </w:rPr>
        <w:t>Tranche B and C of the RIFA are each $45,000 and are available upon satisfaction of certain conditions, including receipt of certain regulatory and patent related milestones and specified minimum net sales of BXCL501 during any consecutive twelve-month period. As of September 30, 2022, $90,000 remained available under the RIFA, subject to achievement of the specified conditions and milestones.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Warrants and Equity Investment Right</w:t>
      </w:r>
    </w:p>
    <w:p>
      <w:pPr>
        <w:spacing w:after="0" w:line="225" w:lineRule="exact"/>
        <w:rPr>
          <w:sz w:val="20"/>
          <w:szCs w:val="20"/>
          <w:color w:val="auto"/>
        </w:rPr>
      </w:pPr>
    </w:p>
    <w:p>
      <w:pPr>
        <w:ind w:left="60" w:right="159" w:firstLine="324"/>
        <w:spacing w:after="0" w:line="289" w:lineRule="auto"/>
        <w:rPr>
          <w:sz w:val="20"/>
          <w:szCs w:val="20"/>
          <w:color w:val="auto"/>
        </w:rPr>
      </w:pPr>
      <w:r>
        <w:rPr>
          <w:rFonts w:ascii="Arial" w:cs="Arial" w:eastAsia="Arial" w:hAnsi="Arial"/>
          <w:sz w:val="16"/>
          <w:szCs w:val="16"/>
          <w:color w:val="auto"/>
        </w:rPr>
        <w:t>In connection with the Credit Agreement, on the Effective Date, the Company granted warrants to the Lenders to purchase up to 278 shares of its common stock (the “BTI Warrants”) at an exercise price of $20.04 per share. The BTI Warrants will expire on April 19, 2029, are freely transferable and may be net exercised at the holder’s election. In addition, pursuant to the Credit Agreement, the Lenders have the right to purchase shares of the Company’s common stock after the Effective Date,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BTI entered into a registration rights agreement with the Lenders and filed a registration statement on Form S-3 to register the shares issuable upon exercise of the BTI Warrants and, if issued, the shares related to the Equity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Investment Right, for resale. The maximum shares of BTI common stock issuable under the BTI Warrants and Lenders’ Equity Investment Right is 5,593.</w:t>
      </w:r>
    </w:p>
    <w:p>
      <w:pPr>
        <w:spacing w:after="0" w:line="170"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6"/>
          <w:szCs w:val="16"/>
          <w:color w:val="auto"/>
        </w:rPr>
        <w:t>As part of the Credit Agreement, OnkosXcel, a wholly owned subsidiary of BTI, granted warrants to the Lenders to purchase 175 individual limited liability company units (which number of units is not in thousands; referred to herein as the “OnkosXcel Warrants”).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Maturities of long-term debt are expected to be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4"/>
              </w:rPr>
              <w:t>September 30, 2022</w:t>
            </w:r>
          </w:p>
        </w:tc>
      </w:tr>
      <w:tr>
        <w:trPr>
          <w:trHeight w:val="210"/>
        </w:trPr>
        <w:tc>
          <w:tcPr>
            <w:tcW w:w="7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2027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94,141</w:t>
            </w:r>
          </w:p>
        </w:tc>
      </w:tr>
    </w:tbl>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expense was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4"/>
          </w:tcPr>
          <w:p>
            <w:pPr>
              <w:jc w:val="center"/>
              <w:ind w:right="115"/>
              <w:spacing w:after="0"/>
              <w:rPr>
                <w:sz w:val="20"/>
                <w:szCs w:val="20"/>
                <w:color w:val="auto"/>
              </w:rPr>
            </w:pPr>
            <w:r>
              <w:rPr>
                <w:rFonts w:ascii="Arial" w:cs="Arial" w:eastAsia="Arial" w:hAnsi="Arial"/>
                <w:sz w:val="14"/>
                <w:szCs w:val="14"/>
                <w:b w:val="1"/>
                <w:bCs w:val="1"/>
                <w:color w:val="auto"/>
                <w:w w:val="90"/>
              </w:rPr>
              <w:t>Nine months ended</w:t>
            </w:r>
          </w:p>
        </w:tc>
      </w:tr>
      <w:tr>
        <w:trPr>
          <w:trHeight w:val="201"/>
        </w:trPr>
        <w:tc>
          <w:tcPr>
            <w:tcW w:w="4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center"/>
              <w:ind w:right="155"/>
              <w:spacing w:after="0"/>
              <w:rPr>
                <w:sz w:val="20"/>
                <w:szCs w:val="20"/>
                <w:color w:val="auto"/>
              </w:rPr>
            </w:pPr>
            <w:r>
              <w:rPr>
                <w:rFonts w:ascii="Arial" w:cs="Arial" w:eastAsia="Arial" w:hAnsi="Arial"/>
                <w:sz w:val="14"/>
                <w:szCs w:val="14"/>
                <w:b w:val="1"/>
                <w:bCs w:val="1"/>
                <w:color w:val="auto"/>
                <w:w w:val="89"/>
              </w:rPr>
              <w:t>September 30,</w:t>
            </w:r>
          </w:p>
        </w:tc>
      </w:tr>
      <w:tr>
        <w:trPr>
          <w:trHeight w:val="196"/>
        </w:trPr>
        <w:tc>
          <w:tcPr>
            <w:tcW w:w="4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r>
      <w:tr>
        <w:trPr>
          <w:trHeight w:val="210"/>
        </w:trPr>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tcPr>
          <w:p>
            <w:pPr>
              <w:ind w:left="20"/>
              <w:spacing w:after="0"/>
              <w:rPr>
                <w:sz w:val="20"/>
                <w:szCs w:val="20"/>
                <w:color w:val="auto"/>
              </w:rPr>
            </w:pPr>
            <w:r>
              <w:rPr>
                <w:rFonts w:ascii="Arial" w:cs="Arial" w:eastAsia="Arial" w:hAnsi="Arial"/>
                <w:sz w:val="18"/>
                <w:szCs w:val="18"/>
                <w:color w:val="auto"/>
                <w:w w:val="94"/>
              </w:rPr>
              <w:t>Accretion of debt discount and amortization of financing costs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210"/>
        </w:trPr>
        <w:tc>
          <w:tcPr>
            <w:tcW w:w="46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interest expense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0"/>
        </w:trPr>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Derivative Financial Instruments</w:t>
      </w:r>
    </w:p>
    <w:p>
      <w:pPr>
        <w:spacing w:after="0" w:line="229" w:lineRule="exact"/>
        <w:rPr>
          <w:sz w:val="20"/>
          <w:szCs w:val="20"/>
          <w:color w:val="auto"/>
        </w:rPr>
      </w:pPr>
    </w:p>
    <w:p>
      <w:pPr>
        <w:ind w:left="60" w:right="139" w:firstLine="405"/>
        <w:spacing w:after="0" w:line="263" w:lineRule="auto"/>
        <w:rPr>
          <w:sz w:val="20"/>
          <w:szCs w:val="20"/>
          <w:color w:val="auto"/>
        </w:rPr>
      </w:pPr>
      <w:r>
        <w:rPr>
          <w:rFonts w:ascii="Arial" w:cs="Arial" w:eastAsia="Arial" w:hAnsi="Arial"/>
          <w:sz w:val="18"/>
          <w:szCs w:val="18"/>
          <w:color w:val="auto"/>
        </w:rPr>
        <w:t>The Company does not enter into derivative financial instruments for speculative or hedging purposes. Derivative financial instruments recognized and accounted for by BTI are the result of transactions entered into as part of the ongoing operations of the Company.</w:t>
      </w:r>
    </w:p>
    <w:p>
      <w:pPr>
        <w:spacing w:after="0" w:line="184" w:lineRule="exact"/>
        <w:rPr>
          <w:sz w:val="20"/>
          <w:szCs w:val="20"/>
          <w:color w:val="auto"/>
        </w:rPr>
      </w:pPr>
    </w:p>
    <w:p>
      <w:pPr>
        <w:ind w:left="60" w:right="159" w:firstLine="405"/>
        <w:spacing w:after="0" w:line="290" w:lineRule="auto"/>
        <w:rPr>
          <w:sz w:val="20"/>
          <w:szCs w:val="20"/>
          <w:color w:val="auto"/>
        </w:rPr>
      </w:pPr>
      <w:r>
        <w:rPr>
          <w:rFonts w:ascii="Arial" w:cs="Arial" w:eastAsia="Arial" w:hAnsi="Arial"/>
          <w:sz w:val="16"/>
          <w:szCs w:val="16"/>
          <w:color w:val="auto"/>
        </w:rPr>
        <w:t>BTI identified certain freestanding financial instruments and/or embedded features that require separate accounting from the borrowings under the OFA Facilities. This includes the OnkosXcel Warrants and Equity Investment Right held by the Lenders, along with certain put/call options. The OnkosXcel Warrants and Equity Investment Right do not meet certain scope exceptions under ASC 815, primarily because the exercise prices and number of shares of the Company’s common stock issuable under the instruments are variable, and the instruments meet the definition of a derivative instrument under ASC 815. Therefore, these instruments are recorded as derivative liabilities in the Condensed Consolidated Balance Sheets. The respective derivative liabilities are recorded at fair value on the date of issuance and are revalued on each balance sheet date until such instruments are settled or expire, with</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changes in the fair value between reporting periods recorded as other income or expense in the Company’s Condensed Consolidated Statements of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Fair Value Measurements</w:t>
      </w:r>
    </w:p>
    <w:p>
      <w:pPr>
        <w:spacing w:after="0" w:line="229" w:lineRule="exact"/>
        <w:rPr>
          <w:sz w:val="20"/>
          <w:szCs w:val="20"/>
          <w:color w:val="auto"/>
        </w:rPr>
      </w:pPr>
    </w:p>
    <w:p>
      <w:pPr>
        <w:jc w:val="both"/>
        <w:ind w:left="60" w:right="179" w:firstLine="405"/>
        <w:spacing w:after="0" w:line="263" w:lineRule="auto"/>
        <w:rPr>
          <w:sz w:val="20"/>
          <w:szCs w:val="20"/>
          <w:color w:val="auto"/>
        </w:rPr>
      </w:pPr>
      <w:r>
        <w:rPr>
          <w:rFonts w:ascii="Arial" w:cs="Arial" w:eastAsia="Arial" w:hAnsi="Arial"/>
          <w:sz w:val="18"/>
          <w:szCs w:val="18"/>
          <w:color w:val="auto"/>
        </w:rPr>
        <w:t xml:space="preserve">The Company groups its assets and liabilities measured at fair value in three levels based on the nature of the inputs and assumptions used to determine fair value. Refer to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additional information on the accounting policies related to fair value.</w:t>
      </w:r>
    </w:p>
    <w:p>
      <w:pPr>
        <w:spacing w:after="0" w:line="184" w:lineRule="exact"/>
        <w:rPr>
          <w:sz w:val="20"/>
          <w:szCs w:val="20"/>
          <w:color w:val="auto"/>
        </w:rPr>
      </w:pPr>
    </w:p>
    <w:p>
      <w:pPr>
        <w:ind w:left="60" w:right="259" w:firstLine="401"/>
        <w:spacing w:after="0" w:line="275" w:lineRule="auto"/>
        <w:rPr>
          <w:sz w:val="20"/>
          <w:szCs w:val="20"/>
          <w:color w:val="auto"/>
        </w:rPr>
      </w:pPr>
      <w:r>
        <w:rPr>
          <w:rFonts w:ascii="Arial" w:cs="Arial" w:eastAsia="Arial" w:hAnsi="Arial"/>
          <w:sz w:val="17"/>
          <w:szCs w:val="17"/>
          <w:color w:val="auto"/>
        </w:rPr>
        <w:t>The carrying amounts of cash and accounts payable approximate fair value due to the short-term nature of these instruments. As of September 30, 2022, and December 31, 2021, the Company had $189,569 and $228,584, respectively, primarily in money market funds that hold U.S. government cash equivalent instruments (included in cash and cash equivalents) which were valued based on Level 1 inputs. There were no transfers between levels within the hierarchy during the nine months ended September 30, 2022, and the year ended December 31, 2021.</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Derivative liabilities measured at fair value on a recurring basis are summarized below.</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gridSpan w:val="5"/>
          </w:tcPr>
          <w:p>
            <w:pPr>
              <w:jc w:val="center"/>
              <w:ind w:right="10"/>
              <w:spacing w:after="0"/>
              <w:rPr>
                <w:sz w:val="20"/>
                <w:szCs w:val="20"/>
                <w:color w:val="auto"/>
              </w:rPr>
            </w:pPr>
            <w:r>
              <w:rPr>
                <w:rFonts w:ascii="Arial" w:cs="Arial" w:eastAsia="Arial" w:hAnsi="Arial"/>
                <w:sz w:val="14"/>
                <w:szCs w:val="14"/>
                <w:b w:val="1"/>
                <w:bCs w:val="1"/>
                <w:color w:val="auto"/>
                <w:w w:val="90"/>
              </w:rPr>
              <w:t>Nine months ended</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1"/>
        </w:trPr>
        <w:tc>
          <w:tcPr>
            <w:tcW w:w="4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September 30, 2022</w:t>
            </w: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6"/>
        </w:trPr>
        <w:tc>
          <w:tcPr>
            <w:tcW w:w="4060" w:type="dxa"/>
            <w:vAlign w:val="bottom"/>
          </w:tcPr>
          <w:p>
            <w:pPr>
              <w:spacing w:after="0"/>
              <w:rPr>
                <w:sz w:val="17"/>
                <w:szCs w:val="17"/>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7"/>
                <w:szCs w:val="17"/>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Level 2</w:t>
            </w:r>
          </w:p>
        </w:tc>
        <w:tc>
          <w:tcPr>
            <w:tcW w:w="14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7"/>
                <w:szCs w:val="17"/>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Total</w:t>
            </w:r>
          </w:p>
        </w:tc>
      </w:tr>
      <w:tr>
        <w:trPr>
          <w:trHeight w:val="210"/>
        </w:trPr>
        <w:tc>
          <w:tcPr>
            <w:tcW w:w="40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liability - Equity Investment Right</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r>
      <w:tr>
        <w:trPr>
          <w:trHeight w:val="216"/>
        </w:trPr>
        <w:tc>
          <w:tcPr>
            <w:tcW w:w="4060" w:type="dxa"/>
            <w:vAlign w:val="bottom"/>
          </w:tcPr>
          <w:p>
            <w:pPr>
              <w:ind w:left="20"/>
              <w:spacing w:after="0"/>
              <w:rPr>
                <w:sz w:val="20"/>
                <w:szCs w:val="20"/>
                <w:color w:val="auto"/>
              </w:rPr>
            </w:pPr>
            <w:r>
              <w:rPr>
                <w:rFonts w:ascii="Arial" w:cs="Arial" w:eastAsia="Arial" w:hAnsi="Arial"/>
                <w:sz w:val="18"/>
                <w:szCs w:val="18"/>
                <w:color w:val="auto"/>
              </w:rPr>
              <w:t>Derivative liability - OnkosXcel Warrants</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10"/>
        </w:trPr>
        <w:tc>
          <w:tcPr>
            <w:tcW w:w="40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derivative liabilities</w:t>
            </w: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r>
      <w:tr>
        <w:trPr>
          <w:trHeight w:val="20"/>
        </w:trPr>
        <w:tc>
          <w:tcPr>
            <w:tcW w:w="4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79" w:firstLine="401"/>
        <w:spacing w:after="0" w:line="263" w:lineRule="auto"/>
        <w:rPr>
          <w:sz w:val="20"/>
          <w:szCs w:val="20"/>
          <w:color w:val="auto"/>
        </w:rPr>
      </w:pPr>
      <w:r>
        <w:rPr>
          <w:rFonts w:ascii="Arial" w:cs="Arial" w:eastAsia="Arial" w:hAnsi="Arial"/>
          <w:sz w:val="18"/>
          <w:szCs w:val="18"/>
          <w:color w:val="auto"/>
        </w:rPr>
        <w:t>Derivative liabilities are comprised of the OnkosXcel Warrants and Equity Investment Right held by the Lenders. The fair value of the derivative liabilities was determined using Monte Carlo simulation models for the Equity Investment Right, and Binomial Option Pricing and Distribution models for the OnkosXcel Warrants.</w:t>
      </w:r>
    </w:p>
    <w:p>
      <w:pPr>
        <w:spacing w:after="0" w:line="184" w:lineRule="exact"/>
        <w:rPr>
          <w:sz w:val="20"/>
          <w:szCs w:val="20"/>
          <w:color w:val="auto"/>
        </w:rPr>
      </w:pPr>
    </w:p>
    <w:p>
      <w:pPr>
        <w:ind w:left="60" w:right="279" w:firstLine="401"/>
        <w:spacing w:after="0" w:line="263" w:lineRule="auto"/>
        <w:rPr>
          <w:sz w:val="20"/>
          <w:szCs w:val="20"/>
          <w:color w:val="auto"/>
        </w:rPr>
      </w:pPr>
      <w:r>
        <w:rPr>
          <w:rFonts w:ascii="Arial" w:cs="Arial" w:eastAsia="Arial" w:hAnsi="Arial"/>
          <w:sz w:val="18"/>
          <w:szCs w:val="18"/>
          <w:color w:val="auto"/>
        </w:rPr>
        <w:t>The following table presents changes in Level 3 liabilities measured at fair value for the nine months ended September 30, 2022. Both observable and unobservable inputs were used to determine the fair value of positions that the Company has classified within the Level 3 category.</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 liabilities</w:t>
            </w:r>
          </w:p>
        </w:tc>
        <w:tc>
          <w:tcPr>
            <w:tcW w:w="0" w:type="dxa"/>
            <w:vAlign w:val="bottom"/>
          </w:tcPr>
          <w:p>
            <w:pPr>
              <w:spacing w:after="0"/>
              <w:rPr>
                <w:sz w:val="1"/>
                <w:szCs w:val="1"/>
                <w:color w:val="auto"/>
              </w:rPr>
            </w:pPr>
          </w:p>
        </w:tc>
      </w:tr>
      <w:tr>
        <w:trPr>
          <w:trHeight w:val="210"/>
        </w:trPr>
        <w:tc>
          <w:tcPr>
            <w:tcW w:w="7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Arial" w:cs="Arial" w:eastAsia="Arial" w:hAnsi="Arial"/>
                <w:sz w:val="18"/>
                <w:szCs w:val="18"/>
                <w:color w:val="auto"/>
              </w:rPr>
              <w:t>Addition of derivative liabilities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Balance - September 30,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19" w:firstLine="401"/>
        <w:spacing w:after="0" w:line="263" w:lineRule="auto"/>
        <w:rPr>
          <w:sz w:val="20"/>
          <w:szCs w:val="20"/>
          <w:color w:val="auto"/>
        </w:rPr>
      </w:pPr>
      <w:r>
        <w:rPr>
          <w:rFonts w:ascii="Arial" w:cs="Arial" w:eastAsia="Arial" w:hAnsi="Arial"/>
          <w:sz w:val="18"/>
          <w:szCs w:val="18"/>
          <w:color w:val="auto"/>
        </w:rPr>
        <w:t>The change from the day one fair value of the derivative liabilities was reported in the Condensed Consolidated Balance Sheets as derivative liabilities and Condensed Consolidated Statements of Operations as other (income) expense, net, as of and for the nine months ended September 30, 2022, respectively.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Inputs used to calculate the estimated fair value of the Equity Investment Right were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9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Equity Investment Right</w:t>
            </w:r>
          </w:p>
        </w:tc>
      </w:tr>
      <w:tr>
        <w:trPr>
          <w:trHeight w:val="196"/>
        </w:trPr>
        <w:tc>
          <w:tcPr>
            <w:tcW w:w="6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Strike price relative to volume weighted 30-day average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Volatility (annual)</w:t>
            </w:r>
          </w:p>
        </w:tc>
        <w:tc>
          <w:tcPr>
            <w:tcW w:w="1080" w:type="dxa"/>
            <w:vAlign w:val="bottom"/>
          </w:tcPr>
          <w:p>
            <w:pPr>
              <w:jc w:val="right"/>
              <w:spacing w:after="0"/>
              <w:rPr>
                <w:sz w:val="20"/>
                <w:szCs w:val="20"/>
                <w:color w:val="auto"/>
              </w:rPr>
            </w:pPr>
            <w:r>
              <w:rPr>
                <w:rFonts w:ascii="Arial" w:cs="Arial" w:eastAsia="Arial" w:hAnsi="Arial"/>
                <w:sz w:val="18"/>
                <w:szCs w:val="18"/>
                <w:color w:val="auto"/>
              </w:rPr>
              <w:t>95.0</w:t>
            </w: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Probability of exercise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Time period</w:t>
            </w: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860" w:type="dxa"/>
            <w:vAlign w:val="bottom"/>
          </w:tcPr>
          <w:p>
            <w:pPr>
              <w:ind w:left="20"/>
              <w:spacing w:after="0"/>
              <w:rPr>
                <w:sz w:val="20"/>
                <w:szCs w:val="20"/>
                <w:color w:val="auto"/>
              </w:rPr>
            </w:pPr>
            <w:r>
              <w:rPr>
                <w:rFonts w:ascii="Arial" w:cs="Arial" w:eastAsia="Arial" w:hAnsi="Arial"/>
                <w:sz w:val="18"/>
                <w:szCs w:val="18"/>
                <w:color w:val="auto"/>
              </w:rPr>
              <w:t>years</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405"/>
        <w:spacing w:after="0" w:line="279" w:lineRule="auto"/>
        <w:rPr>
          <w:sz w:val="20"/>
          <w:szCs w:val="20"/>
          <w:color w:val="auto"/>
        </w:rPr>
      </w:pPr>
      <w:r>
        <w:rPr>
          <w:rFonts w:ascii="Arial" w:cs="Arial" w:eastAsia="Arial" w:hAnsi="Arial"/>
          <w:sz w:val="17"/>
          <w:szCs w:val="17"/>
          <w:color w:val="auto"/>
        </w:rPr>
        <w:t>In estimating the fair value of the derivative liability related to the OnkosXcel Warrants, inputs included third-party fair value estimates of OnkosXcel limited liability company units along with the volatility of those units (which was set at 100% based on the historical volatility of the Company’s stock, along with a peer group of comparable publicly traded companies), and the timing and probability of the relevant capital transactions occurring.</w:t>
      </w:r>
    </w:p>
    <w:p>
      <w:pPr>
        <w:spacing w:after="0" w:line="171" w:lineRule="exact"/>
        <w:rPr>
          <w:sz w:val="20"/>
          <w:szCs w:val="20"/>
          <w:color w:val="auto"/>
        </w:rPr>
      </w:pPr>
    </w:p>
    <w:p>
      <w:pPr>
        <w:ind w:left="60" w:right="179" w:firstLine="405"/>
        <w:spacing w:after="0" w:line="263" w:lineRule="auto"/>
        <w:rPr>
          <w:sz w:val="20"/>
          <w:szCs w:val="20"/>
          <w:color w:val="auto"/>
        </w:rPr>
      </w:pPr>
      <w:r>
        <w:rPr>
          <w:rFonts w:ascii="Arial" w:cs="Arial" w:eastAsia="Arial" w:hAnsi="Arial"/>
          <w:sz w:val="18"/>
          <w:szCs w:val="18"/>
          <w:color w:val="auto"/>
        </w:rPr>
        <w:t>The estimated fair value of the Credit Agreement and RIFA as of September 30, 2022, are $50,200 and $25,537, respectively. Both observable and unobservable inputs were used to determine the fair value of long-term debt, which was classified within the Level 3 category.</w:t>
      </w:r>
    </w:p>
    <w:p>
      <w:pPr>
        <w:spacing w:after="0" w:line="184" w:lineRule="exact"/>
        <w:rPr>
          <w:sz w:val="20"/>
          <w:szCs w:val="20"/>
          <w:color w:val="auto"/>
        </w:rPr>
      </w:pPr>
    </w:p>
    <w:p>
      <w:pPr>
        <w:ind w:left="60" w:right="219" w:firstLine="405"/>
        <w:spacing w:after="0" w:line="255" w:lineRule="auto"/>
        <w:rPr>
          <w:sz w:val="20"/>
          <w:szCs w:val="20"/>
          <w:color w:val="auto"/>
        </w:rPr>
      </w:pPr>
      <w:r>
        <w:rPr>
          <w:rFonts w:ascii="Arial" w:cs="Arial" w:eastAsia="Arial" w:hAnsi="Arial"/>
          <w:sz w:val="18"/>
          <w:szCs w:val="18"/>
          <w:color w:val="auto"/>
        </w:rPr>
        <w:t>The fair value of the BTI warrants, which is a non-recurring fair value, was determined as of the date of issuance using a Black-Scholes pricing model and the fair value of $3,245 was recorded as a component of stockholders’ equity in additional-paid-in-capital in the Condensed Consolidated Balance Sheets, with the offset recorded as a discount on the amounts funded under the OFA Facilities. This non-recurring measurement is classified as a Level 3. The inputs used were a strike price of $20.04, the Company’s stock price of $14.93, volatility of 95%, term of 7 years and risk-free rate of 2.95%.</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Stock-Based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225" w:lineRule="exact"/>
        <w:rPr>
          <w:sz w:val="20"/>
          <w:szCs w:val="20"/>
          <w:color w:val="auto"/>
        </w:rPr>
      </w:pPr>
    </w:p>
    <w:p>
      <w:pPr>
        <w:ind w:left="60" w:right="239" w:firstLine="324"/>
        <w:spacing w:after="0" w:line="286" w:lineRule="auto"/>
        <w:rPr>
          <w:sz w:val="20"/>
          <w:szCs w:val="20"/>
          <w:color w:val="auto"/>
        </w:rPr>
      </w:pPr>
      <w:r>
        <w:rPr>
          <w:rFonts w:ascii="Arial" w:cs="Arial" w:eastAsia="Arial" w:hAnsi="Arial"/>
          <w:sz w:val="17"/>
          <w:szCs w:val="17"/>
          <w:color w:val="auto"/>
        </w:rPr>
        <w:t>The Company’s 2017 Plan became effective in August 2017. Following the effective date of the Company's 2020 Plan (as defined below), the Company ceased granting awards under the 2017 Plan, however, the terms and conditions of the 2017 Plan continue to govern any outstanding awards granted thereunder.</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Incentive Award Plan</w:t>
      </w:r>
    </w:p>
    <w:p>
      <w:pPr>
        <w:spacing w:after="0" w:line="225" w:lineRule="exact"/>
        <w:rPr>
          <w:sz w:val="20"/>
          <w:szCs w:val="20"/>
          <w:color w:val="auto"/>
        </w:rPr>
      </w:pPr>
    </w:p>
    <w:p>
      <w:pPr>
        <w:ind w:left="60" w:right="159" w:firstLine="324"/>
        <w:spacing w:after="0" w:line="283" w:lineRule="auto"/>
        <w:rPr>
          <w:sz w:val="20"/>
          <w:szCs w:val="20"/>
          <w:color w:val="auto"/>
        </w:rPr>
      </w:pPr>
      <w:r>
        <w:rPr>
          <w:rFonts w:ascii="Arial" w:cs="Arial" w:eastAsia="Arial" w:hAnsi="Arial"/>
          <w:sz w:val="16"/>
          <w:szCs w:val="16"/>
          <w:color w:val="auto"/>
        </w:rPr>
        <w:t>The Company’s 2020 Plan was approved and became effective at the Company’s 2020 annual meeting of stockholders on May 20, 2020, and unless earlier terminated by the Board of Directors, will remain in effect until March 26, 2030. The 2020 Plan originally authorized for issuance the sum of (i) 911 shares of the Company’s common stock authorized for issuance and (ii) 233 shares of the Company’s common stock, which represents the number of shares that remained available for issuance under the 2017 Plan immediately prior to the approval of the 2020 Plan by the Company’s stockholders. Any shares of common stock which, immediately prior to the approval of the 2020 Plan by the Company’s stockholders, were subject to awards granted under the 2017 Plan that are forfeited or lapse unexercised and are not issued under the 2017 Plan will increase the number of shares of common stock available for grant under the 2020 Plan. In addition, the number of shares available for issuance under the 2020 Plan will increase on the first day of each calendar year, beginning January 1, 2021 and ending on and including January 1, 2030, by a number of shares equal to the lesser of</w:t>
      </w:r>
    </w:p>
    <w:p>
      <w:pPr>
        <w:spacing w:after="0" w:line="5" w:lineRule="exact"/>
        <w:rPr>
          <w:sz w:val="20"/>
          <w:szCs w:val="20"/>
          <w:color w:val="auto"/>
        </w:rPr>
      </w:pPr>
    </w:p>
    <w:p>
      <w:pPr>
        <w:ind w:left="60" w:right="159" w:hanging="10"/>
        <w:spacing w:after="0" w:line="253" w:lineRule="auto"/>
        <w:tabs>
          <w:tab w:leader="none" w:pos="355" w:val="left"/>
        </w:tabs>
        <w:numPr>
          <w:ilvl w:val="0"/>
          <w:numId w:val="6"/>
        </w:numPr>
        <w:rPr>
          <w:rFonts w:ascii="Arial" w:cs="Arial" w:eastAsia="Arial" w:hAnsi="Arial"/>
          <w:sz w:val="18"/>
          <w:szCs w:val="18"/>
          <w:color w:val="auto"/>
        </w:rPr>
      </w:pPr>
      <w:r>
        <w:rPr>
          <w:rFonts w:ascii="Arial" w:cs="Arial" w:eastAsia="Arial" w:hAnsi="Arial"/>
          <w:sz w:val="18"/>
          <w:szCs w:val="18"/>
          <w:color w:val="auto"/>
        </w:rPr>
        <w:t>4% of the aggregate number of shares of the Company’s common stock outstanding on the final day of the immediately preceding calendar year and (B) such smaller number of shares of common stock as determined by the Board of Directors. The shares available for issuance under the 2020 Plan increased by 1,119 shares and 977 shares on January 1, 2022 and 2021, respectively.</w:t>
      </w:r>
    </w:p>
    <w:p>
      <w:pPr>
        <w:spacing w:after="0" w:line="193"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Stock-based awards granted under the 2020 Plan have a term of ten years with the vesting schedule determined by the Board of Directors, which is generally four years.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September 30, 2022, there were 739 shares available to be granted under the 2020 Plan.</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summarizes activity relating to RSUs.</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7400" w:type="dxa"/>
            <w:vAlign w:val="bottom"/>
          </w:tcPr>
          <w:p>
            <w:pPr>
              <w:spacing w:after="0"/>
              <w:rPr>
                <w:sz w:val="14"/>
                <w:szCs w:val="14"/>
                <w:color w:val="auto"/>
              </w:rPr>
            </w:pPr>
          </w:p>
        </w:tc>
        <w:tc>
          <w:tcPr>
            <w:tcW w:w="1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shares</w:t>
            </w: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tcPr>
          <w:p>
            <w:pPr>
              <w:ind w:left="20"/>
              <w:spacing w:after="0"/>
              <w:rPr>
                <w:sz w:val="20"/>
                <w:szCs w:val="20"/>
                <w:color w:val="auto"/>
              </w:rPr>
            </w:pPr>
            <w:r>
              <w:rPr>
                <w:rFonts w:ascii="Arial" w:cs="Arial" w:eastAsia="Arial" w:hAnsi="Arial"/>
                <w:sz w:val="18"/>
                <w:szCs w:val="18"/>
                <w:color w:val="auto"/>
              </w:rPr>
              <w:t>Outstanding as of September 30, 2022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firstLine="324"/>
        <w:spacing w:after="0" w:line="290" w:lineRule="auto"/>
        <w:rPr>
          <w:sz w:val="20"/>
          <w:szCs w:val="20"/>
          <w:color w:val="auto"/>
        </w:rPr>
      </w:pPr>
      <w:r>
        <w:rPr>
          <w:rFonts w:ascii="Arial" w:cs="Arial" w:eastAsia="Arial" w:hAnsi="Arial"/>
          <w:sz w:val="16"/>
          <w:szCs w:val="16"/>
          <w:color w:val="auto"/>
        </w:rPr>
        <w:t>In March and May of 2022, the Company granted 97 and 25 time-based RSUs, respectively, to certain employees and consultants. The majority of RSUs granted to employees vest over four years, with 25% vesting at the one-year anniversary of the grant date and the balance vesting ratably over the remaining 12 quarters of the vesting period. The 25 RSUs granted to employees in May 2022 cliff-vest 100% at the one-year anniversary of the grant date. RSUs granted to a third-party consultant vest 50% on each of the first and second anniversaries of the grant date. None of the RSUs had vested as of September 30, 2022. The weighted average grant date fair value per share for the March and May 2022 grants were $15.31 and $10.76, respectively. Unrecognized stock-based compensation expense related to these awards was $1,395 at September 30, 2022. No RSUs were issued and outstanding as of December 31, 2021.</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Profit sharing units</w:t>
      </w:r>
    </w:p>
    <w:p>
      <w:pPr>
        <w:spacing w:after="0" w:line="225" w:lineRule="exact"/>
        <w:rPr>
          <w:sz w:val="20"/>
          <w:szCs w:val="20"/>
          <w:color w:val="auto"/>
        </w:rPr>
      </w:pPr>
    </w:p>
    <w:p>
      <w:pPr>
        <w:ind w:left="60" w:right="199" w:firstLine="324"/>
        <w:spacing w:after="0" w:line="273" w:lineRule="auto"/>
        <w:rPr>
          <w:sz w:val="20"/>
          <w:szCs w:val="20"/>
          <w:color w:val="auto"/>
        </w:rPr>
      </w:pPr>
      <w:r>
        <w:rPr>
          <w:rFonts w:ascii="Arial" w:cs="Arial" w:eastAsia="Arial" w:hAnsi="Arial"/>
          <w:sz w:val="17"/>
          <w:szCs w:val="17"/>
          <w:color w:val="auto"/>
        </w:rPr>
        <w:t>Effective July and September of 2022, the Company granted 1,260 and 50, respectively, individual (not in thousands) time-based profit-sharing units (“PSUs”) in OnkosXcel to certain employees and consultants. All PSUs, other than those granted to certain executive employees, vest ratably over 48 months. PSUs granted to certain executive employees, vest ratably over 24 months. The PSUs have a strike price equal to the estimated fair value of the OnkosXcel common units at the date of grant, which was determined by a third-party valuation firm retained by BTI. The fair value of the PSUs was estimated at the date of grant using a Black-Scholes option pricing model.</w:t>
      </w:r>
    </w:p>
    <w:p>
      <w:pPr>
        <w:spacing w:after="0" w:line="200" w:lineRule="exact"/>
        <w:rPr>
          <w:sz w:val="20"/>
          <w:szCs w:val="20"/>
          <w:color w:val="auto"/>
        </w:rPr>
      </w:pP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206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Profit share unit valuation</w:t>
            </w:r>
          </w:p>
        </w:tc>
      </w:tr>
      <w:tr>
        <w:trPr>
          <w:trHeight w:val="230"/>
        </w:trPr>
        <w:tc>
          <w:tcPr>
            <w:tcW w:w="678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inputs</w:t>
            </w:r>
          </w:p>
        </w:tc>
        <w:tc>
          <w:tcPr>
            <w:tcW w:w="760" w:type="dxa"/>
            <w:vAlign w:val="bottom"/>
            <w:tcBorders>
              <w:bottom w:val="single" w:sz="8" w:color="auto"/>
            </w:tcBorders>
          </w:tcPr>
          <w:p>
            <w:pPr>
              <w:spacing w:after="0"/>
              <w:rPr>
                <w:sz w:val="20"/>
                <w:szCs w:val="20"/>
                <w:color w:val="auto"/>
              </w:rPr>
            </w:pPr>
          </w:p>
        </w:tc>
      </w:tr>
      <w:tr>
        <w:trPr>
          <w:trHeight w:val="210"/>
        </w:trPr>
        <w:tc>
          <w:tcPr>
            <w:tcW w:w="6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7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Risk-free rate of interest</w:t>
            </w: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06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 %</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w w:val="90"/>
              </w:rPr>
              <w:t>years</w:t>
            </w:r>
          </w:p>
        </w:tc>
      </w:tr>
    </w:tbl>
    <w:p>
      <w:pPr>
        <w:spacing w:after="0" w:line="187" w:lineRule="exact"/>
        <w:rPr>
          <w:sz w:val="20"/>
          <w:szCs w:val="20"/>
          <w:color w:val="auto"/>
        </w:rPr>
      </w:pPr>
    </w:p>
    <w:p>
      <w:pPr>
        <w:ind w:left="60" w:right="539" w:firstLine="324"/>
        <w:spacing w:after="0" w:line="277" w:lineRule="auto"/>
        <w:rPr>
          <w:sz w:val="20"/>
          <w:szCs w:val="20"/>
          <w:color w:val="auto"/>
        </w:rPr>
      </w:pPr>
      <w:r>
        <w:rPr>
          <w:rFonts w:ascii="Arial" w:cs="Arial" w:eastAsia="Arial" w:hAnsi="Arial"/>
          <w:sz w:val="18"/>
          <w:szCs w:val="18"/>
          <w:color w:val="auto"/>
        </w:rPr>
        <w:t>Unrecognized stock-based compensation expense related to these awards was $5,108 at September 30, 2022. No PSUs were issued and outstanding as of December 31, 2021.</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60" w:right="459" w:firstLine="324"/>
        <w:spacing w:after="0" w:line="277" w:lineRule="auto"/>
        <w:rPr>
          <w:sz w:val="20"/>
          <w:szCs w:val="20"/>
          <w:color w:val="auto"/>
        </w:rPr>
      </w:pPr>
      <w:r>
        <w:rPr>
          <w:rFonts w:ascii="Arial" w:cs="Arial" w:eastAsia="Arial" w:hAnsi="Arial"/>
          <w:sz w:val="18"/>
          <w:szCs w:val="18"/>
          <w:color w:val="auto"/>
        </w:rPr>
        <w:t>A summary of the status of the Company’s stock option activity for the nine months ended September 30, 2022 is presented below.</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14"/>
                <w:szCs w:val="14"/>
                <w:color w:val="auto"/>
              </w:rPr>
            </w:pPr>
          </w:p>
        </w:tc>
        <w:tc>
          <w:tcPr>
            <w:tcW w:w="158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Weighted average</w:t>
            </w:r>
          </w:p>
        </w:tc>
      </w:tr>
      <w:tr>
        <w:trPr>
          <w:trHeight w:val="148"/>
        </w:trPr>
        <w:tc>
          <w:tcPr>
            <w:tcW w:w="568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2"/>
                <w:szCs w:val="12"/>
                <w:color w:val="auto"/>
              </w:rPr>
            </w:pPr>
          </w:p>
        </w:tc>
        <w:tc>
          <w:tcPr>
            <w:tcW w:w="158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85"/>
              </w:rPr>
              <w:t>exercise</w:t>
            </w:r>
          </w:p>
        </w:tc>
      </w:tr>
      <w:tr>
        <w:trPr>
          <w:trHeight w:val="171"/>
        </w:trPr>
        <w:tc>
          <w:tcPr>
            <w:tcW w:w="568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shares</w:t>
            </w:r>
          </w:p>
        </w:tc>
        <w:tc>
          <w:tcPr>
            <w:tcW w:w="240" w:type="dxa"/>
            <w:vAlign w:val="bottom"/>
          </w:tcPr>
          <w:p>
            <w:pPr>
              <w:spacing w:after="0"/>
              <w:rPr>
                <w:sz w:val="14"/>
                <w:szCs w:val="14"/>
                <w:color w:val="auto"/>
              </w:rPr>
            </w:pPr>
          </w:p>
        </w:tc>
        <w:tc>
          <w:tcPr>
            <w:tcW w:w="158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price per share</w:t>
            </w:r>
          </w:p>
        </w:tc>
      </w:tr>
      <w:tr>
        <w:trPr>
          <w:trHeight w:val="142"/>
        </w:trPr>
        <w:tc>
          <w:tcPr>
            <w:tcW w:w="568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r>
      <w:tr>
        <w:trPr>
          <w:trHeight w:val="216"/>
        </w:trPr>
        <w:tc>
          <w:tcPr>
            <w:tcW w:w="5680" w:type="dxa"/>
            <w:vAlign w:val="bottom"/>
          </w:tcPr>
          <w:p>
            <w:pPr>
              <w:ind w:left="22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1,204</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15.10</w:t>
            </w:r>
          </w:p>
        </w:tc>
      </w:tr>
      <w:tr>
        <w:trPr>
          <w:trHeight w:val="216"/>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r>
      <w:tr>
        <w:trPr>
          <w:trHeight w:val="216"/>
        </w:trPr>
        <w:tc>
          <w:tcPr>
            <w:tcW w:w="5680" w:type="dxa"/>
            <w:vAlign w:val="bottom"/>
          </w:tcPr>
          <w:p>
            <w:pPr>
              <w:ind w:left="220"/>
              <w:spacing w:after="0"/>
              <w:rPr>
                <w:sz w:val="20"/>
                <w:szCs w:val="20"/>
                <w:color w:val="auto"/>
              </w:rPr>
            </w:pPr>
            <w:r>
              <w:rPr>
                <w:rFonts w:ascii="Arial" w:cs="Arial" w:eastAsia="Arial" w:hAnsi="Arial"/>
                <w:sz w:val="18"/>
                <w:szCs w:val="18"/>
                <w:color w:val="auto"/>
              </w:rPr>
              <w:t>Cancelled</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(90)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52.86</w:t>
            </w:r>
          </w:p>
        </w:tc>
      </w:tr>
      <w:tr>
        <w:trPr>
          <w:trHeight w:val="216"/>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49"/>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as of September 30, 2022</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4,865</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17.04</w:t>
            </w:r>
          </w:p>
        </w:tc>
      </w:tr>
      <w:tr>
        <w:trPr>
          <w:trHeight w:val="197"/>
        </w:trPr>
        <w:tc>
          <w:tcPr>
            <w:tcW w:w="56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Options vested and exercisable as of September 30, 2022</w:t>
            </w:r>
          </w:p>
        </w:tc>
        <w:tc>
          <w:tcPr>
            <w:tcW w:w="1100" w:type="dxa"/>
            <w:vAlign w:val="bottom"/>
          </w:tcPr>
          <w:p>
            <w:pPr>
              <w:jc w:val="right"/>
              <w:spacing w:after="0"/>
              <w:rPr>
                <w:sz w:val="20"/>
                <w:szCs w:val="20"/>
                <w:color w:val="auto"/>
              </w:rPr>
            </w:pPr>
            <w:r>
              <w:rPr>
                <w:rFonts w:ascii="Arial" w:cs="Arial" w:eastAsia="Arial" w:hAnsi="Arial"/>
                <w:sz w:val="18"/>
                <w:szCs w:val="18"/>
                <w:color w:val="auto"/>
              </w:rPr>
              <w:t>3,037</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12.58</w:t>
            </w:r>
          </w:p>
        </w:tc>
      </w:tr>
    </w:tbl>
    <w:p>
      <w:pPr>
        <w:spacing w:after="0" w:line="187" w:lineRule="exact"/>
        <w:rPr>
          <w:sz w:val="20"/>
          <w:szCs w:val="20"/>
          <w:color w:val="auto"/>
        </w:rPr>
      </w:pPr>
    </w:p>
    <w:p>
      <w:pPr>
        <w:ind w:left="60" w:right="399" w:firstLine="324"/>
        <w:spacing w:after="0" w:line="263" w:lineRule="auto"/>
        <w:rPr>
          <w:sz w:val="20"/>
          <w:szCs w:val="20"/>
          <w:color w:val="auto"/>
        </w:rPr>
      </w:pPr>
      <w:r>
        <w:rPr>
          <w:rFonts w:ascii="Arial" w:cs="Arial" w:eastAsia="Arial" w:hAnsi="Arial"/>
          <w:sz w:val="18"/>
          <w:szCs w:val="18"/>
          <w:color w:val="auto"/>
        </w:rPr>
        <w:t>As of September 30, 2022, the intrinsic value of options outstanding was $20,362. The intrinsic value for stock options is calculated based on the difference between the exercise prices of the underlying awards and the quoted stock price of the Company’s common stock as of the reporting date.</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The total intrinsic value of stock options exercised for the nine months ended September 30, 2022, and 2021 was</w:t>
      </w:r>
    </w:p>
    <w:p>
      <w:pPr>
        <w:spacing w:after="0" w:line="35" w:lineRule="exact"/>
        <w:rPr>
          <w:sz w:val="20"/>
          <w:szCs w:val="20"/>
          <w:color w:val="auto"/>
        </w:rPr>
      </w:pPr>
    </w:p>
    <w:p>
      <w:pPr>
        <w:ind w:left="60" w:right="179"/>
        <w:spacing w:after="0" w:line="260" w:lineRule="auto"/>
        <w:rPr>
          <w:sz w:val="20"/>
          <w:szCs w:val="20"/>
          <w:color w:val="auto"/>
        </w:rPr>
      </w:pPr>
      <w:r>
        <w:rPr>
          <w:rFonts w:ascii="Arial" w:cs="Arial" w:eastAsia="Arial" w:hAnsi="Arial"/>
          <w:sz w:val="18"/>
          <w:szCs w:val="18"/>
          <w:color w:val="auto"/>
        </w:rPr>
        <w:t>$321 and $11,942, respectively. The total intrinsic value of stock options exercisable at September 30, 2022 and 2021 was $20,260 and $61,939, respectively.</w:t>
      </w:r>
    </w:p>
    <w:p>
      <w:pPr>
        <w:spacing w:after="0" w:line="185" w:lineRule="exact"/>
        <w:rPr>
          <w:sz w:val="20"/>
          <w:szCs w:val="20"/>
          <w:color w:val="auto"/>
        </w:rPr>
      </w:pPr>
    </w:p>
    <w:p>
      <w:pPr>
        <w:ind w:left="60" w:right="199" w:firstLine="324"/>
        <w:spacing w:after="0" w:line="277" w:lineRule="auto"/>
        <w:rPr>
          <w:sz w:val="20"/>
          <w:szCs w:val="20"/>
          <w:color w:val="auto"/>
        </w:rPr>
      </w:pPr>
      <w:r>
        <w:rPr>
          <w:rFonts w:ascii="Arial" w:cs="Arial" w:eastAsia="Arial" w:hAnsi="Arial"/>
          <w:sz w:val="18"/>
          <w:szCs w:val="18"/>
          <w:color w:val="auto"/>
        </w:rPr>
        <w:t>The weighted average grant date fair value of options granted during the nine months ended September 30, 2022, and 2021 was $11.87 and $29.25, respectively.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weighted average grant date fair value of options vested at September 30, 2022 was $9.29.</w:t>
      </w:r>
    </w:p>
    <w:p>
      <w:pPr>
        <w:spacing w:after="0" w:line="225" w:lineRule="exact"/>
        <w:rPr>
          <w:sz w:val="20"/>
          <w:szCs w:val="20"/>
          <w:color w:val="auto"/>
        </w:rPr>
      </w:pPr>
    </w:p>
    <w:p>
      <w:pPr>
        <w:ind w:left="60" w:right="359" w:firstLine="324"/>
        <w:spacing w:after="0" w:line="277" w:lineRule="auto"/>
        <w:rPr>
          <w:sz w:val="20"/>
          <w:szCs w:val="20"/>
          <w:color w:val="auto"/>
        </w:rPr>
      </w:pPr>
      <w:r>
        <w:rPr>
          <w:rFonts w:ascii="Arial" w:cs="Arial" w:eastAsia="Arial" w:hAnsi="Arial"/>
          <w:sz w:val="18"/>
          <w:szCs w:val="18"/>
          <w:color w:val="auto"/>
        </w:rPr>
        <w:t>The weighted average remaining contractual life is 5.9 years for options exercisable as of September 30, 2022. The weighted average remaining contractual life is 7.1 years for options outstanding.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fair value of options granted during the nine months ended September 30, 2022 and 2021 was estimated using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Black-Scholes pricing model with the following assumptions:</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500" w:type="dxa"/>
            <w:vAlign w:val="bottom"/>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 2022</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500" w:type="dxa"/>
            <w:vAlign w:val="bottom"/>
            <w:tcBorders>
              <w:bottom w:val="single" w:sz="8" w:color="auto"/>
            </w:tcBorders>
          </w:tcPr>
          <w:p>
            <w:pPr>
              <w:spacing w:after="0"/>
              <w:rPr>
                <w:sz w:val="14"/>
                <w:szCs w:val="14"/>
                <w:color w:val="auto"/>
              </w:rPr>
            </w:pPr>
          </w:p>
        </w:tc>
      </w:tr>
      <w:tr>
        <w:trPr>
          <w:trHeight w:val="142"/>
        </w:trPr>
        <w:tc>
          <w:tcPr>
            <w:tcW w:w="4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years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years</w:t>
            </w: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Expected stock price volatility</w:t>
            </w:r>
          </w:p>
        </w:tc>
        <w:tc>
          <w:tcPr>
            <w:tcW w:w="420" w:type="dxa"/>
            <w:vAlign w:val="bottom"/>
          </w:tcPr>
          <w:p>
            <w:pPr>
              <w:jc w:val="right"/>
              <w:spacing w:after="0"/>
              <w:rPr>
                <w:sz w:val="20"/>
                <w:szCs w:val="20"/>
                <w:color w:val="auto"/>
              </w:rPr>
            </w:pPr>
            <w:r>
              <w:rPr>
                <w:rFonts w:ascii="Arial" w:cs="Arial" w:eastAsia="Arial" w:hAnsi="Arial"/>
                <w:sz w:val="18"/>
                <w:szCs w:val="18"/>
                <w:color w:val="auto"/>
              </w:rPr>
              <w:t>92.7</w:t>
            </w:r>
          </w:p>
        </w:tc>
        <w:tc>
          <w:tcPr>
            <w:tcW w:w="560" w:type="dxa"/>
            <w:vAlign w:val="bottom"/>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96.9</w:t>
            </w: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95.0</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98.0</w:t>
            </w: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 of interest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980" w:type="dxa"/>
            <w:vAlign w:val="bottom"/>
            <w:gridSpan w:val="2"/>
          </w:tcPr>
          <w:p>
            <w:pPr>
              <w:jc w:val="right"/>
              <w:ind w:right="297"/>
              <w:spacing w:after="0"/>
              <w:rPr>
                <w:sz w:val="20"/>
                <w:szCs w:val="20"/>
                <w:color w:val="auto"/>
              </w:rPr>
            </w:pPr>
            <w:r>
              <w:rPr>
                <w:rFonts w:ascii="Arial" w:cs="Arial" w:eastAsia="Arial" w:hAnsi="Arial"/>
                <w:sz w:val="18"/>
                <w:szCs w:val="18"/>
                <w:color w:val="auto"/>
              </w:rPr>
              <w:t>0.0 %</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30"/>
              <w:spacing w:after="0"/>
              <w:rPr>
                <w:sz w:val="20"/>
                <w:szCs w:val="20"/>
                <w:color w:val="auto"/>
              </w:rPr>
            </w:pPr>
            <w:r>
              <w:rPr>
                <w:rFonts w:ascii="Arial" w:cs="Arial" w:eastAsia="Arial" w:hAnsi="Arial"/>
                <w:sz w:val="18"/>
                <w:szCs w:val="18"/>
                <w:color w:val="auto"/>
              </w:rPr>
              <w:t>0.0 %</w:t>
            </w:r>
          </w:p>
        </w:tc>
        <w:tc>
          <w:tcPr>
            <w:tcW w:w="160" w:type="dxa"/>
            <w:vAlign w:val="bottom"/>
          </w:tcPr>
          <w:p>
            <w:pPr>
              <w:spacing w:after="0"/>
              <w:rPr>
                <w:sz w:val="20"/>
                <w:szCs w:val="20"/>
                <w:color w:val="auto"/>
              </w:rPr>
            </w:pPr>
          </w:p>
        </w:tc>
        <w:tc>
          <w:tcPr>
            <w:tcW w:w="1020" w:type="dxa"/>
            <w:vAlign w:val="bottom"/>
            <w:gridSpan w:val="2"/>
          </w:tcPr>
          <w:p>
            <w:pPr>
              <w:jc w:val="right"/>
              <w:ind w:right="297"/>
              <w:spacing w:after="0"/>
              <w:rPr>
                <w:sz w:val="20"/>
                <w:szCs w:val="20"/>
                <w:color w:val="auto"/>
              </w:rPr>
            </w:pPr>
            <w:r>
              <w:rPr>
                <w:rFonts w:ascii="Arial" w:cs="Arial" w:eastAsia="Arial" w:hAnsi="Arial"/>
                <w:sz w:val="18"/>
                <w:szCs w:val="18"/>
                <w:color w:val="auto"/>
              </w:rPr>
              <w:t>0.0 %</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10"/>
              <w:spacing w:after="0"/>
              <w:rPr>
                <w:sz w:val="20"/>
                <w:szCs w:val="20"/>
                <w:color w:val="auto"/>
              </w:rPr>
            </w:pPr>
            <w:r>
              <w:rPr>
                <w:rFonts w:ascii="Arial" w:cs="Arial" w:eastAsia="Arial" w:hAnsi="Arial"/>
                <w:sz w:val="18"/>
                <w:szCs w:val="18"/>
                <w:color w:val="auto"/>
              </w:rPr>
              <w:t>0.0 %</w:t>
            </w:r>
          </w:p>
        </w:tc>
      </w:tr>
    </w:tbl>
    <w:p>
      <w:pPr>
        <w:spacing w:after="0" w:line="187" w:lineRule="exact"/>
        <w:rPr>
          <w:sz w:val="20"/>
          <w:szCs w:val="20"/>
          <w:color w:val="auto"/>
        </w:rPr>
      </w:pPr>
    </w:p>
    <w:p>
      <w:pPr>
        <w:ind w:left="60" w:right="199" w:firstLine="324"/>
        <w:spacing w:after="0" w:line="293" w:lineRule="auto"/>
        <w:rPr>
          <w:sz w:val="20"/>
          <w:szCs w:val="20"/>
          <w:color w:val="auto"/>
        </w:rPr>
      </w:pPr>
      <w:r>
        <w:rPr>
          <w:rFonts w:ascii="Arial" w:cs="Arial" w:eastAsia="Arial" w:hAnsi="Arial"/>
          <w:sz w:val="16"/>
          <w:szCs w:val="16"/>
          <w:color w:val="auto"/>
        </w:rPr>
        <w:t>In 2021, the Company began using a combination of the historical volatility of publicly traded peer companies and the limited historical information related to the Company’s common stock to estimate volatility. The expected term of the employee awards is estimated based on the simplified method, which calculates the expected term based upon the midpoint of the term of the award and the vesting period. The Company uses the simplified method because it does not have sufficient option exercise data to provide a reasonable basis upon which to estimate the expected term. The expected dividend yield is 0% as the Company has no history of paying dividends nor does management expect to pay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5" w:lineRule="auto"/>
        <w:rPr>
          <w:sz w:val="20"/>
          <w:szCs w:val="20"/>
          <w:color w:val="auto"/>
        </w:rPr>
      </w:pPr>
      <w:r>
        <w:rPr>
          <w:rFonts w:ascii="Arial" w:cs="Arial" w:eastAsia="Arial" w:hAnsi="Arial"/>
          <w:sz w:val="17"/>
          <w:szCs w:val="17"/>
          <w:color w:val="auto"/>
        </w:rPr>
        <w:t>dividends over the contractual terms of these options. The risk-free interest rates are determined by reference to the U.S. Treasury yield curve in effect at the time of grant, with maturities approximating the expected term of the stock options. The fair value of the underlying common stock is generally determined as the closing price of the Company’s common stock on the Nasdaq Capital Market on the grant date, with consideration of whether there is material nonpublic information that could impact that estimated fair value when it is released.</w:t>
      </w:r>
    </w:p>
    <w:p>
      <w:pPr>
        <w:spacing w:after="0" w:line="176" w:lineRule="exact"/>
        <w:rPr>
          <w:sz w:val="20"/>
          <w:szCs w:val="20"/>
          <w:color w:val="auto"/>
        </w:rPr>
      </w:pPr>
    </w:p>
    <w:p>
      <w:pPr>
        <w:ind w:left="60" w:right="319" w:firstLine="324"/>
        <w:spacing w:after="0" w:line="259" w:lineRule="auto"/>
        <w:rPr>
          <w:sz w:val="20"/>
          <w:szCs w:val="20"/>
          <w:color w:val="auto"/>
        </w:rPr>
      </w:pPr>
      <w:r>
        <w:rPr>
          <w:rFonts w:ascii="Arial" w:cs="Arial" w:eastAsia="Arial" w:hAnsi="Arial"/>
          <w:sz w:val="18"/>
          <w:szCs w:val="18"/>
          <w:color w:val="auto"/>
        </w:rPr>
        <w:t>The Company recognized stock-based compensation expense related to awards issued under the 2017 Plan and the 2020 Plan, as well as the PSUs in OnkosXcel of $4,483 and $4,885 for the three months ended September 30, 2022, and 2021, respectively, and $12,790 and $17,219, for the nine months ended September 30, 2022 and 2021, respectively, which were comprised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6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230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96"/>
        </w:trPr>
        <w:tc>
          <w:tcPr>
            <w:tcW w:w="38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r>
      <w:tr>
        <w:trPr>
          <w:trHeight w:val="210"/>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w:t>
            </w:r>
          </w:p>
        </w:tc>
      </w:tr>
      <w:tr>
        <w:trPr>
          <w:trHeight w:val="216"/>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12,064</w:t>
            </w:r>
          </w:p>
        </w:tc>
      </w:tr>
      <w:tr>
        <w:trPr>
          <w:trHeight w:val="209"/>
        </w:trPr>
        <w:tc>
          <w:tcPr>
            <w:tcW w:w="3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4,483</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12,790</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17,219</w:t>
            </w:r>
          </w:p>
        </w:tc>
      </w:tr>
      <w:tr>
        <w:trPr>
          <w:trHeight w:val="20"/>
        </w:trPr>
        <w:tc>
          <w:tcPr>
            <w:tcW w:w="3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Unrecognized compensation expense related to unvested stock option awards as of September 30, 2022 was $18,068 and will be recognized over the remaining vesting periods of the underlying awards. The weighted-average period over which such compensation is expected to be recognized is 1.6 years.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225"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The Company’s 2020 Employee Stock Purchase Plan (the “ESPP”) was also approved and became effective at the Company’s 2020 annual meeting of stockholders on May 20, 2020. The ESPP is designed to assist eligible employees of the Company with the opportunity to purchase the Company’s common stock at a discount through accumulated payroll deductions during successive offering periods. The aggregate number of shares that may be issued pursuant to rights granted under the ESPP is 100 shares of common stock. In addition, the number of shares available for issuance under the ESPP will increase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of Directors. The number of shares that may be issued or transferred pursuant to rights granted under the component of the ESPP that is intended to qualify for favorable U.S. federal tax treatment under Section 423 of the Internal Revenue Code (the “Section 423 Component”) shall not exceed 500 shares. The purchase price will be determined by the administrator of the ESPP and, for purposes of the Section 423 Component, shall not be less than 85% of the fair value of a share on the first trading day or on the last trading day of the applicable offering period, whichever is lower. The shares available for issuance under the 2020 ESPP increased by 156 shares and 244 shares on January 1, 2022 and 2021, respectively. To date, no shares have been sold under the ESPP.</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Leases</w:t>
      </w:r>
    </w:p>
    <w:p>
      <w:pPr>
        <w:spacing w:after="0" w:line="202" w:lineRule="exact"/>
        <w:rPr>
          <w:sz w:val="20"/>
          <w:szCs w:val="20"/>
          <w:color w:val="auto"/>
        </w:rPr>
      </w:pPr>
    </w:p>
    <w:p>
      <w:pPr>
        <w:ind w:left="60" w:right="219" w:firstLine="324"/>
        <w:spacing w:after="0" w:line="257" w:lineRule="auto"/>
        <w:rPr>
          <w:sz w:val="20"/>
          <w:szCs w:val="20"/>
          <w:color w:val="auto"/>
        </w:rPr>
      </w:pPr>
      <w:r>
        <w:rPr>
          <w:rFonts w:ascii="Arial" w:cs="Arial" w:eastAsia="Arial" w:hAnsi="Arial"/>
          <w:sz w:val="18"/>
          <w:szCs w:val="18"/>
          <w:color w:val="auto"/>
        </w:rPr>
        <w:t>BTI leases office space for its corporate headquarters at 555 Long Wharf Drive, New Haven, Connecticut (the “HQ Lease”) under an operating lease. The HQ Lease was effective in February 2019, was subject to an amendment for additional office space in August 2020 and expires in February 2026. The Company has an option to renew the HQ Lease for one additional five-year term at 95% of the then-prevailing market rates but not less than the rental rate at the end of the initial lease term. Payments under the HQ Lease are fixed.</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also leases equipment such as copiers and information technology equipment.</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future minimum annual lease payments under operating leases, as of September 30, 2022, are as follows:</w:t>
      </w:r>
    </w:p>
    <w:p>
      <w:pPr>
        <w:spacing w:after="0" w:line="242"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b w:val="1"/>
                <w:bCs w:val="1"/>
                <w:color w:val="auto"/>
              </w:rPr>
              <w:t>Amount</w:t>
            </w:r>
          </w:p>
        </w:tc>
      </w:tr>
      <w:tr>
        <w:trPr>
          <w:trHeight w:val="142"/>
        </w:trPr>
        <w:tc>
          <w:tcPr>
            <w:tcW w:w="6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16"/>
        </w:trPr>
        <w:tc>
          <w:tcPr>
            <w:tcW w:w="6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10"/>
        </w:trPr>
        <w:tc>
          <w:tcPr>
            <w:tcW w:w="6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lease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r>
      <w:tr>
        <w:trPr>
          <w:trHeight w:val="216"/>
        </w:trPr>
        <w:tc>
          <w:tcPr>
            <w:tcW w:w="6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portion of lease liability</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r>
      <w:tr>
        <w:trPr>
          <w:trHeight w:val="209"/>
        </w:trPr>
        <w:tc>
          <w:tcPr>
            <w:tcW w:w="6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Long-term portion of operating lease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20"/>
        </w:trPr>
        <w:tc>
          <w:tcPr>
            <w:tcW w:w="6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99" w:firstLine="324"/>
        <w:spacing w:after="0" w:line="277" w:lineRule="auto"/>
        <w:rPr>
          <w:sz w:val="20"/>
          <w:szCs w:val="20"/>
          <w:color w:val="auto"/>
        </w:rPr>
      </w:pPr>
      <w:r>
        <w:rPr>
          <w:rFonts w:ascii="Arial" w:cs="Arial" w:eastAsia="Arial" w:hAnsi="Arial"/>
          <w:sz w:val="18"/>
          <w:szCs w:val="18"/>
          <w:color w:val="auto"/>
        </w:rPr>
        <w:t>The current portion of the Company’s operating lease liability of $312, as of September 30, 2022, is included in other current liabilities on the Condensed Consolidated Balance Sheets.</w:t>
      </w:r>
    </w:p>
    <w:p>
      <w:pPr>
        <w:spacing w:after="0" w:line="143"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Lease expense was $114 and $85 for the three months ended September 30, 2022, and 2021, respectively, and $318 and $280 for the nine months ended September 30, 2022, and 2021, respectively.</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Lease renewal options are not included in the ROU asset or lease liability.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ind w:left="60" w:right="499" w:firstLine="324"/>
        <w:spacing w:after="0" w:line="301" w:lineRule="auto"/>
        <w:rPr>
          <w:sz w:val="20"/>
          <w:szCs w:val="20"/>
          <w:color w:val="auto"/>
        </w:rPr>
      </w:pPr>
      <w:r>
        <w:rPr>
          <w:rFonts w:ascii="Arial" w:cs="Arial" w:eastAsia="Arial" w:hAnsi="Arial"/>
          <w:sz w:val="16"/>
          <w:szCs w:val="16"/>
          <w:color w:val="auto"/>
        </w:rPr>
        <w:t>From time to time, in the ordinary course of business, the Company may be subject to litigation and regulatory examinations as well as information gathering requests, inquiries and/or investigations. The Company is not currently subject to any matters where it believes there is a reasonable possibility that a material loss may be incurred. As of September 30, 2022, there were no matters which would have a material impact on the Company’s financial results.</w:t>
      </w:r>
    </w:p>
    <w:p>
      <w:pPr>
        <w:spacing w:after="0" w:line="157"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In April 2022, the Company signed a commercial supply agreement that requires minimum annual payments for the first three years of the agreement that in aggregate total $10,000 for the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159" w:firstLine="324"/>
        <w:spacing w:after="0" w:line="287"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interim condensed consolidated financial statements and related notes appearing elsewhere in this report and the audited financial statements and related notes contained in our Annual Report on Form 10-K for the year ended December 31, 2021. In addition to historical information, this discussion and analysis contains forward-looking statements that involve risks, uncertainties and assumptions. Our actual results may differ materially from those discussed in the forward-looking statements. Factors that could cause or contribute to these differences include, without limitation, those discussed in this Management’s Discussion and Analysis of Financial Condition and Results of Operations, those listed under “Summary Risk Factors,” and those discussed in the section titled “Risk Factors” included in Part II, Item 1A. of this report. All dollar amounts in the below Management’s Discussion and Analysis of Financial Condition and Results of Operations are presented in U.S. dollars, and all dollar amounts are presented in thousands, unless otherwise noted or the context otherwise provides. All share amounts are also presented in thousands, unless otherwise noted.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BioXcel Therapeutics, Inc. (“BTI” or the “Company”) is a biopharmaceutical company utilizing artificial intelligence (“AI”) approaches to develop transformative medicines in neuroscience and immuno-oncology. We are focused on utilizing cutting-edge technology and innovative research to develop high-value therapeutics aimed at transforming patients’ lives. We employ a unique AI platform to reduce therapeutic development costs and potentially accelerate timelines while aiming to increase the possibility of success. Our approach leverages existing approved drugs and/or clinically evaluated product candidates together with big data and proprietary machine learning algorithms to identify new therapeutic indices. We believe this differentiated approach has the potential to reduce the expense and time associated with drug development in diseases with substantial unmet medical needs.</w:t>
      </w:r>
    </w:p>
    <w:p>
      <w:pPr>
        <w:spacing w:after="0" w:line="178" w:lineRule="exact"/>
        <w:rPr>
          <w:sz w:val="20"/>
          <w:szCs w:val="20"/>
          <w:color w:val="auto"/>
        </w:rPr>
      </w:pPr>
    </w:p>
    <w:p>
      <w:pPr>
        <w:ind w:left="60" w:right="159" w:firstLine="324"/>
        <w:spacing w:after="0" w:line="250" w:lineRule="auto"/>
        <w:rPr>
          <w:sz w:val="20"/>
          <w:szCs w:val="20"/>
          <w:color w:val="auto"/>
        </w:rPr>
      </w:pPr>
      <w:r>
        <w:rPr>
          <w:rFonts w:ascii="Arial" w:cs="Arial" w:eastAsia="Arial" w:hAnsi="Arial"/>
          <w:sz w:val="16"/>
          <w:szCs w:val="16"/>
          <w:color w:val="auto"/>
        </w:rPr>
        <w:t>On April 6, 2022, we announced that the United States (“U.S.”) Food and Drug Administration (“FDA”) approved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(dexmedetomidine or “Dex”) sublingual film for the acute treatment of agitation associated with schizophrenia or bipolar I or II disorder in adults.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is approved to be self-administrated by patients under the supervision of a healthcare provider. We deployed the first phase of our sales team for high priority targets in May 2022. Furthermore, on July 6, 2022, we announced that IGALMI™, was commercially available in doses of 120 and 180 microgram (“mcg”) through the Company’s third-party logistics provider and was available for order through wholesalers.</w:t>
      </w:r>
    </w:p>
    <w:p>
      <w:pPr>
        <w:spacing w:after="0" w:line="194" w:lineRule="exact"/>
        <w:rPr>
          <w:sz w:val="20"/>
          <w:szCs w:val="20"/>
          <w:color w:val="auto"/>
        </w:rPr>
      </w:pPr>
    </w:p>
    <w:p>
      <w:pPr>
        <w:ind w:left="60" w:right="219" w:firstLine="324"/>
        <w:spacing w:after="0" w:line="308" w:lineRule="auto"/>
        <w:rPr>
          <w:sz w:val="20"/>
          <w:szCs w:val="20"/>
          <w:color w:val="auto"/>
        </w:rPr>
      </w:pPr>
      <w:r>
        <w:rPr>
          <w:rFonts w:ascii="Arial" w:cs="Arial" w:eastAsia="Arial" w:hAnsi="Arial"/>
          <w:sz w:val="17"/>
          <w:szCs w:val="17"/>
          <w:color w:val="auto"/>
        </w:rPr>
        <w:t>Our most advanced clinical development program is BXCL501, an investigational proprietary, orally dissolving, thin film formulation of Dex for the treatment of agitation associated with psychiatric and neurological disorders.</w:t>
      </w:r>
    </w:p>
    <w:p>
      <w:pPr>
        <w:spacing w:after="0" w:line="146" w:lineRule="exact"/>
        <w:rPr>
          <w:sz w:val="20"/>
          <w:szCs w:val="20"/>
          <w:color w:val="auto"/>
        </w:rPr>
      </w:pPr>
    </w:p>
    <w:p>
      <w:pPr>
        <w:jc w:val="both"/>
        <w:ind w:left="60" w:right="159" w:firstLine="324"/>
        <w:spacing w:after="0" w:line="311" w:lineRule="auto"/>
        <w:rPr>
          <w:sz w:val="20"/>
          <w:szCs w:val="20"/>
          <w:color w:val="auto"/>
        </w:rPr>
      </w:pPr>
      <w:r>
        <w:rPr>
          <w:rFonts w:ascii="Arial" w:cs="Arial" w:eastAsia="Arial" w:hAnsi="Arial"/>
          <w:sz w:val="16"/>
          <w:szCs w:val="16"/>
          <w:color w:val="auto"/>
        </w:rPr>
        <w:t>We continue to conduct clinical trials evaluating BXCL501 for the acute treatment of agitation in Alzheimer’s disease patients, and for adjunctive treatment of patients with Major Depressive Disorder (“MDD”). We are also planning clinical trials for the at-home use of BXCL501 for agitation associated with bipolar disorders and schizophrenia.</w:t>
      </w:r>
    </w:p>
    <w:p>
      <w:pPr>
        <w:spacing w:after="0" w:line="149"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Our advanced immuno-oncology asset, BXCL701, is an investigational, orally administered systemic innate immune activator for the treatment of a rare form of prostate cancer and advanced solid tumors that are refractory or treatment naïve to checkpoint inhibitors.</w:t>
      </w:r>
    </w:p>
    <w:p>
      <w:pPr>
        <w:spacing w:after="0" w:line="184" w:lineRule="exact"/>
        <w:rPr>
          <w:sz w:val="20"/>
          <w:szCs w:val="20"/>
          <w:color w:val="auto"/>
        </w:rPr>
      </w:pPr>
    </w:p>
    <w:p>
      <w:pPr>
        <w:ind w:left="60" w:right="399" w:firstLine="324"/>
        <w:spacing w:after="0" w:line="259" w:lineRule="auto"/>
        <w:rPr>
          <w:sz w:val="20"/>
          <w:szCs w:val="20"/>
          <w:color w:val="auto"/>
        </w:rPr>
      </w:pPr>
      <w:r>
        <w:rPr>
          <w:rFonts w:ascii="Arial" w:cs="Arial" w:eastAsia="Arial" w:hAnsi="Arial"/>
          <w:sz w:val="18"/>
          <w:szCs w:val="18"/>
          <w:color w:val="auto"/>
        </w:rPr>
        <w:t>The COVID-19 pandemic and responsive measures have significantly impacted, both directly and indirectly, businesses and commerce, as worker shortages have occurred; supply chains have been disrupted; facilities and production have been suspended; and demand for certain goods and services spiked, while demand for other goods and services have decreased.</w:t>
      </w:r>
    </w:p>
    <w:p>
      <w:pPr>
        <w:spacing w:after="0" w:line="187" w:lineRule="exact"/>
        <w:rPr>
          <w:sz w:val="20"/>
          <w:szCs w:val="20"/>
          <w:color w:val="auto"/>
        </w:rPr>
      </w:pPr>
    </w:p>
    <w:p>
      <w:pPr>
        <w:ind w:left="60" w:right="439" w:firstLine="324"/>
        <w:spacing w:after="0" w:line="342" w:lineRule="auto"/>
        <w:rPr>
          <w:sz w:val="20"/>
          <w:szCs w:val="20"/>
          <w:color w:val="auto"/>
        </w:rPr>
      </w:pPr>
      <w:r>
        <w:rPr>
          <w:rFonts w:ascii="Arial" w:cs="Arial" w:eastAsia="Arial" w:hAnsi="Arial"/>
          <w:sz w:val="16"/>
          <w:szCs w:val="16"/>
          <w:color w:val="auto"/>
        </w:rPr>
        <w:t>We continue to work closely with our clinical sites to monitor the potential impact of the evolving COVID-19 pandemic and the spread of its variants. To date, we have not experienced any significant delays in any of our ongoing</w:t>
      </w: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or planned clinical trials, except for occasional COVID-19 related disruptions to our TRANQUILITY II trial. However, this could change rapidly.</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IGALMI</w:t>
      </w:r>
      <w:r>
        <w:rPr>
          <w:rFonts w:ascii="Arial" w:cs="Arial" w:eastAsia="Arial" w:hAnsi="Arial"/>
          <w:sz w:val="26"/>
          <w:szCs w:val="26"/>
          <w:b w:val="1"/>
          <w:bCs w:val="1"/>
          <w:i w:val="1"/>
          <w:iCs w:val="1"/>
          <w:color w:val="auto"/>
          <w:vertAlign w:val="superscript"/>
        </w:rPr>
        <w:t>TM</w:t>
      </w:r>
      <w:r>
        <w:rPr>
          <w:rFonts w:ascii="Arial" w:cs="Arial" w:eastAsia="Arial" w:hAnsi="Arial"/>
          <w:sz w:val="18"/>
          <w:szCs w:val="18"/>
          <w:b w:val="1"/>
          <w:bCs w:val="1"/>
          <w:i w:val="1"/>
          <w:iCs w:val="1"/>
          <w:color w:val="auto"/>
        </w:rPr>
        <w:t xml:space="preserve"> Commercial Progress</w:t>
      </w:r>
    </w:p>
    <w:p>
      <w:pPr>
        <w:spacing w:after="0" w:line="133" w:lineRule="exact"/>
        <w:rPr>
          <w:sz w:val="20"/>
          <w:szCs w:val="20"/>
          <w:color w:val="auto"/>
        </w:rPr>
      </w:pPr>
    </w:p>
    <w:p>
      <w:pPr>
        <w:ind w:left="60" w:right="159" w:firstLine="324"/>
        <w:spacing w:after="0" w:line="239" w:lineRule="auto"/>
        <w:rPr>
          <w:sz w:val="20"/>
          <w:szCs w:val="20"/>
          <w:color w:val="auto"/>
        </w:rPr>
      </w:pPr>
      <w:r>
        <w:rPr>
          <w:rFonts w:ascii="Arial" w:cs="Arial" w:eastAsia="Arial" w:hAnsi="Arial"/>
          <w:sz w:val="18"/>
          <w:szCs w:val="18"/>
          <w:color w:val="auto"/>
        </w:rPr>
        <w:t>Since the commercial launch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in July 2022, our commercial progress has yielded more than a dozen formulary wins. Additionally, approximately 470 hospital pharmacy and therapeutics (“P&amp;T”) committees are scheduled to review and vote on IGALMI™ inclusion in their formularies over the next several months. Our field based commercial team has driven the formulary review of tens of thousands of Integrated Delivery Network (“IDN”) target beds. Additionally, approximately 50% of target beds are now under group purchasing organization (“GPO”) contract; we are in active discussions with other leading GPOs. This has been accomplished with 26 institutional sales force representatives in under four months.</w:t>
      </w:r>
    </w:p>
    <w:p>
      <w:pPr>
        <w:spacing w:after="0" w:line="203"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In May, we launched our institutional sales force with 26 representatives covering 700 target hospitals, with 75% reach. Based on early market response, we announced that we intend to expand our sales organization to include 70 sales representatives to cover approximately 1,700 target hospitals by December 1, 2022. During the third quarter of 2022, we also added an IDN Corporate Account Director team to focus on 59 high-volume, high-control IDN accounts. Formulary voting is currently scheduled for approximately 41,000 (21%) of our target IDN beds. We believe this expansion positions the Company to execute on additional geographic markets in 2023.</w:t>
      </w:r>
    </w:p>
    <w:p>
      <w:pPr>
        <w:spacing w:after="0" w:line="168" w:lineRule="exact"/>
        <w:rPr>
          <w:sz w:val="20"/>
          <w:szCs w:val="20"/>
          <w:color w:val="auto"/>
        </w:rPr>
      </w:pPr>
    </w:p>
    <w:p>
      <w:pPr>
        <w:ind w:left="60" w:right="359" w:firstLine="324"/>
        <w:spacing w:after="0" w:line="242" w:lineRule="auto"/>
        <w:rPr>
          <w:sz w:val="20"/>
          <w:szCs w:val="20"/>
          <w:color w:val="auto"/>
        </w:rPr>
      </w:pPr>
      <w:r>
        <w:rPr>
          <w:rFonts w:ascii="Arial" w:cs="Arial" w:eastAsia="Arial" w:hAnsi="Arial"/>
          <w:sz w:val="18"/>
          <w:szCs w:val="18"/>
          <w:color w:val="auto"/>
        </w:rPr>
        <w:t>The value proposition for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continues to evolve as we learn from market response. Staff shortages in the emergency departments (“EDs”) of hospitals, complicated by the potential for staff injuries due to agitated patients, is becoming increasingly concerning to hospital administration. Due to limited agitation treatment options in the ED, intramuscular injection is often used. This approach can be both confrontational and coercive to agitated patients, often making their symptoms worse. Moreover, these patients may occupy ED beds for extended periods due to unresponsive sedation, reducing throughput and increasing costs. These conditions continue to reinforce the need for a drug with IGALMI’s</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profile.</w:t>
      </w:r>
    </w:p>
    <w:p>
      <w:pPr>
        <w:spacing w:after="0" w:line="91" w:lineRule="exact"/>
        <w:rPr>
          <w:sz w:val="20"/>
          <w:szCs w:val="20"/>
          <w:color w:val="auto"/>
        </w:rPr>
      </w:pPr>
    </w:p>
    <w:p>
      <w:pPr>
        <w:ind w:left="60" w:right="159" w:firstLine="324"/>
        <w:spacing w:after="0" w:line="267" w:lineRule="auto"/>
        <w:rPr>
          <w:sz w:val="20"/>
          <w:szCs w:val="20"/>
          <w:color w:val="auto"/>
        </w:rPr>
      </w:pPr>
      <w:r>
        <w:rPr>
          <w:rFonts w:ascii="Arial" w:cs="Arial" w:eastAsia="Arial" w:hAnsi="Arial"/>
          <w:sz w:val="16"/>
          <w:szCs w:val="16"/>
          <w:color w:val="auto"/>
        </w:rPr>
        <w:t>Marketing efforts continue to drive awareness through an extensive convention presence, peer influence programs, and digital marketing campaigns. As of October 31, 2022, our direct in-person marketing efforts have educated over 1,000 healthcare providers on IGALMI</w:t>
      </w:r>
      <w:r>
        <w:rPr>
          <w:rFonts w:ascii="Arial" w:cs="Arial" w:eastAsia="Arial" w:hAnsi="Arial"/>
          <w:sz w:val="23"/>
          <w:szCs w:val="23"/>
          <w:color w:val="auto"/>
          <w:vertAlign w:val="superscript"/>
        </w:rPr>
        <w:t>TM</w:t>
      </w:r>
      <w:r>
        <w:rPr>
          <w:rFonts w:ascii="Arial" w:cs="Arial" w:eastAsia="Arial" w:hAnsi="Arial"/>
          <w:sz w:val="16"/>
          <w:szCs w:val="16"/>
          <w:color w:val="auto"/>
        </w:rPr>
        <w:t>, while we have reached nearly 140,000 healthcare providers through our digital marketing efforts. As we expand our sales team and begin to garner additional P&amp;T formulary adoption, we plan to increase our marketing efforts to reinforce key messages and drive additional demand.</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Clinical Programs</w:t>
      </w:r>
    </w:p>
    <w:p>
      <w:pPr>
        <w:spacing w:after="0" w:line="225"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The following is a summary of the status of our clinical development programs as of the date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-19050</wp:posOffset>
            </wp:positionV>
            <wp:extent cx="5486400" cy="3086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8640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Neuroscience Program</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BXCL501 Development</w:t>
      </w:r>
    </w:p>
    <w:p>
      <w:pPr>
        <w:spacing w:after="0" w:line="219" w:lineRule="exact"/>
        <w:rPr>
          <w:sz w:val="20"/>
          <w:szCs w:val="20"/>
          <w:color w:val="auto"/>
        </w:rPr>
      </w:pPr>
    </w:p>
    <w:p>
      <w:pPr>
        <w:ind w:left="60" w:right="239" w:firstLine="324"/>
        <w:spacing w:after="0" w:line="272" w:lineRule="auto"/>
        <w:rPr>
          <w:sz w:val="20"/>
          <w:szCs w:val="20"/>
          <w:color w:val="auto"/>
        </w:rPr>
      </w:pPr>
      <w:r>
        <w:rPr>
          <w:rFonts w:ascii="Arial" w:cs="Arial" w:eastAsia="Arial" w:hAnsi="Arial"/>
          <w:sz w:val="16"/>
          <w:szCs w:val="16"/>
          <w:color w:val="auto"/>
        </w:rPr>
        <w:t>In indications other than approved by the FDA as IGALMI</w:t>
      </w:r>
      <w:r>
        <w:rPr>
          <w:rFonts w:ascii="Arial" w:cs="Arial" w:eastAsia="Arial" w:hAnsi="Arial"/>
          <w:sz w:val="23"/>
          <w:szCs w:val="23"/>
          <w:color w:val="auto"/>
          <w:vertAlign w:val="superscript"/>
        </w:rPr>
        <w:t>TM</w:t>
      </w:r>
      <w:r>
        <w:rPr>
          <w:rFonts w:ascii="Arial" w:cs="Arial" w:eastAsia="Arial" w:hAnsi="Arial"/>
          <w:sz w:val="16"/>
          <w:szCs w:val="16"/>
          <w:color w:val="auto"/>
        </w:rPr>
        <w:t>, BXCL501 remains an investigational, proprietary, orally dissolving, thin film formulation of Dex, a selective alpha-2 receptor agonist, targeting symptoms from stress-related behaviors such as agitation. BXCL501 is our most advanced neuroscience clinical program, developed or being evaluated for at-home acute treatment of agitation related to schizophrenia, bipolar disorders, the acute treatment of agitation related to Alzheimer’s disease, and as an adjunctive treatment for MDD in conjunction with the use of Selective Serotonin Reuptake Inhibitors (“SSRIs”) or Serotonin Norepinephrine Reuptake Inhibitors (“SNRIs”) alone.</w:t>
      </w:r>
    </w:p>
    <w:p>
      <w:pPr>
        <w:spacing w:after="0" w:line="180" w:lineRule="exact"/>
        <w:rPr>
          <w:sz w:val="20"/>
          <w:szCs w:val="20"/>
          <w:color w:val="auto"/>
        </w:rPr>
      </w:pPr>
    </w:p>
    <w:p>
      <w:pPr>
        <w:ind w:left="60" w:right="159" w:firstLine="324"/>
        <w:spacing w:after="0" w:line="253" w:lineRule="auto"/>
        <w:rPr>
          <w:sz w:val="20"/>
          <w:szCs w:val="20"/>
          <w:color w:val="auto"/>
        </w:rPr>
      </w:pPr>
      <w:r>
        <w:rPr>
          <w:rFonts w:ascii="Arial" w:cs="Arial" w:eastAsia="Arial" w:hAnsi="Arial"/>
          <w:sz w:val="18"/>
          <w:szCs w:val="18"/>
          <w:color w:val="auto"/>
        </w:rPr>
        <w:t>As a selective adrenergic agent with a sublingual or buccal route of administration, BXCL501 is designed to be easily administered and has shown an onset of action in multiple clinical trials, including clinical trials studying patients with schizophrenia, bipolar disorders, and Alzheimer’s disease. We believe results from these studies suggest that BXCL501 has the potential to reduce agitation without producing excessive sedation. We also believe BXCL501 is highly differentiated from antipsychotics, which often produce unwanted side effects such as excessive sedation or extra pyramidal motor effects, currently used as a standard of care to treat agitation. Managing patient agitation in neuropsychiatric and neurodegenerative disorders represents a significant challenge for physicians and caregivers. We believe BXCL501 has the potential to address these challenges while providing an efficient treatment regimen for patients.</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BXCL501 Clinical Trials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TRANQUILITY Program</w:t>
      </w:r>
    </w:p>
    <w:p>
      <w:pPr>
        <w:spacing w:after="0" w:line="225" w:lineRule="exact"/>
        <w:rPr>
          <w:sz w:val="20"/>
          <w:szCs w:val="20"/>
          <w:color w:val="auto"/>
        </w:rPr>
      </w:pPr>
    </w:p>
    <w:p>
      <w:pPr>
        <w:ind w:left="60" w:right="199" w:firstLine="324"/>
        <w:spacing w:after="0" w:line="290" w:lineRule="auto"/>
        <w:rPr>
          <w:sz w:val="20"/>
          <w:szCs w:val="20"/>
          <w:color w:val="auto"/>
        </w:rPr>
      </w:pPr>
      <w:r>
        <w:rPr>
          <w:rFonts w:ascii="Arial" w:cs="Arial" w:eastAsia="Arial" w:hAnsi="Arial"/>
          <w:sz w:val="16"/>
          <w:szCs w:val="16"/>
          <w:color w:val="auto"/>
        </w:rPr>
        <w:t>The TRANQUILITY I study of agitation in dementia concluded with a total of four sites enrolling 46 subjects in Part B testing the 40mcg dose versus placebo. Topline data were reviewed with respect to efficacy, safety, and tolerability. The purpose of enrolling this additional cohort was to gather additional evidence supporting dose selection and statistical powering of multiple-site Phase 3 pivotal trials. All patients were able to take the film themselves and properly place it. There were no serious adverse events (“SAEs”) related to the drug, and no falls, loss of consciousness, or syncopal events reported. There were also no local tolerability issues. The adverse events (“AEs”) observed for 40mcg were consistent with those previously observed for 30mcg, 60mcg, and placebo doses. As expected, the incidence of individual and categorical AEs for the 40mcg dose were lower than the 60mcg group, and similar to the 30mcg dose group.</w:t>
      </w:r>
    </w:p>
    <w:p>
      <w:pPr>
        <w:spacing w:after="0" w:line="165" w:lineRule="exact"/>
        <w:rPr>
          <w:sz w:val="20"/>
          <w:szCs w:val="20"/>
          <w:color w:val="auto"/>
        </w:rPr>
      </w:pPr>
    </w:p>
    <w:p>
      <w:pPr>
        <w:ind w:left="60" w:right="259" w:firstLine="324"/>
        <w:spacing w:after="0" w:line="293" w:lineRule="auto"/>
        <w:rPr>
          <w:sz w:val="20"/>
          <w:szCs w:val="20"/>
          <w:color w:val="auto"/>
        </w:rPr>
      </w:pPr>
      <w:r>
        <w:rPr>
          <w:rFonts w:ascii="Arial" w:cs="Arial" w:eastAsia="Arial" w:hAnsi="Arial"/>
          <w:sz w:val="16"/>
          <w:szCs w:val="16"/>
          <w:color w:val="auto"/>
        </w:rPr>
        <w:t>Efficacy was measured by the change from pre-dose baseline Positive and Negative Syndrome Scale Excitatory Component (“PEC”) total score at two hours, the same primary endpoint utilized in prior pivotal trials of BXCL501. The 40mcg dose showed statistically significant reductions in PEC total score at two hours and demonstrated statistically significant separation from placebo as early as one hour. The magnitude of change in PEC total score was greater for the 40mcg dose than that of 30mcg and somewhat less than the 60mcg dose in previous cohorts. Overall, we believe the 40mcg data support continued evaluation of both 40mcg and 60mcg doses in Phase 3 pivotal trials.</w:t>
      </w:r>
    </w:p>
    <w:p>
      <w:pPr>
        <w:spacing w:after="0" w:line="164" w:lineRule="exact"/>
        <w:rPr>
          <w:sz w:val="20"/>
          <w:szCs w:val="20"/>
          <w:color w:val="auto"/>
        </w:rPr>
      </w:pPr>
    </w:p>
    <w:p>
      <w:pPr>
        <w:ind w:left="60" w:right="219" w:firstLine="324"/>
        <w:spacing w:after="0" w:line="255" w:lineRule="auto"/>
        <w:rPr>
          <w:sz w:val="20"/>
          <w:szCs w:val="20"/>
          <w:color w:val="auto"/>
        </w:rPr>
      </w:pPr>
      <w:r>
        <w:rPr>
          <w:rFonts w:ascii="Arial" w:cs="Arial" w:eastAsia="Arial" w:hAnsi="Arial"/>
          <w:sz w:val="18"/>
          <w:szCs w:val="18"/>
          <w:color w:val="auto"/>
        </w:rPr>
        <w:t>On December 15, 2021, after our initial Breakthrough Therapy designation meetings with the FDA, we announced the initiation of our program to evaluate BXCL501 for the treatment of acute agitation associated with dementia in Alzheimer’s patients. The program’s two studies, TRANQUILITY II and TRANQUILITY III, are designed to evaluate the safety and efficacy of BXCL501 in adults 65 years and older across the range of illness including mild, moderate, and severe illness in assisted living or residential facilities and nursing homes. Patient enrollment is currently underway for TRANQUILITY II.</w:t>
      </w:r>
    </w:p>
    <w:p>
      <w:pPr>
        <w:spacing w:after="0" w:line="192" w:lineRule="exact"/>
        <w:rPr>
          <w:sz w:val="20"/>
          <w:szCs w:val="20"/>
          <w:color w:val="auto"/>
        </w:rPr>
      </w:pPr>
    </w:p>
    <w:p>
      <w:pPr>
        <w:ind w:left="720" w:right="55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program consists of two randomized, double-blind, placebo-controlled, adaptive, parallel group pivotal trials: TRANQUILITY II and TRANQUILITY III.</w:t>
      </w:r>
    </w:p>
    <w:p>
      <w:pPr>
        <w:spacing w:after="0" w:line="170" w:lineRule="exact"/>
        <w:rPr>
          <w:rFonts w:ascii="Arial" w:cs="Arial" w:eastAsia="Arial" w:hAnsi="Arial"/>
          <w:sz w:val="18"/>
          <w:szCs w:val="18"/>
          <w:color w:val="auto"/>
        </w:rPr>
      </w:pPr>
    </w:p>
    <w:p>
      <w:pPr>
        <w:ind w:left="720" w:right="53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study will enroll approximately 150 dementia patients 65 years and older. Patients will self-administer 40mcg or 60mcg of BXCL501 or placebo whenever agitation episodes may occur.</w:t>
      </w:r>
    </w:p>
    <w:p>
      <w:pPr>
        <w:spacing w:after="0" w:line="170" w:lineRule="exact"/>
        <w:rPr>
          <w:rFonts w:ascii="Arial" w:cs="Arial" w:eastAsia="Arial" w:hAnsi="Arial"/>
          <w:sz w:val="18"/>
          <w:szCs w:val="18"/>
          <w:color w:val="auto"/>
        </w:rPr>
      </w:pPr>
    </w:p>
    <w:p>
      <w:pPr>
        <w:ind w:left="720" w:right="259" w:hanging="319"/>
        <w:spacing w:after="0" w:line="259"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TRANQUILITY II has enrolled and will continue to enroll patients with mild to moderately severe dementia in assisted living or residential care facilities who generally require minimal assistance with activities of daily living. Enrollment has been progressing at a steady rate. We expect to announce topline data in the first half of 2023.</w:t>
      </w:r>
    </w:p>
    <w:p>
      <w:pPr>
        <w:spacing w:after="0" w:line="186" w:lineRule="exact"/>
        <w:rPr>
          <w:rFonts w:ascii="Arial" w:cs="Arial" w:eastAsia="Arial" w:hAnsi="Arial"/>
          <w:sz w:val="18"/>
          <w:szCs w:val="18"/>
          <w:color w:val="auto"/>
        </w:rPr>
      </w:pPr>
    </w:p>
    <w:p>
      <w:pPr>
        <w:ind w:left="720" w:right="51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TRANQUILITY III will enroll patients with moderate to severe dementia who require moderate or greater assistance with activities of daily living. This study is expected to initiate with the first patient enrollment in December 2022.</w:t>
      </w:r>
    </w:p>
    <w:p>
      <w:pPr>
        <w:spacing w:after="0" w:line="183" w:lineRule="exact"/>
        <w:rPr>
          <w:rFonts w:ascii="Arial" w:cs="Arial" w:eastAsia="Arial" w:hAnsi="Arial"/>
          <w:sz w:val="18"/>
          <w:szCs w:val="18"/>
          <w:color w:val="auto"/>
        </w:rPr>
      </w:pPr>
    </w:p>
    <w:p>
      <w:pPr>
        <w:jc w:val="both"/>
        <w:ind w:left="720" w:right="15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studies are designed to assess agitation as measured by the changes from baseline in the PEC total score and total Pittsburgh Agitation Scale scores. For both studies, the primary efficacy endpoint will be the change in PEC total score from baseline measured at two hours after the initial dose.</w:t>
      </w:r>
    </w:p>
    <w:p>
      <w:pPr>
        <w:spacing w:after="0" w:line="183" w:lineRule="exact"/>
        <w:rPr>
          <w:rFonts w:ascii="Arial" w:cs="Arial" w:eastAsia="Arial" w:hAnsi="Arial"/>
          <w:sz w:val="18"/>
          <w:szCs w:val="18"/>
          <w:color w:val="auto"/>
        </w:rPr>
      </w:pPr>
    </w:p>
    <w:p>
      <w:pPr>
        <w:ind w:left="720" w:right="25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Patients who complete TRANQUILITY II or TRANQUILITY III will be eligible to enroll in an open label, 52-week safety study designed to describe the safety and efficacy of BXCL501 in continued use. This study is expected to initiate in the first half of 2023.</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Bipolar or Schizophrenia-related Agitation (At-Home Use)</w:t>
      </w:r>
    </w:p>
    <w:p>
      <w:pPr>
        <w:spacing w:after="0" w:line="225" w:lineRule="exact"/>
        <w:rPr>
          <w:sz w:val="20"/>
          <w:szCs w:val="20"/>
          <w:color w:val="auto"/>
        </w:rPr>
      </w:pPr>
    </w:p>
    <w:p>
      <w:pPr>
        <w:ind w:left="60" w:right="259" w:firstLine="324"/>
        <w:spacing w:after="0" w:line="286" w:lineRule="auto"/>
        <w:rPr>
          <w:sz w:val="20"/>
          <w:szCs w:val="20"/>
          <w:color w:val="auto"/>
        </w:rPr>
      </w:pPr>
      <w:r>
        <w:rPr>
          <w:rFonts w:ascii="Arial" w:cs="Arial" w:eastAsia="Arial" w:hAnsi="Arial"/>
          <w:sz w:val="16"/>
          <w:szCs w:val="16"/>
          <w:color w:val="auto"/>
        </w:rPr>
        <w:t>We met with the FDA in July 2022 to discuss the design of a registrational study to support potential expansion of BXCL501 for at-home use for the acute treatment of agitation related to schizophrenia and bipolar disorders. We have alignment with the FDA on key design features with respect to our SERENITY III study, which will consist of two parts. The first part is comparable to the pivotal SERENITY I and II studies. Using similar inclusion and exclusion criterion under a well-controlled in-patient setting, acutely agitated patients with schizophrenia or bipolar disorders will be randomized to self-administer either 60mcg of BXCL501 or placebo, in a double-blind placebo-controlled trial. The primary endpoint will be efficacy as measured by the PEC total score change from baseline at two hours post-dose. The secondary objective will be safety and tolerability. SERENITY III is expected to initiate in December 2022. Part 1 enrollment is expected to be complete in the first half of 2023 with topline results also expected in the first half of 2023. Part 2 of the study is expected to initiate in the first half of 2023. The primary objective of the second part of the study is to assess the safety of a 60mcg dose when self-administered in an at-home setting. Patients with schizophrenia or bipolar disorders and a history of agitation will be randomized to self-administer 60mcg of BXCL501, or placebo, when they experience an episode of agitation in an at-home setting over a period of three months.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Major Depressive Disorder (“MDD”)</w:t>
      </w:r>
    </w:p>
    <w:p>
      <w:pPr>
        <w:spacing w:after="0" w:line="225"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We recently expanded our development pipeline to evaluate BXCL501 as an adjunctive treatment for MDD. The initial clinical study in this program is a double-blind, placebo-controlled, multiple ascending dose trial to evaluate the safety and tolerability of daily doses of BXCL501 in healthy volunteers. This trial is progressing rapidly. We continue to expect to report topline results in the first half of 2023. Three dosing cohorts of healthy adult volunteers have been tested with 30mcg, 60mcg, or 80mcg (or placebo) daily for seven days without untoward effects. Additional dose cohorts, consisting of twice-a-day dosing of 30mcg in the morning and 60mcg in the evening, has been completed, and a cohort of 40 mcg in the morning and 80mcg in the evening is now in progress with greater total daily dosing planned into the fourth quarter of 2022. Once a maximum tolerable dose is determined escalation will be discontinued and the final cohort will initiate the daily maximum well-tolerated dose schedule in combination with daily SNRIs for one week. The safety and tolerability of this daily dosing study results of this study will enable dose selection for a Phase 2 proof-of-confidence trial in MDD.</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Pediatric Study</w:t>
      </w:r>
    </w:p>
    <w:p>
      <w:pPr>
        <w:spacing w:after="0" w:line="225" w:lineRule="exact"/>
        <w:rPr>
          <w:sz w:val="20"/>
          <w:szCs w:val="20"/>
          <w:color w:val="auto"/>
        </w:rPr>
      </w:pPr>
    </w:p>
    <w:p>
      <w:pPr>
        <w:ind w:left="60" w:right="139" w:firstLine="324"/>
        <w:spacing w:after="0" w:line="256" w:lineRule="auto"/>
        <w:rPr>
          <w:sz w:val="20"/>
          <w:szCs w:val="20"/>
          <w:color w:val="auto"/>
        </w:rPr>
      </w:pPr>
      <w:r>
        <w:rPr>
          <w:rFonts w:ascii="Arial" w:cs="Arial" w:eastAsia="Arial" w:hAnsi="Arial"/>
          <w:sz w:val="17"/>
          <w:szCs w:val="17"/>
          <w:color w:val="auto"/>
        </w:rPr>
        <w:t>In June 2021, we initiated a global clinical trial designed to evaluate the safety and efficacy of BXCL501 in the acute treatment of agitation associated with pediatric schizophrenia and bipolar disorders, in part to fulfill pediatric study requirements agreed to with the FDA in connection with IGALMI’s</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approval. The trial protocol has been reviewed by the FDA, as well as by the European Medicines Agency (“EMA”) to fulfill potential commitments to study the effects of BXCL501 in pediatric patients ages 13-17 with schizophrenia and ages 10-17 with bipolar disorders. Enrollment of patients with schizophrenia, schizoaffective disorder, bipolar I, and bipolar II disorder is ongoing in this multisite, double-blind, placebo-controlled parallel group trial. Approximately 25% of the 150 total subjects have been enrolled in the U.S. and several European sites are planned to initiate enrollment in the first quarter of 2023. Similar to our registration trials in schizophrenia and bipolar disorder (SERENITY I and II), the primary endpoint is the change from baseline PEC total score at two hours.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Additional Neuroscience Opportunities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BXCL501 Pipeline Opportunities for Franchise Expansion</w:t>
      </w:r>
    </w:p>
    <w:p>
      <w:pPr>
        <w:spacing w:after="0" w:line="225" w:lineRule="exact"/>
        <w:rPr>
          <w:sz w:val="20"/>
          <w:szCs w:val="20"/>
          <w:color w:val="auto"/>
        </w:rPr>
      </w:pPr>
    </w:p>
    <w:p>
      <w:pPr>
        <w:ind w:left="60" w:right="479" w:firstLine="324"/>
        <w:spacing w:after="0" w:line="263" w:lineRule="auto"/>
        <w:rPr>
          <w:sz w:val="20"/>
          <w:szCs w:val="20"/>
          <w:color w:val="auto"/>
        </w:rPr>
      </w:pPr>
      <w:r>
        <w:rPr>
          <w:rFonts w:ascii="Arial" w:cs="Arial" w:eastAsia="Arial" w:hAnsi="Arial"/>
          <w:sz w:val="18"/>
          <w:szCs w:val="18"/>
          <w:color w:val="auto"/>
        </w:rPr>
        <w:t>Given the differentiated design of BXCL501 and its selective mechanism of action, we believe BXCL501 has the potential for broad applicability across several indications where agitation is a symptom of a condition or underlying disease.</w:t>
      </w:r>
    </w:p>
    <w:p>
      <w:pPr>
        <w:spacing w:after="0" w:line="184" w:lineRule="exact"/>
        <w:rPr>
          <w:sz w:val="20"/>
          <w:szCs w:val="20"/>
          <w:color w:val="auto"/>
        </w:rPr>
      </w:pPr>
    </w:p>
    <w:p>
      <w:pPr>
        <w:ind w:left="60" w:right="379" w:firstLine="324"/>
        <w:spacing w:after="0" w:line="263" w:lineRule="auto"/>
        <w:rPr>
          <w:sz w:val="20"/>
          <w:szCs w:val="20"/>
          <w:color w:val="auto"/>
        </w:rPr>
      </w:pPr>
      <w:r>
        <w:rPr>
          <w:rFonts w:ascii="Arial" w:cs="Arial" w:eastAsia="Arial" w:hAnsi="Arial"/>
          <w:sz w:val="18"/>
          <w:szCs w:val="18"/>
          <w:color w:val="auto"/>
        </w:rPr>
        <w:t>As announced on August 1, 2022, the National Institute on Drug Abuse awarded a grant to Columbia University to fund clinical testing of BXCL501 as a potential treatment for opioid withdrawal. The Company will supply the drug product for the conduct of this study.</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57" w:lineRule="auto"/>
        <w:rPr>
          <w:sz w:val="20"/>
          <w:szCs w:val="20"/>
          <w:color w:val="auto"/>
        </w:rPr>
      </w:pPr>
      <w:r>
        <w:rPr>
          <w:rFonts w:ascii="Arial" w:cs="Arial" w:eastAsia="Arial" w:hAnsi="Arial"/>
          <w:sz w:val="18"/>
          <w:szCs w:val="18"/>
          <w:color w:val="auto"/>
        </w:rPr>
        <w:t>In December 2020, the Veterans Affairs Connecticut Healthcare System and Yale University Medical School were awarded a grant by the U.S. Department of Defense’s Congressionally Directed Medical Research Programs to evaluate BXCL501 in patients with post-traumatic stress disorder who suffer from alcohol use disorder (“AUD”). The Company is providing BXCL501 for studies that will evaluate whether BXCL501 has the potential to treat AUD in this patient population.</w:t>
      </w:r>
    </w:p>
    <w:p>
      <w:pPr>
        <w:spacing w:after="0" w:line="188" w:lineRule="exact"/>
        <w:rPr>
          <w:sz w:val="20"/>
          <w:szCs w:val="20"/>
          <w:color w:val="auto"/>
        </w:rPr>
      </w:pPr>
    </w:p>
    <w:p>
      <w:pPr>
        <w:ind w:left="60" w:right="179" w:firstLine="324"/>
        <w:spacing w:after="0" w:line="279" w:lineRule="auto"/>
        <w:rPr>
          <w:sz w:val="20"/>
          <w:szCs w:val="20"/>
          <w:color w:val="auto"/>
        </w:rPr>
      </w:pPr>
      <w:r>
        <w:rPr>
          <w:rFonts w:ascii="Arial" w:cs="Arial" w:eastAsia="Arial" w:hAnsi="Arial"/>
          <w:sz w:val="17"/>
          <w:szCs w:val="17"/>
          <w:color w:val="auto"/>
        </w:rPr>
        <w:t>We are currently conducting studies designed to develop algorithms for wearable technologies that are designed to detect early signs of agitation. Feasibility studies demonstrated that patients were able to wear these devices and that these devices were able to transmit data to our service vendor. The goal of this program is to establish a predictive algorithm that would allow caregivers to treat patients before they become highly agitated.</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BXCL502 Development</w:t>
      </w:r>
    </w:p>
    <w:p>
      <w:pPr>
        <w:spacing w:after="0" w:line="225" w:lineRule="exact"/>
        <w:rPr>
          <w:sz w:val="20"/>
          <w:szCs w:val="20"/>
          <w:color w:val="auto"/>
        </w:rPr>
      </w:pPr>
    </w:p>
    <w:p>
      <w:pPr>
        <w:ind w:left="60" w:right="239" w:firstLine="324"/>
        <w:spacing w:after="0" w:line="291" w:lineRule="auto"/>
        <w:rPr>
          <w:sz w:val="20"/>
          <w:szCs w:val="20"/>
          <w:color w:val="auto"/>
        </w:rPr>
      </w:pPr>
      <w:r>
        <w:rPr>
          <w:rFonts w:ascii="Arial" w:cs="Arial" w:eastAsia="Arial" w:hAnsi="Arial"/>
          <w:sz w:val="16"/>
          <w:szCs w:val="16"/>
          <w:color w:val="auto"/>
        </w:rPr>
        <w:t>We identified a second neuropsychiatric drug candidate, BXCL502, through our AI-based platform. We plan to evaluate BXCL502 initially as a monotherapy and possibly as a combination with BXCL501 for the chronic treatment of agitation in patients with dementia. The active pharmaceutical ingredient (“API”) underlying BXCL502 is designed to affect serotonergic signaling in the brain. Our preclinical data suggests BXCL502 has the potential to treat stress-related neuropsychiatric symptoms in dementia. In previously published third-party clinical trial data, daily administration of the API of BXCL502 demonstrated improvement in behaviors using a well-established, clinically validated symptom scale. Formulation and clinical development planning are currently under way with BXCL502.</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Product Candidates Leveraging the AI Platform</w:t>
      </w:r>
    </w:p>
    <w:p>
      <w:pPr>
        <w:spacing w:after="0" w:line="225" w:lineRule="exact"/>
        <w:rPr>
          <w:sz w:val="20"/>
          <w:szCs w:val="20"/>
          <w:color w:val="auto"/>
        </w:rPr>
      </w:pPr>
    </w:p>
    <w:p>
      <w:pPr>
        <w:ind w:left="60" w:right="439" w:firstLine="324"/>
        <w:spacing w:after="0" w:line="286" w:lineRule="auto"/>
        <w:rPr>
          <w:sz w:val="20"/>
          <w:szCs w:val="20"/>
          <w:color w:val="auto"/>
        </w:rPr>
      </w:pPr>
      <w:r>
        <w:rPr>
          <w:rFonts w:ascii="Arial" w:cs="Arial" w:eastAsia="Arial" w:hAnsi="Arial"/>
          <w:sz w:val="17"/>
          <w:szCs w:val="17"/>
          <w:color w:val="auto"/>
        </w:rPr>
        <w:t>We are targeting neuropsychiatric disorders with high unmet medical needs. Our focus is on treating stress-related symptoms, such as agitation, that are responsible for increased levels of healthcare burden. We are also using AI approaches and machine learning to identify new candidates for rare neurological diseases.</w:t>
      </w:r>
    </w:p>
    <w:p>
      <w:pPr>
        <w:spacing w:after="0" w:line="165" w:lineRule="exact"/>
        <w:rPr>
          <w:sz w:val="20"/>
          <w:szCs w:val="20"/>
          <w:color w:val="auto"/>
        </w:rPr>
      </w:pPr>
    </w:p>
    <w:p>
      <w:pPr>
        <w:ind w:left="60" w:right="179" w:firstLine="324"/>
        <w:spacing w:after="0" w:line="275" w:lineRule="auto"/>
        <w:rPr>
          <w:sz w:val="20"/>
          <w:szCs w:val="20"/>
          <w:color w:val="auto"/>
        </w:rPr>
      </w:pPr>
      <w:r>
        <w:rPr>
          <w:rFonts w:ascii="Arial" w:cs="Arial" w:eastAsia="Arial" w:hAnsi="Arial"/>
          <w:sz w:val="17"/>
          <w:szCs w:val="17"/>
          <w:color w:val="auto"/>
        </w:rPr>
        <w:t>We utilize proprietary algorithms to identify associated mechanisms with existing pharmacology to test whether these agents can improve the disease profile in the animal model either through disease modification or symptomatic manner. The agents identified must be those we believe can enter the clinic with the potential for an efficient development path (similar to BXCL501). We are also developing an AI-based research and development platform to help identify potential product candidates and indications across a range of treatment areas.</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OnkosXcel Therapeutics, LLC</w:t>
      </w:r>
    </w:p>
    <w:p>
      <w:pPr>
        <w:spacing w:after="0" w:line="229" w:lineRule="exact"/>
        <w:rPr>
          <w:sz w:val="20"/>
          <w:szCs w:val="20"/>
          <w:color w:val="auto"/>
        </w:rPr>
      </w:pPr>
    </w:p>
    <w:p>
      <w:pPr>
        <w:jc w:val="both"/>
        <w:ind w:left="60" w:right="619" w:firstLine="324"/>
        <w:spacing w:after="0" w:line="275" w:lineRule="auto"/>
        <w:rPr>
          <w:sz w:val="20"/>
          <w:szCs w:val="20"/>
          <w:color w:val="auto"/>
        </w:rPr>
      </w:pPr>
      <w:r>
        <w:rPr>
          <w:rFonts w:ascii="Arial" w:cs="Arial" w:eastAsia="Arial" w:hAnsi="Arial"/>
          <w:sz w:val="17"/>
          <w:szCs w:val="17"/>
          <w:color w:val="auto"/>
        </w:rPr>
        <w:t>On April 19, 2022, we announced the formation of a wholly owned subsidiary, OnkosXcel Therapeutics, LLC (“OnkosXcel”) to develop potentially transformative medicines in oncology. OnkosXcel is focused on the sustained expansion and optimization of our oncology franchise, while providing maximum strategic and financial flexibility. OnkosXcel plans to progress the development of BXCL701. To support its development, we may pursue third-party investments in or other strategic options for OnkosXcel.</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BXCL701 Immuno-Oncology Program</w:t>
      </w:r>
    </w:p>
    <w:p>
      <w:pPr>
        <w:spacing w:after="0" w:line="229" w:lineRule="exact"/>
        <w:rPr>
          <w:sz w:val="20"/>
          <w:szCs w:val="20"/>
          <w:color w:val="auto"/>
        </w:rPr>
      </w:pPr>
    </w:p>
    <w:p>
      <w:pPr>
        <w:ind w:left="60" w:right="359" w:firstLine="324"/>
        <w:spacing w:after="0" w:line="255" w:lineRule="auto"/>
        <w:rPr>
          <w:sz w:val="20"/>
          <w:szCs w:val="20"/>
          <w:color w:val="auto"/>
        </w:rPr>
      </w:pPr>
      <w:r>
        <w:rPr>
          <w:rFonts w:ascii="Arial" w:cs="Arial" w:eastAsia="Arial" w:hAnsi="Arial"/>
          <w:sz w:val="18"/>
          <w:szCs w:val="18"/>
          <w:color w:val="auto"/>
        </w:rPr>
        <w:t>BXCL701 is a potential first-in-class, oral, small molecule immunomodulator designed to stimulate both the innate and acquired immune systems by inhibiting dipeptidyl peptidase (“DPP”) 8/9. DPP-8/9 behave as "checkpoints" of pyroptosis and inflammasome activation. We believe that BXCL701, if successfully developed and approved, may establish a differentiated immuno-oncology platform by modulating multiple steps in the cancer immunity cycle and, when combined with checkpoint inhibitors and/or immune activating agents, may be able to convert immuno-resistant (“cold”) tumors to immuno-sensitive (“hot”) tumors.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BXCL701 Clinical Trials</w:t>
      </w:r>
    </w:p>
    <w:p>
      <w:pPr>
        <w:spacing w:after="0" w:line="229" w:lineRule="exact"/>
        <w:rPr>
          <w:sz w:val="20"/>
          <w:szCs w:val="20"/>
          <w:color w:val="auto"/>
        </w:rPr>
      </w:pPr>
    </w:p>
    <w:p>
      <w:pPr>
        <w:ind w:left="60" w:right="579" w:firstLine="324"/>
        <w:spacing w:after="0" w:line="342" w:lineRule="auto"/>
        <w:rPr>
          <w:sz w:val="20"/>
          <w:szCs w:val="20"/>
          <w:color w:val="auto"/>
        </w:rPr>
      </w:pPr>
      <w:r>
        <w:rPr>
          <w:rFonts w:ascii="Arial" w:cs="Arial" w:eastAsia="Arial" w:hAnsi="Arial"/>
          <w:sz w:val="16"/>
          <w:szCs w:val="16"/>
          <w:color w:val="auto"/>
        </w:rPr>
        <w:t>BXCL701 is currently being evaluated in two Phase 2 combination therapy clinical trials. The first is evaluating BXCL701 for the treatment of metastatic castration-resistant prostate cancer (“mCRPC”) in patients with either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308" w:lineRule="auto"/>
        <w:rPr>
          <w:sz w:val="20"/>
          <w:szCs w:val="20"/>
          <w:color w:val="auto"/>
        </w:rPr>
      </w:pPr>
      <w:r>
        <w:rPr>
          <w:rFonts w:ascii="Arial" w:cs="Arial" w:eastAsia="Arial" w:hAnsi="Arial"/>
          <w:sz w:val="17"/>
          <w:szCs w:val="17"/>
          <w:color w:val="auto"/>
        </w:rPr>
        <w:t>adenocarcinoma or small cell neuroendocrine (“SCNC”) phenotype and is a Company-sponsored trial. The second is evaluating BXCL701 in patients with advanced solid cancers and is an investigator-initiated trial.</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SCNC and mCRPC</w:t>
      </w:r>
    </w:p>
    <w:p>
      <w:pPr>
        <w:spacing w:after="0" w:line="225" w:lineRule="exact"/>
        <w:rPr>
          <w:sz w:val="20"/>
          <w:szCs w:val="20"/>
          <w:color w:val="auto"/>
        </w:rPr>
      </w:pPr>
    </w:p>
    <w:p>
      <w:pPr>
        <w:ind w:left="60" w:right="239" w:firstLine="324"/>
        <w:spacing w:after="0" w:line="275" w:lineRule="auto"/>
        <w:rPr>
          <w:sz w:val="20"/>
          <w:szCs w:val="20"/>
          <w:color w:val="auto"/>
        </w:rPr>
      </w:pPr>
      <w:r>
        <w:rPr>
          <w:rFonts w:ascii="Arial" w:cs="Arial" w:eastAsia="Arial" w:hAnsi="Arial"/>
          <w:sz w:val="16"/>
          <w:szCs w:val="16"/>
          <w:color w:val="auto"/>
        </w:rPr>
        <w:t>BXCL701 was previously studied in multiple clinical trials and demonstrated single agent anti-tumor activity in melanoma, an immune-sensitive tumor. Our Phase 2 efficacy portion of the Phase 1b/2 trial evaluating BXCL701 in combination with KEYTRUDA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(pembrolizumab, a Programmed Cell Death Protein 1 (“PD-1”) inhibitor) for SCNC, continues. In addition to the efficacy cohort in SCNC patients, we are pursuing a separate cohort for adenocarcinoma patients who have failed taxane-based chemotherapy and up to two lines of second-generation androgen pathway blockers. Top-line results from the Phase 1b portion of this trial were presented at the American Society of Clinical Oncology (“ASCO”) Genitourinary Cancers Symposium in February 2021. Interim data from the Phase 2 portion of the study were also presented at the European Society for Medical Oncology conference in September 2021. We reported interim response rate data from the Phase 2 portion of this trial for the SCNC cohort and final response rate data from the adenocarcinoma cohort at the ASCO Genitourinary Cancers Symposium in February 2022.</w:t>
      </w:r>
    </w:p>
    <w:p>
      <w:pPr>
        <w:spacing w:after="0" w:line="176" w:lineRule="exact"/>
        <w:rPr>
          <w:sz w:val="20"/>
          <w:szCs w:val="20"/>
          <w:color w:val="auto"/>
        </w:rPr>
      </w:pPr>
    </w:p>
    <w:p>
      <w:pPr>
        <w:ind w:left="60" w:right="239" w:firstLine="324"/>
        <w:spacing w:after="0" w:line="259" w:lineRule="auto"/>
        <w:rPr>
          <w:sz w:val="20"/>
          <w:szCs w:val="20"/>
          <w:color w:val="auto"/>
        </w:rPr>
      </w:pPr>
      <w:r>
        <w:rPr>
          <w:rFonts w:ascii="Arial" w:cs="Arial" w:eastAsia="Arial" w:hAnsi="Arial"/>
          <w:sz w:val="18"/>
          <w:szCs w:val="18"/>
          <w:color w:val="auto"/>
        </w:rPr>
        <w:t>BXCL701 is being evaluated in combination with KEYTRUDA in an ongoing Phase 2 trial in mCRPC patients with either adenocarcinoma or SCNC phenotype. The first adenocarcinoma patients were enrolled in the Phase 2b randomized 60-patient expansion of the study evaluating BXCL701 monotherapy versus BXCL701-KEYTRUDA combination therapy.</w:t>
      </w:r>
    </w:p>
    <w:p>
      <w:pPr>
        <w:spacing w:after="0" w:line="187"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We completed enrollment of the 28-patient SCNC cohort and expect to present final efficacy data from this SCNC cohort in the first half of 2023. We presented updated, preliminary results demonstrating a composite response rate of 33% for the first 15 evaluable SCNC patients, and median duration of response of nine months for the five composite responders at the Prostate Cancer Foundation Annual Scientific Retreat in October 2022.</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Basket Trial</w:t>
      </w:r>
    </w:p>
    <w:p>
      <w:pPr>
        <w:spacing w:after="0" w:line="225" w:lineRule="exact"/>
        <w:rPr>
          <w:sz w:val="20"/>
          <w:szCs w:val="20"/>
          <w:color w:val="auto"/>
        </w:rPr>
      </w:pPr>
    </w:p>
    <w:p>
      <w:pPr>
        <w:ind w:left="60" w:right="179" w:firstLine="324"/>
        <w:spacing w:after="0" w:line="275" w:lineRule="auto"/>
        <w:rPr>
          <w:sz w:val="20"/>
          <w:szCs w:val="20"/>
          <w:color w:val="auto"/>
        </w:rPr>
      </w:pPr>
      <w:r>
        <w:rPr>
          <w:rFonts w:ascii="Arial" w:cs="Arial" w:eastAsia="Arial" w:hAnsi="Arial"/>
          <w:sz w:val="17"/>
          <w:szCs w:val="17"/>
          <w:color w:val="auto"/>
        </w:rPr>
        <w:t>BXCL701 is also being evaluated in an open-label Phase 2 basket trial led by MD Anderson. The investigator-led study is designed to evaluate the response rate of orally administered BXCL701, combined with KEYTRUDA, in patients with advanced solid cancers. The study is designed to evaluates patients who are naïve to checkpoint therapy and those who are refractory to checkpoint therapy in two separate cohorts. Interim data were presented at the June 2021 ASCO annual meeting. The study completed participant enrollment in the third quarter of 2022.</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Predictive Biomarkers for BXCL701</w:t>
      </w:r>
    </w:p>
    <w:p>
      <w:pPr>
        <w:spacing w:after="0" w:line="225" w:lineRule="exact"/>
        <w:rPr>
          <w:sz w:val="20"/>
          <w:szCs w:val="20"/>
          <w:color w:val="auto"/>
        </w:rPr>
      </w:pPr>
    </w:p>
    <w:p>
      <w:pPr>
        <w:ind w:left="60" w:right="179" w:firstLine="324"/>
        <w:spacing w:after="0" w:line="263" w:lineRule="auto"/>
        <w:rPr>
          <w:sz w:val="20"/>
          <w:szCs w:val="20"/>
          <w:color w:val="auto"/>
        </w:rPr>
      </w:pPr>
      <w:r>
        <w:rPr>
          <w:rFonts w:ascii="Arial" w:cs="Arial" w:eastAsia="Arial" w:hAnsi="Arial"/>
          <w:sz w:val="18"/>
          <w:szCs w:val="18"/>
          <w:color w:val="auto"/>
        </w:rPr>
        <w:t>We presented potential predictive biomarker data for BXCL701 responsiveness in acute myeloid leukemia as a poster presentation at the annual meeting of the Society for Immunotherapy of Cancer in November 2022. We intend to assess the novel biomarker retrospectively in our ongoing solid tumor trial(s).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Immuno-oncology Indications</w:t>
      </w:r>
    </w:p>
    <w:p>
      <w:pPr>
        <w:spacing w:after="0" w:line="229" w:lineRule="exact"/>
        <w:rPr>
          <w:sz w:val="20"/>
          <w:szCs w:val="20"/>
          <w:color w:val="auto"/>
        </w:rPr>
      </w:pPr>
    </w:p>
    <w:p>
      <w:pPr>
        <w:ind w:left="60" w:right="239" w:firstLine="324"/>
        <w:spacing w:after="0" w:line="275" w:lineRule="auto"/>
        <w:rPr>
          <w:sz w:val="20"/>
          <w:szCs w:val="20"/>
          <w:color w:val="auto"/>
        </w:rPr>
      </w:pPr>
      <w:r>
        <w:rPr>
          <w:rFonts w:ascii="Arial" w:cs="Arial" w:eastAsia="Arial" w:hAnsi="Arial"/>
          <w:sz w:val="17"/>
          <w:szCs w:val="17"/>
          <w:color w:val="auto"/>
        </w:rPr>
        <w:t>In addition to mCRPC and checkpoint inhibitor-refractory tumors, we plan to leverage our existing preclinical and clinical data to identify other cancer types with high unmet medical need that we believe would benefit from BXCL701’s novel potential mechanism of action. We are prioritizing indications where the immunosuppressive microenvironment is driven by the potential molecular and cellular targets of BXCL701 and where the single agent activity of approved immune checkpoint inhibitors is limited, such as small cell lung cancer.</w:t>
      </w:r>
    </w:p>
    <w:p>
      <w:pPr>
        <w:spacing w:after="0" w:line="176" w:lineRule="exact"/>
        <w:rPr>
          <w:sz w:val="20"/>
          <w:szCs w:val="20"/>
          <w:color w:val="auto"/>
        </w:rPr>
      </w:pPr>
    </w:p>
    <w:p>
      <w:pPr>
        <w:ind w:left="60" w:right="159" w:firstLine="324"/>
        <w:spacing w:after="0" w:line="279" w:lineRule="auto"/>
        <w:rPr>
          <w:sz w:val="20"/>
          <w:szCs w:val="20"/>
          <w:color w:val="auto"/>
        </w:rPr>
      </w:pPr>
      <w:r>
        <w:rPr>
          <w:rFonts w:ascii="Arial" w:cs="Arial" w:eastAsia="Arial" w:hAnsi="Arial"/>
          <w:sz w:val="17"/>
          <w:szCs w:val="17"/>
          <w:color w:val="auto"/>
        </w:rPr>
        <w:t>We believe that BXCL701, if successfully developed and approved, may provide a platform for combination with immunotherapy modalities that go beyond the currently approved immune checkpoint agents that target the PD-1 / Programmed Cell Death Ligand 1 (“PD-L1”) axis. Following our proof-of-concept trials, we plan to conduct clinical trials covering a broad range of additional combinations with other immunotherapy agents, including:</w:t>
      </w:r>
    </w:p>
    <w:p>
      <w:pPr>
        <w:spacing w:after="0" w:line="171" w:lineRule="exact"/>
        <w:rPr>
          <w:sz w:val="20"/>
          <w:szCs w:val="20"/>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immune checkpoint inhibitors (other than PD-1/PD-L1);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cellular therapies (i.e., chimeric antigen receptor T-cell and natural killer cell therapies);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therapeutic vaccines;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Antibody-dependent cellular cytotoxicity driven monoclonal antibodies.</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Immuno-Oncology Product Candidates</w:t>
      </w:r>
    </w:p>
    <w:p>
      <w:pPr>
        <w:spacing w:after="0" w:line="229" w:lineRule="exact"/>
        <w:rPr>
          <w:sz w:val="20"/>
          <w:szCs w:val="20"/>
          <w:color w:val="auto"/>
        </w:rPr>
      </w:pPr>
    </w:p>
    <w:p>
      <w:pPr>
        <w:ind w:left="60" w:right="139" w:firstLine="324"/>
        <w:spacing w:after="0" w:line="301" w:lineRule="auto"/>
        <w:rPr>
          <w:sz w:val="20"/>
          <w:szCs w:val="20"/>
          <w:color w:val="auto"/>
        </w:rPr>
      </w:pPr>
      <w:r>
        <w:rPr>
          <w:rFonts w:ascii="Arial" w:cs="Arial" w:eastAsia="Arial" w:hAnsi="Arial"/>
          <w:sz w:val="16"/>
          <w:szCs w:val="16"/>
          <w:color w:val="auto"/>
        </w:rPr>
        <w:t>Our immuno-oncology program is based on utilizing a comprehensive map of all currently known relationships that link immuno-evasion and immuno-activation pathways and targets with thousands of pharmacological agents and tumor indications. This comprehensive map permits us to select a potential pipeline of candidates based on our ability to alter the tumor micro-environment and the potential to address relevant unmet medical needs for various tumor types.</w:t>
      </w:r>
    </w:p>
    <w:p>
      <w:pPr>
        <w:spacing w:after="0" w:line="157" w:lineRule="exact"/>
        <w:rPr>
          <w:sz w:val="20"/>
          <w:szCs w:val="20"/>
          <w:color w:val="auto"/>
        </w:rPr>
      </w:pPr>
    </w:p>
    <w:p>
      <w:pPr>
        <w:ind w:left="60" w:right="679" w:firstLine="324"/>
        <w:spacing w:after="0" w:line="257" w:lineRule="auto"/>
        <w:rPr>
          <w:sz w:val="20"/>
          <w:szCs w:val="20"/>
          <w:color w:val="auto"/>
        </w:rPr>
      </w:pPr>
      <w:r>
        <w:rPr>
          <w:rFonts w:ascii="Arial" w:cs="Arial" w:eastAsia="Arial" w:hAnsi="Arial"/>
          <w:sz w:val="18"/>
          <w:szCs w:val="18"/>
          <w:color w:val="auto"/>
        </w:rPr>
        <w:t>Finally, we continually leverage the Company’s AI platform to select and prioritize additional development opportunities to expand the current portfolio and broaden the addressable market for our lead programs through the identification of new indications. This includes exploring additional combination therapy approaches to expand BXCL701’s target indications beyond small cell neuroendocrine prostate cancer and metastatic castration-resistant prostate cancer.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Our policy is to protect and enhance the proprietary technologies, inventions, and improvements that are commercially important to our business by filing patent applications in the U.S. and other jurisdictions related to our proprietary technology, inventions, improvements, and product candidates. We also rely on trademarks, trade secrets, and know-how relating to our proprietary technologies and product candidates, continuing innovation, and in-licensing technology and products. This reliance is expected to develop, maintain, and strengthen our proprietary position for novel therapeutics and novel formulations of existing therapeutics across multiple therapeutic areas. We also plan to rely on data exclusivity, market exclusivity, and patent term extensions when available.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Patent Portfolio</w:t>
      </w:r>
    </w:p>
    <w:p>
      <w:pPr>
        <w:spacing w:after="0" w:line="225" w:lineRule="exact"/>
        <w:rPr>
          <w:sz w:val="20"/>
          <w:szCs w:val="20"/>
          <w:color w:val="auto"/>
        </w:rPr>
      </w:pPr>
    </w:p>
    <w:p>
      <w:pPr>
        <w:ind w:left="60" w:right="139" w:firstLine="324"/>
        <w:spacing w:after="0" w:line="285" w:lineRule="auto"/>
        <w:rPr>
          <w:sz w:val="20"/>
          <w:szCs w:val="20"/>
          <w:color w:val="auto"/>
        </w:rPr>
      </w:pPr>
      <w:r>
        <w:rPr>
          <w:rFonts w:ascii="Arial" w:cs="Arial" w:eastAsia="Arial" w:hAnsi="Arial"/>
          <w:sz w:val="16"/>
          <w:szCs w:val="16"/>
          <w:color w:val="auto"/>
        </w:rPr>
        <w:t>We have multiple patent families filed to protect our BXCL501 program. As of October 31, 2022, our BXCL501 patent portfolio included four Patent Cooperation Treaty (“PCT”) applications, 12 U.S. utility applications (two of which are allowed), two issued U.S. utility patents, four U.S. provisional patent applications, 83 pending non-U.S. applications, seven allowed or granted non-U.S. patents (including three in Japan), one design patent application, which is a U.S. design application, and 34 allowed or registered design patents (including two in Japan). U.S. Pat. No. 10,792,246, directed to our proprietary sublingual thin-film formulation of Dex, was issued on October 6, 2020, and has a term set to expire no earlier than 2039. U.S. Patent No. 10,792,246 is now listed in the FDA's Approved Drug Products with Therapeutic Equivalence Evaluations (the “Orange Book”). Three additional U.S. applications in this family are allowed. In the same family, we also have a granted patent in China, a granted patent in Eurasia, and pending applications in the U.S., China, and other major markets. We expect that patents issuing in this family will expire no earlier than 2039. We have also filed applications in additional patent families that are relevant to BXCL501. We have applications pending in the U.S., Europe and Japan directed to methods of treating insomnia using sublingual Dex. We expect that patents issuing from these applications, if any, will expire no earlier than 2035. We also have applications filed in 16 regions, including the U.S., Europe, Japan, and China, directed to methods of treating agitation. We expect that patents issuing from these applications, if any, will expire no earlier than 2037. We have one U.S. application and one European application directed to intravenous administration of Dex. We expect that patents issuing from these applications, if any, will expire no earlier than 2039. We also have one PCT application directed to treating mania and another to treating depression. If patents issue from those cases, we expect them to expire no earlier than 2041 and 2042, respectively.</w:t>
      </w:r>
    </w:p>
    <w:p>
      <w:pPr>
        <w:spacing w:after="0" w:line="171" w:lineRule="exact"/>
        <w:rPr>
          <w:sz w:val="20"/>
          <w:szCs w:val="20"/>
          <w:color w:val="auto"/>
        </w:rPr>
      </w:pPr>
    </w:p>
    <w:p>
      <w:pPr>
        <w:ind w:left="60" w:right="219" w:firstLine="324"/>
        <w:spacing w:after="0" w:line="286" w:lineRule="auto"/>
        <w:rPr>
          <w:sz w:val="20"/>
          <w:szCs w:val="20"/>
          <w:color w:val="auto"/>
        </w:rPr>
      </w:pPr>
      <w:r>
        <w:rPr>
          <w:rFonts w:ascii="Arial" w:cs="Arial" w:eastAsia="Arial" w:hAnsi="Arial"/>
          <w:sz w:val="17"/>
          <w:szCs w:val="17"/>
          <w:color w:val="auto"/>
        </w:rPr>
        <w:t>We have multiple patent families filed to protect our BXCL701 program, including our core patent family directed to methods of using BXCL701 with immune checkpoint inhibitors, which is granted in Japan, Australia, Canada, Russia, China and South Africa, and pending in the U.S., Mexico, the Republic of Korea, the UAE, New Zealand,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Russia, Australia, Brazil, Hong Kong, and Europe. Patents issuing from this family are expected to expire no earlier than 2036.</w:t>
      </w:r>
    </w:p>
    <w:p>
      <w:pPr>
        <w:spacing w:after="0" w:line="170" w:lineRule="exact"/>
        <w:rPr>
          <w:sz w:val="20"/>
          <w:szCs w:val="20"/>
          <w:color w:val="auto"/>
        </w:rPr>
      </w:pPr>
    </w:p>
    <w:p>
      <w:pPr>
        <w:jc w:val="both"/>
        <w:ind w:left="60" w:right="299" w:firstLine="324"/>
        <w:spacing w:after="0" w:line="259" w:lineRule="auto"/>
        <w:rPr>
          <w:sz w:val="20"/>
          <w:szCs w:val="20"/>
          <w:color w:val="auto"/>
        </w:rPr>
      </w:pPr>
      <w:r>
        <w:rPr>
          <w:rFonts w:ascii="Arial" w:cs="Arial" w:eastAsia="Arial" w:hAnsi="Arial"/>
          <w:sz w:val="18"/>
          <w:szCs w:val="18"/>
          <w:color w:val="auto"/>
        </w:rPr>
        <w:t>Additional applications are directed to administering BXCL701 in combinations with various other molecules and dosing regimens. We also have one provisional application directed to novel formulations of BXCL701, various dosing regimens, methods of use, and combination therapies. We expect that patents issuing from these applications, if any, will expire from 2039 to 2042.</w:t>
      </w:r>
    </w:p>
    <w:p>
      <w:pPr>
        <w:spacing w:after="0" w:line="187" w:lineRule="exact"/>
        <w:rPr>
          <w:sz w:val="20"/>
          <w:szCs w:val="20"/>
          <w:color w:val="auto"/>
        </w:rPr>
      </w:pPr>
    </w:p>
    <w:p>
      <w:pPr>
        <w:ind w:left="60" w:right="199" w:firstLine="324"/>
        <w:spacing w:after="0" w:line="286"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obtained. In most countries, including the U.S., the patent term is 20 years from the earliest filing date of a non-provisional patent application. Depending upon the timing, duration, and specifics of FDA approval of our product candidates, a U.S. patent that we own or license may be eligible for limited patent term extension under the Drug Price Competition and Patent Term Restoration Act of 1984 (a.k.a., the “Hatch-Waxman Act”). The act permits a patent restoration term of up to five years as compensation for patent term lost during product development and the drug approval regulatory review process. However, patent term restoration cannot extend the remaining term of a patent beyond a total of 14 years from the product’s approval date. The patent term restoration period is generally one-half the time between the effective date of an investigational new drug (“IND”), and the submission date of a new drug application (“NDA”), plus the time between the submission date of an NDA and the approval of that application. Only one patent applicable to an approved drug is eligible for the extension, and the application for extension must be made prior to patent expiration. The U.S. Patent and Trademark Office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67" w:lineRule="exact"/>
        <w:rPr>
          <w:sz w:val="20"/>
          <w:szCs w:val="20"/>
          <w:color w:val="auto"/>
        </w:rPr>
      </w:pPr>
    </w:p>
    <w:p>
      <w:pPr>
        <w:ind w:left="60" w:right="319" w:firstLine="324"/>
        <w:spacing w:after="0" w:line="290" w:lineRule="auto"/>
        <w:rPr>
          <w:sz w:val="20"/>
          <w:szCs w:val="20"/>
          <w:color w:val="auto"/>
        </w:rPr>
      </w:pPr>
      <w:r>
        <w:rPr>
          <w:rFonts w:ascii="Arial" w:cs="Arial" w:eastAsia="Arial" w:hAnsi="Arial"/>
          <w:sz w:val="16"/>
          <w:szCs w:val="16"/>
          <w:color w:val="auto"/>
        </w:rPr>
        <w:t>The term of a patent can also be extended by Patent Term Adjustment (“PTA”) established in 35 USC 154(b). The intention of the PTA is to accommodate for delays caused by the USPTO during the prosecution of a US utility or plant patent application. Under PTA, the USPTO delay is divided into three types: type A (delays after 14 months from the filing date of the application until the USPTO issues a first Office Action and delays after four months from the filing of certain actions by the applicant until the USPTO responds to such actions); type B (delays after three years from the earliest effective filing date until a patent is granted); and type C (delays due to interferences, secrecy orders, and successful appeals). The total amount of PTA is calculated by adding the types A, B, and C delays, and then subtracting any delay that is overlapped among three types or that is attributable to the applicant.</w:t>
      </w:r>
    </w:p>
    <w:p>
      <w:pPr>
        <w:spacing w:after="0" w:line="165" w:lineRule="exact"/>
        <w:rPr>
          <w:sz w:val="20"/>
          <w:szCs w:val="20"/>
          <w:color w:val="auto"/>
        </w:rPr>
      </w:pPr>
    </w:p>
    <w:p>
      <w:pPr>
        <w:jc w:val="both"/>
        <w:ind w:left="60" w:right="219" w:firstLine="324"/>
        <w:spacing w:after="0" w:line="301" w:lineRule="auto"/>
        <w:rPr>
          <w:sz w:val="20"/>
          <w:szCs w:val="20"/>
          <w:color w:val="auto"/>
        </w:rPr>
      </w:pPr>
      <w:r>
        <w:rPr>
          <w:rFonts w:ascii="Arial" w:cs="Arial" w:eastAsia="Arial" w:hAnsi="Arial"/>
          <w:sz w:val="16"/>
          <w:szCs w:val="16"/>
          <w:color w:val="auto"/>
        </w:rPr>
        <w:t>The term of a patent can also be shortened by a terminal disclaimer. A terminal disclaimer is a statement filed by a patent owner in which the owner disclaims or dedicates to the public the terminal part of the term of a patent. Often, the terminal disclaimer is filed in cases where at least one claim of a pending application would have been obvious in light of at least one claim in an earlier-filed patent, AKA non-statutory obviousness-type double patenting rejection.</w:t>
      </w:r>
    </w:p>
    <w:p>
      <w:pPr>
        <w:spacing w:after="0" w:line="157"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The patent positions of companies such as ours are generally uncertain and involve complex legal and factual questions. No consistent policy regarding the scope of claims allowable in patents in the field of method of use patents or reformulation patents has emerged in the U.S. Patent laws and their interpretation outside of the U.S. are also uncertain. Changes in either the patent laws or their interpretation in the U.S. and other countries may diminish our ability to protect our technology or product candidates and enforce the patent rights that we license, and also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company owned intellectual property,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the manufacture of those products.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the issued patents that we in-license and those that may issue in the future may be challenged, invalidated, or circumvented, which could limit our ability to stop competitors from marketing related</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90" w:lineRule="auto"/>
        <w:rPr>
          <w:sz w:val="20"/>
          <w:szCs w:val="20"/>
          <w:color w:val="auto"/>
        </w:rPr>
      </w:pPr>
      <w:r>
        <w:rPr>
          <w:rFonts w:ascii="Arial" w:cs="Arial" w:eastAsia="Arial" w:hAnsi="Arial"/>
          <w:sz w:val="16"/>
          <w:szCs w:val="16"/>
          <w:color w:val="auto"/>
        </w:rPr>
        <w:t>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outside the scope of the rights granted under any issued patents that we own or exclusively in license.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right="799" w:firstLine="324"/>
        <w:spacing w:after="0" w:line="277" w:lineRule="auto"/>
        <w:rPr>
          <w:sz w:val="20"/>
          <w:szCs w:val="20"/>
          <w:color w:val="auto"/>
        </w:rPr>
      </w:pPr>
      <w:r>
        <w:rPr>
          <w:rFonts w:ascii="Arial" w:cs="Arial" w:eastAsia="Arial" w:hAnsi="Arial"/>
          <w:sz w:val="18"/>
          <w:szCs w:val="18"/>
          <w:color w:val="auto"/>
        </w:rPr>
        <w:t>The Company’s condensed consolidated financial statements are prepared in accordance with U.S. Generally Accepted Accounting Principles (“GAAP”).</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60" w:right="659" w:firstLine="324"/>
        <w:spacing w:after="0" w:line="277" w:lineRule="auto"/>
        <w:rPr>
          <w:sz w:val="20"/>
          <w:szCs w:val="20"/>
          <w:color w:val="auto"/>
        </w:rPr>
      </w:pPr>
      <w:r>
        <w:rPr>
          <w:rFonts w:ascii="Arial" w:cs="Arial" w:eastAsia="Arial" w:hAnsi="Arial"/>
          <w:sz w:val="18"/>
          <w:szCs w:val="18"/>
          <w:color w:val="auto"/>
        </w:rPr>
        <w:t>As of September 30, 2022, sales resulted from early product trials and limited market access. During the fourth quarter of 2022, we began contracting directly with intermediaries such as GPOs.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Cost of Goods Sold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Cost of goods sold primarily relates to the costs to produce, package and deliver our product to customers.</w:t>
      </w:r>
    </w:p>
    <w:p>
      <w:pPr>
        <w:spacing w:after="0" w:line="23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60" w:right="199" w:firstLine="324"/>
        <w:spacing w:after="0" w:line="272" w:lineRule="auto"/>
        <w:rPr>
          <w:sz w:val="20"/>
          <w:szCs w:val="20"/>
          <w:color w:val="auto"/>
        </w:rPr>
      </w:pPr>
      <w:r>
        <w:rPr>
          <w:rFonts w:ascii="Arial" w:cs="Arial" w:eastAsia="Arial" w:hAnsi="Arial"/>
          <w:sz w:val="17"/>
          <w:szCs w:val="17"/>
          <w:color w:val="auto"/>
        </w:rPr>
        <w:t>Our research and development expenses reflect costs incurred for the research and development of our clinical and preclinical product candidates, which includes payments to BioXcel LLC. Research and development expenses primarily consist of salary, benefits and non-cash stock-based compensation for our research and development personnel, costs incurred under agreements with contract research organizations (“CROs”) and sites that conduct our non-clinical studies and clinical trials, costs of outside consultants engaged in research and development activities, including their fees, stock-based compensation and travel expenses, the cost of acquiring, developing and manufacturing preclinical and clinical trial materials and lab supplies, and depreciation and other expenses.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expense research and development costs as incurred.</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Our research and development costs by program for the three and nine months ended September 30, 2022 and 2021 were as follows:</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6"/>
                <w:szCs w:val="16"/>
                <w:color w:val="auto"/>
              </w:rPr>
            </w:pPr>
          </w:p>
        </w:tc>
        <w:tc>
          <w:tcPr>
            <w:tcW w:w="184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1"/>
        </w:trPr>
        <w:tc>
          <w:tcPr>
            <w:tcW w:w="4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7"/>
                <w:szCs w:val="17"/>
                <w:color w:val="auto"/>
              </w:rPr>
            </w:pPr>
          </w:p>
        </w:tc>
        <w:tc>
          <w:tcPr>
            <w:tcW w:w="184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4580" w:type="dxa"/>
            <w:vAlign w:val="bottom"/>
            <w:vMerge w:val="restart"/>
          </w:tcPr>
          <w:p>
            <w:pPr>
              <w:ind w:left="20"/>
              <w:spacing w:after="0"/>
              <w:rPr>
                <w:sz w:val="20"/>
                <w:szCs w:val="20"/>
                <w:color w:val="auto"/>
              </w:rPr>
            </w:pPr>
            <w:r>
              <w:rPr>
                <w:rFonts w:ascii="Arial" w:cs="Arial" w:eastAsia="Arial" w:hAnsi="Arial"/>
                <w:sz w:val="18"/>
                <w:szCs w:val="18"/>
                <w:color w:val="auto"/>
              </w:rPr>
              <w:t>Direct external costs</w:t>
            </w: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4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BXCL501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12,613</w:t>
            </w:r>
          </w:p>
        </w:tc>
        <w:tc>
          <w:tcPr>
            <w:tcW w:w="0" w:type="dxa"/>
            <w:vAlign w:val="bottom"/>
          </w:tcPr>
          <w:p>
            <w:pPr>
              <w:spacing w:after="0"/>
              <w:rPr>
                <w:sz w:val="1"/>
                <w:szCs w:val="1"/>
                <w:color w:val="auto"/>
              </w:rPr>
            </w:pPr>
          </w:p>
        </w:tc>
      </w:tr>
      <w:tr>
        <w:trPr>
          <w:trHeight w:val="216"/>
        </w:trPr>
        <w:tc>
          <w:tcPr>
            <w:tcW w:w="4580" w:type="dxa"/>
            <w:vAlign w:val="bottom"/>
          </w:tcPr>
          <w:p>
            <w:pPr>
              <w:ind w:left="220"/>
              <w:spacing w:after="0"/>
              <w:rPr>
                <w:sz w:val="20"/>
                <w:szCs w:val="20"/>
                <w:color w:val="auto"/>
              </w:rPr>
            </w:pPr>
            <w:r>
              <w:rPr>
                <w:rFonts w:ascii="Arial" w:cs="Arial" w:eastAsia="Arial" w:hAnsi="Arial"/>
                <w:sz w:val="18"/>
                <w:szCs w:val="18"/>
                <w:color w:val="auto"/>
              </w:rPr>
              <w:t>BXCL701</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6,909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8,520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research and development programs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8"/>
                <w:szCs w:val="18"/>
                <w:color w:val="auto"/>
              </w:rPr>
              <w:t>Total direct external costs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15,747</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6,528</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39,241</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22,364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 personnel costs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17,032</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16,080</w:t>
            </w:r>
          </w:p>
        </w:tc>
        <w:tc>
          <w:tcPr>
            <w:tcW w:w="0" w:type="dxa"/>
            <w:vAlign w:val="bottom"/>
          </w:tcPr>
          <w:p>
            <w:pPr>
              <w:spacing w:after="0"/>
              <w:rPr>
                <w:sz w:val="1"/>
                <w:szCs w:val="1"/>
                <w:color w:val="auto"/>
              </w:rPr>
            </w:pPr>
          </w:p>
        </w:tc>
      </w:tr>
      <w:tr>
        <w:trPr>
          <w:trHeight w:val="209"/>
        </w:trPr>
        <w:tc>
          <w:tcPr>
            <w:tcW w:w="4580" w:type="dxa"/>
            <w:vAlign w:val="bottom"/>
          </w:tcPr>
          <w:p>
            <w:pPr>
              <w:ind w:left="220"/>
              <w:spacing w:after="0"/>
              <w:rPr>
                <w:sz w:val="20"/>
                <w:szCs w:val="20"/>
                <w:color w:val="auto"/>
              </w:rPr>
            </w:pPr>
            <w:r>
              <w:rPr>
                <w:rFonts w:ascii="Arial" w:cs="Arial" w:eastAsia="Arial" w:hAnsi="Arial"/>
                <w:sz w:val="18"/>
                <w:szCs w:val="18"/>
                <w:color w:val="auto"/>
              </w:rPr>
              <w:t>Sub-total direct costs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21,368</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11,188</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56,273</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38,444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Indirect costs and overhead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Research and development tax credit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(416)</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58,780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left="60" w:right="379" w:firstLine="324"/>
        <w:spacing w:after="0" w:line="259" w:lineRule="auto"/>
        <w:rPr>
          <w:sz w:val="20"/>
          <w:szCs w:val="20"/>
          <w:color w:val="auto"/>
        </w:rPr>
      </w:pPr>
      <w:r>
        <w:rPr>
          <w:rFonts w:ascii="Arial" w:cs="Arial" w:eastAsia="Arial" w:hAnsi="Arial"/>
          <w:sz w:val="18"/>
          <w:szCs w:val="18"/>
          <w:color w:val="auto"/>
        </w:rPr>
        <w:t>Selling, general and administrative expenses primarily consist of salaries, benefits and non-cash stock-based compensation for our executive and administrative personnel. Selling, general and administrative expenses also include legal expenses to pursue patent protection of our intellectual property, professional fees for audit and tax services and insurance charges.</w:t>
      </w:r>
    </w:p>
    <w:p>
      <w:pPr>
        <w:spacing w:after="0" w:line="187" w:lineRule="exact"/>
        <w:rPr>
          <w:sz w:val="20"/>
          <w:szCs w:val="20"/>
          <w:color w:val="auto"/>
        </w:rPr>
      </w:pPr>
    </w:p>
    <w:p>
      <w:pPr>
        <w:ind w:left="60" w:right="199" w:firstLine="324"/>
        <w:spacing w:after="0" w:line="252" w:lineRule="auto"/>
        <w:rPr>
          <w:sz w:val="20"/>
          <w:szCs w:val="20"/>
          <w:color w:val="auto"/>
        </w:rPr>
      </w:pPr>
      <w:r>
        <w:rPr>
          <w:rFonts w:ascii="Arial" w:cs="Arial" w:eastAsia="Arial" w:hAnsi="Arial"/>
          <w:sz w:val="17"/>
          <w:szCs w:val="17"/>
          <w:color w:val="auto"/>
        </w:rPr>
        <w:t>We expect that our selling, general and administrative expenses will increase as we expand our clinical programs. We also expect increased administrative costs resulting from our clinical trials and the commercialization of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potential commercialization of our product candidates. We believe that these increases will likely include increased costs for director and officer liability insurance, hiring additional personnel to support future market research and current and future product commercialization efforts and increased fees for outside consultants, attorneys and accountants. We may also incur increased costs to comply with corporate governance, internal controls, investor relations and disclosures and similar requirements applicable to public companies.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left="60" w:right="699" w:firstLine="324"/>
        <w:spacing w:after="0" w:line="286" w:lineRule="auto"/>
        <w:rPr>
          <w:sz w:val="20"/>
          <w:szCs w:val="20"/>
          <w:color w:val="auto"/>
        </w:rPr>
      </w:pPr>
      <w:r>
        <w:rPr>
          <w:rFonts w:ascii="Arial" w:cs="Arial" w:eastAsia="Arial" w:hAnsi="Arial"/>
          <w:sz w:val="17"/>
          <w:szCs w:val="17"/>
          <w:color w:val="auto"/>
        </w:rPr>
        <w:t>Other income (expense) primarily consists of interest costs associated with the strategic financing facility the Company entered into in April 2022. We expect that other income (expense) will increase in the future, as we meet additional milestones and draw down additional funds under the strategic financing facility.</w:t>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left="60" w:right="379" w:firstLine="324"/>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3 to the condensed consolidated financial statements included elsewhere in this Quarterly Report on Form 10-Q.</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Revenues</w:t>
      </w:r>
    </w:p>
    <w:p>
      <w:pPr>
        <w:spacing w:after="0" w:line="219" w:lineRule="exact"/>
        <w:rPr>
          <w:sz w:val="20"/>
          <w:szCs w:val="20"/>
          <w:color w:val="auto"/>
        </w:rPr>
      </w:pPr>
    </w:p>
    <w:p>
      <w:pPr>
        <w:ind w:left="60" w:right="199" w:firstLine="324"/>
        <w:spacing w:after="0" w:line="226" w:lineRule="auto"/>
        <w:rPr>
          <w:sz w:val="20"/>
          <w:szCs w:val="20"/>
          <w:color w:val="auto"/>
        </w:rPr>
      </w:pPr>
      <w:r>
        <w:rPr>
          <w:rFonts w:ascii="Arial" w:cs="Arial" w:eastAsia="Arial" w:hAnsi="Arial"/>
          <w:sz w:val="16"/>
          <w:szCs w:val="16"/>
          <w:color w:val="auto"/>
        </w:rPr>
        <w:t>Revenues in the three months ended September 30, 2022 were $137, comprised of sales of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subsequent to commercial launch.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received FDA approval in April 2022, thus there were no revenues in the three months ended September 30, 2021. Sales to date resulted from early product trials and limited market access.</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Cost of Goods Sold</w:t>
      </w:r>
    </w:p>
    <w:p>
      <w:pPr>
        <w:spacing w:after="0" w:line="229" w:lineRule="exact"/>
        <w:rPr>
          <w:sz w:val="20"/>
          <w:szCs w:val="20"/>
          <w:color w:val="auto"/>
        </w:rPr>
      </w:pPr>
    </w:p>
    <w:p>
      <w:pPr>
        <w:ind w:left="60" w:right="379" w:firstLine="324"/>
        <w:spacing w:after="0" w:line="222" w:lineRule="auto"/>
        <w:rPr>
          <w:sz w:val="20"/>
          <w:szCs w:val="20"/>
          <w:color w:val="auto"/>
        </w:rPr>
      </w:pPr>
      <w:r>
        <w:rPr>
          <w:rFonts w:ascii="Arial" w:cs="Arial" w:eastAsia="Arial" w:hAnsi="Arial"/>
          <w:sz w:val="18"/>
          <w:szCs w:val="18"/>
          <w:color w:val="auto"/>
        </w:rPr>
        <w:t>Cost of goods sold in the three months ended September 30, 2022 were $11, which primarily related to the costs to produce, package and deliver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to customers.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received FDA approval in April 2022, thus there were no cost of goods sold in the three months ended September 30, 2021.</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Research and development expenses for the three months ended September 30, 2022 and 2021 were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Change</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Clinical trials expense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10,731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7,248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Chemical, manufacturing and controls cost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Travel and other costs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09"/>
        </w:trPr>
        <w:tc>
          <w:tcPr>
            <w:tcW w:w="518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22,062</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11,933</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10,129</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overall increase of $10,129 for the three months ended September 30, 2022 was primarily attributable to:</w:t>
      </w:r>
    </w:p>
    <w:p>
      <w:pPr>
        <w:spacing w:after="0" w:line="237" w:lineRule="exact"/>
        <w:rPr>
          <w:sz w:val="20"/>
          <w:szCs w:val="20"/>
          <w:color w:val="auto"/>
        </w:rPr>
      </w:pPr>
    </w:p>
    <w:p>
      <w:pPr>
        <w:ind w:left="720" w:right="279" w:hanging="319"/>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personnel costs related to our efforts to grow our clinical team as we expanded our clinical trials for the use of BXCL501 for agitation in patients with Alzheimer’s disease and MDD.</w:t>
      </w:r>
    </w:p>
    <w:p>
      <w:pPr>
        <w:spacing w:after="0" w:line="170" w:lineRule="exact"/>
        <w:rPr>
          <w:rFonts w:ascii="Arial" w:cs="Arial" w:eastAsia="Arial" w:hAnsi="Arial"/>
          <w:sz w:val="18"/>
          <w:szCs w:val="18"/>
          <w:color w:val="auto"/>
        </w:rPr>
      </w:pPr>
    </w:p>
    <w:p>
      <w:pPr>
        <w:ind w:left="720" w:right="499" w:hanging="319"/>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clinical trial expenses due to the on-going TRANQUILITY II study of BXCL501 for the potential treatment of agitation in patients with Alzheimer’s disease.</w:t>
      </w:r>
    </w:p>
    <w:p>
      <w:pPr>
        <w:spacing w:after="0" w:line="170" w:lineRule="exact"/>
        <w:rPr>
          <w:rFonts w:ascii="Arial" w:cs="Arial" w:eastAsia="Arial" w:hAnsi="Arial"/>
          <w:sz w:val="18"/>
          <w:szCs w:val="18"/>
          <w:color w:val="auto"/>
        </w:rPr>
      </w:pPr>
    </w:p>
    <w:p>
      <w:pPr>
        <w:jc w:val="both"/>
        <w:ind w:left="720" w:right="499" w:hanging="319"/>
        <w:spacing w:after="0" w:line="269"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chemical, manufacturing and controls (“CMC”) costs as we produced materials related to our clinical trials of BXCL501 for the treatment of agitation associated with Alzheimer’s disease, and continued testing required for IGALMI</w:t>
      </w:r>
      <w:r>
        <w:rPr>
          <w:rFonts w:ascii="Arial" w:cs="Arial" w:eastAsia="Arial" w:hAnsi="Arial"/>
          <w:sz w:val="26"/>
          <w:szCs w:val="26"/>
          <w:color w:val="auto"/>
          <w:vertAlign w:val="superscript"/>
        </w:rPr>
        <w:t>TM</w:t>
      </w:r>
      <w:r>
        <w:rPr>
          <w:rFonts w:ascii="Arial" w:cs="Arial" w:eastAsia="Arial" w:hAnsi="Arial"/>
          <w:sz w:val="18"/>
          <w:szCs w:val="18"/>
          <w:color w:val="auto"/>
        </w:rPr>
        <w:t>.</w:t>
      </w:r>
    </w:p>
    <w:p>
      <w:pPr>
        <w:spacing w:after="0" w:line="64" w:lineRule="exact"/>
        <w:rPr>
          <w:rFonts w:ascii="Arial" w:cs="Arial" w:eastAsia="Arial" w:hAnsi="Arial"/>
          <w:sz w:val="18"/>
          <w:szCs w:val="18"/>
          <w:color w:val="auto"/>
        </w:rPr>
      </w:pPr>
    </w:p>
    <w:p>
      <w:pPr>
        <w:ind w:left="720" w:right="319" w:hanging="319"/>
        <w:spacing w:after="0" w:line="340"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Increased travel and other costs as we incurred higher technology costs related to the addition of personnel and increased travel costs as we resumed pre-COVID-19 travel levels and commercially launched IGALMI</w:t>
      </w:r>
      <w:r>
        <w:rPr>
          <w:rFonts w:ascii="Arial" w:cs="Arial" w:eastAsia="Arial" w:hAnsi="Arial"/>
          <w:sz w:val="23"/>
          <w:szCs w:val="23"/>
          <w:color w:val="auto"/>
          <w:vertAlign w:val="superscript"/>
        </w:rPr>
        <w:t>TM</w:t>
      </w:r>
      <w:r>
        <w:rPr>
          <w:rFonts w:ascii="Arial" w:cs="Arial" w:eastAsia="Arial" w:hAnsi="Arial"/>
          <w:sz w:val="16"/>
          <w:szCs w:val="16"/>
          <w:color w:val="auto"/>
        </w:rPr>
        <w:t>.</w:t>
      </w:r>
    </w:p>
    <w:p>
      <w:pPr>
        <w:sectPr>
          <w:pgSz w:w="11900" w:h="16838" w:orient="portrait"/>
          <w:cols w:equalWidth="0" w:num="1">
            <w:col w:w="9019"/>
          </w:cols>
          <w:pgMar w:left="1440" w:top="517" w:right="1440" w:bottom="1440" w:gutter="0" w:footer="0" w:header="0"/>
        </w:sect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firstLine="324"/>
        <w:spacing w:after="0" w:line="301" w:lineRule="auto"/>
        <w:rPr>
          <w:sz w:val="20"/>
          <w:szCs w:val="20"/>
          <w:color w:val="auto"/>
        </w:rPr>
      </w:pPr>
      <w:r>
        <w:rPr>
          <w:rFonts w:ascii="Arial" w:cs="Arial" w:eastAsia="Arial" w:hAnsi="Arial"/>
          <w:sz w:val="16"/>
          <w:szCs w:val="16"/>
          <w:color w:val="auto"/>
        </w:rPr>
        <w:t>The State of Connecticut provides companies with the opportunity to exchange certain research and development credit carryforwards for cash in exchange for foregoing the carryforward of the research and development credit. The program provides for such exchange of the research and development credit at a rate of 65% of the annual research and development credit. The benefit for such exchange is recorded as a reduction of research and development expenses.</w:t>
      </w:r>
    </w:p>
    <w:p>
      <w:pPr>
        <w:spacing w:after="0" w:line="147" w:lineRule="exact"/>
        <w:rPr>
          <w:sz w:val="20"/>
          <w:szCs w:val="20"/>
          <w:color w:val="auto"/>
        </w:rPr>
      </w:pPr>
    </w:p>
    <w:p>
      <w:pPr>
        <w:ind w:left="60" w:right="159" w:firstLine="324"/>
        <w:spacing w:after="0" w:line="183" w:lineRule="auto"/>
        <w:rPr>
          <w:sz w:val="20"/>
          <w:szCs w:val="20"/>
          <w:color w:val="auto"/>
        </w:rPr>
      </w:pPr>
      <w:r>
        <w:rPr>
          <w:rFonts w:ascii="Arial" w:cs="Arial" w:eastAsia="Arial" w:hAnsi="Arial"/>
          <w:sz w:val="18"/>
          <w:szCs w:val="18"/>
          <w:color w:val="auto"/>
        </w:rPr>
        <w:t>Following IGALMI’s</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approval by the FDA, we capitalize costs related to commercial production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as inventory and expense those CMC costs related to clinical trials.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ind w:left="60" w:right="679" w:firstLine="324"/>
        <w:spacing w:after="0" w:line="277" w:lineRule="auto"/>
        <w:rPr>
          <w:sz w:val="20"/>
          <w:szCs w:val="20"/>
          <w:color w:val="auto"/>
        </w:rPr>
      </w:pPr>
      <w:r>
        <w:rPr>
          <w:rFonts w:ascii="Arial" w:cs="Arial" w:eastAsia="Arial" w:hAnsi="Arial"/>
          <w:sz w:val="18"/>
          <w:szCs w:val="18"/>
          <w:color w:val="auto"/>
        </w:rPr>
        <w:t>Selling, general and administrative expenses for the three months ended September 30, 2022 and 2021 were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Change</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(556)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Commercial and marketing</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(1,561)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Travel and other costs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selling, general and administrative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17,054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14,879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overall increase of $2,175 for the three months ended September 30, 2022 was primarily attributable to:</w:t>
      </w:r>
    </w:p>
    <w:p>
      <w:pPr>
        <w:spacing w:after="0" w:line="237" w:lineRule="exact"/>
        <w:rPr>
          <w:sz w:val="20"/>
          <w:szCs w:val="20"/>
          <w:color w:val="auto"/>
        </w:rPr>
      </w:pPr>
    </w:p>
    <w:p>
      <w:pPr>
        <w:ind w:left="720" w:right="519" w:hanging="319"/>
        <w:spacing w:after="0" w:line="282"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personnel and related costs due to our continuing efforts to expand our field based marketing teams for the commercial launch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in the U.S.</w:t>
      </w:r>
    </w:p>
    <w:p>
      <w:pPr>
        <w:spacing w:after="0" w:line="53" w:lineRule="exact"/>
        <w:rPr>
          <w:rFonts w:ascii="Arial" w:cs="Arial" w:eastAsia="Arial" w:hAnsi="Arial"/>
          <w:sz w:val="18"/>
          <w:szCs w:val="18"/>
          <w:color w:val="auto"/>
        </w:rPr>
      </w:pPr>
    </w:p>
    <w:p>
      <w:pPr>
        <w:ind w:left="720" w:right="939" w:hanging="319"/>
        <w:spacing w:after="0" w:line="282"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professional fees due to the expansion of our operations related to the commercial launch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in the U.S., primarily for recruiting and accounting costs.</w:t>
      </w:r>
    </w:p>
    <w:p>
      <w:pPr>
        <w:spacing w:after="0" w:line="53" w:lineRule="exact"/>
        <w:rPr>
          <w:rFonts w:ascii="Arial" w:cs="Arial" w:eastAsia="Arial" w:hAnsi="Arial"/>
          <w:sz w:val="18"/>
          <w:szCs w:val="18"/>
          <w:color w:val="auto"/>
        </w:rPr>
      </w:pPr>
    </w:p>
    <w:p>
      <w:pPr>
        <w:ind w:left="720" w:right="299" w:hanging="319"/>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travel and other costs as we incurred higher technology and other costs related to the addition of personnel and expanding our operations.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These increases were offset by:</w:t>
      </w:r>
    </w:p>
    <w:p>
      <w:pPr>
        <w:spacing w:after="0" w:line="225" w:lineRule="exact"/>
        <w:rPr>
          <w:sz w:val="20"/>
          <w:szCs w:val="20"/>
          <w:color w:val="auto"/>
        </w:rPr>
      </w:pPr>
    </w:p>
    <w:p>
      <w:pPr>
        <w:ind w:left="720" w:right="479" w:hanging="319"/>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Lower non-cash stock-based compensation, which was the result of lower grant date fair values due to lower trading prices of the Company’s common stock.</w:t>
      </w:r>
    </w:p>
    <w:p>
      <w:pPr>
        <w:spacing w:after="0" w:line="160" w:lineRule="exact"/>
        <w:rPr>
          <w:rFonts w:ascii="Arial" w:cs="Arial" w:eastAsia="Arial" w:hAnsi="Arial"/>
          <w:sz w:val="18"/>
          <w:szCs w:val="18"/>
          <w:color w:val="auto"/>
        </w:rPr>
      </w:pPr>
    </w:p>
    <w:p>
      <w:pPr>
        <w:ind w:left="720" w:right="259" w:hanging="319"/>
        <w:spacing w:after="0" w:line="216"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commercial and marketing costs due to reduced spending for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campaign development costs and media purchases.</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ind w:left="60" w:right="939" w:firstLine="324"/>
        <w:spacing w:after="0" w:line="277" w:lineRule="auto"/>
        <w:rPr>
          <w:sz w:val="20"/>
          <w:szCs w:val="20"/>
          <w:color w:val="auto"/>
        </w:rPr>
      </w:pPr>
      <w:r>
        <w:rPr>
          <w:rFonts w:ascii="Arial" w:cs="Arial" w:eastAsia="Arial" w:hAnsi="Arial"/>
          <w:sz w:val="18"/>
          <w:szCs w:val="18"/>
          <w:color w:val="auto"/>
        </w:rPr>
        <w:t>Interest expense increased during the period primarily due to borrowings under the OFA Facilities (defined subsequently herein) the Company entered into in April 2022.</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Revenues</w:t>
      </w:r>
    </w:p>
    <w:p>
      <w:pPr>
        <w:spacing w:after="0" w:line="219" w:lineRule="exact"/>
        <w:rPr>
          <w:sz w:val="20"/>
          <w:szCs w:val="20"/>
          <w:color w:val="auto"/>
        </w:rPr>
      </w:pPr>
    </w:p>
    <w:p>
      <w:pPr>
        <w:ind w:left="60" w:right="259" w:firstLine="324"/>
        <w:spacing w:after="0" w:line="226" w:lineRule="auto"/>
        <w:rPr>
          <w:sz w:val="20"/>
          <w:szCs w:val="20"/>
          <w:color w:val="auto"/>
        </w:rPr>
      </w:pPr>
      <w:r>
        <w:rPr>
          <w:rFonts w:ascii="Arial" w:cs="Arial" w:eastAsia="Arial" w:hAnsi="Arial"/>
          <w:sz w:val="16"/>
          <w:szCs w:val="16"/>
          <w:color w:val="auto"/>
        </w:rPr>
        <w:t>Revenues in the nine months ended September 30, 2022 were $137, comprised of sales of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subsequent to commercial launch.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received FDA approval in April 2022, thus there were no revenues in the nine months ended September 30, 2021. Sales to date resulted from early product trials and limited market access.</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Cost of Goods Sold</w:t>
      </w:r>
    </w:p>
    <w:p>
      <w:pPr>
        <w:spacing w:after="0" w:line="229" w:lineRule="exact"/>
        <w:rPr>
          <w:sz w:val="20"/>
          <w:szCs w:val="20"/>
          <w:color w:val="auto"/>
        </w:rPr>
      </w:pPr>
    </w:p>
    <w:p>
      <w:pPr>
        <w:jc w:val="both"/>
        <w:ind w:left="60" w:right="439" w:firstLine="324"/>
        <w:spacing w:after="0" w:line="222" w:lineRule="auto"/>
        <w:rPr>
          <w:sz w:val="20"/>
          <w:szCs w:val="20"/>
          <w:color w:val="auto"/>
        </w:rPr>
      </w:pPr>
      <w:r>
        <w:rPr>
          <w:rFonts w:ascii="Arial" w:cs="Arial" w:eastAsia="Arial" w:hAnsi="Arial"/>
          <w:sz w:val="18"/>
          <w:szCs w:val="18"/>
          <w:color w:val="auto"/>
        </w:rPr>
        <w:t>Cost of goods sold in the nine months ended September 30, 2022 were $11, which primarily related to the costs to produce, package and deliver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to customers.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received FDA approval in April 2022, thus there were no cost of goods sold in the nine months ended September 30, 2021.</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Research and development expenses for the nine months ended September 30, 2022 and 2021 were as follows: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Nine months ended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(1,845)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Clinical trials expense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22,973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10,591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12,382</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Chemical, manufacturing and controls cost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Travel and other costs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1,086</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518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58,780</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40,183</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18,597</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overall increase of $18,597 for the nine months ended September 30, 2022 was primarily attributable to:</w:t>
      </w:r>
    </w:p>
    <w:p>
      <w:pPr>
        <w:spacing w:after="0" w:line="237" w:lineRule="exact"/>
        <w:rPr>
          <w:sz w:val="20"/>
          <w:szCs w:val="20"/>
          <w:color w:val="auto"/>
        </w:rPr>
      </w:pPr>
    </w:p>
    <w:p>
      <w:pPr>
        <w:ind w:left="720" w:right="27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personnel costs related to our efforts to grow our clinical team as we expanded our clinical trials for the use of BXCL501 for agitation in patients with Alzheimer’s disease and MDD.</w:t>
      </w:r>
    </w:p>
    <w:p>
      <w:pPr>
        <w:spacing w:after="0" w:line="170" w:lineRule="exact"/>
        <w:rPr>
          <w:rFonts w:ascii="Arial" w:cs="Arial" w:eastAsia="Arial" w:hAnsi="Arial"/>
          <w:sz w:val="18"/>
          <w:szCs w:val="18"/>
          <w:color w:val="auto"/>
        </w:rPr>
      </w:pPr>
    </w:p>
    <w:p>
      <w:pPr>
        <w:ind w:left="720" w:right="49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clinical trial expenses due to the on-going TRANQUILITY II study of BXCL501 for the potential treatment of agitation in patients with Alzheimer’s disease.</w:t>
      </w:r>
    </w:p>
    <w:p>
      <w:pPr>
        <w:spacing w:after="0" w:line="170" w:lineRule="exact"/>
        <w:rPr>
          <w:rFonts w:ascii="Arial" w:cs="Arial" w:eastAsia="Arial" w:hAnsi="Arial"/>
          <w:sz w:val="18"/>
          <w:szCs w:val="18"/>
          <w:color w:val="auto"/>
        </w:rPr>
      </w:pPr>
    </w:p>
    <w:p>
      <w:pPr>
        <w:ind w:left="720" w:right="319" w:hanging="319"/>
        <w:spacing w:after="0" w:line="222"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CMC costs as we produced materials related to our clinical trials of BXCL501 for the treatment of agitation associated with Alzheimer’s disease, and continued testing required for IGALMI</w:t>
      </w:r>
      <w:r>
        <w:rPr>
          <w:rFonts w:ascii="Arial" w:cs="Arial" w:eastAsia="Arial" w:hAnsi="Arial"/>
          <w:sz w:val="26"/>
          <w:szCs w:val="26"/>
          <w:color w:val="auto"/>
          <w:vertAlign w:val="superscript"/>
        </w:rPr>
        <w:t>TM</w:t>
      </w:r>
      <w:r>
        <w:rPr>
          <w:rFonts w:ascii="Arial" w:cs="Arial" w:eastAsia="Arial" w:hAnsi="Arial"/>
          <w:sz w:val="18"/>
          <w:szCs w:val="18"/>
          <w:color w:val="auto"/>
        </w:rPr>
        <w:t>, as well as clinical trials of BXCL701 for the treatment of prostate cancer.</w:t>
      </w:r>
    </w:p>
    <w:p>
      <w:pPr>
        <w:spacing w:after="0" w:line="204" w:lineRule="exact"/>
        <w:rPr>
          <w:rFonts w:ascii="Arial" w:cs="Arial" w:eastAsia="Arial" w:hAnsi="Arial"/>
          <w:sz w:val="18"/>
          <w:szCs w:val="18"/>
          <w:color w:val="auto"/>
        </w:rPr>
      </w:pPr>
    </w:p>
    <w:p>
      <w:pPr>
        <w:ind w:left="720" w:right="319" w:hanging="319"/>
        <w:spacing w:after="0" w:line="340" w:lineRule="auto"/>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Increased travel and other costs as we incurred higher technology costs related to the addition of personnel and increased travel costs as we resumed pre-COVID-19 travel levels and commercially launched IGALMI</w:t>
      </w:r>
      <w:r>
        <w:rPr>
          <w:rFonts w:ascii="Arial" w:cs="Arial" w:eastAsia="Arial" w:hAnsi="Arial"/>
          <w:sz w:val="23"/>
          <w:szCs w:val="23"/>
          <w:color w:val="auto"/>
          <w:vertAlign w:val="superscript"/>
        </w:rPr>
        <w:t>TM</w:t>
      </w:r>
      <w:r>
        <w:rPr>
          <w:rFonts w:ascii="Arial" w:cs="Arial" w:eastAsia="Arial" w:hAnsi="Arial"/>
          <w:sz w:val="16"/>
          <w:szCs w:val="16"/>
          <w:color w:val="auto"/>
        </w:rPr>
        <w:t>.</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These increases were offset by:</w:t>
      </w:r>
    </w:p>
    <w:p>
      <w:pPr>
        <w:spacing w:after="0" w:line="225" w:lineRule="exact"/>
        <w:rPr>
          <w:sz w:val="20"/>
          <w:szCs w:val="20"/>
          <w:color w:val="auto"/>
        </w:rPr>
      </w:pPr>
    </w:p>
    <w:p>
      <w:pPr>
        <w:ind w:left="720" w:right="659" w:hanging="319"/>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stock-based compensation, which was the result of lower grant date fair values due to lower trading prices of the Company’s common stock.</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ind w:left="60" w:right="739" w:firstLine="324"/>
        <w:spacing w:after="0" w:line="277" w:lineRule="auto"/>
        <w:rPr>
          <w:sz w:val="20"/>
          <w:szCs w:val="20"/>
          <w:color w:val="auto"/>
        </w:rPr>
      </w:pPr>
      <w:r>
        <w:rPr>
          <w:rFonts w:ascii="Arial" w:cs="Arial" w:eastAsia="Arial" w:hAnsi="Arial"/>
          <w:sz w:val="18"/>
          <w:szCs w:val="18"/>
          <w:color w:val="auto"/>
        </w:rPr>
        <w:t>Selling, general and administrative expenses for the nine months ended September 30, 2022 and 2021 were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Nine months ended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12,064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(2,584)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Commercial and marketing</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Travel and other costs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selling, general and administrative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48,097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40,621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overall increase of $7,476 for the nine months ended September 30, 2022 was primarily attributable to:</w:t>
      </w:r>
    </w:p>
    <w:p>
      <w:pPr>
        <w:spacing w:after="0" w:line="237" w:lineRule="exact"/>
        <w:rPr>
          <w:sz w:val="20"/>
          <w:szCs w:val="20"/>
          <w:color w:val="auto"/>
        </w:rPr>
      </w:pPr>
    </w:p>
    <w:p>
      <w:pPr>
        <w:ind w:left="720" w:right="259" w:hanging="319"/>
        <w:spacing w:after="0" w:line="282"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personnel and related costs due to our continuing efforts to expand our teams for the commercial launch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in the U.S.</w:t>
      </w:r>
    </w:p>
    <w:p>
      <w:pPr>
        <w:spacing w:after="0" w:line="53" w:lineRule="exact"/>
        <w:rPr>
          <w:rFonts w:ascii="Arial" w:cs="Arial" w:eastAsia="Arial" w:hAnsi="Arial"/>
          <w:sz w:val="18"/>
          <w:szCs w:val="18"/>
          <w:color w:val="auto"/>
        </w:rPr>
      </w:pPr>
    </w:p>
    <w:p>
      <w:pPr>
        <w:ind w:left="720" w:right="699" w:hanging="319"/>
        <w:spacing w:after="0" w:line="222"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professional fees due to the expansion of our operations, primarily for corporate legal fees and consulting and recruiting costs related to our commercial launch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in the U.S., as well as the formation of OnkosXcel.</w:t>
      </w:r>
    </w:p>
    <w:p>
      <w:pPr>
        <w:spacing w:after="0" w:line="204" w:lineRule="exact"/>
        <w:rPr>
          <w:rFonts w:ascii="Arial" w:cs="Arial" w:eastAsia="Arial" w:hAnsi="Arial"/>
          <w:sz w:val="18"/>
          <w:szCs w:val="18"/>
          <w:color w:val="auto"/>
        </w:rPr>
      </w:pPr>
    </w:p>
    <w:p>
      <w:pPr>
        <w:ind w:left="720" w:right="739" w:hanging="319"/>
        <w:spacing w:after="0" w:line="222"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travel and other costs as the Company resumed a more traditional travel schedule and commercially launched IGALMI</w:t>
      </w:r>
      <w:r>
        <w:rPr>
          <w:rFonts w:ascii="Arial" w:cs="Arial" w:eastAsia="Arial" w:hAnsi="Arial"/>
          <w:sz w:val="26"/>
          <w:szCs w:val="26"/>
          <w:color w:val="auto"/>
          <w:vertAlign w:val="superscript"/>
        </w:rPr>
        <w:t>TM</w:t>
      </w:r>
      <w:r>
        <w:rPr>
          <w:rFonts w:ascii="Arial" w:cs="Arial" w:eastAsia="Arial" w:hAnsi="Arial"/>
          <w:sz w:val="18"/>
          <w:szCs w:val="18"/>
          <w:color w:val="auto"/>
        </w:rPr>
        <w:t>, and higher technology costs related to the addition of personnel and expanding our operations.</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These increases were offset by:</w:t>
      </w:r>
    </w:p>
    <w:p>
      <w:pPr>
        <w:spacing w:after="0" w:line="225" w:lineRule="exact"/>
        <w:rPr>
          <w:sz w:val="20"/>
          <w:szCs w:val="20"/>
          <w:color w:val="auto"/>
        </w:rPr>
      </w:pPr>
    </w:p>
    <w:p>
      <w:pPr>
        <w:ind w:left="720" w:right="659" w:hanging="319"/>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in stock-based compensation, which was the result of lower grant date fair values due to lower trading prices of the Company’s common stock.</w:t>
      </w:r>
    </w:p>
    <w:p>
      <w:pPr>
        <w:spacing w:after="0" w:line="170" w:lineRule="exact"/>
        <w:rPr>
          <w:rFonts w:ascii="Arial" w:cs="Arial" w:eastAsia="Arial" w:hAnsi="Arial"/>
          <w:sz w:val="18"/>
          <w:szCs w:val="18"/>
          <w:color w:val="auto"/>
        </w:rPr>
      </w:pPr>
    </w:p>
    <w:p>
      <w:pPr>
        <w:ind w:left="720" w:right="179" w:hanging="319"/>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commercial and marketing costs due to reduced spending for market research and campaign development costs.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ind w:left="60" w:right="939" w:firstLine="324"/>
        <w:spacing w:after="0" w:line="277" w:lineRule="auto"/>
        <w:rPr>
          <w:sz w:val="20"/>
          <w:szCs w:val="20"/>
          <w:color w:val="auto"/>
        </w:rPr>
      </w:pPr>
      <w:r>
        <w:rPr>
          <w:rFonts w:ascii="Arial" w:cs="Arial" w:eastAsia="Arial" w:hAnsi="Arial"/>
          <w:sz w:val="18"/>
          <w:szCs w:val="18"/>
          <w:color w:val="auto"/>
        </w:rPr>
        <w:t>Interest expense increased during the period primarily due to borrowings under the OFA Facilities (defined subsequently herein) the Company entered into in April 2022.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0" w:right="199" w:firstLine="324"/>
        <w:spacing w:after="0" w:line="311" w:lineRule="auto"/>
        <w:rPr>
          <w:sz w:val="20"/>
          <w:szCs w:val="20"/>
          <w:color w:val="auto"/>
        </w:rPr>
      </w:pPr>
      <w:r>
        <w:rPr>
          <w:rFonts w:ascii="Arial" w:cs="Arial" w:eastAsia="Arial" w:hAnsi="Arial"/>
          <w:sz w:val="16"/>
          <w:szCs w:val="16"/>
          <w:color w:val="auto"/>
        </w:rPr>
        <w:t>Inflation generally affects us by increasing our cost of labor and clinical trial costs. We do not believe that inflation has had a material effect on our results of operations during the periods presented. For a discussion of inflationary risks to our future revenues under the Inflation Reduction Act, see “</w:t>
      </w:r>
      <w:r>
        <w:rPr>
          <w:rFonts w:ascii="Arial" w:cs="Arial" w:eastAsia="Arial" w:hAnsi="Arial"/>
          <w:sz w:val="16"/>
          <w:szCs w:val="16"/>
          <w:i w:val="1"/>
          <w:iCs w:val="1"/>
          <w:color w:val="auto"/>
        </w:rPr>
        <w:t>Healthcare reform measures could hinder or prevent our</w:t>
      </w: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i w:val="1"/>
          <w:iCs w:val="1"/>
          <w:color w:val="auto"/>
        </w:rPr>
        <w:t>product candidates’ commercial success.</w:t>
      </w:r>
      <w:r>
        <w:rPr>
          <w:rFonts w:ascii="Arial" w:cs="Arial" w:eastAsia="Arial" w:hAnsi="Arial"/>
          <w:sz w:val="18"/>
          <w:szCs w:val="18"/>
          <w:color w:val="auto"/>
        </w:rPr>
        <w:t>” in Part II, Item 1A, “Risk Factors” elsewhere in this Quarterly Report on Form</w:t>
      </w:r>
      <w:r>
        <w:rPr>
          <w:rFonts w:ascii="Arial" w:cs="Arial" w:eastAsia="Arial" w:hAnsi="Arial"/>
          <w:sz w:val="18"/>
          <w:szCs w:val="18"/>
          <w:i w:val="1"/>
          <w:iCs w:val="1"/>
          <w:color w:val="auto"/>
        </w:rPr>
        <w:t xml:space="preserve"> </w:t>
      </w:r>
      <w:r>
        <w:rPr>
          <w:rFonts w:ascii="Arial" w:cs="Arial" w:eastAsia="Arial" w:hAnsi="Arial"/>
          <w:sz w:val="18"/>
          <w:szCs w:val="18"/>
          <w:color w:val="auto"/>
        </w:rPr>
        <w:t>10-Q.</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159" w:firstLine="324"/>
        <w:spacing w:after="0" w:line="289" w:lineRule="auto"/>
        <w:rPr>
          <w:sz w:val="20"/>
          <w:szCs w:val="20"/>
          <w:color w:val="auto"/>
        </w:rPr>
      </w:pPr>
      <w:r>
        <w:rPr>
          <w:rFonts w:ascii="Arial" w:cs="Arial" w:eastAsia="Arial" w:hAnsi="Arial"/>
          <w:sz w:val="16"/>
          <w:szCs w:val="16"/>
          <w:color w:val="auto"/>
        </w:rPr>
        <w:t>As of September 30, 2022, we had cash and cash equivalents of $232,314, working capital of $218,242 and stockholders’ equity of $126,986. Net cash used in operating activities was $96,702 and $62,221 for the nine months ended September 30, 2022 and 2021, respectively. We incurred losses of approximately $41,805 and $26,811 for the three months ended September 30, 2022 and 2021, respectively, and losses of approximately $110,949 and $80,806 for the nine months ended September 30, 2022 and 2021, respectively. We have generated nominal revenues to date and we have not yet achieved profitability. We expect that our research and development and selling, general and administrative expenses will continue to increase and, as a result, we will need to generate significant product revenues to achieve profitability. We believe that our existing cash and cash equivalents as of September 30, 2022, will enable us to fund our operating expenses and capital expenditure requirements for at least one year from the date of this Quarterly Report on Form 10-Q.</w:t>
      </w:r>
    </w:p>
    <w:p>
      <w:pPr>
        <w:spacing w:after="0" w:line="166"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6"/>
          <w:szCs w:val="16"/>
          <w:color w:val="auto"/>
        </w:rPr>
        <w:t>We may obtain additional financing through sales of the Company’s equity securities, entering into strategic partnership arrangements and/or short-term borrowings from banks, stockholders or other related parties, if needed, or a combination of any of the foregoing. There are no assurances that we will be successful in obtaining an adequate level of financing as and when needed to finance our operations on terms acceptable to us or at all, particularly during when there is market uncertainty or an economic downturn. If we are unable to secure adequate additional funding as and when needed on acceptable or commercially reasonable terms, we may have to significantly delay, scale back or discontinue the development and commercialization of one or more product candidates. In addition, there are various macro-economic trends affecting the financing markets whose impact on our liquidity and future funding requirements are uncertain as of the filing date of this Quarterly Report on Form 10-Q. We will need substantial additional funding, and if we are unable to raise capital when needed, we could be forced to delay, reduce or eliminate our product development programs or commercialization efforts. See “Risk Factors – Risks Related to Financial Position and Need for Additional Capital - We will need substantial additional funding, and if we are unable to raise capital when needed, we could be forced to delay, reduce or eliminate our product development programs or commercialization efforts” in Part II. Item 1A. of this Quarterly Report on Form 10-Q.</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60" w:right="419" w:firstLine="324"/>
        <w:spacing w:after="0" w:line="273" w:lineRule="auto"/>
        <w:rPr>
          <w:sz w:val="20"/>
          <w:szCs w:val="20"/>
          <w:color w:val="auto"/>
        </w:rPr>
      </w:pPr>
      <w:r>
        <w:rPr>
          <w:rFonts w:ascii="Arial" w:cs="Arial" w:eastAsia="Arial" w:hAnsi="Arial"/>
          <w:sz w:val="17"/>
          <w:szCs w:val="17"/>
          <w:color w:val="auto"/>
        </w:rPr>
        <w:t>We have focused our efforts on raising capital and building the products in our pipeline. Since our inception, our operations have been financed primarily from proceeds from the sale of equity securities, including our initial public offering (“IPO”), private placements of our common stock, registered offerings of our common stock, an Open Market Sale Agreement (the “Sale Agreement”) with Jefferies LLC (“Jeffries”), and borrowings under strategic financing arrangements (as described below). We have not yet established an ongoing source of revenue sufficient to cover our operating costs and will need to do so in future periods.</w:t>
      </w:r>
    </w:p>
    <w:p>
      <w:pPr>
        <w:spacing w:after="0" w:line="178"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In June 2021, we sold 3,155 shares of our common stock in a registered offering at a public offering price of $31.70 per share. We received proceeds of $96,937, net of issuance costs of $3,076.</w:t>
      </w:r>
    </w:p>
    <w:p>
      <w:pPr>
        <w:spacing w:after="0" w:line="170" w:lineRule="exact"/>
        <w:rPr>
          <w:sz w:val="20"/>
          <w:szCs w:val="20"/>
          <w:color w:val="auto"/>
        </w:rPr>
      </w:pPr>
    </w:p>
    <w:p>
      <w:pPr>
        <w:ind w:left="60" w:right="179" w:firstLine="324"/>
        <w:spacing w:after="0" w:line="275" w:lineRule="auto"/>
        <w:rPr>
          <w:sz w:val="20"/>
          <w:szCs w:val="20"/>
          <w:color w:val="auto"/>
        </w:rPr>
      </w:pPr>
      <w:r>
        <w:rPr>
          <w:rFonts w:ascii="Arial" w:cs="Arial" w:eastAsia="Arial" w:hAnsi="Arial"/>
          <w:sz w:val="17"/>
          <w:szCs w:val="17"/>
          <w:color w:val="auto"/>
        </w:rPr>
        <w:t>In May 2021, we entered into the Sale Agreement with Jefferies pursuant to which we can offer and sell shares of our common stock, having an aggregate offering price of up to $100,000, from time to time, through an “at the market offering” program under which Jefferies will act as sale agent. We sold 124 shares under the Sale Agreement in June 2021 for proceeds of $4,056, net of issuance costs of $500. We did not sell any shares, and no proceeds were received under the Sale Agreement during the nine months ended September 30, 2022.</w:t>
      </w:r>
    </w:p>
    <w:p>
      <w:pPr>
        <w:spacing w:after="0" w:line="176" w:lineRule="exact"/>
        <w:rPr>
          <w:sz w:val="20"/>
          <w:szCs w:val="20"/>
          <w:color w:val="auto"/>
        </w:rPr>
      </w:pPr>
    </w:p>
    <w:p>
      <w:pPr>
        <w:ind w:left="60" w:right="259" w:firstLine="324"/>
        <w:spacing w:after="0" w:line="296" w:lineRule="auto"/>
        <w:rPr>
          <w:sz w:val="20"/>
          <w:szCs w:val="20"/>
          <w:color w:val="auto"/>
        </w:rPr>
      </w:pPr>
      <w:r>
        <w:rPr>
          <w:rFonts w:ascii="Arial" w:cs="Arial" w:eastAsia="Arial" w:hAnsi="Arial"/>
          <w:sz w:val="16"/>
          <w:szCs w:val="16"/>
          <w:color w:val="auto"/>
        </w:rPr>
        <w:t>In April 2022, we entered into two strategic financing agreements;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a Revenue Interest Financing Agreement (the “RIFA”; and together with the Credit Agreement, the “OFA Facilities”) by and among the Company, the purchasers party thereto (the “Purchasers”)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59" w:lineRule="auto"/>
        <w:rPr>
          <w:sz w:val="20"/>
          <w:szCs w:val="20"/>
          <w:color w:val="auto"/>
        </w:rPr>
      </w:pPr>
      <w:r>
        <w:rPr>
          <w:rFonts w:ascii="Arial" w:cs="Arial" w:eastAsia="Arial" w:hAnsi="Arial"/>
          <w:sz w:val="18"/>
          <w:szCs w:val="18"/>
          <w:color w:val="auto"/>
        </w:rPr>
        <w:t>and OFA as administrative agent. Pursuant to the Credit Agreement, the Lenders agreed to loan us up to $135,000 in senior secured term loans. On April 28, 2022, we borrowed the first tranche of $70,000 of loans. The remaining two tranches of the commitments under the Credit Agreement may be borrowed at our option prior to December 31, 2024 as follows:</w:t>
      </w:r>
    </w:p>
    <w:p>
      <w:pPr>
        <w:spacing w:after="0" w:line="187" w:lineRule="exact"/>
        <w:rPr>
          <w:sz w:val="20"/>
          <w:szCs w:val="20"/>
          <w:color w:val="auto"/>
        </w:rPr>
      </w:pPr>
    </w:p>
    <w:p>
      <w:pPr>
        <w:ind w:left="720" w:right="259" w:hanging="319"/>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$35,000 upon satisfaction of certain conditions, including receipt of certain regulatory and financial milestones; and</w:t>
      </w:r>
    </w:p>
    <w:p>
      <w:pPr>
        <w:spacing w:after="0" w:line="170" w:lineRule="exact"/>
        <w:rPr>
          <w:rFonts w:ascii="Arial" w:cs="Arial" w:eastAsia="Arial" w:hAnsi="Arial"/>
          <w:sz w:val="18"/>
          <w:szCs w:val="18"/>
          <w:color w:val="auto"/>
        </w:rPr>
      </w:pPr>
    </w:p>
    <w:p>
      <w:pPr>
        <w:ind w:left="720" w:right="839" w:hanging="319"/>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$30,000 upon satisfaction of certain conditions, including specified minimum net sales of the Company attributable to sales of BXCL501 for a trailing twelve consecutive month period.</w:t>
      </w:r>
    </w:p>
    <w:p>
      <w:pPr>
        <w:spacing w:after="0" w:line="170" w:lineRule="exact"/>
        <w:rPr>
          <w:sz w:val="20"/>
          <w:szCs w:val="20"/>
          <w:color w:val="auto"/>
        </w:rPr>
      </w:pPr>
    </w:p>
    <w:p>
      <w:pPr>
        <w:ind w:left="60" w:right="159" w:firstLine="324"/>
        <w:spacing w:after="0" w:line="229" w:lineRule="auto"/>
        <w:rPr>
          <w:sz w:val="20"/>
          <w:szCs w:val="20"/>
          <w:color w:val="auto"/>
        </w:rPr>
      </w:pPr>
      <w:r>
        <w:rPr>
          <w:rFonts w:ascii="Arial" w:cs="Arial" w:eastAsia="Arial" w:hAnsi="Arial"/>
          <w:sz w:val="18"/>
          <w:szCs w:val="18"/>
          <w:color w:val="auto"/>
        </w:rPr>
        <w:t>Pursuant to the RIFA, the Purchasers agreed to provide us with up to $120,000 in financing for our near-term commercial activities of IGALMI</w:t>
      </w:r>
      <w:r>
        <w:rPr>
          <w:rFonts w:ascii="Arial" w:cs="Arial" w:eastAsia="Arial" w:hAnsi="Arial"/>
          <w:sz w:val="26"/>
          <w:szCs w:val="26"/>
          <w:color w:val="auto"/>
          <w:vertAlign w:val="superscript"/>
        </w:rPr>
        <w:t>TM</w:t>
      </w:r>
      <w:r>
        <w:rPr>
          <w:rFonts w:ascii="Arial" w:cs="Arial" w:eastAsia="Arial" w:hAnsi="Arial"/>
          <w:sz w:val="18"/>
          <w:szCs w:val="18"/>
          <w:color w:val="auto"/>
        </w:rPr>
        <w:t>, development and commercialization of BXCL501 and other general corporate purposes. On July 8, 2022, we drew down the first tranche of $30,000 under the RIFA. The remaining commitments under the RIFA may be drawn at our option prior to December 31, 2024 as follows:</w:t>
      </w:r>
    </w:p>
    <w:p>
      <w:pPr>
        <w:spacing w:after="0" w:line="202" w:lineRule="exact"/>
        <w:rPr>
          <w:sz w:val="20"/>
          <w:szCs w:val="20"/>
          <w:color w:val="auto"/>
        </w:rPr>
      </w:pPr>
    </w:p>
    <w:p>
      <w:pPr>
        <w:ind w:left="720" w:right="279" w:hanging="319"/>
        <w:spacing w:after="0" w:line="263"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$45,000 payment upon satisfaction of certain conditions, including receipt of certain regulatory and patent related milestones and specified minimum net sales of BXCL501 during any consecutive twelve-month period; and</w:t>
      </w:r>
    </w:p>
    <w:p>
      <w:pPr>
        <w:spacing w:after="0" w:line="183" w:lineRule="exact"/>
        <w:rPr>
          <w:rFonts w:ascii="Arial" w:cs="Arial" w:eastAsia="Arial" w:hAnsi="Arial"/>
          <w:sz w:val="18"/>
          <w:szCs w:val="18"/>
          <w:color w:val="auto"/>
        </w:rPr>
      </w:pPr>
    </w:p>
    <w:p>
      <w:pPr>
        <w:ind w:left="720" w:right="279" w:hanging="319"/>
        <w:spacing w:after="0" w:line="342"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$45,000 payment upon satisfaction of certain conditions, including receipt of certain regulatory and patent related milestones and specified minimum net sales of BXCL501 during any consecutive twelve-month period.</w:t>
      </w:r>
    </w:p>
    <w:p>
      <w:pPr>
        <w:spacing w:after="0" w:line="124" w:lineRule="exact"/>
        <w:rPr>
          <w:sz w:val="20"/>
          <w:szCs w:val="20"/>
          <w:color w:val="auto"/>
        </w:rPr>
      </w:pPr>
    </w:p>
    <w:p>
      <w:pPr>
        <w:ind w:left="60" w:right="259" w:firstLine="324"/>
        <w:spacing w:after="0" w:line="263" w:lineRule="auto"/>
        <w:rPr>
          <w:sz w:val="20"/>
          <w:szCs w:val="20"/>
          <w:color w:val="auto"/>
        </w:rPr>
      </w:pPr>
      <w:r>
        <w:rPr>
          <w:rFonts w:ascii="Arial" w:cs="Arial" w:eastAsia="Arial" w:hAnsi="Arial"/>
          <w:sz w:val="18"/>
          <w:szCs w:val="18"/>
          <w:color w:val="auto"/>
        </w:rPr>
        <w:t>In connection with the Credit Agreement, we granted to the Lenders certain warrants to purchase up to 278 shares of our common stock, rights to purchase up to $5,000 of our common stock and warrants to purchase up to 175 individual ownership units (i.e., not in thousands) in OnkosXcel.</w:t>
      </w:r>
    </w:p>
    <w:p>
      <w:pPr>
        <w:spacing w:after="0" w:line="184"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Debt and Credit Facilities</w:t>
      </w:r>
      <w:r>
        <w:rPr>
          <w:rFonts w:ascii="Arial" w:cs="Arial" w:eastAsia="Arial" w:hAnsi="Arial"/>
          <w:sz w:val="18"/>
          <w:szCs w:val="18"/>
          <w:color w:val="auto"/>
        </w:rPr>
        <w:t xml:space="preserve"> in the Notes to Condensed Consolidated Financial Statements included in this Quarterly Report on Form 10-Q for additional information relating to the Credit Agreement and RIFA, including certain restrictive and financial covenants thereunder. As of September 30, 2022, we were in compliance with all restrictive and financial covenants under the Credit Agreement and the RIFA.</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64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provided by:</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(96,702)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(62,221)</w:t>
            </w: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30"/>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96,187</w:t>
            </w: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102,447</w:t>
            </w:r>
          </w:p>
        </w:tc>
      </w:tr>
    </w:tbl>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cash used in operating activities for the nine months ended September 30, 2022 was $96,702, which was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primarily attributable to our net loss of $110,949, a $1,408 increase in inventory, a $4,934 increase in prepaid expenses,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other current assets and other assets, partially offset by $12,790 in non-cash stock-based compensation, as well as a</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$3,795 increase in accounts payable, accrued expenses and other current liabilities and $2,896 increase in accrued interest.</w:t>
      </w:r>
    </w:p>
    <w:p>
      <w:pPr>
        <w:spacing w:after="0" w:line="234" w:lineRule="exact"/>
        <w:rPr>
          <w:sz w:val="20"/>
          <w:szCs w:val="20"/>
          <w:color w:val="auto"/>
        </w:rPr>
      </w:pPr>
    </w:p>
    <w:p>
      <w:pPr>
        <w:ind w:left="60" w:right="339" w:firstLine="324"/>
        <w:spacing w:after="0" w:line="311" w:lineRule="auto"/>
        <w:rPr>
          <w:sz w:val="20"/>
          <w:szCs w:val="20"/>
          <w:color w:val="auto"/>
        </w:rPr>
      </w:pPr>
      <w:r>
        <w:rPr>
          <w:rFonts w:ascii="Arial" w:cs="Arial" w:eastAsia="Arial" w:hAnsi="Arial"/>
          <w:sz w:val="16"/>
          <w:szCs w:val="16"/>
          <w:color w:val="auto"/>
        </w:rPr>
        <w:t>Net cash used in operating activities for the nine months ended September 30, 2021 was $62,221, which was primarily attributable to our net loss of $80,806, partially offset by $17,219 in non-cash stock-based compensation and $221 of depreciation and amortization and a $2,807 increase in accounts payable, accrued expenses and other liabilities.</w:t>
      </w: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ind w:left="60" w:right="579" w:firstLine="324"/>
        <w:spacing w:after="0" w:line="277" w:lineRule="auto"/>
        <w:rPr>
          <w:sz w:val="20"/>
          <w:szCs w:val="20"/>
          <w:color w:val="auto"/>
        </w:rPr>
      </w:pPr>
      <w:r>
        <w:rPr>
          <w:rFonts w:ascii="Arial" w:cs="Arial" w:eastAsia="Arial" w:hAnsi="Arial"/>
          <w:sz w:val="18"/>
          <w:szCs w:val="18"/>
          <w:color w:val="auto"/>
        </w:rPr>
        <w:t>Net cash used in investing activities for the nine months ended September 30, 2022 was $139 and was primarily attributable to the purchase of equipment and leasehold improvements.</w:t>
      </w:r>
    </w:p>
    <w:p>
      <w:pPr>
        <w:spacing w:after="0" w:line="170" w:lineRule="exact"/>
        <w:rPr>
          <w:sz w:val="20"/>
          <w:szCs w:val="20"/>
          <w:color w:val="auto"/>
        </w:rPr>
      </w:pPr>
    </w:p>
    <w:p>
      <w:pPr>
        <w:ind w:left="60" w:right="579" w:firstLine="324"/>
        <w:spacing w:after="0" w:line="277" w:lineRule="auto"/>
        <w:rPr>
          <w:sz w:val="20"/>
          <w:szCs w:val="20"/>
          <w:color w:val="auto"/>
        </w:rPr>
      </w:pPr>
      <w:r>
        <w:rPr>
          <w:rFonts w:ascii="Arial" w:cs="Arial" w:eastAsia="Arial" w:hAnsi="Arial"/>
          <w:sz w:val="18"/>
          <w:szCs w:val="18"/>
          <w:color w:val="auto"/>
        </w:rPr>
        <w:t>Net cash used in investing activities for the nine months ended September 30, 2021 was $433 and was primarily attributable to the purchase of equipment and leasehold improvements.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Financing Activities</w:t>
      </w:r>
    </w:p>
    <w:p>
      <w:pPr>
        <w:spacing w:after="0" w:line="202" w:lineRule="exact"/>
        <w:rPr>
          <w:sz w:val="20"/>
          <w:szCs w:val="20"/>
          <w:color w:val="auto"/>
        </w:rPr>
      </w:pPr>
    </w:p>
    <w:p>
      <w:pPr>
        <w:ind w:left="60" w:right="699" w:firstLine="324"/>
        <w:spacing w:after="0" w:line="277" w:lineRule="auto"/>
        <w:rPr>
          <w:sz w:val="20"/>
          <w:szCs w:val="20"/>
          <w:color w:val="auto"/>
        </w:rPr>
      </w:pPr>
      <w:r>
        <w:rPr>
          <w:rFonts w:ascii="Arial" w:cs="Arial" w:eastAsia="Arial" w:hAnsi="Arial"/>
          <w:sz w:val="18"/>
          <w:szCs w:val="18"/>
          <w:color w:val="auto"/>
        </w:rPr>
        <w:t>Net cash provided by financing activities for the nine months ended September 30, 2022 was $96,187 and was primarily attributable to proceeds received from the OFA Facilities.</w:t>
      </w:r>
    </w:p>
    <w:p>
      <w:pPr>
        <w:spacing w:after="0" w:line="130"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Net cash provided by financing activities for the nine months ended September 30, 2021 was $102,447 and was attributable to $96,937 in net proceeds from the issuance of common stock in our June 2021 public offering, $4,056 in net proceeds from the sale of common stock under our Sale Agreement in June 2021 and $1,454 in proceeds from the exercise of stock options.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Capital and Capital Expenditure Requirements</w:t>
      </w:r>
    </w:p>
    <w:p>
      <w:pPr>
        <w:spacing w:after="0" w:line="198" w:lineRule="exact"/>
        <w:rPr>
          <w:sz w:val="20"/>
          <w:szCs w:val="20"/>
          <w:color w:val="auto"/>
        </w:rPr>
      </w:pPr>
    </w:p>
    <w:p>
      <w:pPr>
        <w:ind w:left="60" w:right="159" w:firstLine="324"/>
        <w:spacing w:after="0" w:line="267" w:lineRule="auto"/>
        <w:rPr>
          <w:sz w:val="20"/>
          <w:szCs w:val="20"/>
          <w:color w:val="auto"/>
        </w:rPr>
      </w:pPr>
      <w:r>
        <w:rPr>
          <w:rFonts w:ascii="Arial" w:cs="Arial" w:eastAsia="Arial" w:hAnsi="Arial"/>
          <w:sz w:val="16"/>
          <w:szCs w:val="16"/>
          <w:color w:val="auto"/>
        </w:rPr>
        <w:t>We expect to continue to incur significant and increasing operating losses at least for the next several years as we commercialize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and as we expand our clinical trials of and seek marketing approval for BXCL501, BXCL502 and BXCL701, while pursuing development of additional product candidates. We expect to continue to incur net losses in the near term. Our net losses may fluctuate significantly from quarter-to-quarter and year-to-year, depending on the timing of our planned clinical trials and our expenditures on other research and development activities.</w:t>
      </w:r>
    </w:p>
    <w:p>
      <w:pPr>
        <w:spacing w:after="0" w:line="143" w:lineRule="exact"/>
        <w:rPr>
          <w:sz w:val="20"/>
          <w:szCs w:val="20"/>
          <w:color w:val="auto"/>
        </w:rPr>
      </w:pPr>
    </w:p>
    <w:p>
      <w:pPr>
        <w:jc w:val="both"/>
        <w:ind w:left="60" w:right="259" w:firstLine="324"/>
        <w:spacing w:after="0" w:line="301" w:lineRule="auto"/>
        <w:rPr>
          <w:sz w:val="20"/>
          <w:szCs w:val="20"/>
          <w:color w:val="auto"/>
        </w:rPr>
      </w:pPr>
      <w:r>
        <w:rPr>
          <w:rFonts w:ascii="Arial" w:cs="Arial" w:eastAsia="Arial" w:hAnsi="Arial"/>
          <w:sz w:val="16"/>
          <w:szCs w:val="16"/>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57" w:lineRule="exact"/>
        <w:rPr>
          <w:sz w:val="20"/>
          <w:szCs w:val="20"/>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our clinical development of our product candidates;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conduct additional research and development with our product candidates;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to identify, acquire, license, develop and commercialize product candidates;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integrate acquired technologies into a comprehensive regulatory and product development strategy;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scientific, clinical, quality control and administrative personnel;</w:t>
      </w:r>
    </w:p>
    <w:p>
      <w:pPr>
        <w:spacing w:after="0" w:line="225" w:lineRule="exact"/>
        <w:rPr>
          <w:rFonts w:ascii="Arial" w:cs="Arial" w:eastAsia="Arial" w:hAnsi="Arial"/>
          <w:sz w:val="18"/>
          <w:szCs w:val="18"/>
          <w:color w:val="auto"/>
        </w:rPr>
      </w:pPr>
    </w:p>
    <w:p>
      <w:pPr>
        <w:ind w:left="720" w:right="339" w:hanging="31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and commercial efforts;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720" w:right="299" w:hanging="319"/>
        <w:spacing w:after="0" w:line="340"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fully develop a sales, marketing and distribution infrastructure and scale up external manufacturing capabilities to commercialize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and any product candidates for which we may obtain regulatory approval; and</w:t>
      </w:r>
    </w:p>
    <w:p>
      <w:pPr>
        <w:spacing w:after="0" w:line="12" w:lineRule="exact"/>
        <w:rPr>
          <w:rFonts w:ascii="Arial" w:cs="Arial" w:eastAsia="Arial" w:hAnsi="Arial"/>
          <w:sz w:val="16"/>
          <w:szCs w:val="16"/>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We believe that our existing cash and cash equivalents as of September 30, 2022, will be sufficient to enable us to fund operating expenses and capital expenditure requirements for at least the next 12 months from the date of the issuance of the condensed consolidated financial statements included in this Quarterly Report on Form 10-Q, including funding our ongoing research and development efforts and commercialization preparation. We expect that we will need to obtain substantial additional funding in order to fund our ongoing operations.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 If we are unable to raise capital when needed or on attractive terms, we could be forced to significantly delay, scale back or discontinue the development or commercialization of our product candidates, seek collaborators at an earlier stage than otherwise would be desirable or on terms that are less favorable than might otherwise be available, and relinquish or license, potentially on unfavorable terms, our rights to our product candidates that we otherwise would seek to develop or commercialize ourselves.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September 30, 2022, we did not have any off-balance sheet arrangements as defined under SEC rules.</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Contractual Obligations and Commitments</w:t>
      </w:r>
    </w:p>
    <w:p>
      <w:pPr>
        <w:spacing w:after="0" w:line="225" w:lineRule="exact"/>
        <w:rPr>
          <w:sz w:val="20"/>
          <w:szCs w:val="20"/>
          <w:color w:val="auto"/>
        </w:rPr>
      </w:pPr>
    </w:p>
    <w:p>
      <w:pPr>
        <w:ind w:left="60" w:right="279" w:firstLine="324"/>
        <w:spacing w:after="0" w:line="259" w:lineRule="auto"/>
        <w:rPr>
          <w:sz w:val="20"/>
          <w:szCs w:val="20"/>
          <w:color w:val="auto"/>
        </w:rPr>
      </w:pPr>
      <w:r>
        <w:rPr>
          <w:rFonts w:ascii="Arial" w:cs="Arial" w:eastAsia="Arial" w:hAnsi="Arial"/>
          <w:sz w:val="18"/>
          <w:szCs w:val="18"/>
          <w:color w:val="auto"/>
        </w:rPr>
        <w:t>In February 2022, we signed a distribution agreement with a third-party to distribute product related to BXCL501 in the U.S. The distributor will be paid defined fees for its services under the agreement, which can be terminated by either party for cause. The distribution agreement can also be terminated by us without cause, subject to payment of agreed termination fees.</w:t>
      </w:r>
    </w:p>
    <w:p>
      <w:pPr>
        <w:spacing w:after="0" w:line="187" w:lineRule="exact"/>
        <w:rPr>
          <w:sz w:val="20"/>
          <w:szCs w:val="20"/>
          <w:color w:val="auto"/>
        </w:rPr>
      </w:pPr>
    </w:p>
    <w:p>
      <w:pPr>
        <w:ind w:left="60" w:right="219" w:firstLine="324"/>
        <w:spacing w:after="0" w:line="290" w:lineRule="auto"/>
        <w:rPr>
          <w:sz w:val="20"/>
          <w:szCs w:val="20"/>
          <w:color w:val="auto"/>
        </w:rPr>
      </w:pPr>
      <w:r>
        <w:rPr>
          <w:rFonts w:ascii="Arial" w:cs="Arial" w:eastAsia="Arial" w:hAnsi="Arial"/>
          <w:sz w:val="16"/>
          <w:szCs w:val="16"/>
          <w:color w:val="auto"/>
        </w:rPr>
        <w:t>On April 19, 2022, we entered into the Second Amendment to the Second Amended and Restated Separation and Shared Services Agreement pursuant to which the parties agreed to extend the Company’s option to enter into a Collaborative Services Agreement with BioXcel LLC through December 31, 2024, for which the Company has agreed to pay BioXcel LLC $18 per month, prorated for any partial month, as applicable, for the period beginning March 13, 2023 and ending December 31, 2024. In addition, we and BioXcel LLC, a significant stockholder of the Company, entered into the BioXcel Trademark License Agreement, pursuant to which BioXcel LLC granted us a royalty-free license to use the BIOXCEL trademark in connection with marketing, promoting and selling any products and services in the field of neuroscience, for which the Company agreed to pay BioXcel LLC a one-time fee of $135.</w:t>
      </w:r>
    </w:p>
    <w:p>
      <w:pPr>
        <w:spacing w:after="0" w:line="16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In April 2022, the Company signed a commercial supply agreement that requires minimum annual payments for the first three years of the agreement that in aggregate total $10,000 for the three-year period.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219" w:firstLine="324"/>
        <w:spacing w:after="0" w:line="253" w:lineRule="auto"/>
        <w:rPr>
          <w:sz w:val="20"/>
          <w:szCs w:val="20"/>
          <w:color w:val="auto"/>
        </w:rPr>
      </w:pPr>
      <w:r>
        <w:rPr>
          <w:rFonts w:ascii="Arial" w:cs="Arial" w:eastAsia="Arial" w:hAnsi="Arial"/>
          <w:sz w:val="18"/>
          <w:szCs w:val="18"/>
          <w:color w:val="auto"/>
        </w:rPr>
        <w:t xml:space="preserve">Our critical accounting policies and estimates are described in "Management's Discussion and Analysis of Financial Condition and Results of Operations-Critical Accounting Policies and Estimates" in our Annual Report on Form 10-K for the fiscal year ended December 31, 2021. We have reviewed and determined that those critical accounting policies and estimates remain our critical accounting policies and estimates as of and for the three and nine months ended September 30, 2022. No changes were made to our existing critical accounting policies during the period presented outside of the addition of the Inventory, Debt and Detachable Warrants, Derivative Assets and Liabilities, Accounts Receivable, Revenue Recognition, Concentrations of Credit Risk and Cost of Goods Sold policies. Refer to Note 3,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in the Notes to Condensed Consolidated Financial Statements elsewhere in this Form 10-Q.</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ind w:left="60" w:right="279" w:firstLine="324"/>
        <w:spacing w:after="0" w:line="258" w:lineRule="auto"/>
        <w:rPr>
          <w:sz w:val="20"/>
          <w:szCs w:val="20"/>
          <w:color w:val="auto"/>
        </w:rPr>
      </w:pPr>
      <w:r>
        <w:rPr>
          <w:rFonts w:ascii="Arial" w:cs="Arial" w:eastAsia="Arial" w:hAnsi="Arial"/>
          <w:sz w:val="18"/>
          <w:szCs w:val="18"/>
          <w:b w:val="1"/>
          <w:bCs w:val="1"/>
          <w:color w:val="auto"/>
        </w:rPr>
        <w:t xml:space="preserve">Foreign Exchange Risk. </w:t>
      </w:r>
      <w:r>
        <w:rPr>
          <w:rFonts w:ascii="Arial" w:cs="Arial" w:eastAsia="Arial" w:hAnsi="Arial"/>
          <w:sz w:val="18"/>
          <w:szCs w:val="18"/>
          <w:color w:val="auto"/>
        </w:rPr>
        <w:t>As of September 30, 2022, we had $232,314 of cash and cash equivalents. Our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are primarily held in U.S. Government money market funds. We do not participate in any foreign currency hedging activities and have limited exposure to other derivative financial instruments, primarily resulting from the terms and conditions of the OFA Facilities. We did not recognize any significant exchange rate losses during the nine months ended September 30, 2022 and 2021, respectively.</w:t>
      </w:r>
    </w:p>
    <w:p>
      <w:pPr>
        <w:spacing w:after="0" w:line="187" w:lineRule="exact"/>
        <w:rPr>
          <w:sz w:val="20"/>
          <w:szCs w:val="20"/>
          <w:color w:val="auto"/>
        </w:rPr>
      </w:pPr>
    </w:p>
    <w:p>
      <w:pPr>
        <w:ind w:left="60" w:right="219" w:firstLine="324"/>
        <w:spacing w:after="0" w:line="279" w:lineRule="auto"/>
        <w:rPr>
          <w:sz w:val="20"/>
          <w:szCs w:val="20"/>
          <w:color w:val="auto"/>
        </w:rPr>
      </w:pPr>
      <w:r>
        <w:rPr>
          <w:rFonts w:ascii="Arial" w:cs="Arial" w:eastAsia="Arial" w:hAnsi="Arial"/>
          <w:sz w:val="17"/>
          <w:szCs w:val="17"/>
          <w:color w:val="auto"/>
        </w:rPr>
        <w:t>We do not believe that our cash and cash equivalents have significant risk of default or illiquidity. While we believe our cash and cash equivalents do not contain material market risk, we cannot provide absolute assurance that in the future our investments will not be subject to adverse changes in market value. In addition, we maintain significant amounts of cash at one or more financial institutions that are in excess of federally insured limits.</w:t>
      </w:r>
    </w:p>
    <w:p>
      <w:pPr>
        <w:spacing w:after="0" w:line="167" w:lineRule="exact"/>
        <w:rPr>
          <w:sz w:val="20"/>
          <w:szCs w:val="20"/>
          <w:color w:val="auto"/>
        </w:rPr>
      </w:pPr>
    </w:p>
    <w:p>
      <w:pPr>
        <w:ind w:left="60" w:right="459" w:firstLine="324"/>
        <w:spacing w:after="0" w:line="312" w:lineRule="auto"/>
        <w:rPr>
          <w:sz w:val="20"/>
          <w:szCs w:val="20"/>
          <w:color w:val="auto"/>
        </w:rPr>
      </w:pPr>
      <w:r>
        <w:rPr>
          <w:rFonts w:ascii="Arial" w:cs="Arial" w:eastAsia="Arial" w:hAnsi="Arial"/>
          <w:sz w:val="17"/>
          <w:szCs w:val="17"/>
          <w:b w:val="1"/>
          <w:bCs w:val="1"/>
          <w:color w:val="auto"/>
        </w:rPr>
        <w:t xml:space="preserve">Interest Rate Risk. </w:t>
      </w:r>
      <w:r>
        <w:rPr>
          <w:rFonts w:ascii="Arial" w:cs="Arial" w:eastAsia="Arial" w:hAnsi="Arial"/>
          <w:sz w:val="17"/>
          <w:szCs w:val="17"/>
          <w:color w:val="auto"/>
        </w:rPr>
        <w:t>The loans under the Credit Agreement bear interest at a fixed annual rate of 10.25%, payable</w:t>
      </w:r>
      <w:r>
        <w:rPr>
          <w:rFonts w:ascii="Arial" w:cs="Arial" w:eastAsia="Arial" w:hAnsi="Arial"/>
          <w:sz w:val="17"/>
          <w:szCs w:val="17"/>
          <w:b w:val="1"/>
          <w:bCs w:val="1"/>
          <w:color w:val="auto"/>
        </w:rPr>
        <w:t xml:space="preserve"> </w:t>
      </w:r>
      <w:r>
        <w:rPr>
          <w:rFonts w:ascii="Arial" w:cs="Arial" w:eastAsia="Arial" w:hAnsi="Arial"/>
          <w:sz w:val="17"/>
          <w:szCs w:val="17"/>
          <w:color w:val="auto"/>
        </w:rPr>
        <w:t>quarterly, and consequently we do not have material interest rate exposure due to our indebtedness.</w:t>
      </w:r>
    </w:p>
    <w:p>
      <w:pPr>
        <w:spacing w:after="0" w:line="140" w:lineRule="exact"/>
        <w:rPr>
          <w:sz w:val="20"/>
          <w:szCs w:val="20"/>
          <w:color w:val="auto"/>
        </w:rPr>
      </w:pPr>
    </w:p>
    <w:p>
      <w:pPr>
        <w:ind w:left="60" w:right="279" w:firstLine="324"/>
        <w:spacing w:after="0" w:line="261" w:lineRule="auto"/>
        <w:rPr>
          <w:sz w:val="20"/>
          <w:szCs w:val="20"/>
          <w:color w:val="auto"/>
        </w:rPr>
      </w:pPr>
      <w:r>
        <w:rPr>
          <w:rFonts w:ascii="Arial" w:cs="Arial" w:eastAsia="Arial" w:hAnsi="Arial"/>
          <w:sz w:val="18"/>
          <w:szCs w:val="18"/>
          <w:b w:val="1"/>
          <w:bCs w:val="1"/>
          <w:color w:val="auto"/>
        </w:rPr>
        <w:t xml:space="preserve">Capital Market Risk. </w:t>
      </w:r>
      <w:r>
        <w:rPr>
          <w:rFonts w:ascii="Arial" w:cs="Arial" w:eastAsia="Arial" w:hAnsi="Arial"/>
          <w:sz w:val="18"/>
          <w:szCs w:val="18"/>
          <w:color w:val="auto"/>
        </w:rPr>
        <w:t>We currently do not have substantial product revenues and depend on funds raised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other sources. One source of funding includes future debt or equity offerings. Our ability to raise funds in this manner depends upon, among other things, capital market forces affecting our stock price, and on the state of the capital markets generally.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2022.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4"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Based on the evaluation of our disclosure controls and procedures as of September 30, 2022, our Chief Executive Officer and Chief Financial Officer concluded that, as of such date, our disclosure controls and procedures were effective at the reasonable assurance level.</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41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319" w:firstLine="324"/>
        <w:spacing w:after="0" w:line="259"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as well as general economic and business risks and the other information in this Quarterly Report on Form 10-Q and our Annual Report on Form 10-K for the fiscal year ended December 31, 2021.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Financial Position and Need for Additional Capital</w:t>
      </w:r>
    </w:p>
    <w:p>
      <w:pPr>
        <w:spacing w:after="0" w:line="229" w:lineRule="exact"/>
        <w:rPr>
          <w:sz w:val="20"/>
          <w:szCs w:val="20"/>
          <w:color w:val="auto"/>
        </w:rPr>
      </w:pPr>
    </w:p>
    <w:p>
      <w:pPr>
        <w:ind w:left="60" w:right="379"/>
        <w:spacing w:after="0" w:line="308" w:lineRule="auto"/>
        <w:rPr>
          <w:sz w:val="20"/>
          <w:szCs w:val="20"/>
          <w:color w:val="auto"/>
        </w:rPr>
      </w:pPr>
      <w:r>
        <w:rPr>
          <w:rFonts w:ascii="Arial" w:cs="Arial" w:eastAsia="Arial" w:hAnsi="Arial"/>
          <w:sz w:val="17"/>
          <w:szCs w:val="17"/>
          <w:b w:val="1"/>
          <w:bCs w:val="1"/>
          <w:i w:val="1"/>
          <w:iCs w:val="1"/>
          <w:color w:val="auto"/>
        </w:rPr>
        <w:t>We have a limited operating history and have not generated substantial product revenues to date, which may make it difficult to evaluate the success of our business and to assess our future viability.</w:t>
      </w:r>
    </w:p>
    <w:p>
      <w:pPr>
        <w:spacing w:after="0" w:line="146" w:lineRule="exact"/>
        <w:rPr>
          <w:sz w:val="20"/>
          <w:szCs w:val="20"/>
          <w:color w:val="auto"/>
        </w:rPr>
      </w:pPr>
    </w:p>
    <w:p>
      <w:pPr>
        <w:ind w:left="60" w:right="279" w:firstLine="324"/>
        <w:spacing w:after="0" w:line="293" w:lineRule="auto"/>
        <w:rPr>
          <w:sz w:val="20"/>
          <w:szCs w:val="20"/>
          <w:color w:val="auto"/>
        </w:rPr>
      </w:pPr>
      <w:r>
        <w:rPr>
          <w:rFonts w:ascii="Arial" w:cs="Arial" w:eastAsia="Arial" w:hAnsi="Arial"/>
          <w:sz w:val="16"/>
          <w:szCs w:val="16"/>
          <w:color w:val="auto"/>
        </w:rPr>
        <w:t>We were incorporated in March 2017 and our operations to date have been largely focused on staffing our company, raising capital and advancing the development of our product candidates, including conducting clinical and preclinical studies. We have only one product approved for commercial sale, and have limited experience in obtaining marketing approvals, manufacturing products on a commercial scale, and conducting sales and marketing activities necessary for successful commercialization. Consequently, predictions about our future success or viability may not be as accurate as they could be if we had a longer operating history or a history of successfully commercializing products.</w:t>
      </w:r>
    </w:p>
    <w:p>
      <w:pPr>
        <w:spacing w:after="0" w:line="164" w:lineRule="exact"/>
        <w:rPr>
          <w:sz w:val="20"/>
          <w:szCs w:val="20"/>
          <w:color w:val="auto"/>
        </w:rPr>
      </w:pPr>
    </w:p>
    <w:p>
      <w:pPr>
        <w:ind w:left="60" w:right="419" w:firstLine="324"/>
        <w:spacing w:after="0" w:line="301" w:lineRule="auto"/>
        <w:rPr>
          <w:sz w:val="20"/>
          <w:szCs w:val="20"/>
          <w:color w:val="auto"/>
        </w:rPr>
      </w:pPr>
      <w:r>
        <w:rPr>
          <w:rFonts w:ascii="Arial" w:cs="Arial" w:eastAsia="Arial" w:hAnsi="Arial"/>
          <w:sz w:val="16"/>
          <w:szCs w:val="16"/>
          <w:color w:val="auto"/>
        </w:rPr>
        <w:t>We expect our financial condition and operating results to continue to fluctuate from quarter to quarter and year to year due to a variety of factors, many of which are beyond our control. We are transitioning from a company with primarily a research and development focus to a company also capable of undertaking commercial activities. We may encounter unforeseen expenses, difficulties, complications and delays, and may not be successful in such a transition.</w:t>
      </w:r>
    </w:p>
    <w:p>
      <w:pPr>
        <w:spacing w:after="0" w:line="157"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46" w:lineRule="exact"/>
        <w:rPr>
          <w:sz w:val="20"/>
          <w:szCs w:val="20"/>
          <w:color w:val="auto"/>
        </w:rPr>
      </w:pPr>
    </w:p>
    <w:p>
      <w:pPr>
        <w:ind w:left="60" w:right="219" w:firstLine="324"/>
        <w:spacing w:after="0" w:line="255" w:lineRule="auto"/>
        <w:rPr>
          <w:sz w:val="20"/>
          <w:szCs w:val="20"/>
          <w:color w:val="auto"/>
        </w:rPr>
      </w:pPr>
      <w:r>
        <w:rPr>
          <w:rFonts w:ascii="Arial" w:cs="Arial" w:eastAsia="Arial" w:hAnsi="Arial"/>
          <w:sz w:val="17"/>
          <w:szCs w:val="17"/>
          <w:color w:val="auto"/>
        </w:rPr>
        <w:t>Since our inception, we have incurred significant operating losses. Our net loss was $110.9 million and $80.8 million for the nine months ended September 30, 2022 and 2021, respectively. As of September 30, 2022, we had stockholders’ equity of $127.0 million. We expect to continue to incur significant expenses and increasing operating losses for the foreseeable future. We have only had one product candidate approved for marketing in the U.S., none in any other jurisdiction, and may never receive approval beyond the one product approved to date. It could be several years, if ever, before we have a commercialized product that generates significant revenues through sales of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or our product candidates, if approved. As a result, we are uncertain when or if we will achieve profitability and, if so, whether we will be able to sustain it. The net losses we incur may fluctuate significantly from quarter to quarter and year to year. We anticipate that our expenses will increase substantially as we:</w:t>
      </w:r>
    </w:p>
    <w:p>
      <w:pPr>
        <w:spacing w:after="0" w:line="193" w:lineRule="exact"/>
        <w:rPr>
          <w:sz w:val="20"/>
          <w:szCs w:val="20"/>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the development of our product candidates;</w:t>
      </w:r>
    </w:p>
    <w:p>
      <w:pPr>
        <w:spacing w:after="0" w:line="225" w:lineRule="exact"/>
        <w:rPr>
          <w:rFonts w:ascii="Arial" w:cs="Arial" w:eastAsia="Arial" w:hAnsi="Arial"/>
          <w:sz w:val="18"/>
          <w:szCs w:val="18"/>
          <w:color w:val="auto"/>
        </w:rPr>
      </w:pPr>
    </w:p>
    <w:p>
      <w:pPr>
        <w:ind w:left="720" w:right="919" w:hanging="319"/>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 preclinical studies and clinical trials for our current product candidates and any future product candidates that we may pursue;</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19" w:hanging="319"/>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build our portfolio of product candidates through the acquisition or in-license of additional product candidates or technologies;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develop, maintain, expand and protect our intellectual property portfolio;</w:t>
      </w:r>
    </w:p>
    <w:p>
      <w:pPr>
        <w:spacing w:after="0" w:line="225" w:lineRule="exact"/>
        <w:rPr>
          <w:rFonts w:ascii="Arial" w:cs="Arial" w:eastAsia="Arial" w:hAnsi="Arial"/>
          <w:sz w:val="18"/>
          <w:szCs w:val="18"/>
          <w:color w:val="auto"/>
        </w:rPr>
      </w:pPr>
    </w:p>
    <w:p>
      <w:pPr>
        <w:ind w:left="720" w:right="499" w:hanging="319"/>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pursue regulatory approvals for our current and future product candidates that successfully complete clinical trials;</w:t>
      </w:r>
    </w:p>
    <w:p>
      <w:pPr>
        <w:spacing w:after="0" w:line="160" w:lineRule="exact"/>
        <w:rPr>
          <w:rFonts w:ascii="Arial" w:cs="Arial" w:eastAsia="Arial" w:hAnsi="Arial"/>
          <w:sz w:val="18"/>
          <w:szCs w:val="18"/>
          <w:color w:val="auto"/>
        </w:rPr>
      </w:pPr>
    </w:p>
    <w:p>
      <w:pPr>
        <w:ind w:left="720" w:right="559" w:hanging="319"/>
        <w:spacing w:after="0" w:line="21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fully develop a sales, marketing, and distribution infrastructure to commercialize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any other product candidates for which we may obtain marketing approval;</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additional clinical, regulatory, scientific and accounting personnel;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5" w:lineRule="exact"/>
        <w:rPr>
          <w:sz w:val="20"/>
          <w:szCs w:val="20"/>
          <w:color w:val="auto"/>
        </w:rPr>
      </w:pPr>
    </w:p>
    <w:p>
      <w:pPr>
        <w:ind w:left="60" w:right="279" w:firstLine="324"/>
        <w:spacing w:after="0" w:line="237" w:lineRule="auto"/>
        <w:rPr>
          <w:sz w:val="20"/>
          <w:szCs w:val="20"/>
          <w:color w:val="auto"/>
        </w:rPr>
      </w:pPr>
      <w:r>
        <w:rPr>
          <w:rFonts w:ascii="Arial" w:cs="Arial" w:eastAsia="Arial" w:hAnsi="Arial"/>
          <w:sz w:val="18"/>
          <w:szCs w:val="18"/>
          <w:color w:val="auto"/>
        </w:rPr>
        <w:t>To become and remain profitable, we must develop and eventually commercialize one or more products or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spacing w:after="0" w:line="196"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6"/>
          <w:szCs w:val="16"/>
          <w:color w:val="auto"/>
        </w:rPr>
        <w:t>Although we have obtained FDA approval for IGALMI</w:t>
      </w:r>
      <w:r>
        <w:rPr>
          <w:rFonts w:ascii="Arial" w:cs="Arial" w:eastAsia="Arial" w:hAnsi="Arial"/>
          <w:sz w:val="23"/>
          <w:szCs w:val="23"/>
          <w:color w:val="auto"/>
          <w:vertAlign w:val="superscript"/>
        </w:rPr>
        <w:t>TM</w:t>
      </w:r>
      <w:r>
        <w:rPr>
          <w:rFonts w:ascii="Arial" w:cs="Arial" w:eastAsia="Arial" w:hAnsi="Arial"/>
          <w:sz w:val="16"/>
          <w:szCs w:val="16"/>
          <w:color w:val="auto"/>
        </w:rPr>
        <w:t>, because of the numerous risks and uncertainties associated with product development, we are unable to accurately predict the timing or amount of expenses or when, or if, we will obtain marketing approval to commercialize any additional product candidates. If we are required by the FDA, or other regulatory authorities such as the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w:t>
      </w:r>
    </w:p>
    <w:p>
      <w:pPr>
        <w:spacing w:after="0" w:line="180"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w:t>
      </w:r>
    </w:p>
    <w:p>
      <w:pPr>
        <w:spacing w:after="0" w:line="170" w:lineRule="exact"/>
        <w:rPr>
          <w:sz w:val="20"/>
          <w:szCs w:val="20"/>
          <w:color w:val="auto"/>
        </w:rPr>
      </w:pPr>
    </w:p>
    <w:p>
      <w:pPr>
        <w:jc w:val="both"/>
        <w:ind w:left="60" w:right="139" w:firstLine="324"/>
        <w:spacing w:after="0" w:line="263" w:lineRule="auto"/>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84"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146" w:lineRule="exact"/>
        <w:rPr>
          <w:sz w:val="20"/>
          <w:szCs w:val="20"/>
          <w:color w:val="auto"/>
        </w:rPr>
      </w:pPr>
    </w:p>
    <w:p>
      <w:pPr>
        <w:ind w:left="60" w:right="179" w:firstLine="324"/>
        <w:spacing w:after="0" w:line="289" w:lineRule="auto"/>
        <w:rPr>
          <w:sz w:val="20"/>
          <w:szCs w:val="20"/>
          <w:color w:val="auto"/>
        </w:rPr>
      </w:pPr>
      <w:r>
        <w:rPr>
          <w:rFonts w:ascii="Arial" w:cs="Arial" w:eastAsia="Arial" w:hAnsi="Arial"/>
          <w:sz w:val="16"/>
          <w:szCs w:val="16"/>
          <w:color w:val="auto"/>
        </w:rPr>
        <w:t>We anticipate that our expenses will increase substantially if and as we continue to develop and conduct clinical trials with respect to our current and any future product candidates; seek to identify and develop additional product candidates; acquire or in-license other product candidates or technologies; seek regulatory approvals for our product candidates that successfully complete clinical trials, if any; establish sales, marketing, distribution and other commercial infrastructure to support the commercialization of any products for which we may obtain marketing approval;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39"/>
        <w:spacing w:after="0" w:line="277" w:lineRule="auto"/>
        <w:rPr>
          <w:sz w:val="20"/>
          <w:szCs w:val="20"/>
          <w:color w:val="auto"/>
        </w:rPr>
      </w:pPr>
      <w:r>
        <w:rPr>
          <w:rFonts w:ascii="Arial" w:cs="Arial" w:eastAsia="Arial" w:hAnsi="Arial"/>
          <w:sz w:val="18"/>
          <w:szCs w:val="18"/>
          <w:color w:val="auto"/>
        </w:rPr>
        <w:t>our obligations as a public company; and add equipment and physical infrastructure to support our research and development programs.</w:t>
      </w:r>
    </w:p>
    <w:p>
      <w:pPr>
        <w:spacing w:after="0" w:line="170" w:lineRule="exact"/>
        <w:rPr>
          <w:sz w:val="20"/>
          <w:szCs w:val="20"/>
          <w:color w:val="auto"/>
        </w:rPr>
      </w:pPr>
    </w:p>
    <w:p>
      <w:pPr>
        <w:ind w:left="60" w:right="219" w:firstLine="324"/>
        <w:spacing w:after="0" w:line="277" w:lineRule="auto"/>
        <w:rPr>
          <w:sz w:val="20"/>
          <w:szCs w:val="20"/>
          <w:color w:val="auto"/>
        </w:rPr>
      </w:pPr>
      <w:r>
        <w:rPr>
          <w:rFonts w:ascii="Arial" w:cs="Arial" w:eastAsia="Arial" w:hAnsi="Arial"/>
          <w:sz w:val="16"/>
          <w:szCs w:val="16"/>
          <w:color w:val="auto"/>
        </w:rPr>
        <w:t>We expect that our cash and cash equivalents as of September 30, 2022, along with additional fundings available under the OFA Facilities, will be sufficient to fund our ongoing research and development efforts and commercialization preparation for at least twelve months from the date of the issuance of the condensed consolidated financial statements included in this Quarterly Report on Form 10-Q. We will be required to expend significant funds to commercialize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in the U.S. and advance the development of BXCL501, BXCL701, BXCL502 and our other product candidates. In addition, while we may seek one or more collaborators for future development of our current product candidates or any future product candidates that we may develop for one or more indications, we may not be able to enter into a collaboration for any of our product candidates for such indications on suitable terms, on a timely basis or at all. In any event, the net proceeds of our prior equity offerings and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Further financing may not be available to us on acceptable terms, or at all. Additionally, market volatility resulting from the COVID-19 pandemic, adverse macroeconomic conditions, such as high interest or inflation rates, or other factors could also adversely impact our ability to access capital as and when needed. Our failure to raise capital as and when needed would have a negative impact on our financial condition and our ability to pursue our business strategy.</w:t>
      </w:r>
    </w:p>
    <w:p>
      <w:pPr>
        <w:spacing w:after="0" w:line="181" w:lineRule="exact"/>
        <w:rPr>
          <w:sz w:val="20"/>
          <w:szCs w:val="20"/>
          <w:color w:val="auto"/>
        </w:rPr>
      </w:pPr>
    </w:p>
    <w:p>
      <w:pPr>
        <w:ind w:left="60" w:right="399" w:firstLine="324"/>
        <w:spacing w:after="0" w:line="296" w:lineRule="auto"/>
        <w:rPr>
          <w:sz w:val="20"/>
          <w:szCs w:val="20"/>
          <w:color w:val="auto"/>
        </w:rPr>
      </w:pPr>
      <w:r>
        <w:rPr>
          <w:rFonts w:ascii="Arial" w:cs="Arial" w:eastAsia="Arial" w:hAnsi="Arial"/>
          <w:sz w:val="16"/>
          <w:szCs w:val="16"/>
          <w:color w:val="auto"/>
        </w:rPr>
        <w:t>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61" w:lineRule="exact"/>
        <w:rPr>
          <w:sz w:val="20"/>
          <w:szCs w:val="20"/>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our product candidates;</w:t>
      </w:r>
    </w:p>
    <w:p>
      <w:pPr>
        <w:spacing w:after="0" w:line="225" w:lineRule="exact"/>
        <w:rPr>
          <w:rFonts w:ascii="Arial" w:cs="Arial" w:eastAsia="Arial" w:hAnsi="Arial"/>
          <w:sz w:val="18"/>
          <w:szCs w:val="18"/>
          <w:color w:val="auto"/>
        </w:rPr>
      </w:pPr>
    </w:p>
    <w:p>
      <w:pPr>
        <w:ind w:left="720" w:right="1019" w:hanging="319"/>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timing and outcome of seeking regulatory approvals;</w:t>
      </w:r>
    </w:p>
    <w:p>
      <w:pPr>
        <w:spacing w:after="0" w:line="215" w:lineRule="exact"/>
        <w:rPr>
          <w:rFonts w:ascii="Arial" w:cs="Arial" w:eastAsia="Arial" w:hAnsi="Arial"/>
          <w:sz w:val="18"/>
          <w:szCs w:val="18"/>
          <w:color w:val="auto"/>
        </w:rPr>
      </w:pPr>
    </w:p>
    <w:p>
      <w:pPr>
        <w:ind w:left="720" w:right="299" w:hanging="319"/>
        <w:spacing w:after="0" w:line="237" w:lineRule="auto"/>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costs of commercialization activities for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204" w:lineRule="exact"/>
        <w:rPr>
          <w:rFonts w:ascii="Arial" w:cs="Arial" w:eastAsia="Arial" w:hAnsi="Arial"/>
          <w:sz w:val="17"/>
          <w:szCs w:val="17"/>
          <w:color w:val="auto"/>
        </w:rPr>
      </w:pPr>
    </w:p>
    <w:p>
      <w:pPr>
        <w:ind w:left="720" w:right="899" w:hanging="319"/>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and establish a commercial infrastructure;</w:t>
      </w:r>
    </w:p>
    <w:p>
      <w:pPr>
        <w:spacing w:after="0" w:line="160"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revenue received from commercial sales of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our current and future product candidates;</w:t>
      </w:r>
    </w:p>
    <w:p>
      <w:pPr>
        <w:spacing w:after="0" w:line="154" w:lineRule="exact"/>
        <w:rPr>
          <w:rFonts w:ascii="Arial" w:cs="Arial" w:eastAsia="Arial" w:hAnsi="Arial"/>
          <w:sz w:val="17"/>
          <w:szCs w:val="17"/>
          <w:color w:val="auto"/>
        </w:rPr>
      </w:pPr>
    </w:p>
    <w:p>
      <w:pPr>
        <w:ind w:left="720" w:right="519" w:hanging="319"/>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regulatory policies or laws that may affect our operations;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physician acceptance or medical society recommendations that may affect commercial efforts;</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acquiring potential new product candidates or technology;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jc w:val="both"/>
        <w:ind w:left="380" w:right="419"/>
        <w:spacing w:after="0" w:line="311" w:lineRule="auto"/>
        <w:rPr>
          <w:sz w:val="20"/>
          <w:szCs w:val="20"/>
          <w:color w:val="auto"/>
        </w:rPr>
      </w:pPr>
      <w:r>
        <w:rPr>
          <w:rFonts w:ascii="Arial" w:cs="Arial" w:eastAsia="Arial" w:hAnsi="Arial"/>
          <w:sz w:val="16"/>
          <w:szCs w:val="16"/>
          <w:b w:val="1"/>
          <w:bCs w:val="1"/>
          <w:i w:val="1"/>
          <w:iCs w:val="1"/>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the OFA Facilities.</w:t>
      </w:r>
    </w:p>
    <w:p>
      <w:pPr>
        <w:spacing w:after="0" w:line="149" w:lineRule="exact"/>
        <w:rPr>
          <w:sz w:val="20"/>
          <w:szCs w:val="20"/>
          <w:color w:val="auto"/>
        </w:rPr>
      </w:pPr>
    </w:p>
    <w:p>
      <w:pPr>
        <w:ind w:left="380" w:right="179" w:firstLine="324"/>
        <w:spacing w:after="0" w:line="260" w:lineRule="auto"/>
        <w:rPr>
          <w:sz w:val="20"/>
          <w:szCs w:val="20"/>
          <w:color w:val="auto"/>
        </w:rPr>
      </w:pPr>
      <w:r>
        <w:rPr>
          <w:rFonts w:ascii="Arial" w:cs="Arial" w:eastAsia="Arial" w:hAnsi="Arial"/>
          <w:sz w:val="16"/>
          <w:szCs w:val="16"/>
          <w:color w:val="auto"/>
        </w:rPr>
        <w:t>As of October 31, 2022, we had aggregate principal indebtedness of $100.4 million outstanding under the OFA Facilities, comprised of $70.4 million under the Credit Agreement, pursuant to which the Lenders agreed to loan us up to an additional $65.0 million in senior secured term loans, and $30.0 million under the RIFA, pursuant to which the Purchasers agreed to fund an additional $90.0 million upon satisfaction of certain conditions. The RIFA requires us to make tiered revenue interest payments on U.S. net sales of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and any other future BXCL501 products equal to a royalty ranging from 0.375% to 7.750% of net sales of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and any other future BXCL501 products in the U.S., as well as certain additional payments to the Purchasers from time to time, to ensure that the aggregate amount of payments received by the Purchasers under the RIFA are at least equal to certain agreed upon minimum levels as of certain specified dates, subject to terms and conditions set forth in the RIFA.</w:t>
      </w:r>
    </w:p>
    <w:p>
      <w:pPr>
        <w:spacing w:after="0" w:line="192" w:lineRule="exact"/>
        <w:rPr>
          <w:sz w:val="20"/>
          <w:szCs w:val="20"/>
          <w:color w:val="auto"/>
        </w:rPr>
      </w:pPr>
    </w:p>
    <w:p>
      <w:pPr>
        <w:ind w:left="380" w:right="239" w:firstLine="324"/>
        <w:spacing w:after="0" w:line="291" w:lineRule="auto"/>
        <w:rPr>
          <w:sz w:val="20"/>
          <w:szCs w:val="20"/>
          <w:color w:val="auto"/>
        </w:rPr>
      </w:pPr>
      <w:r>
        <w:rPr>
          <w:rFonts w:ascii="Arial" w:cs="Arial" w:eastAsia="Arial" w:hAnsi="Arial"/>
          <w:sz w:val="16"/>
          <w:szCs w:val="16"/>
          <w:color w:val="auto"/>
        </w:rPr>
        <w:t>Our ability to make scheduled payments or to refinance these and other outstanding debt obligations depends on our financial and operating performance, which will be affected by prevailing economic, industry and competitive conditions and by financial, business and other factors beyond our control. A failure to pay our debt, fixed costs and other obligations or a breach of our contractual obligations could result in a variety of adverse consequences, including the exercise of remedies by our creditors and lessors. In such a situation, it is unlikely that we would be able to cure our breach, fulfill our obligations, make required payments or otherwise cover our fixed costs, which would have a material adverse effect on our business, results of operations and financial condition.</w:t>
      </w:r>
    </w:p>
    <w:p>
      <w:pPr>
        <w:spacing w:after="0" w:line="166" w:lineRule="exact"/>
        <w:rPr>
          <w:sz w:val="20"/>
          <w:szCs w:val="20"/>
          <w:color w:val="auto"/>
        </w:rPr>
      </w:pPr>
    </w:p>
    <w:p>
      <w:pPr>
        <w:ind w:left="380" w:right="139" w:firstLine="324"/>
        <w:spacing w:after="0" w:line="269" w:lineRule="auto"/>
        <w:rPr>
          <w:sz w:val="20"/>
          <w:szCs w:val="20"/>
          <w:color w:val="auto"/>
        </w:rPr>
      </w:pPr>
      <w:r>
        <w:rPr>
          <w:rFonts w:ascii="Arial" w:cs="Arial" w:eastAsia="Arial" w:hAnsi="Arial"/>
          <w:sz w:val="17"/>
          <w:szCs w:val="17"/>
          <w:color w:val="auto"/>
        </w:rPr>
        <w:t>In addition, historically we have relied on debt and equity financings as our primary sources of liquidity. If our future cash flows and capital resources are insufficient to fund our debt service obligations, we may be forced to reduce or delay capital expenditures, sell assets, seek additional capital or seek to restructure or refinance our indebtedness. Any refinancing of our indebtedness could be at higher interest rates and may require us to comply with more onerous covenants. These alternative measures may not be successful and may not permit us to meet our scheduled debt service obligations. In the absence of such cash flows and resources, we could face substantial liquidity problems and might be required to sell material assets or operations to attempt to meet our debt service obligations. 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185" w:lineRule="exact"/>
        <w:rPr>
          <w:sz w:val="20"/>
          <w:szCs w:val="20"/>
          <w:color w:val="auto"/>
        </w:rPr>
      </w:pPr>
    </w:p>
    <w:p>
      <w:pPr>
        <w:ind w:left="380" w:right="139" w:firstLine="324"/>
        <w:spacing w:after="0" w:line="272" w:lineRule="auto"/>
        <w:rPr>
          <w:sz w:val="20"/>
          <w:szCs w:val="20"/>
          <w:color w:val="auto"/>
        </w:rPr>
      </w:pPr>
      <w:r>
        <w:rPr>
          <w:rFonts w:ascii="Arial" w:cs="Arial" w:eastAsia="Arial" w:hAnsi="Arial"/>
          <w:sz w:val="17"/>
          <w:szCs w:val="17"/>
          <w:color w:val="auto"/>
        </w:rPr>
        <w:t>In addition, incurring indebtedness generally requires that a portion of cash flow from operating activities be dedicated to interest and principal payments. Debt service requirements could reduce our ability to use our cash flow to fund operations and capital expenditures, to capitalize on future business opportunities, including additional acquisitions, or to pay dividends or increase dividends. In addition, our indebtedness may reduce our flexibility to operate our business, adjust to changing business conditions, restrict us from making strategic acquisitions or cause us to make non-strategic divestitures or obtain additional financing. Any of these risks could materially adversely affect our business, results of operations or financial condition.</w:t>
      </w:r>
    </w:p>
    <w:p>
      <w:pPr>
        <w:spacing w:after="0" w:line="177" w:lineRule="exact"/>
        <w:rPr>
          <w:sz w:val="20"/>
          <w:szCs w:val="20"/>
          <w:color w:val="auto"/>
        </w:rPr>
      </w:pPr>
    </w:p>
    <w:p>
      <w:pPr>
        <w:ind w:left="380" w:right="159" w:firstLine="324"/>
        <w:spacing w:after="0" w:line="288" w:lineRule="auto"/>
        <w:rPr>
          <w:sz w:val="20"/>
          <w:szCs w:val="20"/>
          <w:color w:val="auto"/>
        </w:rPr>
      </w:pPr>
      <w:r>
        <w:rPr>
          <w:rFonts w:ascii="Arial" w:cs="Arial" w:eastAsia="Arial" w:hAnsi="Arial"/>
          <w:sz w:val="16"/>
          <w:szCs w:val="16"/>
          <w:color w:val="auto"/>
        </w:rPr>
        <w:t>Restrictive covenants in the Credit Agreement and RIFA each place limits on our ability to conduct our business. 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We must also comply with certain financial covenants under the Credit Agreement that require we maintain a minimum cash liquidity amount of $15 million and future revenue thresholds beginning in with the fourth quarter of 2023. The RIFA contains customary representations and warranties and certain restrictions on our ability to incur indebtedness and grant liens on intellectual property related to BXCL501. In addition, the RIFA provides that if certain events occur, including certain bankruptcy events, failure to make payments, a change of control, an out-</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139"/>
        <w:spacing w:after="0" w:line="311" w:lineRule="auto"/>
        <w:rPr>
          <w:sz w:val="20"/>
          <w:szCs w:val="20"/>
          <w:color w:val="auto"/>
        </w:rPr>
      </w:pPr>
      <w:r>
        <w:rPr>
          <w:rFonts w:ascii="Arial" w:cs="Arial" w:eastAsia="Arial" w:hAnsi="Arial"/>
          <w:sz w:val="16"/>
          <w:szCs w:val="16"/>
          <w:color w:val="auto"/>
        </w:rPr>
        <w:t>license or sale of all of the rights in and to BXCL501 in the U.S., in each case except a permitted licensing transaction (as defined in the RIFA) and, subject to applicable cure periods, material breach of the covenants in the RIFA, OFA, at the direction of the Purchasers, may require us to repurchase certain of the Purchasers’ interests.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limited experience in drug discovery and drug development.</w:t>
      </w:r>
    </w:p>
    <w:p>
      <w:pPr>
        <w:spacing w:after="0" w:line="225" w:lineRule="exact"/>
        <w:rPr>
          <w:sz w:val="20"/>
          <w:szCs w:val="20"/>
          <w:color w:val="auto"/>
        </w:rPr>
      </w:pPr>
    </w:p>
    <w:p>
      <w:pPr>
        <w:ind w:left="60" w:right="179" w:firstLine="324"/>
        <w:spacing w:after="0" w:line="291" w:lineRule="auto"/>
        <w:rPr>
          <w:sz w:val="20"/>
          <w:szCs w:val="20"/>
          <w:color w:val="auto"/>
        </w:rPr>
      </w:pPr>
      <w:r>
        <w:rPr>
          <w:rFonts w:ascii="Arial" w:cs="Arial" w:eastAsia="Arial" w:hAnsi="Arial"/>
          <w:sz w:val="16"/>
          <w:szCs w:val="16"/>
          <w:color w:val="auto"/>
        </w:rPr>
        <w:t>Prior to the acquisition of our product and product candidates, we were not involved in and had no control over their preclinical and clinical development. In addition, we are relying upon the parties we acquired our product candidates from to have conducted research and development in accordance with the applicable protocol, legal, regulatory and scientific standards, accurately reported the results of all clinical trials conducted prior to our acquisition of the applicable product candidate, and correctly collected and interpreted the data from these studies and trials. To the extent any of these activities did not occur, our expected development time and costs could increase, which could adversely affect our prospects for marketing approval of, and receiving any future revenue from, these product candidates.</w:t>
      </w:r>
    </w:p>
    <w:p>
      <w:pPr>
        <w:spacing w:after="0" w:line="156" w:lineRule="exact"/>
        <w:rPr>
          <w:sz w:val="20"/>
          <w:szCs w:val="20"/>
          <w:color w:val="auto"/>
        </w:rPr>
      </w:pPr>
    </w:p>
    <w:p>
      <w:pPr>
        <w:ind w:left="60" w:right="399"/>
        <w:spacing w:after="0" w:line="264" w:lineRule="auto"/>
        <w:rPr>
          <w:sz w:val="20"/>
          <w:szCs w:val="20"/>
          <w:color w:val="auto"/>
        </w:rPr>
      </w:pPr>
      <w:r>
        <w:rPr>
          <w:rFonts w:ascii="Arial" w:cs="Arial" w:eastAsia="Arial" w:hAnsi="Arial"/>
          <w:sz w:val="15"/>
          <w:szCs w:val="15"/>
          <w:b w:val="1"/>
          <w:bCs w:val="1"/>
          <w:i w:val="1"/>
          <w:iCs w:val="1"/>
          <w:color w:val="auto"/>
        </w:rPr>
        <w:t>In the near term, we are dependent on the success of IGALMI</w:t>
      </w:r>
      <w:r>
        <w:rPr>
          <w:rFonts w:ascii="Arial" w:cs="Arial" w:eastAsia="Arial" w:hAnsi="Arial"/>
          <w:sz w:val="21"/>
          <w:szCs w:val="21"/>
          <w:b w:val="1"/>
          <w:bCs w:val="1"/>
          <w:i w:val="1"/>
          <w:iCs w:val="1"/>
          <w:color w:val="auto"/>
          <w:vertAlign w:val="superscript"/>
        </w:rPr>
        <w:t>TM</w:t>
      </w:r>
      <w:r>
        <w:rPr>
          <w:rFonts w:ascii="Arial" w:cs="Arial" w:eastAsia="Arial" w:hAnsi="Arial"/>
          <w:sz w:val="15"/>
          <w:szCs w:val="15"/>
          <w:b w:val="1"/>
          <w:bCs w:val="1"/>
          <w:i w:val="1"/>
          <w:iCs w:val="1"/>
          <w:color w:val="auto"/>
        </w:rPr>
        <w:t>, and three of our product candidates, BXCL501, BXCL701 and BXCL502. If we are unable to complete the clinical development of or obtain marketing approval for our product candidates or successfully commercialize IGALMI</w:t>
      </w:r>
      <w:r>
        <w:rPr>
          <w:rFonts w:ascii="Arial" w:cs="Arial" w:eastAsia="Arial" w:hAnsi="Arial"/>
          <w:sz w:val="21"/>
          <w:szCs w:val="21"/>
          <w:b w:val="1"/>
          <w:bCs w:val="1"/>
          <w:i w:val="1"/>
          <w:iCs w:val="1"/>
          <w:color w:val="auto"/>
          <w:vertAlign w:val="superscript"/>
        </w:rPr>
        <w:t>TM</w:t>
      </w:r>
      <w:r>
        <w:rPr>
          <w:rFonts w:ascii="Arial" w:cs="Arial" w:eastAsia="Arial" w:hAnsi="Arial"/>
          <w:sz w:val="15"/>
          <w:szCs w:val="15"/>
          <w:b w:val="1"/>
          <w:bCs w:val="1"/>
          <w:i w:val="1"/>
          <w:iCs w:val="1"/>
          <w:color w:val="auto"/>
        </w:rPr>
        <w:t xml:space="preserve"> and our other product candidates, either alone or with a collaborator, or if we experience significant delays in doing so, our business could be substantially harmed.</w:t>
      </w:r>
    </w:p>
    <w:p>
      <w:pPr>
        <w:spacing w:after="0" w:line="179" w:lineRule="exact"/>
        <w:rPr>
          <w:sz w:val="20"/>
          <w:szCs w:val="20"/>
          <w:color w:val="auto"/>
        </w:rPr>
      </w:pPr>
    </w:p>
    <w:p>
      <w:pPr>
        <w:ind w:left="60" w:right="179" w:firstLine="324"/>
        <w:spacing w:after="0" w:line="267" w:lineRule="auto"/>
        <w:rPr>
          <w:sz w:val="20"/>
          <w:szCs w:val="20"/>
          <w:color w:val="auto"/>
        </w:rPr>
      </w:pPr>
      <w:r>
        <w:rPr>
          <w:rFonts w:ascii="Arial" w:cs="Arial" w:eastAsia="Arial" w:hAnsi="Arial"/>
          <w:sz w:val="16"/>
          <w:szCs w:val="16"/>
          <w:color w:val="auto"/>
        </w:rPr>
        <w:t>We currently have only one product that has received regulatory approval and may never be able to develop additional marketable product candidates. We are continuing to invest a significant portion of our efforts and financial resources in the commercialization of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and development of BXCL701 and BXCL502, as well as our other product candidates. Our prospects are substantially dependent on our ability, or that of any future collaborator, to develop, obtain marketing approval for and successfully commercialize product candidates in one or more disease indications.</w:t>
      </w:r>
    </w:p>
    <w:p>
      <w:pPr>
        <w:spacing w:after="0" w:line="173" w:lineRule="exact"/>
        <w:rPr>
          <w:sz w:val="20"/>
          <w:szCs w:val="20"/>
          <w:color w:val="auto"/>
        </w:rPr>
      </w:pPr>
    </w:p>
    <w:p>
      <w:pPr>
        <w:ind w:left="60" w:right="159" w:firstLine="324"/>
        <w:spacing w:after="0" w:line="216" w:lineRule="auto"/>
        <w:rPr>
          <w:sz w:val="20"/>
          <w:szCs w:val="20"/>
          <w:color w:val="auto"/>
        </w:rPr>
      </w:pPr>
      <w:r>
        <w:rPr>
          <w:rFonts w:ascii="Arial" w:cs="Arial" w:eastAsia="Arial" w:hAnsi="Arial"/>
          <w:sz w:val="18"/>
          <w:szCs w:val="18"/>
          <w:color w:val="auto"/>
        </w:rPr>
        <w:t>The success of IGALMI</w:t>
      </w:r>
      <w:r>
        <w:rPr>
          <w:rFonts w:ascii="Arial" w:cs="Arial" w:eastAsia="Arial" w:hAnsi="Arial"/>
          <w:sz w:val="26"/>
          <w:szCs w:val="26"/>
          <w:color w:val="auto"/>
          <w:vertAlign w:val="superscript"/>
        </w:rPr>
        <w:t>TM</w:t>
      </w:r>
      <w:r>
        <w:rPr>
          <w:rFonts w:ascii="Arial" w:cs="Arial" w:eastAsia="Arial" w:hAnsi="Arial"/>
          <w:sz w:val="18"/>
          <w:szCs w:val="18"/>
          <w:color w:val="auto"/>
        </w:rPr>
        <w:t>, and of BXCL501, BXCL701, BXCL502 and our other product candidates will depend on several factors, including the following:</w:t>
      </w:r>
    </w:p>
    <w:p>
      <w:pPr>
        <w:spacing w:after="0" w:line="203" w:lineRule="exact"/>
        <w:rPr>
          <w:sz w:val="20"/>
          <w:szCs w:val="20"/>
          <w:color w:val="auto"/>
        </w:rPr>
      </w:pPr>
    </w:p>
    <w:p>
      <w:pPr>
        <w:ind w:left="720" w:right="259" w:hanging="319"/>
        <w:spacing w:after="0" w:line="342"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acceptance of an IND application by the FDA or acceptance of comparable applications by foreign regulatory authorities allowing us to conduct clinical trials of our product candidates in the U.S. or in foreign jurisdictions;</w:t>
      </w:r>
    </w:p>
    <w:p>
      <w:pPr>
        <w:spacing w:after="0" w:line="123" w:lineRule="exact"/>
        <w:rPr>
          <w:rFonts w:ascii="Arial" w:cs="Arial" w:eastAsia="Arial" w:hAnsi="Arial"/>
          <w:sz w:val="16"/>
          <w:szCs w:val="16"/>
          <w:color w:val="auto"/>
        </w:rPr>
      </w:pPr>
    </w:p>
    <w:p>
      <w:pPr>
        <w:ind w:left="720" w:right="47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initiation, progress, timing, costs and results of clinical trials of our product candidates and potential product candidates;</w:t>
      </w:r>
    </w:p>
    <w:p>
      <w:pPr>
        <w:spacing w:after="0" w:line="170" w:lineRule="exact"/>
        <w:rPr>
          <w:rFonts w:ascii="Arial" w:cs="Arial" w:eastAsia="Arial" w:hAnsi="Arial"/>
          <w:sz w:val="18"/>
          <w:szCs w:val="18"/>
          <w:color w:val="auto"/>
        </w:rPr>
      </w:pPr>
    </w:p>
    <w:p>
      <w:pPr>
        <w:ind w:left="720" w:right="17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demonstration of safety and efficacy of our product candidates to the satisfaction of the FDA, or any comparable foreign regulatory authority, and sufficient for marketing approval;</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performance of our current and future collaborators;</w:t>
      </w:r>
    </w:p>
    <w:p>
      <w:pPr>
        <w:spacing w:after="0" w:line="225" w:lineRule="exact"/>
        <w:rPr>
          <w:rFonts w:ascii="Arial" w:cs="Arial" w:eastAsia="Arial" w:hAnsi="Arial"/>
          <w:sz w:val="18"/>
          <w:szCs w:val="18"/>
          <w:color w:val="auto"/>
        </w:rPr>
      </w:pPr>
    </w:p>
    <w:p>
      <w:pPr>
        <w:ind w:left="720" w:right="93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nature of any required post-marketing clinical trials or other commitments to applicable regulatory authorities;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suppliers and manufacturers;</w:t>
      </w:r>
    </w:p>
    <w:p>
      <w:pPr>
        <w:spacing w:after="0" w:line="225" w:lineRule="exact"/>
        <w:rPr>
          <w:rFonts w:ascii="Arial" w:cs="Arial" w:eastAsia="Arial" w:hAnsi="Arial"/>
          <w:sz w:val="18"/>
          <w:szCs w:val="18"/>
          <w:color w:val="auto"/>
        </w:rPr>
      </w:pPr>
    </w:p>
    <w:p>
      <w:pPr>
        <w:ind w:left="720" w:right="107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to obtain finished drug product that is appropriately packaged for sale;</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79" w:hanging="31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product for clinical development and any commercial sales;</w:t>
      </w:r>
    </w:p>
    <w:p>
      <w:pPr>
        <w:spacing w:after="0" w:line="170" w:lineRule="exact"/>
        <w:rPr>
          <w:rFonts w:ascii="Arial" w:cs="Arial" w:eastAsia="Arial" w:hAnsi="Arial"/>
          <w:sz w:val="18"/>
          <w:szCs w:val="18"/>
          <w:color w:val="auto"/>
        </w:rPr>
      </w:pPr>
    </w:p>
    <w:p>
      <w:pPr>
        <w:ind w:left="720" w:right="799" w:hanging="31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and maintaining patent, trade secret protection and regulatory exclusivity, both in the U.S. and internationally;</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ind w:left="60" w:right="199" w:firstLine="324"/>
        <w:spacing w:after="0" w:line="270" w:lineRule="auto"/>
        <w:rPr>
          <w:sz w:val="20"/>
          <w:szCs w:val="20"/>
          <w:color w:val="auto"/>
        </w:rPr>
      </w:pPr>
      <w:r>
        <w:rPr>
          <w:rFonts w:ascii="Arial" w:cs="Arial" w:eastAsia="Arial" w:hAnsi="Arial"/>
          <w:sz w:val="16"/>
          <w:szCs w:val="16"/>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commercialize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or develop, receive marketing approval for and successfully commercialize BXCL501, BXCL701 and our other product candidates, on our own or with any future collaborator, or experience delays because of any of these factors or otherwise, our business could be substantially harmed.</w:t>
      </w:r>
    </w:p>
    <w:p>
      <w:pPr>
        <w:spacing w:after="0" w:line="180"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4"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From time to time, we may publicly disclose top-line or preliminary data from our clinical trials, which is based on a preliminary analysis of then-available data. The results and related findings and conclusions based on such preliminary data are subject to change, and have in the past changed,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8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88" w:lineRule="exact"/>
        <w:rPr>
          <w:sz w:val="20"/>
          <w:szCs w:val="20"/>
          <w:color w:val="auto"/>
        </w:rPr>
      </w:pPr>
    </w:p>
    <w:p>
      <w:pPr>
        <w:ind w:left="60" w:right="219" w:firstLine="324"/>
        <w:spacing w:after="0" w:line="273"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324"/>
        <w:spacing w:after="0" w:line="311" w:lineRule="auto"/>
        <w:rPr>
          <w:sz w:val="20"/>
          <w:szCs w:val="20"/>
          <w:color w:val="auto"/>
        </w:rPr>
      </w:pPr>
      <w:r>
        <w:rPr>
          <w:rFonts w:ascii="Arial" w:cs="Arial" w:eastAsia="Arial" w:hAnsi="Arial"/>
          <w:sz w:val="16"/>
          <w:szCs w:val="16"/>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49"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spacing w:after="0" w:line="184"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were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the course of a product candidate’s clinical development and may vary among jurisdictions. We obtained regulatory approval for our first product candidate for the acute treatment of agitation associated with schizophrenia or bipolar I or II disorder, which has not yet been successfully commercialized. It is possible that none of our product candidates, or any product candidates we may seek to develop in the future, will ever obtain regulatory approval.</w:t>
      </w:r>
    </w:p>
    <w:p>
      <w:pPr>
        <w:spacing w:after="0" w:line="167"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Our current product candidates, or any that may be developed in the future, could fail to receive regulatory approval for many reasons, including the following:</w:t>
      </w:r>
    </w:p>
    <w:p>
      <w:pPr>
        <w:spacing w:after="0" w:line="170" w:lineRule="exact"/>
        <w:rPr>
          <w:sz w:val="20"/>
          <w:szCs w:val="20"/>
          <w:color w:val="auto"/>
        </w:rPr>
      </w:pPr>
    </w:p>
    <w:p>
      <w:pPr>
        <w:ind w:left="720" w:right="359" w:hanging="31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720" w:right="379" w:hanging="31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70"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720" w:right="739" w:hanging="31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70" w:lineRule="exact"/>
        <w:rPr>
          <w:rFonts w:ascii="Arial" w:cs="Arial" w:eastAsia="Arial" w:hAnsi="Arial"/>
          <w:sz w:val="18"/>
          <w:szCs w:val="18"/>
          <w:color w:val="auto"/>
        </w:rPr>
      </w:pPr>
    </w:p>
    <w:p>
      <w:pPr>
        <w:ind w:left="720" w:right="319" w:hanging="31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U.S. or elsewhere;</w:t>
      </w:r>
    </w:p>
    <w:p>
      <w:pPr>
        <w:spacing w:after="0" w:line="170" w:lineRule="exact"/>
        <w:rPr>
          <w:rFonts w:ascii="Arial" w:cs="Arial" w:eastAsia="Arial" w:hAnsi="Arial"/>
          <w:sz w:val="18"/>
          <w:szCs w:val="18"/>
          <w:color w:val="auto"/>
        </w:rPr>
      </w:pPr>
    </w:p>
    <w:p>
      <w:pPr>
        <w:ind w:left="720" w:right="159" w:hanging="319"/>
        <w:spacing w:after="0" w:line="308" w:lineRule="auto"/>
        <w:tabs>
          <w:tab w:leader="none" w:pos="7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that our changes to branded reference drugs meet the criteria for the 505(b)(2) regulatory pathway or comparable foreign regulatory pathways;</w:t>
      </w:r>
    </w:p>
    <w:p>
      <w:pPr>
        <w:spacing w:after="0" w:line="146" w:lineRule="exact"/>
        <w:rPr>
          <w:rFonts w:ascii="Arial" w:cs="Arial" w:eastAsia="Arial" w:hAnsi="Arial"/>
          <w:sz w:val="17"/>
          <w:szCs w:val="17"/>
          <w:color w:val="auto"/>
        </w:rPr>
      </w:pPr>
    </w:p>
    <w:p>
      <w:pPr>
        <w:ind w:left="720" w:right="599" w:hanging="319"/>
        <w:spacing w:after="0" w:line="342"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and</w:t>
      </w:r>
    </w:p>
    <w:p>
      <w:pPr>
        <w:spacing w:after="0" w:line="123" w:lineRule="exact"/>
        <w:rPr>
          <w:rFonts w:ascii="Arial" w:cs="Arial" w:eastAsia="Arial" w:hAnsi="Arial"/>
          <w:sz w:val="16"/>
          <w:szCs w:val="16"/>
          <w:color w:val="auto"/>
        </w:rPr>
      </w:pPr>
    </w:p>
    <w:p>
      <w:pPr>
        <w:ind w:left="720" w:right="259" w:hanging="31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55" w:lineRule="auto"/>
        <w:rPr>
          <w:sz w:val="20"/>
          <w:szCs w:val="20"/>
          <w:color w:val="auto"/>
        </w:rPr>
      </w:pPr>
      <w:r>
        <w:rPr>
          <w:rFonts w:ascii="Arial" w:cs="Arial" w:eastAsia="Arial" w:hAnsi="Arial"/>
          <w:sz w:val="18"/>
          <w:szCs w:val="18"/>
          <w:color w:val="auto"/>
        </w:rPr>
        <w:t>We have limited experience in completing clinical trials of any of our product candidates. Consequently, we may not have the necessary capabilities, including adequate staffing, to successfully manage the execution and completion of any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92" w:lineRule="exact"/>
        <w:rPr>
          <w:sz w:val="20"/>
          <w:szCs w:val="20"/>
          <w:color w:val="auto"/>
        </w:rPr>
      </w:pPr>
    </w:p>
    <w:p>
      <w:pPr>
        <w:ind w:left="60" w:right="219" w:firstLine="324"/>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92" w:lineRule="exact"/>
        <w:rPr>
          <w:sz w:val="20"/>
          <w:szCs w:val="20"/>
          <w:color w:val="auto"/>
        </w:rPr>
      </w:pPr>
    </w:p>
    <w:p>
      <w:pPr>
        <w:ind w:left="60" w:right="259" w:firstLine="324"/>
        <w:spacing w:after="0" w:line="279" w:lineRule="auto"/>
        <w:rPr>
          <w:sz w:val="20"/>
          <w:szCs w:val="20"/>
          <w:color w:val="auto"/>
        </w:rPr>
      </w:pPr>
      <w:r>
        <w:rPr>
          <w:rFonts w:ascii="Arial" w:cs="Arial" w:eastAsia="Arial" w:hAnsi="Arial"/>
          <w:sz w:val="16"/>
          <w:szCs w:val="16"/>
          <w:color w:val="auto"/>
        </w:rPr>
        <w:t>We have only submitted one NDA to the FDA and have not submitted any similar marketing applications to comparable foreign authorities, for any product candidate, and we cannot be certain that any of our product candidates currently in development, or any than may be developed in the future, will be successful in clinical trials or receive regulatory approval. Further, our product candidates currently in development, or any than may be developed in the future, may not receive regulatory approval even if they are successful in clinical trials. If we do not receive regulatory approvals for additional product candidates, we may not be able to continue our operations. For any regulatory approvals to market one or more of our product candidates, our revenues will be dependent, in part, upon the size of the markets in the territories for which we gain regulatory approval and have commercial rights. If the markets for patients that we are targeting for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or our other product candidates are not as significant as we estimate, we may not generate significant revenues from sales of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or such other product candidates, if approved.</w:t>
      </w:r>
    </w:p>
    <w:p>
      <w:pPr>
        <w:spacing w:after="0" w:line="50"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We plan to seek regulatory approval to commercialize our product candidates in the U.S., the European Union (“EU”)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61" w:lineRule="exact"/>
        <w:rPr>
          <w:sz w:val="20"/>
          <w:szCs w:val="20"/>
          <w:color w:val="auto"/>
        </w:rPr>
      </w:pPr>
    </w:p>
    <w:p>
      <w:pPr>
        <w:ind w:left="60" w:right="279" w:firstLine="324"/>
        <w:spacing w:after="0" w:line="285" w:lineRule="auto"/>
        <w:rPr>
          <w:sz w:val="20"/>
          <w:szCs w:val="20"/>
          <w:color w:val="auto"/>
        </w:rPr>
      </w:pPr>
      <w:r>
        <w:rPr>
          <w:rFonts w:ascii="Arial" w:cs="Arial" w:eastAsia="Arial" w:hAnsi="Arial"/>
          <w:sz w:val="16"/>
          <w:szCs w:val="16"/>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may still choose to submit a CTA under either the Clinical Trials Directive or the CTR until January 31, 2023 and, if authorized, those will be governed by the Clinical Trials Directive until January 31, 2025. By that date, all ongoing trials will become subject to the provisions of the CTR.</w:t>
      </w:r>
    </w:p>
    <w:p>
      <w:pPr>
        <w:spacing w:after="0" w:line="174"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governing clinical trials, our development plans may be impacted.</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19"/>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involve an uncertain outcome.</w:t>
      </w:r>
    </w:p>
    <w:p>
      <w:pPr>
        <w:spacing w:after="0" w:line="170" w:lineRule="exact"/>
        <w:rPr>
          <w:sz w:val="20"/>
          <w:szCs w:val="20"/>
          <w:color w:val="auto"/>
        </w:rPr>
      </w:pPr>
    </w:p>
    <w:p>
      <w:pPr>
        <w:ind w:left="60" w:right="139" w:firstLine="324"/>
        <w:spacing w:after="0" w:line="270" w:lineRule="auto"/>
        <w:rPr>
          <w:sz w:val="20"/>
          <w:szCs w:val="20"/>
          <w:color w:val="auto"/>
        </w:rPr>
      </w:pPr>
      <w:r>
        <w:rPr>
          <w:rFonts w:ascii="Arial" w:cs="Arial" w:eastAsia="Arial" w:hAnsi="Arial"/>
          <w:sz w:val="17"/>
          <w:szCs w:val="17"/>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and can take many years to complete, and its outcome is inherently uncertain. Failure can occur at any time during the clinical trial process. Although we are planning for certain clinical trials relating to BXCL501, BXCL701, BXCL502 and our other product candidates, there can be no assurance that the FDA, or other comparable foreign regulatory authorities, will accept our proposed trial designs. 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81" w:lineRule="exact"/>
        <w:rPr>
          <w:sz w:val="20"/>
          <w:szCs w:val="20"/>
          <w:color w:val="auto"/>
        </w:rPr>
      </w:pPr>
    </w:p>
    <w:p>
      <w:pPr>
        <w:ind w:left="720" w:right="459" w:hanging="319"/>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studies;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obtaining regulatory authorizations to commence a trial or consensus with regulatory authorities on trial designs;</w:t>
      </w:r>
    </w:p>
    <w:p>
      <w:pPr>
        <w:spacing w:after="0" w:line="248" w:lineRule="exact"/>
        <w:rPr>
          <w:rFonts w:ascii="Arial" w:cs="Arial" w:eastAsia="Arial" w:hAnsi="Arial"/>
          <w:sz w:val="16"/>
          <w:szCs w:val="16"/>
          <w:color w:val="auto"/>
        </w:rPr>
      </w:pPr>
    </w:p>
    <w:p>
      <w:pPr>
        <w:ind w:left="720" w:right="159" w:hanging="319"/>
        <w:spacing w:after="0" w:line="308" w:lineRule="auto"/>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reaching agreement on acceptable terms with prospective CROs and clinical trial sites, the terms of which can be subject to extensive negotiation and may vary significantly among different CROs and trial sites;</w:t>
      </w:r>
    </w:p>
    <w:p>
      <w:pPr>
        <w:spacing w:after="0" w:line="146" w:lineRule="exact"/>
        <w:rPr>
          <w:rFonts w:ascii="Arial" w:cs="Arial" w:eastAsia="Arial" w:hAnsi="Arial"/>
          <w:sz w:val="17"/>
          <w:szCs w:val="17"/>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diversion of healthcare resources to combat epidemics, such as the COVID-19 pandemic;</w:t>
      </w:r>
    </w:p>
    <w:p>
      <w:pPr>
        <w:spacing w:after="0" w:line="225" w:lineRule="exact"/>
        <w:rPr>
          <w:rFonts w:ascii="Arial" w:cs="Arial" w:eastAsia="Arial" w:hAnsi="Arial"/>
          <w:sz w:val="18"/>
          <w:szCs w:val="18"/>
          <w:color w:val="auto"/>
        </w:rPr>
      </w:pPr>
    </w:p>
    <w:p>
      <w:pPr>
        <w:ind w:left="720" w:right="299" w:hanging="319"/>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institutional review board (“IRB”) approval at each site, or independent ethics committee approval at any sites outside the U.S.;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dependence on the needs and timing of third-party collaborators;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to clinical trial protocols;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 and in sufficient numbers;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25" w:lineRule="exact"/>
        <w:rPr>
          <w:rFonts w:ascii="Arial" w:cs="Arial" w:eastAsia="Arial" w:hAnsi="Arial"/>
          <w:sz w:val="18"/>
          <w:szCs w:val="18"/>
          <w:color w:val="auto"/>
        </w:rPr>
      </w:pPr>
    </w:p>
    <w:p>
      <w:pPr>
        <w:ind w:left="720" w:right="399" w:hanging="319"/>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including as a result of unforeseen safety issues or side effects or failure of trial sites to adhere to regulatory requirements;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occurrence of SAEs in trials of the same class of agents conducted by other companies or institutions;</w:t>
      </w:r>
    </w:p>
    <w:p>
      <w:pPr>
        <w:spacing w:after="0" w:line="236" w:lineRule="exact"/>
        <w:rPr>
          <w:rFonts w:ascii="Arial" w:cs="Arial" w:eastAsia="Arial" w:hAnsi="Arial"/>
          <w:sz w:val="17"/>
          <w:szCs w:val="17"/>
          <w:color w:val="auto"/>
        </w:rPr>
      </w:pPr>
    </w:p>
    <w:p>
      <w:pPr>
        <w:ind w:left="720" w:right="939" w:hanging="319"/>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product candidates, or participating in competing trials;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for use in clinical trials;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59" w:hanging="319"/>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selection of clinical end points that require prolonged periods of clinical observation or analysis of the resulting data;</w:t>
      </w:r>
    </w:p>
    <w:p>
      <w:pPr>
        <w:spacing w:after="0" w:line="170" w:lineRule="exact"/>
        <w:rPr>
          <w:rFonts w:ascii="Arial" w:cs="Arial" w:eastAsia="Arial" w:hAnsi="Arial"/>
          <w:sz w:val="18"/>
          <w:szCs w:val="18"/>
          <w:color w:val="auto"/>
        </w:rPr>
      </w:pPr>
    </w:p>
    <w:p>
      <w:pPr>
        <w:ind w:left="720" w:right="259" w:hanging="319"/>
        <w:spacing w:after="0" w:line="279" w:lineRule="auto"/>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facility manufacturing our product candidates or any of their components being ordered by the FDA, or comparable foreign regulatory authorities, to temporarily or permanently shut down due to violations of current good manufacturing practice (“cGMP”) regulations or other applicable requirements, or infections or cross-contaminations of product candidates in the manufacturing process;</w:t>
      </w:r>
    </w:p>
    <w:p>
      <w:pPr>
        <w:spacing w:after="0" w:line="171" w:lineRule="exact"/>
        <w:rPr>
          <w:rFonts w:ascii="Arial" w:cs="Arial" w:eastAsia="Arial" w:hAnsi="Arial"/>
          <w:sz w:val="17"/>
          <w:szCs w:val="17"/>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225" w:lineRule="exact"/>
        <w:rPr>
          <w:rFonts w:ascii="Arial" w:cs="Arial" w:eastAsia="Arial" w:hAnsi="Arial"/>
          <w:sz w:val="18"/>
          <w:szCs w:val="18"/>
          <w:color w:val="auto"/>
        </w:rPr>
      </w:pPr>
    </w:p>
    <w:p>
      <w:pPr>
        <w:ind w:left="720" w:right="599" w:hanging="319"/>
        <w:spacing w:after="0" w:line="263"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 (“GCP”) or other regulatory requirements; or</w:t>
      </w:r>
    </w:p>
    <w:p>
      <w:pPr>
        <w:spacing w:after="0" w:line="183" w:lineRule="exact"/>
        <w:rPr>
          <w:rFonts w:ascii="Arial" w:cs="Arial" w:eastAsia="Arial" w:hAnsi="Arial"/>
          <w:sz w:val="18"/>
          <w:szCs w:val="18"/>
          <w:color w:val="auto"/>
        </w:rPr>
      </w:pPr>
    </w:p>
    <w:p>
      <w:pPr>
        <w:ind w:left="720" w:right="239" w:hanging="319"/>
        <w:spacing w:after="0" w:line="25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 or 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88"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For example, in April 2021, PLACIDITY enrollment was voluntarily paused to assess challenges posed in opening relevant clinical sites and enrolling delirium patients in the intensive care unit (“ICU”) settings, including as a result of the burden COVID-19 placed on the ICU.</w:t>
      </w:r>
    </w:p>
    <w:p>
      <w:pPr>
        <w:spacing w:after="0" w:line="188"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the Data Safety Monitoring Board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w:t>
      </w:r>
    </w:p>
    <w:p>
      <w:pPr>
        <w:spacing w:after="0" w:line="166" w:lineRule="exact"/>
        <w:rPr>
          <w:sz w:val="20"/>
          <w:szCs w:val="20"/>
          <w:color w:val="auto"/>
        </w:rPr>
      </w:pPr>
    </w:p>
    <w:p>
      <w:pPr>
        <w:ind w:left="60" w:right="139" w:firstLine="324"/>
        <w:spacing w:after="0" w:line="273" w:lineRule="auto"/>
        <w:rPr>
          <w:sz w:val="20"/>
          <w:szCs w:val="20"/>
          <w:color w:val="auto"/>
        </w:rPr>
      </w:pPr>
      <w:r>
        <w:rPr>
          <w:rFonts w:ascii="Arial" w:cs="Arial" w:eastAsia="Arial" w:hAnsi="Arial"/>
          <w:sz w:val="17"/>
          <w:szCs w:val="17"/>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For example, if the current conflict between Russia and Ukraine spreads to other regions, it may adversely impact our ability to conduct trials.</w:t>
      </w:r>
    </w:p>
    <w:p>
      <w:pPr>
        <w:spacing w:after="0" w:line="178"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63"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in order for us to continue development of our product candidates. If we are unable to enroll patients in our clinical trials, our research and development efforts could be adversely affected.</w:t>
      </w:r>
    </w:p>
    <w:p>
      <w:pPr>
        <w:spacing w:after="0" w:line="184"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 including any new drugs that may be approved for the indications we are investigating. Our ability to enroll patients in our clinical trials has been, and may in the future be, impacted by governmental restrictions and diversion of healthcare resources resulting from the COVID-19 pandemic. Many pharmaceutical companies are conducting clinical trials in patients with the disease indications that our product candidates are designed to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171" w:lineRule="exact"/>
        <w:rPr>
          <w:sz w:val="20"/>
          <w:szCs w:val="20"/>
          <w:color w:val="auto"/>
        </w:rPr>
      </w:pPr>
    </w:p>
    <w:p>
      <w:pPr>
        <w:jc w:val="both"/>
        <w:ind w:left="60" w:right="319"/>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spacing w:after="0" w:line="184" w:lineRule="exact"/>
        <w:rPr>
          <w:sz w:val="20"/>
          <w:szCs w:val="20"/>
          <w:color w:val="auto"/>
        </w:rPr>
      </w:pPr>
    </w:p>
    <w:p>
      <w:pPr>
        <w:ind w:left="60" w:right="139" w:firstLine="324"/>
        <w:spacing w:after="0" w:line="253"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BXCL701, BXCL502 and our other product candidates in patients, in many cases, is ongoing and it is possible that there may be side effects associated with their use. Results of our trials could reveal a high and unacceptable severity and prevalence of these or other side effects. For example, in our Phase 2 clinical trial of BXCL701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w:t>
      </w:r>
    </w:p>
    <w:p>
      <w:pPr>
        <w:spacing w:after="0" w:line="196"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6"/>
          <w:szCs w:val="16"/>
          <w:color w:val="auto"/>
        </w:rPr>
        <w:t>If we observe drug-related AEs or other unacceptable safety concerns in clinical trials,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observed in our clinical trials and upon commercialization of any of our product candidates that may receive regulatory approval. Inadequate training in recognizing or managing the potential side effects of our product candidates could result in patient injury or death. Any of these occurrences may harm our business, financial condition and prospects significantly.</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0" w:right="679" w:firstLine="324"/>
        <w:spacing w:after="0" w:line="226" w:lineRule="auto"/>
        <w:rPr>
          <w:sz w:val="20"/>
          <w:szCs w:val="20"/>
          <w:color w:val="auto"/>
        </w:rPr>
      </w:pPr>
      <w:r>
        <w:rPr>
          <w:rFonts w:ascii="Arial" w:cs="Arial" w:eastAsia="Arial" w:hAnsi="Arial"/>
          <w:sz w:val="18"/>
          <w:szCs w:val="18"/>
          <w:color w:val="auto"/>
        </w:rPr>
        <w:t>Additionally, if we or others later identify undesirable side effects caused by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or any other product candidate that receives marketing approval, a number of potentially significant negative consequences could result, including:</w:t>
      </w:r>
    </w:p>
    <w:p>
      <w:pPr>
        <w:spacing w:after="0" w:line="203" w:lineRule="exact"/>
        <w:rPr>
          <w:sz w:val="20"/>
          <w:szCs w:val="20"/>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a product is administered to patients;</w:t>
      </w:r>
    </w:p>
    <w:p>
      <w:pPr>
        <w:spacing w:after="0" w:line="225" w:lineRule="exact"/>
        <w:rPr>
          <w:rFonts w:ascii="Arial" w:cs="Arial" w:eastAsia="Arial" w:hAnsi="Arial"/>
          <w:sz w:val="18"/>
          <w:szCs w:val="18"/>
          <w:color w:val="auto"/>
        </w:rPr>
      </w:pPr>
    </w:p>
    <w:p>
      <w:pPr>
        <w:ind w:left="720" w:right="919" w:hanging="319"/>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distribution of the particular product or the manufacturing processes for the product or any component thereof;</w:t>
      </w:r>
    </w:p>
    <w:p>
      <w:pPr>
        <w:spacing w:after="0" w:line="170" w:lineRule="exact"/>
        <w:rPr>
          <w:rFonts w:ascii="Arial" w:cs="Arial" w:eastAsia="Arial" w:hAnsi="Arial"/>
          <w:sz w:val="18"/>
          <w:szCs w:val="18"/>
          <w:color w:val="auto"/>
        </w:rPr>
      </w:pPr>
    </w:p>
    <w:p>
      <w:pPr>
        <w:ind w:left="720" w:right="999" w:hanging="319"/>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contraindication;</w:t>
      </w:r>
    </w:p>
    <w:p>
      <w:pPr>
        <w:spacing w:after="0" w:line="170" w:lineRule="exact"/>
        <w:rPr>
          <w:rFonts w:ascii="Arial" w:cs="Arial" w:eastAsia="Arial" w:hAnsi="Arial"/>
          <w:sz w:val="18"/>
          <w:szCs w:val="18"/>
          <w:color w:val="auto"/>
        </w:rPr>
      </w:pPr>
    </w:p>
    <w:p>
      <w:pPr>
        <w:jc w:val="both"/>
        <w:ind w:left="720" w:right="359" w:hanging="319"/>
        <w:spacing w:after="0" w:line="342" w:lineRule="auto"/>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be required to implement Risk Evaluation and Mitigation Strategies (“REMS”) or create a medication guide outlining the risks of such side effects for distribution to patients, or similar risk management measures;</w:t>
      </w:r>
    </w:p>
    <w:p>
      <w:pPr>
        <w:spacing w:after="0" w:line="123" w:lineRule="exact"/>
        <w:rPr>
          <w:rFonts w:ascii="Arial" w:cs="Arial" w:eastAsia="Arial" w:hAnsi="Arial"/>
          <w:sz w:val="16"/>
          <w:szCs w:val="16"/>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product may become less competitive;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 or product candidate, if approved, and could significantly harm our business, results of operations and prospects.</w:t>
      </w:r>
    </w:p>
    <w:p>
      <w:pPr>
        <w:spacing w:after="0" w:line="124"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b w:val="1"/>
          <w:bCs w:val="1"/>
          <w:i w:val="1"/>
          <w:iCs w:val="1"/>
          <w:color w:val="auto"/>
        </w:rPr>
        <w:t>BioXcel LLC’s approach to the discovery and development of product candidates based on EvolverAI, its proprietary pharmaceutical discovery and development engine, is novel and unproven, and we do not know whether we will be able to develop any products of commercial value.</w:t>
      </w:r>
    </w:p>
    <w:p>
      <w:pPr>
        <w:spacing w:after="0" w:line="184"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7"/>
          <w:szCs w:val="17"/>
          <w:color w:val="auto"/>
        </w:rPr>
        <w:t>We are leveraging BioXcel LLC’s EvolverAI, a proprietary pharmaceutical discovery and development engine,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BioXcel LLC’s EvolverAI to create medicines for defined patient populations may potentially enable drug research and clinical development that is more efficient than conventional drug research and development, our approach is novel. Although we obtained FDA approval for IGALMI</w:t>
      </w:r>
      <w:r>
        <w:rPr>
          <w:rFonts w:ascii="Arial" w:cs="Arial" w:eastAsia="Arial" w:hAnsi="Arial"/>
          <w:sz w:val="25"/>
          <w:szCs w:val="25"/>
          <w:color w:val="auto"/>
          <w:vertAlign w:val="superscript"/>
        </w:rPr>
        <w:t>TM</w:t>
      </w:r>
      <w:r>
        <w:rPr>
          <w:rFonts w:ascii="Arial" w:cs="Arial" w:eastAsia="Arial" w:hAnsi="Arial"/>
          <w:sz w:val="17"/>
          <w:szCs w:val="17"/>
          <w:color w:val="auto"/>
        </w:rPr>
        <w:t>, because our approach is novel, the cost and time needed to develop our product candidates is difficult to predict, and our efforts may not result in the discovery and development of commercially viable medicines. We may also be incorrect about the effects of our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BioXcel LLC’s EvolverAI may fail to help us discover and develop additional potential product candidates.</w:t>
      </w:r>
    </w:p>
    <w:p>
      <w:pPr>
        <w:spacing w:after="0" w:line="237" w:lineRule="exact"/>
        <w:rPr>
          <w:sz w:val="20"/>
          <w:szCs w:val="20"/>
          <w:color w:val="auto"/>
        </w:rPr>
      </w:pPr>
    </w:p>
    <w:p>
      <w:pPr>
        <w:ind w:left="60" w:right="279" w:firstLine="324"/>
        <w:spacing w:after="0" w:line="259" w:lineRule="auto"/>
        <w:rPr>
          <w:sz w:val="20"/>
          <w:szCs w:val="20"/>
          <w:color w:val="auto"/>
        </w:rPr>
      </w:pPr>
      <w:r>
        <w:rPr>
          <w:rFonts w:ascii="Arial" w:cs="Arial" w:eastAsia="Arial" w:hAnsi="Arial"/>
          <w:sz w:val="18"/>
          <w:szCs w:val="18"/>
          <w:color w:val="auto"/>
        </w:rPr>
        <w:t>Any drug discovery that we are conducting using BioXcel LLC’s EvolverAI may not be successful in identifying compounds that have commercial value or therapeutic utility. BioXcel LLC’s EvolverAI may initially show promise in identifying potential product candidates, yet fail to yield viable additional product candidates for clinical development or potential commercialization for a number of reasons, including: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39" w:hanging="319"/>
        <w:spacing w:after="0" w:line="275"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76" w:lineRule="exact"/>
        <w:rPr>
          <w:rFonts w:ascii="Arial" w:cs="Arial" w:eastAsia="Arial" w:hAnsi="Arial"/>
          <w:sz w:val="17"/>
          <w:szCs w:val="17"/>
          <w:color w:val="auto"/>
        </w:rPr>
      </w:pPr>
    </w:p>
    <w:p>
      <w:pPr>
        <w:ind w:left="720" w:hanging="319"/>
        <w:spacing w:after="0"/>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compounds found through BioXcel LLC’s EvolverAI may not demonstrate efficacy, safety or tolerability;</w:t>
      </w:r>
    </w:p>
    <w:p>
      <w:pPr>
        <w:spacing w:after="0" w:line="236" w:lineRule="exact"/>
        <w:rPr>
          <w:rFonts w:ascii="Arial" w:cs="Arial" w:eastAsia="Arial" w:hAnsi="Arial"/>
          <w:sz w:val="17"/>
          <w:szCs w:val="17"/>
          <w:color w:val="auto"/>
        </w:rPr>
      </w:pPr>
    </w:p>
    <w:p>
      <w:pPr>
        <w:ind w:left="720" w:right="199" w:hanging="319"/>
        <w:spacing w:after="0" w:line="342"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potential product candidates may, on further study, be shown to have harmful side effects or other characteristics that indicate that they are unlikely to receive marketing approval and achieve market acceptance;</w:t>
      </w:r>
    </w:p>
    <w:p>
      <w:pPr>
        <w:spacing w:after="0" w:line="123" w:lineRule="exact"/>
        <w:rPr>
          <w:rFonts w:ascii="Arial" w:cs="Arial" w:eastAsia="Arial" w:hAnsi="Arial"/>
          <w:sz w:val="16"/>
          <w:szCs w:val="16"/>
          <w:color w:val="auto"/>
        </w:rPr>
      </w:pPr>
    </w:p>
    <w:p>
      <w:pPr>
        <w:ind w:left="720" w:right="37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competitors may develop alternative therapies that render our potential product candidates non-competitive or less attractive; or</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at an acceptable cost.</w:t>
      </w:r>
    </w:p>
    <w:p>
      <w:pPr>
        <w:spacing w:after="0" w:line="225" w:lineRule="exact"/>
        <w:rPr>
          <w:sz w:val="20"/>
          <w:szCs w:val="20"/>
          <w:color w:val="auto"/>
        </w:rPr>
      </w:pPr>
    </w:p>
    <w:p>
      <w:pPr>
        <w:ind w:left="60" w:right="199"/>
        <w:spacing w:after="0" w:line="301" w:lineRule="auto"/>
        <w:rPr>
          <w:sz w:val="20"/>
          <w:szCs w:val="20"/>
          <w:color w:val="auto"/>
        </w:rPr>
      </w:pPr>
      <w:r>
        <w:rPr>
          <w:rFonts w:ascii="Arial" w:cs="Arial" w:eastAsia="Arial" w:hAnsi="Arial"/>
          <w:sz w:val="16"/>
          <w:szCs w:val="16"/>
          <w:b w:val="1"/>
          <w:bCs w:val="1"/>
          <w:i w:val="1"/>
          <w:iCs w:val="1"/>
          <w:color w:val="auto"/>
        </w:rPr>
        <w:t>We obtained Fast Track designation for BXCL501 for the acute treatment of mild-to-moderate agitation associated with schizophrenia, bipolar disorder, or dementia,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spacing w:after="0" w:line="157" w:lineRule="exact"/>
        <w:rPr>
          <w:sz w:val="20"/>
          <w:szCs w:val="20"/>
          <w:color w:val="auto"/>
        </w:rPr>
      </w:pPr>
    </w:p>
    <w:p>
      <w:pPr>
        <w:ind w:left="60" w:right="219" w:firstLine="324"/>
        <w:spacing w:after="0" w:line="285" w:lineRule="auto"/>
        <w:rPr>
          <w:sz w:val="20"/>
          <w:szCs w:val="20"/>
          <w:color w:val="auto"/>
        </w:rPr>
      </w:pPr>
      <w:r>
        <w:rPr>
          <w:rFonts w:ascii="Arial" w:cs="Arial" w:eastAsia="Arial" w:hAnsi="Arial"/>
          <w:sz w:val="16"/>
          <w:szCs w:val="16"/>
          <w:color w:val="auto"/>
        </w:rPr>
        <w:t>If a product candidate is intended for the treatment of a serious condition and nonclinical or clinical data demonstrate the potential to address unmet medical need for this condition, a product sponsor may apply for FDA Fast Track designation. The sponsor of a Fast Track product candidate has opportunities for more frequent interactions with the applicable FDA review team during product development and, once an NDA is submitted, the product candidate may be eligible for priority review if the relevant criteria are met.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obtained Fast Track designation for BXCL501 for the acute treatment of mild-to-moderate agitation associated with schizophrenia, bipolar disorder, or dementia, and we may seek Fast Track designation for other indications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74"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84" w:lineRule="exact"/>
        <w:rPr>
          <w:sz w:val="20"/>
          <w:szCs w:val="20"/>
          <w:color w:val="auto"/>
        </w:rPr>
      </w:pPr>
    </w:p>
    <w:p>
      <w:pPr>
        <w:ind w:left="60" w:right="159" w:firstLine="324"/>
        <w:spacing w:after="0" w:line="289" w:lineRule="auto"/>
        <w:rPr>
          <w:sz w:val="20"/>
          <w:szCs w:val="20"/>
          <w:color w:val="auto"/>
        </w:rPr>
      </w:pPr>
      <w:r>
        <w:rPr>
          <w:rFonts w:ascii="Arial" w:cs="Arial" w:eastAsia="Arial" w:hAnsi="Arial"/>
          <w:sz w:val="16"/>
          <w:szCs w:val="16"/>
          <w:color w:val="auto"/>
        </w:rPr>
        <w:t>We obtained Breakthrough Therapy Designations for BXCL501 for the acute treatment of agitation associated with dementia, and we may seek additional Breakthrough Therapy designations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designated as Breakthrough Therapies by the FDA also receive the benefits associated with Fast Track designation, including the potential for rolling review of an NDA.</w:t>
      </w:r>
    </w:p>
    <w:p>
      <w:pPr>
        <w:spacing w:after="0" w:line="170"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or decide that the time period for FDA review or approval will not be shortened.</w:t>
      </w:r>
    </w:p>
    <w:p>
      <w:pPr>
        <w:spacing w:after="0" w:line="166"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88"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6"/>
          <w:szCs w:val="16"/>
          <w:color w:val="auto"/>
        </w:rPr>
        <w:t>We intend to seek FDA approval through the 505(b)(2) regulatory pathway for certain of our product candidates. The Hatch-Waxman Act added Section 505(b)(2) to the Federal Food, Drug and Cosmetic Act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71" w:lineRule="exact"/>
        <w:rPr>
          <w:sz w:val="20"/>
          <w:szCs w:val="20"/>
          <w:color w:val="auto"/>
        </w:rPr>
      </w:pPr>
    </w:p>
    <w:p>
      <w:pPr>
        <w:ind w:left="60" w:right="199"/>
        <w:spacing w:after="0" w:line="327" w:lineRule="auto"/>
        <w:rPr>
          <w:sz w:val="20"/>
          <w:szCs w:val="20"/>
          <w:color w:val="auto"/>
        </w:rPr>
      </w:pPr>
      <w:r>
        <w:rPr>
          <w:rFonts w:ascii="Arial" w:cs="Arial" w:eastAsia="Arial" w:hAnsi="Arial"/>
          <w:sz w:val="15"/>
          <w:szCs w:val="15"/>
          <w:b w:val="1"/>
          <w:bCs w:val="1"/>
          <w:i w:val="1"/>
          <w:iCs w:val="1"/>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r>
        <w:rPr>
          <w:rFonts w:ascii="Arial" w:cs="Arial" w:eastAsia="Arial" w:hAnsi="Arial"/>
          <w:sz w:val="15"/>
          <w:szCs w:val="15"/>
          <w:color w:val="auto"/>
        </w:rPr>
        <w:t>.</w:t>
      </w:r>
    </w:p>
    <w:p>
      <w:pPr>
        <w:spacing w:after="0" w:line="140"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may decide to collaborate with patient diagnostic companies during our clinical trial enrollment process for BXCL701 to help identify patients with tumor gene alterations that we believe may be most likely to respond to treatment with BXCL701. The process of obtaining or creating such diagnostic is time consuming and costly.</w:t>
      </w:r>
    </w:p>
    <w:p>
      <w:pPr>
        <w:spacing w:after="0" w:line="192" w:lineRule="exact"/>
        <w:rPr>
          <w:sz w:val="20"/>
          <w:szCs w:val="20"/>
          <w:color w:val="auto"/>
        </w:rPr>
      </w:pPr>
    </w:p>
    <w:p>
      <w:pPr>
        <w:ind w:left="60" w:right="239" w:firstLine="324"/>
        <w:spacing w:after="0" w:line="293" w:lineRule="auto"/>
        <w:rPr>
          <w:sz w:val="20"/>
          <w:szCs w:val="20"/>
          <w:color w:val="auto"/>
        </w:rPr>
      </w:pPr>
      <w:r>
        <w:rPr>
          <w:rFonts w:ascii="Arial" w:cs="Arial" w:eastAsia="Arial" w:hAnsi="Arial"/>
          <w:sz w:val="16"/>
          <w:szCs w:val="16"/>
          <w:color w:val="auto"/>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before or concurrent with approval of the therapeutic product and before a product can be commercialized. The approval of a companion diagnostic as part of the therapeutic product’s labeling limits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color w:val="auto"/>
        </w:rPr>
        <w:t>use of the therapeutic product to only those patients who express the specific genetic alteration that the companion diagnostic was developed to detect.</w:t>
      </w:r>
    </w:p>
    <w:p>
      <w:pPr>
        <w:spacing w:after="0" w:line="170" w:lineRule="exact"/>
        <w:rPr>
          <w:sz w:val="20"/>
          <w:szCs w:val="20"/>
          <w:color w:val="auto"/>
        </w:rPr>
      </w:pPr>
    </w:p>
    <w:p>
      <w:pPr>
        <w:ind w:left="60" w:right="259" w:firstLine="324"/>
        <w:spacing w:after="0" w:line="289" w:lineRule="auto"/>
        <w:rPr>
          <w:sz w:val="20"/>
          <w:szCs w:val="20"/>
          <w:color w:val="auto"/>
        </w:rPr>
      </w:pPr>
      <w:r>
        <w:rPr>
          <w:rFonts w:ascii="Arial" w:cs="Arial" w:eastAsia="Arial" w:hAnsi="Arial"/>
          <w:sz w:val="16"/>
          <w:szCs w:val="16"/>
          <w:color w:val="auto"/>
        </w:rPr>
        <w:t>If the FDA, or a comparable foreign regulatory authority, requires approval (or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 delay or prevent approval or continued marketing of our related product candidates.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spacing w:after="0" w:line="166" w:lineRule="exact"/>
        <w:rPr>
          <w:sz w:val="20"/>
          <w:szCs w:val="20"/>
          <w:color w:val="auto"/>
        </w:rPr>
      </w:pPr>
    </w:p>
    <w:p>
      <w:pPr>
        <w:ind w:left="60" w:right="179" w:firstLine="324"/>
        <w:spacing w:after="0" w:line="268" w:lineRule="auto"/>
        <w:rPr>
          <w:sz w:val="20"/>
          <w:szCs w:val="20"/>
          <w:color w:val="auto"/>
        </w:rPr>
      </w:pPr>
      <w:r>
        <w:rPr>
          <w:rFonts w:ascii="Arial" w:cs="Arial" w:eastAsia="Arial" w:hAnsi="Arial"/>
          <w:sz w:val="17"/>
          <w:szCs w:val="17"/>
          <w:color w:val="auto"/>
        </w:rPr>
        <w:t>Approval, clearance or certification of companion diagnostics may be subject to further legislative or regulatory reforms notably in the EU. On May 25, 2017, the new In Vitro Medical Devices Regulation No. 2017/746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became effective in May 2022. However, on October 14, 2021, the European Commission proposed a “progressive” roll-out of the IVDR to prevent disruption in the supply of in vitro diagnostic medical devices. The European Parliament and Council adopted the proposed regulation on December 15, 2021. The IVDR fully applied as of May 26, 2022, but there is a tiered system extending the grace period for many devices (depending on their risk classification) before they have to be fully compliant with the regulation.</w:t>
      </w:r>
    </w:p>
    <w:p>
      <w:pPr>
        <w:spacing w:after="0" w:line="186" w:lineRule="exact"/>
        <w:rPr>
          <w:sz w:val="20"/>
          <w:szCs w:val="20"/>
          <w:color w:val="auto"/>
        </w:rPr>
      </w:pPr>
    </w:p>
    <w:p>
      <w:pPr>
        <w:ind w:left="60" w:right="199" w:firstLine="324"/>
        <w:spacing w:after="0" w:line="271" w:lineRule="auto"/>
        <w:rPr>
          <w:sz w:val="20"/>
          <w:szCs w:val="20"/>
          <w:color w:val="auto"/>
        </w:rPr>
      </w:pPr>
      <w:r>
        <w:rPr>
          <w:rFonts w:ascii="Arial" w:cs="Arial" w:eastAsia="Arial" w:hAnsi="Arial"/>
          <w:sz w:val="17"/>
          <w:szCs w:val="17"/>
          <w:color w:val="auto"/>
        </w:rPr>
        <w:t>The regulation of companion diagnostics in the EU will be subject to further requirements since the IVDR introduces a new classification system for companion diagnostics. Companion diagnostics will have to undergo a conformity assessment by a notified body. Before it can issue a CE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application for the medicinal product has been submitted through the centralized procedure. For other substances, the notified body can seek the opinion from a national competent authority or the EMA.</w:t>
      </w:r>
    </w:p>
    <w:p>
      <w:pPr>
        <w:spacing w:after="0" w:line="178"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These modifications may make it more difficult and costly for us to obtain regulatory clearances, approvals or certifications for our companion diagnostics or to manufacture, market or distribute our products after clearance, approval or certification is obtained.</w:t>
      </w:r>
    </w:p>
    <w:p>
      <w:pPr>
        <w:spacing w:after="0" w:line="174" w:lineRule="exact"/>
        <w:rPr>
          <w:sz w:val="20"/>
          <w:szCs w:val="20"/>
          <w:color w:val="auto"/>
        </w:rPr>
      </w:pPr>
    </w:p>
    <w:p>
      <w:pPr>
        <w:ind w:left="60" w:right="539"/>
        <w:spacing w:after="0" w:line="245" w:lineRule="auto"/>
        <w:rPr>
          <w:sz w:val="20"/>
          <w:szCs w:val="20"/>
          <w:color w:val="auto"/>
        </w:rPr>
      </w:pPr>
      <w:r>
        <w:rPr>
          <w:rFonts w:ascii="Arial" w:cs="Arial" w:eastAsia="Arial" w:hAnsi="Arial"/>
          <w:sz w:val="17"/>
          <w:szCs w:val="17"/>
          <w:b w:val="1"/>
          <w:bCs w:val="1"/>
          <w:i w:val="1"/>
          <w:iCs w:val="1"/>
          <w:color w:val="auto"/>
        </w:rPr>
        <w:t>Although the FDA has approved IGALMI</w:t>
      </w:r>
      <w:r>
        <w:rPr>
          <w:rFonts w:ascii="Arial" w:cs="Arial" w:eastAsia="Arial" w:hAnsi="Arial"/>
          <w:sz w:val="25"/>
          <w:szCs w:val="25"/>
          <w:b w:val="1"/>
          <w:bCs w:val="1"/>
          <w:i w:val="1"/>
          <w:iCs w:val="1"/>
          <w:color w:val="auto"/>
          <w:vertAlign w:val="superscript"/>
        </w:rPr>
        <w:t>TM</w:t>
      </w:r>
      <w:r>
        <w:rPr>
          <w:rFonts w:ascii="Arial" w:cs="Arial" w:eastAsia="Arial" w:hAnsi="Arial"/>
          <w:sz w:val="17"/>
          <w:szCs w:val="17"/>
          <w:b w:val="1"/>
          <w:bCs w:val="1"/>
          <w:i w:val="1"/>
          <w:iCs w:val="1"/>
          <w:color w:val="auto"/>
        </w:rPr>
        <w:t xml:space="preserve"> for the acute treatment of agitation associated with schizophrenia or bipolar I or II disorder, we will still face extensive and ongoing regulatory requirements and obligations for IGALMI</w:t>
      </w:r>
      <w:r>
        <w:rPr>
          <w:rFonts w:ascii="Arial" w:cs="Arial" w:eastAsia="Arial" w:hAnsi="Arial"/>
          <w:sz w:val="25"/>
          <w:szCs w:val="25"/>
          <w:b w:val="1"/>
          <w:bCs w:val="1"/>
          <w:i w:val="1"/>
          <w:iCs w:val="1"/>
          <w:color w:val="auto"/>
          <w:vertAlign w:val="superscript"/>
        </w:rPr>
        <w:t>TM</w:t>
      </w:r>
      <w:r>
        <w:rPr>
          <w:rFonts w:ascii="Arial" w:cs="Arial" w:eastAsia="Arial" w:hAnsi="Arial"/>
          <w:sz w:val="17"/>
          <w:szCs w:val="17"/>
          <w:b w:val="1"/>
          <w:bCs w:val="1"/>
          <w:i w:val="1"/>
          <w:iCs w:val="1"/>
          <w:color w:val="auto"/>
        </w:rPr>
        <w:t xml:space="preserve"> and for any product candidates for which we obtain approval.</w:t>
      </w:r>
    </w:p>
    <w:p>
      <w:pPr>
        <w:spacing w:after="0" w:line="78" w:lineRule="exact"/>
        <w:rPr>
          <w:sz w:val="20"/>
          <w:szCs w:val="20"/>
          <w:color w:val="auto"/>
        </w:rPr>
      </w:pPr>
    </w:p>
    <w:p>
      <w:pPr>
        <w:ind w:left="60" w:right="299" w:firstLine="324"/>
        <w:spacing w:after="0" w:line="230" w:lineRule="auto"/>
        <w:rPr>
          <w:sz w:val="20"/>
          <w:szCs w:val="20"/>
          <w:color w:val="auto"/>
        </w:rPr>
      </w:pPr>
      <w:r>
        <w:rPr>
          <w:rFonts w:ascii="Arial" w:cs="Arial" w:eastAsia="Arial" w:hAnsi="Arial"/>
          <w:sz w:val="18"/>
          <w:szCs w:val="18"/>
          <w:color w:val="auto"/>
        </w:rPr>
        <w:t>Any regulatory approvals that we may receive for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or any of our product candidates will require the submission of reports to regulatory authorities and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FDA-approved label for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includes certain warnings and precautions regarding hypotension, orthostatic hypotension, bradycardia, somnolence, and QT interval prolongation. The FDA may also require a REMS in order to approve a product candidate, which could entail requirements for a medication guide, physician training and communication plans or additional elements to ensure safe use, such as restricted distribution methods, patient registries and other risk minimization tools.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324"/>
        <w:spacing w:after="0" w:line="256" w:lineRule="auto"/>
        <w:rPr>
          <w:sz w:val="20"/>
          <w:szCs w:val="20"/>
          <w:color w:val="auto"/>
        </w:rPr>
      </w:pPr>
      <w:r>
        <w:rPr>
          <w:rFonts w:ascii="Arial" w:cs="Arial" w:eastAsia="Arial" w:hAnsi="Arial"/>
          <w:sz w:val="17"/>
          <w:szCs w:val="17"/>
          <w:color w:val="auto"/>
        </w:rPr>
        <w:t>In addition, the manufacturing processes, labeling, packaging, distribution, AE reporting, storage, advertising, promotion, import, export and recordkeeping for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are and will remain subject to extensive and ongoing regulatory requirements. These requirements include submissions of safety and other post-marketing information and reports, registration, as well as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AEs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w:t>
      </w:r>
    </w:p>
    <w:p>
      <w:pPr>
        <w:spacing w:after="0" w:line="193" w:lineRule="exact"/>
        <w:rPr>
          <w:sz w:val="20"/>
          <w:szCs w:val="20"/>
          <w:color w:val="auto"/>
        </w:rPr>
      </w:pPr>
    </w:p>
    <w:p>
      <w:pPr>
        <w:ind w:left="60" w:right="679" w:firstLine="324"/>
        <w:spacing w:after="0" w:line="342" w:lineRule="auto"/>
        <w:rPr>
          <w:sz w:val="20"/>
          <w:szCs w:val="20"/>
          <w:color w:val="auto"/>
        </w:rPr>
      </w:pPr>
      <w:r>
        <w:rPr>
          <w:rFonts w:ascii="Arial" w:cs="Arial" w:eastAsia="Arial" w:hAnsi="Arial"/>
          <w:sz w:val="16"/>
          <w:szCs w:val="16"/>
          <w:color w:val="auto"/>
        </w:rPr>
        <w:t>In addition, later discovery of previously unknown AEs or other problems with our products, manufacturers or manufacturing processes or failure to comply with regulatory requirements, may yield various results, including:</w:t>
      </w:r>
    </w:p>
    <w:p>
      <w:pPr>
        <w:spacing w:after="0" w:line="124" w:lineRule="exact"/>
        <w:rPr>
          <w:sz w:val="20"/>
          <w:szCs w:val="20"/>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manufacturing such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labeling or marketing of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60" w:right="259" w:firstLine="324"/>
        <w:spacing w:after="0" w:line="301" w:lineRule="auto"/>
        <w:rPr>
          <w:sz w:val="20"/>
          <w:szCs w:val="20"/>
          <w:color w:val="auto"/>
        </w:rPr>
      </w:pPr>
      <w:r>
        <w:rPr>
          <w:rFonts w:ascii="Arial" w:cs="Arial" w:eastAsia="Arial" w:hAnsi="Arial"/>
          <w:sz w:val="16"/>
          <w:szCs w:val="16"/>
          <w:color w:val="auto"/>
        </w:rPr>
        <w:t>Further, the policies of the FDA and other regulatory authorities may change, and additional government regulations may be enacted that could impose extensive and ongoing regulatory requirements and obligations on any product candidate for which we obtain marketing approval. We also cannot predict the likelihood, nature or extent of government regulation that may arise from future legislation or administrative or executive action, either in the U.S. or abroad.</w:t>
      </w:r>
    </w:p>
    <w:p>
      <w:pPr>
        <w:spacing w:after="0" w:line="157"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70" w:lineRule="exact"/>
        <w:rPr>
          <w:sz w:val="20"/>
          <w:szCs w:val="20"/>
          <w:color w:val="auto"/>
        </w:rPr>
      </w:pPr>
    </w:p>
    <w:p>
      <w:pPr>
        <w:ind w:left="60" w:right="239" w:firstLine="324"/>
        <w:spacing w:after="0" w:line="301" w:lineRule="auto"/>
        <w:rPr>
          <w:sz w:val="20"/>
          <w:szCs w:val="20"/>
          <w:color w:val="auto"/>
        </w:rPr>
      </w:pPr>
      <w:r>
        <w:rPr>
          <w:rFonts w:ascii="Arial" w:cs="Arial" w:eastAsia="Arial" w:hAnsi="Arial"/>
          <w:sz w:val="16"/>
          <w:szCs w:val="16"/>
          <w:color w:val="auto"/>
        </w:rPr>
        <w:t>The FDA and other regulatory authorities strictly regulate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or any other regulatory authority may grant is limited to those specific diseases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22" w:lineRule="auto"/>
        <w:rPr>
          <w:sz w:val="20"/>
          <w:szCs w:val="20"/>
          <w:color w:val="auto"/>
        </w:rPr>
      </w:pPr>
      <w:r>
        <w:rPr>
          <w:rFonts w:ascii="Arial" w:cs="Arial" w:eastAsia="Arial" w:hAnsi="Arial"/>
          <w:sz w:val="18"/>
          <w:szCs w:val="18"/>
          <w:color w:val="auto"/>
        </w:rPr>
        <w:t>and indications for which a product is deemed to be safe and effective. For example, the FDA-approved label for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is currently limited to the acute treatment of agitation associated with schizophrenia or bipolar I or II disorder in adults.</w:t>
      </w:r>
    </w:p>
    <w:p>
      <w:pPr>
        <w:spacing w:after="0" w:line="205" w:lineRule="exact"/>
        <w:rPr>
          <w:sz w:val="20"/>
          <w:szCs w:val="20"/>
          <w:color w:val="auto"/>
        </w:rPr>
      </w:pPr>
    </w:p>
    <w:p>
      <w:pPr>
        <w:ind w:left="60" w:right="379" w:firstLine="324"/>
        <w:spacing w:after="0" w:line="276" w:lineRule="auto"/>
        <w:rPr>
          <w:sz w:val="20"/>
          <w:szCs w:val="20"/>
          <w:color w:val="auto"/>
        </w:rPr>
      </w:pPr>
      <w:r>
        <w:rPr>
          <w:rFonts w:ascii="Arial" w:cs="Arial" w:eastAsia="Arial" w:hAnsi="Arial"/>
          <w:sz w:val="16"/>
          <w:szCs w:val="16"/>
          <w:color w:val="auto"/>
        </w:rPr>
        <w:t>While physicians in the U.S.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other formulations of Dex, the active ingredient in IGALMI</w:t>
      </w:r>
      <w:r>
        <w:rPr>
          <w:rFonts w:ascii="Arial" w:cs="Arial" w:eastAsia="Arial" w:hAnsi="Arial"/>
          <w:sz w:val="23"/>
          <w:szCs w:val="23"/>
          <w:color w:val="auto"/>
          <w:vertAlign w:val="superscript"/>
        </w:rPr>
        <w:t>TM</w:t>
      </w:r>
      <w:r>
        <w:rPr>
          <w:rFonts w:ascii="Arial" w:cs="Arial" w:eastAsia="Arial" w:hAnsi="Arial"/>
          <w:sz w:val="16"/>
          <w:szCs w:val="16"/>
          <w:color w:val="auto"/>
        </w:rPr>
        <w:t>, have been approved for uses beyond those authorized in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approved labeling, such as for use in sedation of surgical patients, and we are continuing to develop BXCL501 for potential use in patients with dementia, MDD, Alzheimer’s disease and other indications. We do not market or promote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for these uses.</w:t>
      </w:r>
    </w:p>
    <w:p>
      <w:pPr>
        <w:spacing w:after="0" w:line="66"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6"/>
          <w:szCs w:val="16"/>
          <w:color w:val="auto"/>
        </w:rPr>
        <w:t>Regulatory authorities in the U.S. generally do not regulate the behavior of physicians in their choice of treatments. Regulatory authorities do, however, restrict communications by pharmaceutical companies on the subject of off-label use. If we are found to have promoted our products for any off-label uses, the U.S. federal government (and other foreign governments) could levy civil, criminal and/or administrative penalties, and seek fines against us. The FDA, or other regulatory authorities, could also require that we enter into a consent decree or a corporate integrity agreement, or seek a permanent injunction against us under which specified promotional conduct is monitored, changed or curtailed. If we cannot successfully manage the promotion of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or our product candidates, if approved, we could become subject to significant liability, which would materially adversely affect our business and financial condition.</w:t>
      </w:r>
    </w:p>
    <w:p>
      <w:pPr>
        <w:spacing w:after="0" w:line="165"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7" w:lineRule="exact"/>
        <w:rPr>
          <w:sz w:val="20"/>
          <w:szCs w:val="20"/>
          <w:color w:val="auto"/>
        </w:rPr>
      </w:pPr>
    </w:p>
    <w:p>
      <w:pPr>
        <w:ind w:left="60" w:right="159" w:firstLine="324"/>
        <w:spacing w:after="0" w:line="287" w:lineRule="auto"/>
        <w:rPr>
          <w:sz w:val="20"/>
          <w:szCs w:val="20"/>
          <w:color w:val="auto"/>
        </w:rPr>
      </w:pPr>
      <w:r>
        <w:rPr>
          <w:rFonts w:ascii="Arial" w:cs="Arial" w:eastAsia="Arial" w:hAnsi="Arial"/>
          <w:sz w:val="16"/>
          <w:szCs w:val="16"/>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corresponding staff changes, may also slow the time necessary for new drug or modifications to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72"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Separately, in response to the COVID-19 pandemic, in March 2020, the FDA postponed most inspections of domestic and foreign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July 2021, the FDA generally resumed standard inspectional operations of domestic facilities. More recently, the FDA has continued to monitor and implement changes to its inspectional activities to ensure the safety of its employees and those of the firms it regulates as it adapts to the evolving COVID-19 pandemic. Regulatory authorities outside the U.S.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of the FDA or other regulatory authorities to timely review and process our regulatory submissions, which could have a material adverse effect on our business.</w:t>
      </w:r>
    </w:p>
    <w:p>
      <w:pPr>
        <w:spacing w:after="0" w:line="170"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We may conduct certain of or portions of our clinical trials for our product candidates outside of the U.S. and the FDA may not accept data from such trials, in which case our development plans will be delayed, which could materially harm our business.</w:t>
      </w:r>
    </w:p>
    <w:p>
      <w:pPr>
        <w:spacing w:after="0" w:line="184"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We may choose to conduct one or more of our clinical trials or a portion of our clinical trials for our product candidates outside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71"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b w:val="1"/>
          <w:bCs w:val="1"/>
          <w:i w:val="1"/>
          <w:iCs w:val="1"/>
          <w:color w:val="auto"/>
        </w:rPr>
        <w:t>We may be subject to extensive regulations outside the U.S. and may not obtain marketing approvals for products in Europe and other jurisdictions.</w:t>
      </w:r>
    </w:p>
    <w:p>
      <w:pPr>
        <w:spacing w:after="0" w:line="160"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7"/>
          <w:szCs w:val="17"/>
          <w:color w:val="auto"/>
        </w:rPr>
        <w:t>In addition to regulations in the U.S., should we or our collaborators pursue marketing approvals for IGALMI</w:t>
      </w:r>
      <w:r>
        <w:rPr>
          <w:rFonts w:ascii="Arial" w:cs="Arial" w:eastAsia="Arial" w:hAnsi="Arial"/>
          <w:sz w:val="25"/>
          <w:szCs w:val="25"/>
          <w:color w:val="auto"/>
          <w:vertAlign w:val="superscript"/>
        </w:rPr>
        <w:t>TM</w:t>
      </w:r>
      <w:r>
        <w:rPr>
          <w:rFonts w:ascii="Arial" w:cs="Arial" w:eastAsia="Arial" w:hAnsi="Arial"/>
          <w:sz w:val="17"/>
          <w:szCs w:val="17"/>
          <w:color w:val="auto"/>
        </w:rPr>
        <w:t>, and for BXCL501, BXCL701, BXCL502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83" w:lineRule="exact"/>
        <w:rPr>
          <w:sz w:val="20"/>
          <w:szCs w:val="20"/>
          <w:color w:val="auto"/>
        </w:rPr>
      </w:pPr>
    </w:p>
    <w:p>
      <w:pPr>
        <w:ind w:left="60" w:right="279" w:firstLine="324"/>
        <w:spacing w:after="0" w:line="237" w:lineRule="auto"/>
        <w:rPr>
          <w:sz w:val="20"/>
          <w:szCs w:val="20"/>
          <w:color w:val="auto"/>
        </w:rPr>
      </w:pPr>
      <w:r>
        <w:rPr>
          <w:rFonts w:ascii="Arial" w:cs="Arial" w:eastAsia="Arial" w:hAnsi="Arial"/>
          <w:sz w:val="18"/>
          <w:szCs w:val="18"/>
          <w:color w:val="auto"/>
        </w:rPr>
        <w:t>We expect to pursue marketing approvals for IGALMI</w:t>
      </w:r>
      <w:r>
        <w:rPr>
          <w:rFonts w:ascii="Arial" w:cs="Arial" w:eastAsia="Arial" w:hAnsi="Arial"/>
          <w:sz w:val="26"/>
          <w:szCs w:val="26"/>
          <w:color w:val="auto"/>
          <w:vertAlign w:val="superscript"/>
        </w:rPr>
        <w:t>TM</w:t>
      </w:r>
      <w:r>
        <w:rPr>
          <w:rFonts w:ascii="Arial" w:cs="Arial" w:eastAsia="Arial" w:hAnsi="Arial"/>
          <w:sz w:val="18"/>
          <w:szCs w:val="18"/>
          <w:color w:val="auto"/>
        </w:rPr>
        <w:t>, and for BXCL501, BXCL701, BXCL502 and our other product candidates in Europe and other jurisdictions outside the U.S. with collaborative partners. The time and process required to obtain regulatory approvals and reimbursement in Europe and other jurisdictions may be different from those in the U.S. Also, regulatory approval in one jurisdiction does not ensure approvals in any other jurisdiction; however, negative regulatory decisions in any jurisdiction may have a negative impact on the regulatory process in other jurisdictions.</w:t>
      </w:r>
    </w:p>
    <w:p>
      <w:pPr>
        <w:spacing w:after="0" w:line="205" w:lineRule="exact"/>
        <w:rPr>
          <w:sz w:val="20"/>
          <w:szCs w:val="20"/>
          <w:color w:val="auto"/>
        </w:rPr>
      </w:pPr>
    </w:p>
    <w:p>
      <w:pPr>
        <w:ind w:left="60" w:right="199" w:firstLine="324"/>
        <w:spacing w:after="0" w:line="253" w:lineRule="auto"/>
        <w:rPr>
          <w:sz w:val="20"/>
          <w:szCs w:val="20"/>
          <w:color w:val="auto"/>
        </w:rPr>
      </w:pPr>
      <w:r>
        <w:rPr>
          <w:rFonts w:ascii="Arial" w:cs="Arial" w:eastAsia="Arial" w:hAnsi="Arial"/>
          <w:sz w:val="18"/>
          <w:szCs w:val="18"/>
          <w:color w:val="auto"/>
        </w:rPr>
        <w:t>Following a national referendum and enactment of legislation by the government of the United Kingdom (“UK”), the UK formally withdrew from the EU on January 31, 2020 and ratified a trade and cooperation agreement governing its future relationship (commonly referred to as “Brexit”). The agreement, which was applied provisionally from January 1, 2021 and entered into force on May 1, 2021,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Since January 1, 2021, the UK operates under a distinct regulatory regime to the EU. EU pharmaceutical laws only apply in respect of the UK to Northern Ireland (as set out in the Protocol on Ireland/Northern Ireland ). EU laws which have been transposed into UK law through secondary legislation continue to be applicable as “retained EU law”. While the UK has indicated a general intention that new laws regarding the development, manufacture and commercialization of medicinal products in the UK will align closely with EU law, there are limited detailed proposals for future regulation of medicinal products. The trade and cooperation agreement includes specific provisions concerning medicinal products, which include the mutual recognition of cGMP, inspections of manufacturing facilities for medicinal products and cGMP documents issued (such mutual recognition can be rejected by either party in certain circumstances) but does not foresee wholesale mutual recognition of UK and EU pharmaceutical regulations. For example, it is not clear to what extent the UK will adopt legislation aligned with, or similar to, the EU CTR which became applicable on January 31, 2022 and which significantly reforms the assessment and supervision processes for clinical trials throughout the EU. On January 17, 2022, the UK Medicines and Healthcare products Regulatory Agency (“MHRA”) launched an eight-week consultation on reframing the UK legislation for clinical trials. The consultation closed on March 14, 2022 and aims to streamline clinical trials approvals, enable innovation, enhance clinical trials transparency, enable greater risk proportionality, and promote patient and public involvement in clinical trials. The outcome of the consultation will be closely watched and will determine whether the UK chooses to align with the regulation or diverge from it to maintain regulatory flexibility. A decision by the UK not to closely align its regulations with the new approach that will be adopted in the EU may have an effect on the cost of conducting clinical trials in the UK as opposed to other countries and/or make it harder to seek a marketing authorization in the EU for our product candidates on the basis of clinical trials conducted in the UK.</w:t>
      </w:r>
    </w:p>
    <w:p>
      <w:pPr>
        <w:spacing w:after="0" w:line="169" w:lineRule="exact"/>
        <w:rPr>
          <w:sz w:val="20"/>
          <w:szCs w:val="20"/>
          <w:color w:val="auto"/>
        </w:rPr>
      </w:pPr>
    </w:p>
    <w:p>
      <w:pPr>
        <w:ind w:left="60" w:right="139" w:firstLine="324"/>
        <w:spacing w:after="0" w:line="285" w:lineRule="auto"/>
        <w:rPr>
          <w:sz w:val="20"/>
          <w:szCs w:val="20"/>
          <w:color w:val="auto"/>
        </w:rPr>
      </w:pPr>
      <w:r>
        <w:rPr>
          <w:rFonts w:ascii="Arial" w:cs="Arial" w:eastAsia="Arial" w:hAnsi="Arial"/>
          <w:sz w:val="16"/>
          <w:szCs w:val="16"/>
          <w:color w:val="auto"/>
        </w:rPr>
        <w:t>Therefore, there remains political and economic uncertainty regarding to what extent the regulation of medicinal products will differ between the UK and the EU in the future. Any divergences will increase the cost and complexity of running our business, including with respect to the conduct of clinical trials. Brexit also materially impacted the regulatory regime with respect to the approval of our product candidates. Great Britain is no longer covered by the EU’s procedures for the grant of marketing authorizations (Northern Ireland is covered by the centralized authorization procedure and can be covered under the decentralized or mutual recognition procedures). As of January 1, 2021, all existing centralized marketing authorizations were automatically converted into UK marketing authorizations effective in Great Britain and issued with a UK marketing authorization number on January 1, 2021 (unless marketing authorization holders opted out of this scheme). A separate marketing authorization is now required to market drugs in Great Britain. It is currently unclear whether the regulator in the UK, the MHRA, is sufficiently prepared to handle the increased volume of marketing authorization applications that it is likely to receive. Any delay in obtaining, or an inability to obtain, any regulatory approvals, as a result of Brexit or otherwise, would prevent us from commercializing our product candidates in Great Britain and restrict our ability to generate revenue and achieve and sustain profitability. If any of these outcomes occur, we may be forced to restrict or delay efforts to seek regulatory approval in Great Britain for our product candidates, which could significantly and materially harm our business. The UK’s withdrawal from the EU and the associated uncertainty has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Any of these factors could have a significant adverse effect on our business, financial condition, results of operations and prospects.</w:t>
      </w:r>
    </w:p>
    <w:p>
      <w:pPr>
        <w:spacing w:after="0" w:line="385"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Further, the UK’s withdrawal from the EU has resulted in the relocation of the EMA from the UK to the Netherlands. This relocation has caused, and may continue to cause, disruption in the administrative and medical scientific links between the EMA and the MHRA, including delays in granting clinical trial authorization or marketing authorization, disruption of importation and export of active substance and other components of new drug formulations, and disruption of the supply chain for clinical trial product and final authorized formulations. The cumulative effects of the disruption to the regulatory framework may add considerably to the development lead time to marketing authorization and commercialization of products in the EU and/or the UK.</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b w:val="1"/>
          <w:bCs w:val="1"/>
          <w:i w:val="1"/>
          <w:iCs w:val="1"/>
          <w:color w:val="auto"/>
        </w:rPr>
        <w:t>If we are found in violation of federal, state or foreign healthcare “fraud and abuse” laws, we may be required to pay significant fines and penalties, including, without limitation, debarment, suspension or exclusion from participation in federal, state or similar healthcare programs, which may adversely affect our business, financial condition and results of operations.</w:t>
      </w:r>
    </w:p>
    <w:p>
      <w:pPr>
        <w:spacing w:after="0" w:line="187"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In the U.S., we are subject to various federal and state healthcare “fraud and abuse” laws, including anti- kickback laws, false claims laws and other laws intended to reduce fraud and abuse in federal and state healthcare programs, which could affect us, and our ability to successfully commercialize our products in the U.S. We may have to comply with similar laws and regulations outside the U.S. These laws include:</w:t>
      </w:r>
    </w:p>
    <w:p>
      <w:pPr>
        <w:spacing w:after="0" w:line="187" w:lineRule="exact"/>
        <w:rPr>
          <w:sz w:val="20"/>
          <w:szCs w:val="20"/>
          <w:color w:val="auto"/>
        </w:rPr>
      </w:pPr>
    </w:p>
    <w:p>
      <w:pPr>
        <w:ind w:left="720" w:right="219" w:hanging="319"/>
        <w:spacing w:after="0" w:line="255"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A person or entity does not need to have actual knowledge of this statute or specific intent to violate it to have committed a violation;</w:t>
      </w:r>
    </w:p>
    <w:p>
      <w:pPr>
        <w:spacing w:after="0" w:line="192" w:lineRule="exact"/>
        <w:rPr>
          <w:rFonts w:ascii="Arial" w:cs="Arial" w:eastAsia="Arial" w:hAnsi="Arial"/>
          <w:sz w:val="18"/>
          <w:szCs w:val="18"/>
          <w:color w:val="auto"/>
        </w:rPr>
      </w:pPr>
    </w:p>
    <w:p>
      <w:pPr>
        <w:ind w:left="720" w:right="159" w:hanging="319"/>
        <w:spacing w:after="0" w:line="270" w:lineRule="auto"/>
        <w:tabs>
          <w:tab w:leader="none" w:pos="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p>
      <w:pPr>
        <w:spacing w:after="0" w:line="180" w:lineRule="exact"/>
        <w:rPr>
          <w:rFonts w:ascii="Arial" w:cs="Arial" w:eastAsia="Arial" w:hAnsi="Arial"/>
          <w:sz w:val="17"/>
          <w:szCs w:val="17"/>
          <w:color w:val="auto"/>
        </w:rPr>
      </w:pPr>
    </w:p>
    <w:p>
      <w:pPr>
        <w:ind w:left="720" w:right="139" w:hanging="319"/>
        <w:spacing w:after="0" w:line="273" w:lineRule="auto"/>
        <w:tabs>
          <w:tab w:leader="none" w:pos="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Health Insurance Portability and Accountability Act of 1996 (“HIPAA”) prohibits persons or entities from knowingly and willfully executing a scheme to defraud any healthcare benefit program, including private payers, or knowingly and willfully falsifying, concealing or covering up a material fact or making any materially false, fictitious or fraudulent statement in connection with the delivery of or payment for healthcare benefits, items or services. Similar to the federal Anti- Kickback Statute, a person or entity does not need to have actual knowledge of these statutes or specific intent to violate them to have committed a violation;</w:t>
      </w:r>
    </w:p>
    <w:p>
      <w:pPr>
        <w:spacing w:after="0" w:line="177" w:lineRule="exact"/>
        <w:rPr>
          <w:rFonts w:ascii="Arial" w:cs="Arial" w:eastAsia="Arial" w:hAnsi="Arial"/>
          <w:sz w:val="17"/>
          <w:szCs w:val="17"/>
          <w:color w:val="auto"/>
        </w:rPr>
      </w:pPr>
    </w:p>
    <w:p>
      <w:pPr>
        <w:ind w:left="720" w:right="159" w:hanging="319"/>
        <w:spacing w:after="0" w:line="279" w:lineRule="auto"/>
        <w:tabs>
          <w:tab w:leader="none" w:pos="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71" w:lineRule="exact"/>
        <w:rPr>
          <w:rFonts w:ascii="Arial" w:cs="Arial" w:eastAsia="Arial" w:hAnsi="Arial"/>
          <w:sz w:val="17"/>
          <w:szCs w:val="17"/>
          <w:color w:val="auto"/>
        </w:rPr>
      </w:pPr>
    </w:p>
    <w:p>
      <w:pPr>
        <w:ind w:left="720" w:right="539" w:hanging="319"/>
        <w:spacing w:after="0" w:line="27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rFonts w:ascii="Arial" w:cs="Arial" w:eastAsia="Arial" w:hAnsi="Arial"/>
          <w:sz w:val="18"/>
          <w:szCs w:val="18"/>
          <w:color w:val="auto"/>
        </w:rPr>
      </w:pPr>
    </w:p>
    <w:p>
      <w:pPr>
        <w:ind w:left="720" w:right="179" w:hanging="319"/>
        <w:spacing w:after="0" w:line="271" w:lineRule="auto"/>
        <w:tabs>
          <w:tab w:leader="none" w:pos="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Patient Protection and Affordable Care Act, as amended by the Health Care and Education Reconciliation Act (“ACA”), which requires certain manufacturers of drugs, devices, biologics, and medical supplies to report annually to the U.S. Centers for Medicare &amp; Medicaid Services (“CMS”) information related to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anesthesiologist assistants, and certified nurse midwives), and teaching hospitals, and ownership and investment interests held by physicians and their immediate family members;</w:t>
      </w:r>
    </w:p>
    <w:p>
      <w:pPr>
        <w:spacing w:after="0" w:line="178" w:lineRule="exact"/>
        <w:rPr>
          <w:rFonts w:ascii="Arial" w:cs="Arial" w:eastAsia="Arial" w:hAnsi="Arial"/>
          <w:sz w:val="17"/>
          <w:szCs w:val="17"/>
          <w:color w:val="auto"/>
        </w:rPr>
      </w:pPr>
    </w:p>
    <w:p>
      <w:pPr>
        <w:ind w:left="720" w:right="279" w:hanging="319"/>
        <w:spacing w:after="0" w:line="342" w:lineRule="auto"/>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and false claims laws, which may apply to items or services reimbursed by any third-party payor, including commercial insurers; state laws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19"/>
        <w:spacing w:after="0" w:line="275" w:lineRule="auto"/>
        <w:rPr>
          <w:sz w:val="20"/>
          <w:szCs w:val="20"/>
          <w:color w:val="auto"/>
        </w:rPr>
      </w:pPr>
      <w:r>
        <w:rPr>
          <w:rFonts w:ascii="Arial" w:cs="Arial" w:eastAsia="Arial" w:hAnsi="Arial"/>
          <w:sz w:val="17"/>
          <w:szCs w:val="17"/>
          <w:color w:val="auto"/>
        </w:rPr>
        <w:t>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pricing information; and</w:t>
      </w:r>
    </w:p>
    <w:p>
      <w:pPr>
        <w:spacing w:after="0" w:line="176" w:lineRule="exact"/>
        <w:rPr>
          <w:sz w:val="20"/>
          <w:szCs w:val="20"/>
          <w:color w:val="auto"/>
        </w:rPr>
      </w:pPr>
    </w:p>
    <w:p>
      <w:pPr>
        <w:ind w:left="720" w:right="619" w:hanging="319"/>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70" w:lineRule="exact"/>
        <w:rPr>
          <w:sz w:val="20"/>
          <w:szCs w:val="20"/>
          <w:color w:val="auto"/>
        </w:rPr>
      </w:pPr>
    </w:p>
    <w:p>
      <w:pPr>
        <w:ind w:left="60" w:right="179" w:firstLine="324"/>
        <w:spacing w:after="0" w:line="269" w:lineRule="auto"/>
        <w:rPr>
          <w:sz w:val="20"/>
          <w:szCs w:val="20"/>
          <w:color w:val="auto"/>
        </w:rPr>
      </w:pPr>
      <w:r>
        <w:rPr>
          <w:rFonts w:ascii="Arial" w:cs="Arial" w:eastAsia="Arial" w:hAnsi="Arial"/>
          <w:sz w:val="17"/>
          <w:szCs w:val="17"/>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or foreign healthcare programs, additional reporting obligations and oversight if we become subject to a corporate integrity agreement or other agreement to resolve allegations of non-compliance with these laws, any of which could adversely affect our ability to market our products and adversely impact our financial results.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unable to maintain sufficient clinical trial liability insurance.</w:t>
      </w:r>
    </w:p>
    <w:p>
      <w:pPr>
        <w:spacing w:after="0" w:line="225"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6"/>
          <w:szCs w:val="16"/>
          <w:color w:val="auto"/>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is in excess of the limits of our insurance coverage. We expect we will supplement our clinical trial coverage with product liability coverage in connection with the commercial launch of IGALMI</w:t>
      </w:r>
      <w:r>
        <w:rPr>
          <w:rFonts w:ascii="Arial" w:cs="Arial" w:eastAsia="Arial" w:hAnsi="Arial"/>
          <w:sz w:val="23"/>
          <w:szCs w:val="23"/>
          <w:color w:val="auto"/>
          <w:vertAlign w:val="superscript"/>
        </w:rPr>
        <w:t>TM</w:t>
      </w:r>
      <w:r>
        <w:rPr>
          <w:rFonts w:ascii="Arial" w:cs="Arial" w:eastAsia="Arial" w:hAnsi="Arial"/>
          <w:sz w:val="16"/>
          <w:szCs w:val="16"/>
          <w:color w:val="auto"/>
        </w:rPr>
        <w:t>, and for any of our other product candidates that may receive regulatory approval,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If our products do not gain market acceptance, our business will suffer because we might not be able to fund future operations.</w:t>
      </w:r>
    </w:p>
    <w:p>
      <w:pPr>
        <w:spacing w:after="0" w:line="170"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A number of factors may affect the market acceptance of our products or any other products or product candidates we develop or acquire, including, among others:</w:t>
      </w:r>
    </w:p>
    <w:p>
      <w:pPr>
        <w:spacing w:after="0" w:line="170" w:lineRule="exact"/>
        <w:rPr>
          <w:sz w:val="20"/>
          <w:szCs w:val="20"/>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price of our products relative to other products for the same or similar treatments;</w:t>
      </w:r>
    </w:p>
    <w:p>
      <w:pPr>
        <w:spacing w:after="0" w:line="225" w:lineRule="exact"/>
        <w:rPr>
          <w:rFonts w:ascii="Arial" w:cs="Arial" w:eastAsia="Arial" w:hAnsi="Arial"/>
          <w:sz w:val="18"/>
          <w:szCs w:val="18"/>
          <w:color w:val="auto"/>
        </w:rPr>
      </w:pPr>
    </w:p>
    <w:p>
      <w:pPr>
        <w:ind w:left="720" w:right="31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perception by patients, physicians and other members of the healthcare community of the effectiveness and safety of our products for their indicated applications and treatments;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fund our sales and marketing efforts;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59" w:firstLine="324"/>
        <w:spacing w:after="0" w:line="263" w:lineRule="auto"/>
        <w:rPr>
          <w:sz w:val="20"/>
          <w:szCs w:val="20"/>
          <w:color w:val="auto"/>
        </w:rPr>
      </w:pPr>
      <w:r>
        <w:rPr>
          <w:rFonts w:ascii="Arial" w:cs="Arial" w:eastAsia="Arial" w:hAnsi="Arial"/>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84"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b w:val="1"/>
          <w:bCs w:val="1"/>
          <w:i w:val="1"/>
          <w:iCs w:val="1"/>
          <w:color w:val="auto"/>
        </w:rPr>
        <w:t>We obtained Orphan Drug Designation for BXCL701 for the treatment of pancreatic cancer, melanoma, acute myeloid leukemia and soft tissue sarcoma and we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spacing w:after="0" w:line="188" w:lineRule="exact"/>
        <w:rPr>
          <w:sz w:val="20"/>
          <w:szCs w:val="20"/>
          <w:color w:val="auto"/>
        </w:rPr>
      </w:pPr>
    </w:p>
    <w:p>
      <w:pPr>
        <w:ind w:left="60" w:right="139" w:firstLine="324"/>
        <w:spacing w:after="0" w:line="268" w:lineRule="auto"/>
        <w:rPr>
          <w:sz w:val="20"/>
          <w:szCs w:val="20"/>
          <w:color w:val="auto"/>
        </w:rPr>
      </w:pPr>
      <w:r>
        <w:rPr>
          <w:rFonts w:ascii="Arial" w:cs="Arial" w:eastAsia="Arial" w:hAnsi="Arial"/>
          <w:sz w:val="17"/>
          <w:szCs w:val="17"/>
          <w:color w:val="auto"/>
        </w:rPr>
        <w:t>Regulatory authorities in some jurisdictions, including the U.S. and EU,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U.S., or a patient population greater than 200,000 individuals in the U.S. where there is no reasonable expectation that the cost of developing the drug will be recovered from sales in the U.S. In the EU, orphan drug designation is granted by the European Commission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marketing authorization.</w:t>
      </w:r>
    </w:p>
    <w:p>
      <w:pPr>
        <w:spacing w:after="0" w:line="184" w:lineRule="exact"/>
        <w:rPr>
          <w:sz w:val="20"/>
          <w:szCs w:val="20"/>
          <w:color w:val="auto"/>
        </w:rPr>
      </w:pPr>
    </w:p>
    <w:p>
      <w:pPr>
        <w:ind w:left="60" w:right="219" w:firstLine="324"/>
        <w:spacing w:after="0" w:line="290" w:lineRule="auto"/>
        <w:rPr>
          <w:sz w:val="20"/>
          <w:szCs w:val="20"/>
          <w:color w:val="auto"/>
        </w:rPr>
      </w:pPr>
      <w:r>
        <w:rPr>
          <w:rFonts w:ascii="Arial" w:cs="Arial" w:eastAsia="Arial" w:hAnsi="Arial"/>
          <w:sz w:val="16"/>
          <w:szCs w:val="16"/>
          <w:color w:val="auto"/>
        </w:rPr>
        <w:t>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or condition for which it has such designation, the product is entitled to orphan drug exclusivity. Orphan drug exclusivity in the U.S. provides that the FDA may not approve any other applications, including a full NDA, to market the same drug for the same disease or condition for seven years. In limited circumstances, the applicable exclusivity period is ten years in the EU. The EU exclusivity period can be reduced to six years if, at the end of the fifth year, it is established that a drug no longer meets the criteria for orphan drug designation or if the drug is sufficiently profitable so that market exclusivity is no longer justified.</w:t>
      </w:r>
    </w:p>
    <w:p>
      <w:pPr>
        <w:spacing w:after="0" w:line="165"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In January 2021, the FDA granted Orphan Drug Designation to BXCL701 for the treatment of soft tissue sarcoma. In September 2019, the FDA granted Orphan Drug Designation to BXCL701 for the treatment of acute myeloid leukemia. Prior to 2019, the FDA granted Orphan Drug Designation to BXCL701 for the treatment of pancreatic cancer and melanoma. We may seek Orphan Drug Designations for BXCL701 in other diseases or conditions or for our other product candidates. There can be no assurances that we will be able to obtain such designations.</w:t>
      </w:r>
    </w:p>
    <w:p>
      <w:pPr>
        <w:spacing w:after="0" w:line="161"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6"/>
          <w:szCs w:val="16"/>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disease or condition before we do. If that were to happen, our applications for that disease or condition may not be approved until the competing company’s period of exclusivity expires. In addition, exclusive marketing rights in the U.S. and abroad may be limited if we seek approval for an indication broader than the orphan-designated disease or condition or may be lost if the FDA or foreign regulatory authorities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ingredients may be approved for the same disease or condition. Even after an orphan drug is approved, the FDA or foreign regulatory authorities can subsequently approve the same drug with the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3" w:lineRule="auto"/>
        <w:rPr>
          <w:sz w:val="20"/>
          <w:szCs w:val="20"/>
          <w:color w:val="auto"/>
        </w:rPr>
      </w:pPr>
      <w:r>
        <w:rPr>
          <w:rFonts w:ascii="Arial" w:cs="Arial" w:eastAsia="Arial" w:hAnsi="Arial"/>
          <w:sz w:val="17"/>
          <w:szCs w:val="17"/>
          <w:color w:val="auto"/>
        </w:rPr>
        <w:t>same active ingredient for the same condition if the FDA or foreign regulatory authorities conclude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or regulatory review time of a drug, nor gives the drug any advantage in the regulatory review or approval process, and does not prevent competitors from obtaining approval of the same product candidate as ours for indications other than those in which we have been granted orphan drug designation.</w:t>
      </w:r>
    </w:p>
    <w:p>
      <w:pPr>
        <w:spacing w:after="0" w:line="178" w:lineRule="exact"/>
        <w:rPr>
          <w:sz w:val="20"/>
          <w:szCs w:val="20"/>
          <w:color w:val="auto"/>
        </w:rPr>
      </w:pPr>
    </w:p>
    <w:p>
      <w:pPr>
        <w:ind w:left="60" w:right="619"/>
        <w:spacing w:after="0" w:line="303" w:lineRule="auto"/>
        <w:rPr>
          <w:sz w:val="20"/>
          <w:szCs w:val="20"/>
          <w:color w:val="auto"/>
        </w:rPr>
      </w:pPr>
      <w:r>
        <w:rPr>
          <w:rFonts w:ascii="Arial" w:cs="Arial" w:eastAsia="Arial" w:hAnsi="Arial"/>
          <w:sz w:val="17"/>
          <w:szCs w:val="17"/>
          <w:b w:val="1"/>
          <w:bCs w:val="1"/>
          <w:i w:val="1"/>
          <w:iCs w:val="1"/>
          <w:color w:val="auto"/>
        </w:rPr>
        <w:t>If we are unable to develop satisfactory sales and marketing capabilities, we may not succeed in commercializing IGALMI</w:t>
      </w:r>
      <w:r>
        <w:rPr>
          <w:rFonts w:ascii="Arial" w:cs="Arial" w:eastAsia="Arial" w:hAnsi="Arial"/>
          <w:sz w:val="25"/>
          <w:szCs w:val="25"/>
          <w:b w:val="1"/>
          <w:bCs w:val="1"/>
          <w:i w:val="1"/>
          <w:iCs w:val="1"/>
          <w:color w:val="auto"/>
          <w:vertAlign w:val="superscript"/>
        </w:rPr>
        <w:t>TM</w:t>
      </w:r>
      <w:r>
        <w:rPr>
          <w:rFonts w:ascii="Arial" w:cs="Arial" w:eastAsia="Arial" w:hAnsi="Arial"/>
          <w:sz w:val="17"/>
          <w:szCs w:val="17"/>
          <w:b w:val="1"/>
          <w:bCs w:val="1"/>
          <w:i w:val="1"/>
          <w:iCs w:val="1"/>
          <w:color w:val="auto"/>
        </w:rPr>
        <w:t xml:space="preserve"> or any product candidate for which we may obtain regulatory approval.</w:t>
      </w:r>
    </w:p>
    <w:p>
      <w:pPr>
        <w:spacing w:after="0" w:line="38" w:lineRule="exact"/>
        <w:rPr>
          <w:sz w:val="20"/>
          <w:szCs w:val="20"/>
          <w:color w:val="auto"/>
        </w:rPr>
      </w:pPr>
    </w:p>
    <w:p>
      <w:pPr>
        <w:ind w:left="60" w:right="139" w:firstLine="324"/>
        <w:spacing w:after="0" w:line="276" w:lineRule="auto"/>
        <w:rPr>
          <w:sz w:val="20"/>
          <w:szCs w:val="20"/>
          <w:color w:val="auto"/>
        </w:rPr>
      </w:pPr>
      <w:r>
        <w:rPr>
          <w:rFonts w:ascii="Arial" w:cs="Arial" w:eastAsia="Arial" w:hAnsi="Arial"/>
          <w:sz w:val="16"/>
          <w:szCs w:val="16"/>
          <w:color w:val="auto"/>
        </w:rPr>
        <w:t>We have limited experience in marketing and selling drug products. We have not entered into arrangements for the sale and marketing of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or BXCL501, BXCL701, BXCL502 or any other product candidate. Typically, pharmaceutical companies would employ groups of sales representatives and associated sales and marketing staff numbering in the hundreds to thousands of individuals to call on the large number of physicians and hospitals. We may seek to collaborate with a third-party to market our drugs or may seek to market and sell our drugs by ourselves. If we seek to collaborate with a third-party, we cannot be sure that a collaborative agreement can be reached on terms acceptable to us. If we seek to market and sell our drugs directly, we will need to hire additional personnel skilled in marketing and sales. We cannot be sure that we will be able to acquire, or establish third-party relationships to provide, any or all of these marketing and sales capabilities. The establishment of a direct sales force or a contract sales force, or a combination thereof, to market our products will be expensive and time-consuming and could delay any product launch. Further, we can give no assurances that we will be able to maintain a direct and/or contract sales force for any period of time or that our sales efforts will be sufficient to grow our revenues or that our sales efforts will ever lead to profits.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operate in a highly competitive and rapidly changing industry.</w:t>
      </w:r>
    </w:p>
    <w:p>
      <w:pPr>
        <w:spacing w:after="0" w:line="225" w:lineRule="exact"/>
        <w:rPr>
          <w:sz w:val="20"/>
          <w:szCs w:val="20"/>
          <w:color w:val="auto"/>
        </w:rPr>
      </w:pPr>
    </w:p>
    <w:p>
      <w:pPr>
        <w:ind w:left="60" w:right="299" w:firstLine="324"/>
        <w:spacing w:after="0" w:line="272" w:lineRule="auto"/>
        <w:rPr>
          <w:sz w:val="20"/>
          <w:szCs w:val="20"/>
          <w:color w:val="auto"/>
        </w:rPr>
      </w:pPr>
      <w:r>
        <w:rPr>
          <w:rFonts w:ascii="Arial" w:cs="Arial" w:eastAsia="Arial" w:hAnsi="Arial"/>
          <w:sz w:val="17"/>
          <w:szCs w:val="17"/>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U.S., the EU and other jurisdictions.</w:t>
      </w:r>
    </w:p>
    <w:p>
      <w:pPr>
        <w:spacing w:after="0" w:line="177" w:lineRule="exact"/>
        <w:rPr>
          <w:sz w:val="20"/>
          <w:szCs w:val="20"/>
          <w:color w:val="auto"/>
        </w:rPr>
      </w:pPr>
    </w:p>
    <w:p>
      <w:pPr>
        <w:ind w:left="60" w:right="239" w:firstLine="324"/>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77" w:lineRule="exact"/>
        <w:rPr>
          <w:sz w:val="20"/>
          <w:szCs w:val="20"/>
          <w:color w:val="auto"/>
        </w:rPr>
      </w:pPr>
    </w:p>
    <w:p>
      <w:pPr>
        <w:ind w:left="60" w:right="279" w:firstLine="324"/>
        <w:spacing w:after="0" w:line="259" w:lineRule="auto"/>
        <w:rPr>
          <w:sz w:val="20"/>
          <w:szCs w:val="20"/>
          <w:color w:val="auto"/>
        </w:rPr>
      </w:pPr>
      <w:r>
        <w:rPr>
          <w:rFonts w:ascii="Arial" w:cs="Arial" w:eastAsia="Arial" w:hAnsi="Arial"/>
          <w:sz w:val="18"/>
          <w:szCs w:val="18"/>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87" w:lineRule="exact"/>
        <w:rPr>
          <w:sz w:val="20"/>
          <w:szCs w:val="20"/>
          <w:color w:val="auto"/>
        </w:rPr>
      </w:pPr>
    </w:p>
    <w:p>
      <w:pPr>
        <w:ind w:left="60" w:right="299" w:firstLine="324"/>
        <w:spacing w:after="0" w:line="293" w:lineRule="auto"/>
        <w:rPr>
          <w:sz w:val="20"/>
          <w:szCs w:val="20"/>
          <w:color w:val="auto"/>
        </w:rPr>
      </w:pPr>
      <w:r>
        <w:rPr>
          <w:rFonts w:ascii="Arial" w:cs="Arial" w:eastAsia="Arial" w:hAnsi="Arial"/>
          <w:sz w:val="16"/>
          <w:szCs w:val="16"/>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39" w:firstLine="324"/>
        <w:spacing w:after="0" w:line="263"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product candidate we commercialize, if any. The inability to compete with existing or subsequently introduced drugs would harm our business, financial condition and results of operations.</w:t>
      </w:r>
    </w:p>
    <w:p>
      <w:pPr>
        <w:spacing w:after="0" w:line="174" w:lineRule="exact"/>
        <w:rPr>
          <w:sz w:val="20"/>
          <w:szCs w:val="20"/>
          <w:color w:val="auto"/>
        </w:rPr>
      </w:pPr>
    </w:p>
    <w:p>
      <w:pPr>
        <w:ind w:left="60" w:right="499"/>
        <w:spacing w:after="0" w:line="216" w:lineRule="auto"/>
        <w:rPr>
          <w:sz w:val="20"/>
          <w:szCs w:val="20"/>
          <w:color w:val="auto"/>
        </w:rPr>
      </w:pPr>
      <w:r>
        <w:rPr>
          <w:rFonts w:ascii="Arial" w:cs="Arial" w:eastAsia="Arial" w:hAnsi="Arial"/>
          <w:sz w:val="18"/>
          <w:szCs w:val="18"/>
          <w:b w:val="1"/>
          <w:bCs w:val="1"/>
          <w:i w:val="1"/>
          <w:iCs w:val="1"/>
          <w:color w:val="auto"/>
        </w:rPr>
        <w:t>Although we obtained FDA approval for IGALMI</w:t>
      </w:r>
      <w:r>
        <w:rPr>
          <w:rFonts w:ascii="Arial" w:cs="Arial" w:eastAsia="Arial" w:hAnsi="Arial"/>
          <w:sz w:val="26"/>
          <w:szCs w:val="26"/>
          <w:b w:val="1"/>
          <w:bCs w:val="1"/>
          <w:i w:val="1"/>
          <w:iCs w:val="1"/>
          <w:color w:val="auto"/>
          <w:vertAlign w:val="superscript"/>
        </w:rPr>
        <w:t>TM</w:t>
      </w:r>
      <w:r>
        <w:rPr>
          <w:rFonts w:ascii="Arial" w:cs="Arial" w:eastAsia="Arial" w:hAnsi="Arial"/>
          <w:sz w:val="18"/>
          <w:szCs w:val="18"/>
          <w:b w:val="1"/>
          <w:bCs w:val="1"/>
          <w:i w:val="1"/>
          <w:iCs w:val="1"/>
          <w:color w:val="auto"/>
        </w:rPr>
        <w:t>, our products and product candidates may not be accepted by physicians or the medical community in general.</w:t>
      </w:r>
    </w:p>
    <w:p>
      <w:pPr>
        <w:spacing w:after="0" w:line="193" w:lineRule="exact"/>
        <w:rPr>
          <w:sz w:val="20"/>
          <w:szCs w:val="20"/>
          <w:color w:val="auto"/>
        </w:rPr>
      </w:pPr>
    </w:p>
    <w:p>
      <w:pPr>
        <w:ind w:left="60" w:right="199" w:firstLine="324"/>
        <w:spacing w:after="0" w:line="208" w:lineRule="auto"/>
        <w:rPr>
          <w:sz w:val="20"/>
          <w:szCs w:val="20"/>
          <w:color w:val="auto"/>
        </w:rPr>
      </w:pPr>
      <w:r>
        <w:rPr>
          <w:rFonts w:ascii="Arial" w:cs="Arial" w:eastAsia="Arial" w:hAnsi="Arial"/>
          <w:sz w:val="18"/>
          <w:szCs w:val="18"/>
          <w:color w:val="auto"/>
        </w:rPr>
        <w:t>There can be no assurance that IGALMI</w:t>
      </w:r>
      <w:r>
        <w:rPr>
          <w:rFonts w:ascii="Arial" w:cs="Arial" w:eastAsia="Arial" w:hAnsi="Arial"/>
          <w:sz w:val="26"/>
          <w:szCs w:val="26"/>
          <w:color w:val="auto"/>
          <w:vertAlign w:val="superscript"/>
        </w:rPr>
        <w:t>TM</w:t>
      </w:r>
      <w:r>
        <w:rPr>
          <w:rFonts w:ascii="Arial" w:cs="Arial" w:eastAsia="Arial" w:hAnsi="Arial"/>
          <w:sz w:val="18"/>
          <w:szCs w:val="18"/>
          <w:color w:val="auto"/>
        </w:rPr>
        <w:t>, or BXCL501, BXCL701, BXCL502 and our other product candidates or any other product candidate successfully developed by us, independently or with partners, if approved, will be accepted by physicians, hospitals and other healthcare facilities.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competes, and BXCL501, BXCL701, BXCL502 and any future product candidates we develop will compete, with a number of products manufactured and marketed by major pharmaceutical and biotechnology companies. The degree of market acceptance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any drugs we develop depends on a number of factors, including:</w:t>
      </w:r>
    </w:p>
    <w:p>
      <w:pPr>
        <w:spacing w:after="0" w:line="206" w:lineRule="exact"/>
        <w:rPr>
          <w:sz w:val="20"/>
          <w:szCs w:val="20"/>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demonstration of the clinical efficacy and safety of our products and product candidates;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timing of market approval and commercial launch of our products and product candidates;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clinical indication(s) for which our products and product candidates are approved;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label and package insert requirements;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advantages and disadvantages of our products and product candidates compared to existing therapies;</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continued interest in and growth of the market for anti-cancer or anti-agitation drugs;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strength of sales, marketing, and distribution support;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pricing in absolute terms and relative to alternative treatments;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changes in healthcare laws, regulations, and medical policies; and</w:t>
      </w:r>
    </w:p>
    <w:p>
      <w:pPr>
        <w:spacing w:after="0" w:line="225" w:lineRule="exact"/>
        <w:rPr>
          <w:rFonts w:ascii="Arial" w:cs="Arial" w:eastAsia="Arial" w:hAnsi="Arial"/>
          <w:sz w:val="18"/>
          <w:szCs w:val="18"/>
          <w:color w:val="auto"/>
        </w:rPr>
      </w:pPr>
    </w:p>
    <w:p>
      <w:pPr>
        <w:ind w:left="720" w:right="959" w:hanging="319"/>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of coverage and reimbursement in select jurisdictions, and future changes to coverage and reimbursement policies of government and third-party payors.</w:t>
      </w:r>
    </w:p>
    <w:p>
      <w:pPr>
        <w:spacing w:after="0" w:line="160" w:lineRule="exact"/>
        <w:rPr>
          <w:sz w:val="20"/>
          <w:szCs w:val="20"/>
          <w:color w:val="auto"/>
        </w:rPr>
      </w:pPr>
    </w:p>
    <w:p>
      <w:pPr>
        <w:ind w:left="60" w:right="139" w:firstLine="324"/>
        <w:spacing w:after="0" w:line="217" w:lineRule="auto"/>
        <w:rPr>
          <w:sz w:val="20"/>
          <w:szCs w:val="20"/>
          <w:color w:val="auto"/>
        </w:rPr>
      </w:pPr>
      <w:r>
        <w:rPr>
          <w:rFonts w:ascii="Arial" w:cs="Arial" w:eastAsia="Arial" w:hAnsi="Arial"/>
          <w:sz w:val="18"/>
          <w:szCs w:val="18"/>
          <w:color w:val="auto"/>
        </w:rPr>
        <w:t>Significant uncertainty exists as to the coverage and reimbursement status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or any product candidate for which we obtain regulatory approval. In the U.S. and other countries, sales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any other products for which we receive regulatory approval for commercial sale will depend in part on the availability of coverage and reimbursement from third-party payors. Third-party payors include government health administrative authorities, managed care providers, private health insurers and other organizations.</w:t>
      </w:r>
    </w:p>
    <w:p>
      <w:pPr>
        <w:spacing w:after="0" w:line="204" w:lineRule="exact"/>
        <w:rPr>
          <w:sz w:val="20"/>
          <w:szCs w:val="20"/>
          <w:color w:val="auto"/>
        </w:rPr>
      </w:pPr>
    </w:p>
    <w:p>
      <w:pPr>
        <w:ind w:left="60" w:right="159" w:firstLine="324"/>
        <w:spacing w:after="0" w:line="244" w:lineRule="auto"/>
        <w:rPr>
          <w:sz w:val="20"/>
          <w:szCs w:val="20"/>
          <w:color w:val="auto"/>
        </w:rPr>
      </w:pPr>
      <w:r>
        <w:rPr>
          <w:rFonts w:ascii="Arial" w:cs="Arial" w:eastAsia="Arial" w:hAnsi="Arial"/>
          <w:sz w:val="17"/>
          <w:szCs w:val="17"/>
          <w:color w:val="auto"/>
        </w:rPr>
        <w:t>Third-party payors are increasingly challenging the prices charged for medical products and services. It will be time consuming and expensive for us to go through the process of seeking coverage and reimbursement from Medicare and private payors.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any other products for which we receive regulatory approval may not be considered cost-effective, and coverage and reimbursement may not be available or sufficient to allow us to sell our proposed products on a profitable basis. Further federal, state and foreign government proposals and healthcare reforms are likely which could limit the prices that can be charged for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the product candidates that we develop and may further limit our commercial opportunities. Our results of operations could be materially adversely affected by proposed healthcare reforms, by the Medicare prescription drug coverage legislation in the U.S., by the possible effect of such current or future legislation on amounts that private insurers will pay and by other healthcare reforms that may be enacted or adopted in the future.</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product candidates’ commercial success.</w:t>
      </w:r>
    </w:p>
    <w:p>
      <w:pPr>
        <w:spacing w:after="0" w:line="225"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The U.S. government and other governments have shown significant interest in pursuing healthcare reform. Any government-adopted reform measures could adversely impact the pricing of healthcare products and services in the U.S. or internationally and the amount of reimbursement available from governmental agencies or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64" w:lineRule="exact"/>
        <w:rPr>
          <w:sz w:val="20"/>
          <w:szCs w:val="20"/>
          <w:color w:val="auto"/>
        </w:rPr>
      </w:pPr>
    </w:p>
    <w:p>
      <w:pPr>
        <w:ind w:left="60" w:right="179" w:firstLine="324"/>
        <w:spacing w:after="0" w:line="271" w:lineRule="auto"/>
        <w:rPr>
          <w:sz w:val="20"/>
          <w:szCs w:val="20"/>
          <w:color w:val="auto"/>
        </w:rPr>
      </w:pPr>
      <w:r>
        <w:rPr>
          <w:rFonts w:ascii="Arial" w:cs="Arial" w:eastAsia="Arial" w:hAnsi="Arial"/>
          <w:sz w:val="17"/>
          <w:szCs w:val="17"/>
          <w:color w:val="auto"/>
        </w:rPr>
        <w:t>New laws, regulations and judicial decisions, or new interpretations of existing laws, regulations and decisions, that relate to healthcare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U.S., new healthcare legislation or fiscal challenges faced by government health administration authorities. Specifically, in both the U.S. and some foreign jurisdictions, there have been a number of legislative and regulatory proposals to change the healthcare system in ways that could affect our ability to sell our products profitably.</w:t>
      </w:r>
    </w:p>
    <w:p>
      <w:pPr>
        <w:spacing w:after="0" w:line="178" w:lineRule="exact"/>
        <w:rPr>
          <w:sz w:val="20"/>
          <w:szCs w:val="20"/>
          <w:color w:val="auto"/>
        </w:rPr>
      </w:pPr>
    </w:p>
    <w:p>
      <w:pPr>
        <w:ind w:left="60" w:right="179" w:firstLine="324"/>
        <w:spacing w:after="0" w:line="269" w:lineRule="auto"/>
        <w:rPr>
          <w:sz w:val="20"/>
          <w:szCs w:val="20"/>
          <w:color w:val="auto"/>
        </w:rPr>
      </w:pPr>
      <w:r>
        <w:rPr>
          <w:rFonts w:ascii="Arial" w:cs="Arial" w:eastAsia="Arial" w:hAnsi="Arial"/>
          <w:sz w:val="17"/>
          <w:szCs w:val="17"/>
          <w:color w:val="auto"/>
        </w:rPr>
        <w:t>For example, in the U.S., the ACA has substantially changed the way healthcare is financed by both government health plans and private insurers, and significantly impacts the pharmaceutical industry. For example, the ACA imposed a non-deductible excise tax on pharmaceutical manufacturers or importers that sell branded prescription drugs to government programs. In addition, as part of the ACA’s provisions closing a funding gap that existed in the Medicare Part D prescription drug program, manufacturers are required to provide a discount on branded prescription drugs for drugs provided to certain beneficiaries who fall within the “donut hole.” Similarly, the ACA increased the level of Medicaid rebates payable by manufacturers of brand-name drugs from 15.1% to 23.1% of the average manufacturer price and required collection of rebates for drugs paid by Medicaid managed care organizations. The ACA also included changes to the Public Health Service’s 340B drug pricing program (the “340B program”) including expansion of the list of eligible covered entities that may purchase drugs under the program.</w:t>
      </w:r>
    </w:p>
    <w:p>
      <w:pPr>
        <w:spacing w:after="0" w:line="185" w:lineRule="exact"/>
        <w:rPr>
          <w:sz w:val="20"/>
          <w:szCs w:val="20"/>
          <w:color w:val="auto"/>
        </w:rPr>
      </w:pPr>
    </w:p>
    <w:p>
      <w:pPr>
        <w:ind w:left="60" w:right="219" w:firstLine="324"/>
        <w:spacing w:after="0" w:line="289" w:lineRule="auto"/>
        <w:rPr>
          <w:sz w:val="20"/>
          <w:szCs w:val="20"/>
          <w:color w:val="auto"/>
        </w:rPr>
      </w:pPr>
      <w:r>
        <w:rPr>
          <w:rFonts w:ascii="Arial" w:cs="Arial" w:eastAsia="Arial" w:hAnsi="Arial"/>
          <w:sz w:val="16"/>
          <w:szCs w:val="16"/>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 August 15, 2021. The executive order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66" w:lineRule="exact"/>
        <w:rPr>
          <w:sz w:val="20"/>
          <w:szCs w:val="20"/>
          <w:color w:val="auto"/>
        </w:rPr>
      </w:pPr>
    </w:p>
    <w:p>
      <w:pPr>
        <w:ind w:left="60" w:right="159" w:firstLine="324"/>
        <w:spacing w:after="0" w:line="253" w:lineRule="auto"/>
        <w:rPr>
          <w:sz w:val="20"/>
          <w:szCs w:val="20"/>
          <w:color w:val="auto"/>
        </w:rPr>
      </w:pPr>
      <w:r>
        <w:rPr>
          <w:rFonts w:ascii="Arial" w:cs="Arial" w:eastAsia="Arial" w:hAnsi="Arial"/>
          <w:sz w:val="18"/>
          <w:szCs w:val="18"/>
          <w:color w:val="auto"/>
        </w:rPr>
        <w:t>In addition, other legislative changes have been proposed and adopted in the U.S. since the ACA was enacted. These changes include the Budget Control Act of 2011, which resulted in aggregate reductions of Medicare payments to providers, which went into effect on April 1, 2013, and, due to subsequent legislative amendments to the statute, will remain in effect through 2031, unless additional Congressional action is taken. Furthermore, the American Taxpayer Relief Act of 2012, further reduced Medicare payments to several types of providers, including hospitals, and increased the statute of limitations period for the government to recover overpayments to providers from three to five years. More recently, on March 11, 2021, President Biden signed the American Rescue Plan Act of 2021 into law, which eliminates the statutory Medicaid drug rebate cap, currently set at 100% of a drug’s average manufacturer price, beginning January 1, 2024.</w:t>
      </w:r>
    </w:p>
    <w:p>
      <w:pPr>
        <w:spacing w:after="0" w:line="196"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The cost of prescription pharmaceuticals in the U.S. has also been the subject of considerable discussion.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8" w:lineRule="auto"/>
        <w:rPr>
          <w:sz w:val="20"/>
          <w:szCs w:val="20"/>
          <w:color w:val="auto"/>
        </w:rPr>
      </w:pPr>
      <w:r>
        <w:rPr>
          <w:rFonts w:ascii="Arial" w:cs="Arial" w:eastAsia="Arial" w:hAnsi="Arial"/>
          <w:sz w:val="17"/>
          <w:szCs w:val="17"/>
          <w:color w:val="auto"/>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 effectuated, and while the impact of the IRA on the pharmaceutical industry and our business cannot yet be fully determined, it is likely to be significant. Members of Congress and the Biden Administration have indicated they will continue to pursue further legislative or administrative measures to control prescription drug costs.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84"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Individual states in the U.S.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are designed to encourage importation from other countries and bulk purchasing. Furthermore, there has been increased interest by third-party payors and governmental authorities in reference pricing systems and publication of discounts and list prices.</w:t>
      </w:r>
    </w:p>
    <w:p>
      <w:pPr>
        <w:spacing w:after="0" w:line="192"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7"/>
          <w:szCs w:val="17"/>
          <w:color w:val="auto"/>
        </w:rPr>
        <w:t>It is likely that federal and state legislatures within the U.S. and foreign governments will continue to consider changes to existing healthcare legislation. We cannot predict the reform initiatives that may be adopted in the future or whether initiatives that have been adopted will be repealed or modified. The continuing efforts of governments, insurance companies, managed care organizations and other payors of healthcare services to contain or reduce costs of healthcare may adversely affect the demand for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any other drug products for which we may obtain 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spacing w:after="0" w:line="192" w:lineRule="exact"/>
        <w:rPr>
          <w:sz w:val="20"/>
          <w:szCs w:val="20"/>
          <w:color w:val="auto"/>
        </w:rPr>
      </w:pPr>
    </w:p>
    <w:p>
      <w:pPr>
        <w:ind w:left="60" w:right="379"/>
        <w:spacing w:after="0" w:line="259" w:lineRule="auto"/>
        <w:rPr>
          <w:sz w:val="20"/>
          <w:szCs w:val="20"/>
          <w:color w:val="auto"/>
        </w:rPr>
      </w:pPr>
      <w:r>
        <w:rPr>
          <w:rFonts w:ascii="Arial" w:cs="Arial" w:eastAsia="Arial" w:hAnsi="Arial"/>
          <w:sz w:val="18"/>
          <w:szCs w:val="18"/>
          <w:b w:val="1"/>
          <w:bCs w:val="1"/>
          <w:i w:val="1"/>
          <w:iCs w:val="1"/>
          <w:color w:val="auto"/>
        </w:rPr>
        <w:t>If we fail to comply with reporting and payment obligations under the Medicaid Drug Rebate Program or other governmental pricing programs in the United States, we could be subject to additional reimbursement requirements, penalties, sanctions and fines, which could have a material adverse effect on our business, results of operations and financial condition.</w:t>
      </w:r>
    </w:p>
    <w:p>
      <w:pPr>
        <w:spacing w:after="0" w:line="187" w:lineRule="exact"/>
        <w:rPr>
          <w:sz w:val="20"/>
          <w:szCs w:val="20"/>
          <w:color w:val="auto"/>
        </w:rPr>
      </w:pPr>
    </w:p>
    <w:p>
      <w:pPr>
        <w:ind w:left="60" w:right="299" w:firstLine="324"/>
        <w:spacing w:after="0" w:line="278" w:lineRule="auto"/>
        <w:rPr>
          <w:sz w:val="20"/>
          <w:szCs w:val="20"/>
          <w:color w:val="auto"/>
        </w:rPr>
      </w:pPr>
      <w:r>
        <w:rPr>
          <w:rFonts w:ascii="Arial" w:cs="Arial" w:eastAsia="Arial" w:hAnsi="Arial"/>
          <w:sz w:val="16"/>
          <w:szCs w:val="16"/>
          <w:color w:val="auto"/>
        </w:rPr>
        <w:t>We participate in the Medicaid Drug Rebate Program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As a condition of having federal funds being made available for covered outpatient drugs under Medicaid and Medicare Part B, a manufacturer must enroll in the MDRP. Under this program, we must pay a rebate to state Medicaid programs for each unit of our covered outpatient drug dispensed to a Medicaid beneficiary and paid for by a state Medicaid program. Medicaid drug rebates are based on pricing data that we must report on a monthly and quarterly basis to CMS. For the MDRP, this data includes the average manufacturer price (“AMP”) for each drug and, in the case of an innovator product, like IGALMI</w:t>
      </w:r>
      <w:r>
        <w:rPr>
          <w:rFonts w:ascii="Arial" w:cs="Arial" w:eastAsia="Arial" w:hAnsi="Arial"/>
          <w:sz w:val="23"/>
          <w:szCs w:val="23"/>
          <w:color w:val="auto"/>
          <w:vertAlign w:val="superscript"/>
        </w:rPr>
        <w:t>TM</w:t>
      </w:r>
      <w:r>
        <w:rPr>
          <w:rFonts w:ascii="Arial" w:cs="Arial" w:eastAsia="Arial" w:hAnsi="Arial"/>
          <w:sz w:val="16"/>
          <w:szCs w:val="16"/>
          <w:color w:val="auto"/>
        </w:rPr>
        <w:t>, the best price (“BP”). If we become aware that our MDRP price reporting submission for a prior period was incorrect or has changed as a result of recalculation of the pricing data, we must resubmit the corrected data for up to three years after the data originally was due. In addition, there is increased focus by the Office of Inspector General within the U.S. Department of Health and Human Services on the methodologies used by manufacturers to calculate AMP, and BP, to assess manufacturer compliance with MDRP reporting requirements. Further, under the IRA, AMP figures we report will also be used to calculate a rebate on Medicare Part D utilization, triggered by price increases that outpace inflation.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outpatient drugs under Medicaid or, if applicable, Medicare Part B. Failure</w:t>
      </w:r>
    </w:p>
    <w:p>
      <w:pPr>
        <w:sectPr>
          <w:pgSz w:w="11900" w:h="16838" w:orient="portrait"/>
          <w:cols w:equalWidth="0" w:num="1">
            <w:col w:w="9019"/>
          </w:cols>
          <w:pgMar w:left="1440" w:top="517" w:right="1440" w:bottom="1440" w:gutter="0" w:footer="0" w:header="0"/>
        </w:sect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to make necessary disclosures and/or to identify overpayments could result in allegations against us under the Federal False Claims Act and other laws and regulations.</w:t>
      </w:r>
    </w:p>
    <w:p>
      <w:pPr>
        <w:spacing w:after="0" w:line="170" w:lineRule="exact"/>
        <w:rPr>
          <w:sz w:val="20"/>
          <w:szCs w:val="20"/>
          <w:color w:val="auto"/>
        </w:rPr>
      </w:pPr>
    </w:p>
    <w:p>
      <w:pPr>
        <w:ind w:left="60" w:right="219" w:firstLine="324"/>
        <w:spacing w:after="0" w:line="267" w:lineRule="auto"/>
        <w:rPr>
          <w:sz w:val="20"/>
          <w:szCs w:val="20"/>
          <w:color w:val="auto"/>
        </w:rPr>
      </w:pPr>
      <w:r>
        <w:rPr>
          <w:rFonts w:ascii="Arial" w:cs="Arial" w:eastAsia="Arial" w:hAnsi="Arial"/>
          <w:sz w:val="17"/>
          <w:szCs w:val="17"/>
          <w:color w:val="auto"/>
        </w:rPr>
        <w:t>Federal law requires that a manufacturer that participates in the MDRP also participate in the 340B program in order for federal funds to be available for the manufacturer’s drugs under Medicaid and Medicare Part B, and we participate in the 340B program. The 340B program is administered by the Health Resources and Services Administration (“HRSA”) and requires us to charge statutorily defined covered entities no more than the 340B program “ceiling price” for its covered outpatient drugs used in an outpatient setting. These 340B program covered entities include a variety of community health clinics and other entities that receive health services grants from the Public Health Service, as well as hospitals that serve a disproportionate share of low-income patients. The 340B program ceiling price is calculated using a statutory formula, which is based on the AMP and rebate amount for the covered outpatient drug as calculated under the MDRP. In general, products subject to Medicaid price reporting and rebate liability are also subject to the 340B program ceiling price calculation and discount requirement. We must report 340B program ceiling prices to HRSA on a quarterly basis, and HRSA publishes them to 340B program covered entities. HRSA has finalized regulations regarding the calculation of the 340B program ceiling price and the imposition of civil monetary penalties on manufacturers that knowingly and intentionally overcharge covered entities for 340B program eligible drugs. HRSA has also finalized an administrative dispute resolution process through which 340B program covered entities may pursue claims against participating manufacturers for overcharges, and through which manufacturers may pursue claims against 340B program covered entities for engaging in unlawful diversion or duplicate discounting of 340B program drugs. In addition, legislation may be introduced that, if passed, would further expand the 340B program, such as adding further covered entities or requiring participating manufacturers to agree to provide 340B program discounted pricing on drugs used in an inpatient setting.</w:t>
      </w:r>
    </w:p>
    <w:p>
      <w:pPr>
        <w:spacing w:after="0" w:line="188" w:lineRule="exact"/>
        <w:rPr>
          <w:sz w:val="20"/>
          <w:szCs w:val="20"/>
          <w:color w:val="auto"/>
        </w:rPr>
      </w:pPr>
    </w:p>
    <w:p>
      <w:pPr>
        <w:ind w:left="60" w:right="139" w:firstLine="324"/>
        <w:spacing w:after="0" w:line="270" w:lineRule="auto"/>
        <w:rPr>
          <w:sz w:val="20"/>
          <w:szCs w:val="20"/>
          <w:color w:val="auto"/>
        </w:rPr>
      </w:pPr>
      <w:r>
        <w:rPr>
          <w:rFonts w:ascii="Arial" w:cs="Arial" w:eastAsia="Arial" w:hAnsi="Arial"/>
          <w:sz w:val="17"/>
          <w:szCs w:val="17"/>
          <w:color w:val="auto"/>
        </w:rPr>
        <w:t>In order to be eligible to have drug products paid for with federal funds under Medicaid and Medicare Part B and purchased by certain federal agencies and grantees, we also must participate in the U.S. Department of Veterans Affairs (“VA”) Federal Supply Schedule (“FSS”) pricing program. Under the VA/FSS program, we must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must also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spacing w:after="0" w:line="181"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spacing w:after="0" w:line="182" w:lineRule="exact"/>
        <w:rPr>
          <w:sz w:val="20"/>
          <w:szCs w:val="20"/>
          <w:color w:val="auto"/>
        </w:rPr>
      </w:pPr>
    </w:p>
    <w:p>
      <w:pPr>
        <w:ind w:left="60" w:right="219" w:firstLine="324"/>
        <w:spacing w:after="0" w:line="289" w:lineRule="auto"/>
        <w:rPr>
          <w:sz w:val="20"/>
          <w:szCs w:val="20"/>
          <w:color w:val="auto"/>
        </w:rPr>
      </w:pPr>
      <w:r>
        <w:rPr>
          <w:rFonts w:ascii="Arial" w:cs="Arial" w:eastAsia="Arial" w:hAnsi="Arial"/>
          <w:sz w:val="16"/>
          <w:szCs w:val="16"/>
          <w:color w:val="auto"/>
        </w:rPr>
        <w:t>Pricing and rebate calculations are complex, vary among products and programs, and are often subject to interpretation by manufacturers,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 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may be required to offer products under the 340B program. Civil monetary penalties can be applied if we are found to have knowingly submitted any false price or product information to the government, if we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fail to submit required price data on a timely basis, or if we are found to have charged 340B program covered entities more than the statutorily mandated ceiling price. In the event that CMS were to terminate our Medicaid rebate agreement, pursuant to which we participate in the MDRP, no federal payments would be available under Medicaid or Medicare for our covered outpatient drugs. We cannot assure you that submissions we make will not be found to be incomplete or incorrect.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Relationship with BioXcel LLC</w:t>
      </w:r>
    </w:p>
    <w:p>
      <w:pPr>
        <w:spacing w:after="0" w:line="229" w:lineRule="exact"/>
        <w:rPr>
          <w:sz w:val="20"/>
          <w:szCs w:val="20"/>
          <w:color w:val="auto"/>
        </w:rPr>
      </w:pPr>
    </w:p>
    <w:p>
      <w:pPr>
        <w:ind w:left="60" w:right="619"/>
        <w:spacing w:after="0" w:line="342" w:lineRule="auto"/>
        <w:rPr>
          <w:sz w:val="20"/>
          <w:szCs w:val="20"/>
          <w:color w:val="auto"/>
        </w:rPr>
      </w:pPr>
      <w:r>
        <w:rPr>
          <w:rFonts w:ascii="Arial" w:cs="Arial" w:eastAsia="Arial" w:hAnsi="Arial"/>
          <w:sz w:val="16"/>
          <w:szCs w:val="16"/>
          <w:b w:val="1"/>
          <w:bCs w:val="1"/>
          <w:i w:val="1"/>
          <w:iCs w:val="1"/>
          <w:color w:val="auto"/>
        </w:rPr>
        <w:t>BioXcel LLC has significant influence over the direction of our business, and the concentrated ownership of our common stock will prevent you and other stockholders from influencing significant decisions.</w:t>
      </w:r>
    </w:p>
    <w:p>
      <w:pPr>
        <w:spacing w:after="0" w:line="124" w:lineRule="exact"/>
        <w:rPr>
          <w:sz w:val="20"/>
          <w:szCs w:val="20"/>
          <w:color w:val="auto"/>
        </w:rPr>
      </w:pPr>
    </w:p>
    <w:p>
      <w:pPr>
        <w:ind w:left="60" w:right="139" w:firstLine="324"/>
        <w:spacing w:after="0" w:line="273" w:lineRule="auto"/>
        <w:rPr>
          <w:sz w:val="20"/>
          <w:szCs w:val="20"/>
          <w:color w:val="auto"/>
        </w:rPr>
      </w:pPr>
      <w:r>
        <w:rPr>
          <w:rFonts w:ascii="Arial" w:cs="Arial" w:eastAsia="Arial" w:hAnsi="Arial"/>
          <w:sz w:val="17"/>
          <w:szCs w:val="17"/>
          <w:color w:val="auto"/>
        </w:rPr>
        <w:t>As of September 30, 2022, BioXcel LLC owned approximately 30% of the economic interest and voting power of our outstanding common stock. Drs. Vimal Mehta and Krishnan Nandabalan are the co-founders and serve as senior executives and members of the board of BioXcel LLC. See “</w:t>
      </w:r>
      <w:r>
        <w:rPr>
          <w:rFonts w:ascii="Arial" w:cs="Arial" w:eastAsia="Arial" w:hAnsi="Arial"/>
          <w:sz w:val="17"/>
          <w:szCs w:val="17"/>
          <w:i w:val="1"/>
          <w:iCs w:val="1"/>
          <w:color w:val="auto"/>
        </w:rPr>
        <w:t>The management of and beneficial ownership in BioXcel LLC</w:t>
      </w:r>
      <w:r>
        <w:rPr>
          <w:rFonts w:ascii="Arial" w:cs="Arial" w:eastAsia="Arial" w:hAnsi="Arial"/>
          <w:sz w:val="17"/>
          <w:szCs w:val="17"/>
          <w:color w:val="auto"/>
        </w:rPr>
        <w:t xml:space="preserve"> </w:t>
      </w:r>
      <w:r>
        <w:rPr>
          <w:rFonts w:ascii="Arial" w:cs="Arial" w:eastAsia="Arial" w:hAnsi="Arial"/>
          <w:sz w:val="17"/>
          <w:szCs w:val="17"/>
          <w:i w:val="1"/>
          <w:iCs w:val="1"/>
          <w:color w:val="auto"/>
        </w:rPr>
        <w:t>by our executive officers and our directors may create, or may create the appearance of, conflicts of interest.</w:t>
      </w:r>
      <w:r>
        <w:rPr>
          <w:rFonts w:ascii="Arial" w:cs="Arial" w:eastAsia="Arial" w:hAnsi="Arial"/>
          <w:sz w:val="17"/>
          <w:szCs w:val="17"/>
          <w:color w:val="auto"/>
        </w:rPr>
        <w:t>” below.</w:t>
      </w:r>
      <w:r>
        <w:rPr>
          <w:rFonts w:ascii="Arial" w:cs="Arial" w:eastAsia="Arial" w:hAnsi="Arial"/>
          <w:sz w:val="17"/>
          <w:szCs w:val="17"/>
          <w:i w:val="1"/>
          <w:iCs w:val="1"/>
          <w:color w:val="auto"/>
        </w:rPr>
        <w:t xml:space="preserve"> </w:t>
      </w:r>
      <w:r>
        <w:rPr>
          <w:rFonts w:ascii="Arial" w:cs="Arial" w:eastAsia="Arial" w:hAnsi="Arial"/>
          <w:sz w:val="17"/>
          <w:szCs w:val="17"/>
          <w:color w:val="auto"/>
        </w:rPr>
        <w:t>Even though BioXcel LLC controls less than a majority of the voting power of our outstanding common stock, it may influence the outcome of such corporate actions so long as it owns a significant portion of our common stock.</w:t>
      </w:r>
    </w:p>
    <w:p>
      <w:pPr>
        <w:spacing w:after="0" w:line="178" w:lineRule="exact"/>
        <w:rPr>
          <w:sz w:val="20"/>
          <w:szCs w:val="20"/>
          <w:color w:val="auto"/>
        </w:rPr>
      </w:pPr>
    </w:p>
    <w:p>
      <w:pPr>
        <w:jc w:val="both"/>
        <w:ind w:left="60" w:right="259"/>
        <w:spacing w:after="0" w:line="263" w:lineRule="auto"/>
        <w:rPr>
          <w:sz w:val="20"/>
          <w:szCs w:val="20"/>
          <w:color w:val="auto"/>
        </w:rPr>
      </w:pPr>
      <w:r>
        <w:rPr>
          <w:rFonts w:ascii="Arial" w:cs="Arial" w:eastAsia="Arial" w:hAnsi="Arial"/>
          <w:sz w:val="18"/>
          <w:szCs w:val="18"/>
          <w:b w:val="1"/>
          <w:bCs w:val="1"/>
          <w:i w:val="1"/>
          <w:iCs w:val="1"/>
          <w:color w:val="auto"/>
        </w:rPr>
        <w:t>Approval of commercial terms between us and BioXcel LLC does not preclude the possibility of stockholder litigation, including but not limited to derivative litigation nominally against BioXcel LLC and against its directors and officers and also against us and our directors and officers.</w:t>
      </w:r>
    </w:p>
    <w:p>
      <w:pPr>
        <w:spacing w:after="0" w:line="184"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The commercial terms of the Separation and Shared Services Agreement (the “Services Agreement”) and the Amended and Restated Asset Contribution Agreement (the “Contribution Agreement”) that we entered into with BioXcel LLC have not been negotiated on behalf of BioXcel LLC by persons consisting solely of disinterested BioXcel LLC directors.</w:t>
      </w:r>
    </w:p>
    <w:p>
      <w:pPr>
        <w:spacing w:after="0" w:line="187" w:lineRule="exact"/>
        <w:rPr>
          <w:sz w:val="20"/>
          <w:szCs w:val="20"/>
          <w:color w:val="auto"/>
        </w:rPr>
      </w:pPr>
    </w:p>
    <w:p>
      <w:pPr>
        <w:ind w:left="60" w:right="159" w:firstLine="324"/>
        <w:spacing w:after="0" w:line="288" w:lineRule="auto"/>
        <w:rPr>
          <w:sz w:val="20"/>
          <w:szCs w:val="20"/>
          <w:color w:val="auto"/>
        </w:rPr>
      </w:pPr>
      <w:r>
        <w:rPr>
          <w:rFonts w:ascii="Arial" w:cs="Arial" w:eastAsia="Arial" w:hAnsi="Arial"/>
          <w:sz w:val="16"/>
          <w:szCs w:val="16"/>
          <w:color w:val="auto"/>
        </w:rPr>
        <w:t>No assurance can be given that any stockholder of BioXcel LLC will not claim in a lawsuit that such terms in fact are not in the best interests of BioXcel LLC and its stockholders, that the directors and officers of BioXcel LLC breached their fiduciary duties in connection with such agreements and that any disclosures by BioXcel LLC to its stockholders regarding these agreements and the relationship between BioXcel LLC and us did not satisfy applicable requirements. In any such instance, we and our directors and officers may also be named as defendants and we would have to defend ourselves and our directors and officers. While we will seek indemnification from BioXcel LLC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continue to depend on BioXcel LLC to provide us with certain services for our business.</w:t>
      </w:r>
    </w:p>
    <w:p>
      <w:pPr>
        <w:spacing w:after="0" w:line="225"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6"/>
          <w:szCs w:val="16"/>
          <w:color w:val="auto"/>
        </w:rPr>
        <w:t>We rely, in part, on BioXcel LLC and access to its EvolverAI, a research and development engine created and owned by BioXcel LLC, to identify, research and develop potential product candidates in neuroscience and immuno-oncology. We negotiated the Services Agreement with BioXcel LLC pursuant to which BioXcel LLC shall perform product identification and related services for us utilizing its EvolverAI. Under the Services Agreement, we have an option, exercisable until December 31, 2024, to enter into a collaborative services agreement with BioXcel LLC pursuant to which BioXcel LLC shall perform product identification and related services for us utilizing its EvolverAI. The parties are obligated to negotiate the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 million in the aggregate and not be payable prior to proof of concept in humans and (ii) commercialization milestone payments shall be based on reaching annual net sales levels, be limited to 3% of the applicable net sales level, and not exceed $30 million in the aggregate. BioXcel LLC shall continue to make such product identification and related services available to us until at least December 31, 2024. In addition, BioXcel LLC</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6" w:lineRule="auto"/>
        <w:rPr>
          <w:sz w:val="20"/>
          <w:szCs w:val="20"/>
          <w:color w:val="auto"/>
        </w:rPr>
      </w:pPr>
      <w:r>
        <w:rPr>
          <w:rFonts w:ascii="Arial" w:cs="Arial" w:eastAsia="Arial" w:hAnsi="Arial"/>
          <w:sz w:val="16"/>
          <w:szCs w:val="16"/>
          <w:color w:val="auto"/>
        </w:rPr>
        <w:t>has granted us a first right to negotiate exclusive rights to any additional product candidates in the fields of neuroscience and immuno-oncology that BioXcel LLC may identify on its own and not in connection with BioXcel LLC’s provision of services to us under the Services Agreement. This first right to negotiate is valid for a period of five years from the date of our IPO. If our rights and access to BioXcel LLC’s collaborative services and to its EvolverAI were to become limited, terminated, or if we were otherwise precluded from conducting research and development using its EvolverAI, or if BioXcel LLC is unable to fulfill its obligations under the agreements, such development could materially adversely affect our future operating results, financial condition and prospects. Furthermore, certain individuals conducting services on our behalf are not our employees, and except for remedies available to us under our agreements with BioXcel LLC, we cannot control whether or not they devote sufficient time, skill and resources to our ongoing development programs. We also cannot ensure that BioXcel LLC retains sufficient resources or personnel or otherwise to conduct its operations. BioXcel LLC may also have relationships with other commercial entities, including our competitors, for whom they may also be conducting research and development activities, which could impede their ability to devote appropriate time to our research and development programs. In addition, if we fail to comply with our diligence, payment or other obligations under the agreements, any such collaboration may terminate or we may not be able to successfully negotiate agreements for future product candidates or collaborations with BioXcel LLC.</w:t>
      </w:r>
    </w:p>
    <w:p>
      <w:pPr>
        <w:spacing w:after="0" w:line="167"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The management of and beneficial ownership in BioXcel LLC by our executive officers and our directors may create, or may create the appearance of, conflicts of interest.</w:t>
      </w:r>
    </w:p>
    <w:p>
      <w:pPr>
        <w:spacing w:after="0" w:line="170"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The management of and beneficial ownership in BioXcel LLC by our executive officers and our directors may create, or may create the appearance of, conflicts of interest. For example, our Chief Executive Officer and a director on our Board, Vimal Mehta, Ph.D., and our Chief Digital Officer and a director on our Board, Krishnan Nandabalan, Ph.D., are managers of BioXcel LLC, as well as directors, officers and stockholders of BioXcel LLC, BTI’s former parent company. Additionally, as of September 30, 2022, Dr. Mehta and Dr. Nandabalan, through their beneficial ownership of BioXcel LLC, owned approximately 33% and 32%, respectively of the Company. Management and ownership by our executive officers and directors in BioXcel LLC, creates, or, may create the appearance of, conflicts of interest when these individuals are faced with decisions that could have different implications for BioXcel LLC than the decisions have for us, including decisions that relate to our Services Agreement, Contribution Agreement, as well as potential agreements relating to future product candidates and AI-related services or collaborations. Any perceived conflicts of interest resulting from investors questioning the independence of our management or the integrity of corporate governance procedures may materially affect our stock price.</w:t>
      </w:r>
    </w:p>
    <w:p>
      <w:pPr>
        <w:spacing w:after="0" w:line="179"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Any disputes that arise between us and BioXcel LLC with respect to our past and ongoing relationships could harm our business operations.</w:t>
      </w:r>
    </w:p>
    <w:p>
      <w:pPr>
        <w:spacing w:after="0" w:line="170"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Disputes may arise between BioXcel LLC and us in a number of areas relating to our past and ongoing relationships, including:</w:t>
      </w:r>
    </w:p>
    <w:p>
      <w:pPr>
        <w:spacing w:after="0" w:line="170" w:lineRule="exact"/>
        <w:rPr>
          <w:sz w:val="20"/>
          <w:szCs w:val="20"/>
          <w:color w:val="auto"/>
        </w:rPr>
      </w:pPr>
    </w:p>
    <w:p>
      <w:pPr>
        <w:ind w:left="720" w:right="379" w:hanging="319"/>
        <w:spacing w:after="0" w:line="308" w:lineRule="auto"/>
        <w:tabs>
          <w:tab w:leader="none" w:pos="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intellectual property, technology and business matters, including failure to make required technology transfers and failure to comply with non-compete provisions applicable to BioXcel LLC and us;</w:t>
      </w:r>
    </w:p>
    <w:p>
      <w:pPr>
        <w:spacing w:after="0" w:line="146" w:lineRule="exact"/>
        <w:rPr>
          <w:rFonts w:ascii="Arial" w:cs="Arial" w:eastAsia="Arial" w:hAnsi="Arial"/>
          <w:sz w:val="17"/>
          <w:szCs w:val="17"/>
          <w:color w:val="auto"/>
        </w:rPr>
      </w:pPr>
    </w:p>
    <w:p>
      <w:pPr>
        <w:ind w:left="720" w:right="21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the separation of BTI from BioXcel LLC;</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distribution and supply obligations;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or distributions by BioXcel LLC of all or any portion of its ownership interest in us;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nature, quality and pricing of services BioXcel LLC has agreed to provide us;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BioXcel LLC and us.</w:t>
      </w:r>
    </w:p>
    <w:p>
      <w:pPr>
        <w:spacing w:after="0" w:line="22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We entered into the Services Agreement with BioXcel LLC related to the separation of our business operations from those of BioXcel LLC that contains certain limitations on BioXcel LLC’s ability to control various aspects of our business and operations, notwithstanding BioXcel LLC’s substantial ownership position. This agreement may be amended upon agreement between us and BioXcel LLC.</w:t>
      </w:r>
    </w:p>
    <w:p>
      <w:pPr>
        <w:spacing w:after="0" w:line="187"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BioXcel LLC may experience challenges with the acquisition, development, enhancement or deployment of technology necessary for EvolverAI.</w:t>
      </w:r>
    </w:p>
    <w:p>
      <w:pPr>
        <w:spacing w:after="0" w:line="170" w:lineRule="exact"/>
        <w:rPr>
          <w:sz w:val="20"/>
          <w:szCs w:val="20"/>
          <w:color w:val="auto"/>
        </w:rPr>
      </w:pPr>
    </w:p>
    <w:p>
      <w:pPr>
        <w:ind w:left="60" w:right="139" w:firstLine="324"/>
        <w:spacing w:after="0" w:line="285" w:lineRule="auto"/>
        <w:rPr>
          <w:sz w:val="20"/>
          <w:szCs w:val="20"/>
          <w:color w:val="auto"/>
        </w:rPr>
      </w:pPr>
      <w:r>
        <w:rPr>
          <w:rFonts w:ascii="Arial" w:cs="Arial" w:eastAsia="Arial" w:hAnsi="Arial"/>
          <w:sz w:val="16"/>
          <w:szCs w:val="16"/>
          <w:color w:val="auto"/>
        </w:rPr>
        <w:t>BioXcel LLC operates in businesses that require sophisticated computer systems and software for data collection, data processing, cloud-based platforms, analytics, statistical projections and forecasting, mobile computing, social media analytics and other applications and technologies. BioXcel LLC seeks to address its technology risks by increasing its reliance on the use of innovations by cross-industry technology leaders and adapt these for their pharmaceutical, biotechnology,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their clients in forms that are easy to use while simultaneously providing clear answers to complex questions. There can be no guarantee that we or BioXcel LLC will be able to develop, acquire or integrate new technologies, that these new technologies will meet our and BioXcel LLC’s needs or achieve our expected goals, or that we will be able to do so as quickly or cost-effectively as our competitors. Significant technological change could render BioXcel LLC’s EvolverAI obsolete. BioXcel LLC’s continued success will depend on its ability to adapt to changing technologies, manage and process ever-increasing amounts of data and information and improve the performance, features and reliability of its services in response to changing client and industry demands. BioXcel LLC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left="60" w:right="259"/>
        <w:spacing w:after="0" w:line="250" w:lineRule="auto"/>
        <w:rPr>
          <w:sz w:val="20"/>
          <w:szCs w:val="20"/>
          <w:color w:val="auto"/>
        </w:rPr>
      </w:pPr>
      <w:r>
        <w:rPr>
          <w:rFonts w:ascii="Arial" w:cs="Arial" w:eastAsia="Arial" w:hAnsi="Arial"/>
          <w:sz w:val="17"/>
          <w:szCs w:val="17"/>
          <w:b w:val="1"/>
          <w:bCs w:val="1"/>
          <w:i w:val="1"/>
          <w:iCs w:val="1"/>
          <w:color w:val="auto"/>
        </w:rPr>
        <w:t>We are substantially dependent on third parties for the manufacture of our clinical supplies of our product candidates and our commercial supplies of IGALMI</w:t>
      </w:r>
      <w:r>
        <w:rPr>
          <w:rFonts w:ascii="Arial" w:cs="Arial" w:eastAsia="Arial" w:hAnsi="Arial"/>
          <w:sz w:val="25"/>
          <w:szCs w:val="25"/>
          <w:b w:val="1"/>
          <w:bCs w:val="1"/>
          <w:i w:val="1"/>
          <w:iCs w:val="1"/>
          <w:color w:val="auto"/>
          <w:vertAlign w:val="superscript"/>
        </w:rPr>
        <w:t>TM</w:t>
      </w:r>
      <w:r>
        <w:rPr>
          <w:rFonts w:ascii="Arial" w:cs="Arial" w:eastAsia="Arial" w:hAnsi="Arial"/>
          <w:sz w:val="17"/>
          <w:szCs w:val="17"/>
          <w:b w:val="1"/>
          <w:bCs w:val="1"/>
          <w:i w:val="1"/>
          <w:iCs w:val="1"/>
          <w:color w:val="auto"/>
        </w:rPr>
        <w:t>, and we intend to rely on third parties to produce commercial supplies of any other approved product candidate. Therefore, our development of our products could be stopped or delayed, and our commercialization of any future product could be stopped or delayed or made less profitable if third-party manufacturers fail to obtain approval of the FDA or comparable regulatory authorities or fail to provide us with drug product in sufficient quantities or at acceptable prices.</w:t>
      </w:r>
    </w:p>
    <w:p>
      <w:pPr>
        <w:spacing w:after="0" w:line="194" w:lineRule="exact"/>
        <w:rPr>
          <w:sz w:val="20"/>
          <w:szCs w:val="20"/>
          <w:color w:val="auto"/>
        </w:rPr>
      </w:pPr>
    </w:p>
    <w:p>
      <w:pPr>
        <w:ind w:left="60" w:right="139" w:firstLine="324"/>
        <w:spacing w:after="0" w:line="256" w:lineRule="auto"/>
        <w:rPr>
          <w:sz w:val="20"/>
          <w:szCs w:val="20"/>
          <w:color w:val="auto"/>
        </w:rPr>
      </w:pPr>
      <w:r>
        <w:rPr>
          <w:rFonts w:ascii="Arial" w:cs="Arial" w:eastAsia="Arial" w:hAnsi="Arial"/>
          <w:sz w:val="17"/>
          <w:szCs w:val="17"/>
          <w:color w:val="auto"/>
        </w:rPr>
        <w:t>We entered into a commercial supply agreement with ARx, LLC (“ARx”) pursuant to which ARx agreed to exclusively manufacture and supply us with all of our worldwide demand of thin film formulation of Dex to be used for the commercial supply of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for ongoing clinical trials of our product candidate BXCL501, subject to certain alternative supply provisions. If ARx is unable to produce our supply of Dex, our business would be harmed because there can be no assurance that we will be able to identify or enter into agreements with alternative suppliers on a timely basis on acceptable terms, if at all. An interruption in our ability to sell our products to customers could occur if we encounter delays or difficulties in securing Dex, or if the quality supplied does not meet our specifications, or if we cannot then obtain an acceptable substitute. If any of these events occur, our business and operating results could be harmed. Our specified minimum annual payment could adversely affect our cash flows, such as in times when we have sufficient inventory and would otherwise be able to use our cash for other purposes.</w:t>
      </w:r>
    </w:p>
    <w:p>
      <w:pPr>
        <w:spacing w:after="0" w:line="193" w:lineRule="exact"/>
        <w:rPr>
          <w:sz w:val="20"/>
          <w:szCs w:val="20"/>
          <w:color w:val="auto"/>
        </w:rPr>
      </w:pPr>
    </w:p>
    <w:p>
      <w:pPr>
        <w:ind w:left="60" w:right="199" w:firstLine="324"/>
        <w:spacing w:after="0" w:line="296" w:lineRule="auto"/>
        <w:rPr>
          <w:sz w:val="20"/>
          <w:szCs w:val="20"/>
          <w:color w:val="auto"/>
        </w:rPr>
      </w:pPr>
      <w:r>
        <w:rPr>
          <w:rFonts w:ascii="Arial" w:cs="Arial" w:eastAsia="Arial" w:hAnsi="Arial"/>
          <w:sz w:val="16"/>
          <w:szCs w:val="16"/>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or similar foreign requirements. Drug manufacturing facilities are subject to inspection before the FDA or foreign regulatory authorities will issue an approval to market a new drug product, and ARx and any other manufacturers that we may use must adhere to the cGMP or similar foreign regulations prescribed by the FDA or foreign regulatory authorities.</w:t>
      </w:r>
    </w:p>
    <w:p>
      <w:pPr>
        <w:spacing w:after="0" w:line="195" w:lineRule="exact"/>
        <w:rPr>
          <w:sz w:val="20"/>
          <w:szCs w:val="20"/>
          <w:color w:val="auto"/>
        </w:rPr>
      </w:pPr>
    </w:p>
    <w:p>
      <w:pPr>
        <w:ind w:left="60" w:right="319" w:firstLine="324"/>
        <w:spacing w:after="0" w:line="270" w:lineRule="auto"/>
        <w:rPr>
          <w:sz w:val="20"/>
          <w:szCs w:val="20"/>
          <w:color w:val="auto"/>
        </w:rPr>
      </w:pPr>
      <w:r>
        <w:rPr>
          <w:rFonts w:ascii="Arial" w:cs="Arial" w:eastAsia="Arial" w:hAnsi="Arial"/>
          <w:sz w:val="17"/>
          <w:szCs w:val="17"/>
          <w:color w:val="auto"/>
        </w:rPr>
        <w:t>As such, these third-party manufacturers will be required to comply with cGMPs, and other applicable laws and regulations. We will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81" w:lineRule="exact"/>
        <w:rPr>
          <w:sz w:val="20"/>
          <w:szCs w:val="20"/>
          <w:color w:val="auto"/>
        </w:rPr>
      </w:pPr>
    </w:p>
    <w:p>
      <w:pPr>
        <w:ind w:left="60" w:right="139" w:firstLine="324"/>
        <w:spacing w:after="0" w:line="267" w:lineRule="auto"/>
        <w:rPr>
          <w:sz w:val="20"/>
          <w:szCs w:val="20"/>
          <w:color w:val="auto"/>
        </w:rPr>
      </w:pPr>
      <w:r>
        <w:rPr>
          <w:rFonts w:ascii="Arial" w:cs="Arial" w:eastAsia="Arial" w:hAnsi="Arial"/>
          <w:sz w:val="17"/>
          <w:szCs w:val="17"/>
          <w:color w:val="auto"/>
        </w:rPr>
        <w:t>We, ARx and/or our other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BioXcel LLC, we, ARx or our other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Moreover, as a result of the COVID-19 pandemic, third-party manufacturers have been and may in the future be affected, which could disrupt their activities and, as a result, we could face difficulty sourcing key components necessary to produce supply of our product candidates, which may negatively affect our preclinical and clinical development activities.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191" w:lineRule="exact"/>
        <w:rPr>
          <w:sz w:val="20"/>
          <w:szCs w:val="20"/>
          <w:color w:val="auto"/>
        </w:rPr>
      </w:pPr>
    </w:p>
    <w:p>
      <w:pPr>
        <w:ind w:left="60" w:right="539"/>
        <w:spacing w:after="0" w:line="286" w:lineRule="auto"/>
        <w:rPr>
          <w:sz w:val="20"/>
          <w:szCs w:val="20"/>
          <w:color w:val="auto"/>
        </w:rPr>
      </w:pPr>
      <w:r>
        <w:rPr>
          <w:rFonts w:ascii="Arial" w:cs="Arial" w:eastAsia="Arial" w:hAnsi="Arial"/>
          <w:sz w:val="17"/>
          <w:szCs w:val="17"/>
          <w:b w:val="1"/>
          <w:bCs w:val="1"/>
          <w:i w:val="1"/>
          <w:iCs w:val="1"/>
          <w:color w:val="auto"/>
        </w:rPr>
        <w:t>We, or third-party manufacturers on whom we rely, including ARx, may be unable to successfully scale-up manufacturing of our product candidates in sufficient quality and quantity, which would delay or prevent us from developing our product candidates and commercializing any approved products.</w:t>
      </w:r>
    </w:p>
    <w:p>
      <w:pPr>
        <w:spacing w:after="0" w:line="165"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In order to conduct clinical trials of our product candidates and commercialize any approved product candidates, we, or our manufacturers, including ARx, will need to manufacture them in large quantities. We, or our manufacturers, may be unable to successfully increase the manufacturing capacity for any of our product candidates in a timely or cost-effective manner, or at all. In addition, quality issues may arise during scale-up activities. If we, or any of our manufacturers,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product candidates successfully.</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b w:val="1"/>
          <w:bCs w:val="1"/>
          <w:i w:val="1"/>
          <w:iCs w:val="1"/>
          <w:color w:val="auto"/>
        </w:rPr>
        <w:t>Our failure to find third-party collaborators to assist or share in the costs of product development could materially harm our business, financial condition and results of operations.</w:t>
      </w:r>
    </w:p>
    <w:p>
      <w:pPr>
        <w:spacing w:after="0" w:line="170"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Our strategy for the development and commercialization of our proprietary product candidates may include the formation of collaborative arrangements with third parties. Collaborators have significant discretion in determining the efforts and resources they apply and may not perform their obligations as expected. Potential third-party collaborators include biopharmaceutical, pharmaceutical and biotechnology companies, academic institutions and other entities. Third-party collaborators may assist us in:</w:t>
      </w:r>
    </w:p>
    <w:p>
      <w:pPr>
        <w:spacing w:after="0" w:line="188" w:lineRule="exact"/>
        <w:rPr>
          <w:sz w:val="20"/>
          <w:szCs w:val="20"/>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funding research, preclinical development, clinical trials and manufacturing;</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seeking and obtaining regulatory approvals; and</w:t>
      </w:r>
    </w:p>
    <w:p>
      <w:pPr>
        <w:spacing w:after="0" w:line="215"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successfully commercializing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or product candidates.</w:t>
      </w:r>
    </w:p>
    <w:p>
      <w:pPr>
        <w:spacing w:after="0" w:line="143" w:lineRule="exact"/>
        <w:rPr>
          <w:sz w:val="20"/>
          <w:szCs w:val="20"/>
          <w:color w:val="auto"/>
        </w:rPr>
      </w:pPr>
    </w:p>
    <w:p>
      <w:pPr>
        <w:jc w:val="both"/>
        <w:ind w:left="60" w:right="319" w:firstLine="324"/>
        <w:spacing w:after="0" w:line="301" w:lineRule="auto"/>
        <w:rPr>
          <w:sz w:val="20"/>
          <w:szCs w:val="20"/>
          <w:color w:val="auto"/>
        </w:rPr>
      </w:pPr>
      <w:r>
        <w:rPr>
          <w:rFonts w:ascii="Arial" w:cs="Arial" w:eastAsia="Arial" w:hAnsi="Arial"/>
          <w:sz w:val="16"/>
          <w:szCs w:val="16"/>
          <w:color w:val="auto"/>
        </w:rPr>
        <w:t>If we are not able to establish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collaborations could materially harm our business, financial condition and results of operations.</w:t>
      </w:r>
    </w:p>
    <w:p>
      <w:pPr>
        <w:spacing w:after="0" w:line="157"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178"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49" w:lineRule="exact"/>
        <w:rPr>
          <w:sz w:val="20"/>
          <w:szCs w:val="20"/>
          <w:color w:val="auto"/>
        </w:rPr>
      </w:pPr>
    </w:p>
    <w:p>
      <w:pPr>
        <w:jc w:val="both"/>
        <w:ind w:left="60" w:right="139" w:firstLine="324"/>
        <w:spacing w:after="0" w:line="287" w:lineRule="auto"/>
        <w:rPr>
          <w:sz w:val="20"/>
          <w:szCs w:val="20"/>
          <w:color w:val="auto"/>
        </w:rPr>
      </w:pPr>
      <w:r>
        <w:rPr>
          <w:rFonts w:ascii="Arial" w:cs="Arial" w:eastAsia="Arial" w:hAnsi="Arial"/>
          <w:sz w:val="16"/>
          <w:szCs w:val="16"/>
          <w:color w:val="auto"/>
        </w:rPr>
        <w:t>We have relied upon and plan to continue to rely upon third-party medical institutions, clinical investigators, contract laboratories and other third-party CROs to monitor and manage data for our ongoing preclinical and clinical programs. We rely on these parties for execution of our preclinical and clinical trials, and control only certain aspects of their activities.</w:t>
      </w:r>
    </w:p>
    <w:p>
      <w:pPr>
        <w:spacing w:after="0" w:line="2" w:lineRule="exact"/>
        <w:rPr>
          <w:sz w:val="20"/>
          <w:szCs w:val="20"/>
          <w:color w:val="auto"/>
        </w:rPr>
      </w:pPr>
    </w:p>
    <w:p>
      <w:pPr>
        <w:ind w:left="60" w:right="339"/>
        <w:spacing w:after="0" w:line="271" w:lineRule="auto"/>
        <w:rPr>
          <w:sz w:val="20"/>
          <w:szCs w:val="20"/>
          <w:color w:val="auto"/>
        </w:rPr>
      </w:pPr>
      <w:r>
        <w:rPr>
          <w:rFonts w:ascii="Arial" w:cs="Arial" w:eastAsia="Arial" w:hAnsi="Arial"/>
          <w:sz w:val="17"/>
          <w:szCs w:val="17"/>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 enforced by the FDA, the Competent Authorities of the member states of the European Economic Area (“EEA”) and comparable foreign regulatory authorities for all of our products in clinical development.</w:t>
      </w:r>
    </w:p>
    <w:p>
      <w:pPr>
        <w:spacing w:after="0" w:line="178"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Regulatory authorities enforce these GCPs through periodic inspections of trial sponsors, principal investigators and trial sites. If we or any of our CROs fail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92" w:lineRule="exact"/>
        <w:rPr>
          <w:sz w:val="20"/>
          <w:szCs w:val="20"/>
          <w:color w:val="auto"/>
        </w:rPr>
      </w:pPr>
    </w:p>
    <w:p>
      <w:pPr>
        <w:jc w:val="both"/>
        <w:ind w:left="60" w:right="199" w:firstLine="324"/>
        <w:spacing w:after="0" w:line="311"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or not they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2" w:lineRule="auto"/>
        <w:rPr>
          <w:sz w:val="20"/>
          <w:szCs w:val="20"/>
          <w:color w:val="auto"/>
        </w:rPr>
      </w:pPr>
      <w:r>
        <w:rPr>
          <w:rFonts w:ascii="Arial" w:cs="Arial" w:eastAsia="Arial" w:hAnsi="Arial"/>
          <w:sz w:val="17"/>
          <w:szCs w:val="17"/>
          <w:color w:val="auto"/>
        </w:rPr>
        <w:t>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77" w:lineRule="exact"/>
        <w:rPr>
          <w:sz w:val="20"/>
          <w:szCs w:val="20"/>
          <w:color w:val="auto"/>
        </w:rPr>
      </w:pPr>
    </w:p>
    <w:p>
      <w:pPr>
        <w:ind w:left="60" w:right="199" w:firstLine="324"/>
        <w:spacing w:after="0" w:line="269" w:lineRule="auto"/>
        <w:rPr>
          <w:sz w:val="20"/>
          <w:szCs w:val="20"/>
          <w:color w:val="auto"/>
        </w:rPr>
      </w:pPr>
      <w:r>
        <w:rPr>
          <w:rFonts w:ascii="Arial" w:cs="Arial" w:eastAsia="Arial" w:hAnsi="Arial"/>
          <w:sz w:val="17"/>
          <w:szCs w:val="17"/>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GCP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60" w:right="539"/>
        <w:spacing w:after="0" w:line="308" w:lineRule="auto"/>
        <w:rPr>
          <w:sz w:val="20"/>
          <w:szCs w:val="20"/>
          <w:color w:val="auto"/>
        </w:rPr>
      </w:pPr>
      <w:r>
        <w:rPr>
          <w:rFonts w:ascii="Arial" w:cs="Arial" w:eastAsia="Arial" w:hAnsi="Arial"/>
          <w:sz w:val="17"/>
          <w:szCs w:val="17"/>
          <w:b w:val="1"/>
          <w:bCs w:val="1"/>
          <w:i w:val="1"/>
          <w:iCs w:val="1"/>
          <w:color w:val="auto"/>
        </w:rPr>
        <w:t>The COVID-19 pandemic or other pandemics, epidemics or outbreaks of an infectious disease may materially and adversely impact our business, including our preclinical studies and clinical trials.</w:t>
      </w:r>
    </w:p>
    <w:p>
      <w:pPr>
        <w:spacing w:after="0" w:line="146" w:lineRule="exact"/>
        <w:rPr>
          <w:sz w:val="20"/>
          <w:szCs w:val="20"/>
          <w:color w:val="auto"/>
        </w:rPr>
      </w:pPr>
    </w:p>
    <w:p>
      <w:pPr>
        <w:ind w:left="60" w:right="219" w:firstLine="324"/>
        <w:spacing w:after="0" w:line="275" w:lineRule="auto"/>
        <w:rPr>
          <w:sz w:val="20"/>
          <w:szCs w:val="20"/>
          <w:color w:val="auto"/>
        </w:rPr>
      </w:pPr>
      <w:r>
        <w:rPr>
          <w:rFonts w:ascii="Arial" w:cs="Arial" w:eastAsia="Arial" w:hAnsi="Arial"/>
          <w:sz w:val="17"/>
          <w:szCs w:val="17"/>
          <w:color w:val="auto"/>
        </w:rPr>
        <w:t>The COVID-19 pandemic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has fallen. We have taken steps to protect our workforce and have instituted a return-to-the-office policy that we continue to evaluate.</w:t>
      </w:r>
    </w:p>
    <w:p>
      <w:pPr>
        <w:spacing w:after="0" w:line="176"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As a result of the COVID-19 pandemic, outbreaks from variants of COVID-19, or other pandemics, epidemics or outbreaks of infectious disease, we may experience disruptions that could severely impact our business, preclinical studies and clinical trials, including:</w:t>
      </w:r>
    </w:p>
    <w:p>
      <w:pPr>
        <w:spacing w:after="0" w:line="184" w:lineRule="exact"/>
        <w:rPr>
          <w:sz w:val="20"/>
          <w:szCs w:val="20"/>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225" w:lineRule="exact"/>
        <w:rPr>
          <w:rFonts w:ascii="Arial" w:cs="Arial" w:eastAsia="Arial" w:hAnsi="Arial"/>
          <w:sz w:val="18"/>
          <w:szCs w:val="18"/>
          <w:color w:val="auto"/>
        </w:rPr>
      </w:pPr>
    </w:p>
    <w:p>
      <w:pPr>
        <w:ind w:left="720" w:right="419" w:hanging="319"/>
        <w:spacing w:after="0" w:line="277"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70" w:lineRule="exact"/>
        <w:rPr>
          <w:rFonts w:ascii="Arial" w:cs="Arial" w:eastAsia="Arial" w:hAnsi="Arial"/>
          <w:sz w:val="18"/>
          <w:szCs w:val="18"/>
          <w:color w:val="auto"/>
        </w:rPr>
      </w:pPr>
    </w:p>
    <w:p>
      <w:pPr>
        <w:ind w:left="720" w:right="419" w:hanging="319"/>
        <w:spacing w:after="0" w:line="308" w:lineRule="auto"/>
        <w:tabs>
          <w:tab w:leader="none" w:pos="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w:t>
      </w:r>
    </w:p>
    <w:p>
      <w:pPr>
        <w:spacing w:after="0" w:line="146" w:lineRule="exact"/>
        <w:rPr>
          <w:rFonts w:ascii="Arial" w:cs="Arial" w:eastAsia="Arial" w:hAnsi="Arial"/>
          <w:sz w:val="17"/>
          <w:szCs w:val="17"/>
          <w:color w:val="auto"/>
        </w:rPr>
      </w:pPr>
    </w:p>
    <w:p>
      <w:pPr>
        <w:ind w:left="720" w:right="299" w:hanging="319"/>
        <w:spacing w:after="0" w:line="311" w:lineRule="auto"/>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interruption of key clinical trial activities, such as clinical trial site data monitoring, due to limitations on travel imposed or recommended by governments, employers and others or interruption of clinical trial subject visits and study procedures, which may impact the integrity of subject data and clinical study endpoints;</w:t>
      </w:r>
    </w:p>
    <w:p>
      <w:pPr>
        <w:spacing w:after="0" w:line="148" w:lineRule="exact"/>
        <w:rPr>
          <w:rFonts w:ascii="Arial" w:cs="Arial" w:eastAsia="Arial" w:hAnsi="Arial"/>
          <w:sz w:val="16"/>
          <w:szCs w:val="16"/>
          <w:color w:val="auto"/>
        </w:rPr>
      </w:pPr>
    </w:p>
    <w:p>
      <w:pPr>
        <w:ind w:left="720" w:right="179" w:hanging="319"/>
        <w:spacing w:after="0" w:line="277"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19" w:hanging="319"/>
        <w:spacing w:after="0" w:line="342" w:lineRule="auto"/>
        <w:tabs>
          <w:tab w:leader="none" w:pos="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interruption of, or delays in receiving, supplies of our product candidates from our contract manufacturing organizations due to staffing shortages, production slowdowns or stoppages and disruptions in delivery systems;</w:t>
      </w:r>
    </w:p>
    <w:p>
      <w:pPr>
        <w:spacing w:after="0" w:line="123" w:lineRule="exact"/>
        <w:rPr>
          <w:rFonts w:ascii="Arial" w:cs="Arial" w:eastAsia="Arial" w:hAnsi="Arial"/>
          <w:sz w:val="16"/>
          <w:szCs w:val="16"/>
          <w:color w:val="auto"/>
        </w:rPr>
      </w:pPr>
    </w:p>
    <w:p>
      <w:pPr>
        <w:ind w:left="720" w:right="379" w:hanging="319"/>
        <w:spacing w:after="0" w:line="277"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resulting from restrictions on our on-site activities;</w:t>
      </w:r>
    </w:p>
    <w:p>
      <w:pPr>
        <w:spacing w:after="0" w:line="170" w:lineRule="exact"/>
        <w:rPr>
          <w:rFonts w:ascii="Arial" w:cs="Arial" w:eastAsia="Arial" w:hAnsi="Arial"/>
          <w:sz w:val="18"/>
          <w:szCs w:val="18"/>
          <w:color w:val="auto"/>
        </w:rPr>
      </w:pPr>
    </w:p>
    <w:p>
      <w:pPr>
        <w:ind w:left="720" w:right="219" w:hanging="319"/>
        <w:spacing w:after="0" w:line="263"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183" w:lineRule="exact"/>
        <w:rPr>
          <w:rFonts w:ascii="Arial" w:cs="Arial" w:eastAsia="Arial" w:hAnsi="Arial"/>
          <w:sz w:val="18"/>
          <w:szCs w:val="18"/>
          <w:color w:val="auto"/>
        </w:rPr>
      </w:pPr>
    </w:p>
    <w:p>
      <w:pPr>
        <w:ind w:left="720" w:right="1059" w:hanging="319"/>
        <w:spacing w:after="0" w:line="308" w:lineRule="auto"/>
        <w:tabs>
          <w:tab w:leader="none" w:pos="7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impacts from prolonged remote work arrangements, such as strains on our business continuity plans, cybersecurity risks, and inability of certain employees to perform their work remotely; and</w:t>
      </w:r>
    </w:p>
    <w:p>
      <w:pPr>
        <w:spacing w:after="0" w:line="146" w:lineRule="exact"/>
        <w:rPr>
          <w:rFonts w:ascii="Arial" w:cs="Arial" w:eastAsia="Arial" w:hAnsi="Arial"/>
          <w:sz w:val="17"/>
          <w:szCs w:val="17"/>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225" w:lineRule="exact"/>
        <w:rPr>
          <w:sz w:val="20"/>
          <w:szCs w:val="20"/>
          <w:color w:val="auto"/>
        </w:rPr>
      </w:pPr>
    </w:p>
    <w:p>
      <w:pPr>
        <w:ind w:left="60" w:right="239" w:firstLine="324"/>
        <w:spacing w:after="0" w:line="288" w:lineRule="auto"/>
        <w:rPr>
          <w:sz w:val="20"/>
          <w:szCs w:val="20"/>
          <w:color w:val="auto"/>
        </w:rPr>
      </w:pPr>
      <w:r>
        <w:rPr>
          <w:rFonts w:ascii="Arial" w:cs="Arial" w:eastAsia="Arial" w:hAnsi="Arial"/>
          <w:sz w:val="16"/>
          <w:szCs w:val="16"/>
          <w:color w:val="auto"/>
        </w:rPr>
        <w:t>The COVID-19 pandemic continues to rapidly evolve. The extent to which the pandemic impacts our business, preclinical studies and clinical trials will depend on future developments, which are highly uncertain and cannot be predicted with confidence, such as rate of infection, the duration of the pandemic and subsequent waves of infection, the prevalence of new variants of the virus, travel restrictions and social distancing in the U.S. and other countries, business closures or business disruptions, the availability, adoption and effectiveness of any vaccines or treatments and the effectiveness of actions taken in the U.S. and other countries to contain and address the disease. If we or any of the third parties with whom we engage were to experience shutdowns or other business disruptions, our ability to conduct our business in the manner and on the timelines presently planned could be materially and negatively impacted. Additionally, concerns over the economic impact of COVID-19 pandemic have caused extreme volatility in financial and other capital markets which has and may continue to adversely impact our stock price and our ability to access capital markets.</w:t>
      </w:r>
    </w:p>
    <w:p>
      <w:pPr>
        <w:spacing w:after="0" w:line="168"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growth.</w:t>
      </w:r>
    </w:p>
    <w:p>
      <w:pPr>
        <w:spacing w:after="0" w:line="170" w:lineRule="exact"/>
        <w:rPr>
          <w:sz w:val="20"/>
          <w:szCs w:val="20"/>
          <w:color w:val="auto"/>
        </w:rPr>
      </w:pPr>
    </w:p>
    <w:p>
      <w:pPr>
        <w:ind w:left="60" w:right="259" w:firstLine="324"/>
        <w:spacing w:after="0" w:line="272" w:lineRule="auto"/>
        <w:rPr>
          <w:sz w:val="20"/>
          <w:szCs w:val="20"/>
          <w:color w:val="auto"/>
        </w:rPr>
      </w:pPr>
      <w:r>
        <w:rPr>
          <w:rFonts w:ascii="Arial" w:cs="Arial" w:eastAsia="Arial" w:hAnsi="Arial"/>
          <w:sz w:val="17"/>
          <w:szCs w:val="17"/>
          <w:color w:val="auto"/>
        </w:rPr>
        <w:t>In addition to our employees, we have access to certain of BioXcel LLC’s employees and resources through the various agreements we have entered into with BioXcel LLC. We have been expanding our management team to include an operational ramp up of additional technical staff required to achieve our business objectives. We will need to continue to expand our managerial, operational, technical, and scientific, financial, and other resources to manage our operations and clinical trials, establish independent manufacturing, continue our research and development activities, and commercialize any approved product candidates. Our management and scientific personnel, systems and facilities currently in place may not be adequate to support our future growth.</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need to effectively manage our operations, growth and various projects requires that we:</w:t>
      </w:r>
    </w:p>
    <w:p>
      <w:pPr>
        <w:spacing w:after="0" w:line="225" w:lineRule="exact"/>
        <w:rPr>
          <w:sz w:val="20"/>
          <w:szCs w:val="20"/>
          <w:color w:val="auto"/>
        </w:rPr>
      </w:pPr>
    </w:p>
    <w:p>
      <w:pPr>
        <w:ind w:left="720" w:right="219" w:hanging="319"/>
        <w:spacing w:after="0" w:line="277"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 our clinical trials effectively, including our planned clinical trials of our current, and any future, product candidates;</w:t>
      </w:r>
    </w:p>
    <w:p>
      <w:pPr>
        <w:spacing w:after="0" w:line="170" w:lineRule="exact"/>
        <w:rPr>
          <w:rFonts w:ascii="Arial" w:cs="Arial" w:eastAsia="Arial" w:hAnsi="Arial"/>
          <w:sz w:val="18"/>
          <w:szCs w:val="18"/>
          <w:color w:val="auto"/>
        </w:rPr>
      </w:pPr>
    </w:p>
    <w:p>
      <w:pPr>
        <w:ind w:left="720" w:right="299" w:hanging="319"/>
        <w:spacing w:after="0" w:line="277"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spacing w:after="0" w:line="170" w:lineRule="exact"/>
        <w:rPr>
          <w:rFonts w:ascii="Arial" w:cs="Arial" w:eastAsia="Arial" w:hAnsi="Arial"/>
          <w:sz w:val="18"/>
          <w:szCs w:val="18"/>
          <w:color w:val="auto"/>
        </w:rPr>
      </w:pPr>
    </w:p>
    <w:p>
      <w:pPr>
        <w:ind w:left="720" w:right="279" w:hanging="319"/>
        <w:spacing w:after="0" w:line="277"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86" w:lineRule="auto"/>
        <w:rPr>
          <w:sz w:val="20"/>
          <w:szCs w:val="20"/>
          <w:color w:val="auto"/>
        </w:rPr>
      </w:pPr>
      <w:r>
        <w:rPr>
          <w:rFonts w:ascii="Arial" w:cs="Arial" w:eastAsia="Arial" w:hAnsi="Arial"/>
          <w:sz w:val="16"/>
          <w:szCs w:val="16"/>
          <w:color w:val="auto"/>
        </w:rPr>
        <w:t>We may utilize the services of third-party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Our growth strategy may also entail expanding our group of contractors or consultants to implement these and other tasks going forward.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 and, accordingly, may not achieve our research, development and commercialization goals.</w:t>
      </w:r>
    </w:p>
    <w:p>
      <w:pPr>
        <w:spacing w:after="0" w:line="171"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24" w:lineRule="exact"/>
        <w:rPr>
          <w:sz w:val="20"/>
          <w:szCs w:val="20"/>
          <w:color w:val="auto"/>
        </w:rPr>
      </w:pPr>
    </w:p>
    <w:p>
      <w:pPr>
        <w:ind w:left="60" w:right="279" w:firstLine="324"/>
        <w:spacing w:after="0" w:line="256" w:lineRule="auto"/>
        <w:rPr>
          <w:sz w:val="20"/>
          <w:szCs w:val="20"/>
          <w:color w:val="auto"/>
        </w:rPr>
      </w:pPr>
      <w:r>
        <w:rPr>
          <w:rFonts w:ascii="Arial" w:cs="Arial" w:eastAsia="Arial" w:hAnsi="Arial"/>
          <w:sz w:val="17"/>
          <w:szCs w:val="17"/>
          <w:color w:val="auto"/>
        </w:rPr>
        <w:t>Our success depends largely upon the continued services of our key executive officers, Vimal Mehta, our Chief Executive Officer, President and a member of our Board, as well as the other principal members of our management, scientific, clinical teams and commercial readiness teams. We do not maintain “key person” insurance for any of these executive officers or any of our other key employees. We also rely on our leadership team in the areas of research and development, marketing, services and selling, general and administrative functions. We have been relying on our commercial readiness team in connection with the commercialization of IGALMI</w:t>
      </w:r>
      <w:r>
        <w:rPr>
          <w:rFonts w:ascii="Arial" w:cs="Arial" w:eastAsia="Arial" w:hAnsi="Arial"/>
          <w:sz w:val="25"/>
          <w:szCs w:val="25"/>
          <w:color w:val="auto"/>
          <w:vertAlign w:val="superscript"/>
        </w:rPr>
        <w:t>TM</w:t>
      </w:r>
      <w:r>
        <w:rPr>
          <w:rFonts w:ascii="Arial" w:cs="Arial" w:eastAsia="Arial" w:hAnsi="Arial"/>
          <w:sz w:val="17"/>
          <w:szCs w:val="17"/>
          <w:color w:val="auto"/>
        </w:rPr>
        <w:t>.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93" w:lineRule="exact"/>
        <w:rPr>
          <w:sz w:val="20"/>
          <w:szCs w:val="20"/>
          <w:color w:val="auto"/>
        </w:rPr>
      </w:pPr>
    </w:p>
    <w:p>
      <w:pPr>
        <w:ind w:left="60" w:right="179" w:firstLine="324"/>
        <w:spacing w:after="0" w:line="293" w:lineRule="auto"/>
        <w:rPr>
          <w:sz w:val="20"/>
          <w:szCs w:val="20"/>
          <w:color w:val="auto"/>
        </w:rPr>
      </w:pPr>
      <w:r>
        <w:rPr>
          <w:rFonts w:ascii="Arial" w:cs="Arial" w:eastAsia="Arial" w:hAnsi="Arial"/>
          <w:sz w:val="16"/>
          <w:szCs w:val="16"/>
          <w:color w:val="auto"/>
        </w:rPr>
        <w:t>To continue to execute our growth strategy, we also must attract and retain highly skilled personnel. We might not be successful in maintaining our unique culture and continuing to attract and retain qualified personnel. We have, from time to time, had difficulty hiring and retaining highly skilled personnel with appropriate qualifications, and we have experienced increased costs to recruit such personnel. We expect to experience such difficulties in the future. The pool of qualified personnel with experience working within the biopharmaceutical and biotechnology market is limited overall. In addition, many of the companies with which we compete for experienced personnel have greater resources than we have.</w:t>
      </w:r>
    </w:p>
    <w:p>
      <w:pPr>
        <w:spacing w:after="0" w:line="164" w:lineRule="exact"/>
        <w:rPr>
          <w:sz w:val="20"/>
          <w:szCs w:val="20"/>
          <w:color w:val="auto"/>
        </w:rPr>
      </w:pPr>
    </w:p>
    <w:p>
      <w:pPr>
        <w:ind w:left="60" w:right="139" w:firstLine="324"/>
        <w:spacing w:after="0" w:line="272" w:lineRule="auto"/>
        <w:rPr>
          <w:sz w:val="20"/>
          <w:szCs w:val="20"/>
          <w:color w:val="auto"/>
        </w:rPr>
      </w:pPr>
      <w:r>
        <w:rPr>
          <w:rFonts w:ascii="Arial" w:cs="Arial" w:eastAsia="Arial" w:hAnsi="Arial"/>
          <w:sz w:val="17"/>
          <w:szCs w:val="17"/>
          <w:color w:val="auto"/>
        </w:rPr>
        <w:t>In addition, in making employment decisions, particularly in the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the fair value of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77" w:lineRule="exact"/>
        <w:rPr>
          <w:sz w:val="20"/>
          <w:szCs w:val="20"/>
          <w:color w:val="auto"/>
        </w:rPr>
      </w:pPr>
    </w:p>
    <w:p>
      <w:pPr>
        <w:ind w:left="60" w:right="219"/>
        <w:spacing w:after="0" w:line="342" w:lineRule="auto"/>
        <w:rPr>
          <w:sz w:val="20"/>
          <w:szCs w:val="20"/>
          <w:color w:val="auto"/>
        </w:rPr>
      </w:pPr>
      <w:r>
        <w:rPr>
          <w:rFonts w:ascii="Arial" w:cs="Arial" w:eastAsia="Arial" w:hAnsi="Arial"/>
          <w:sz w:val="16"/>
          <w:szCs w:val="16"/>
          <w:b w:val="1"/>
          <w:bCs w:val="1"/>
          <w:i w:val="1"/>
          <w:iCs w:val="1"/>
          <w:color w:val="auto"/>
        </w:rPr>
        <w:t>We may acquire other companies or technologies, which could divert our management’s attention, result in dilution to our stockholders and otherwise disrupt our operations and adversely affect our operating results.</w:t>
      </w:r>
    </w:p>
    <w:p>
      <w:pPr>
        <w:spacing w:after="0" w:line="124" w:lineRule="exact"/>
        <w:rPr>
          <w:sz w:val="20"/>
          <w:szCs w:val="20"/>
          <w:color w:val="auto"/>
        </w:rPr>
      </w:pPr>
    </w:p>
    <w:p>
      <w:pPr>
        <w:ind w:left="60" w:right="179" w:firstLine="324"/>
        <w:spacing w:after="0" w:line="308" w:lineRule="auto"/>
        <w:rPr>
          <w:sz w:val="20"/>
          <w:szCs w:val="20"/>
          <w:color w:val="auto"/>
        </w:rPr>
      </w:pPr>
      <w:r>
        <w:rPr>
          <w:rFonts w:ascii="Arial" w:cs="Arial" w:eastAsia="Arial" w:hAnsi="Arial"/>
          <w:sz w:val="17"/>
          <w:szCs w:val="17"/>
          <w:color w:val="auto"/>
        </w:rPr>
        <w:t>We may in the future seek to acquire or invest in businesses, applications and services or technologies that we believe could complement or expand our services, enhance our technical capabilities or otherwise offer growth</w:t>
      </w: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color w:val="auto"/>
        </w:rPr>
        <w:t>opportunities. The pursuit of potential acquisitions may divert the attention of management and cause us to incur various expenses in identifying, investigating and pursuing suitable acquisitions, whether or not they are consummated.</w:t>
      </w:r>
    </w:p>
    <w:p>
      <w:pPr>
        <w:spacing w:after="0" w:line="124"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7" w:lineRule="exact"/>
        <w:rPr>
          <w:sz w:val="20"/>
          <w:szCs w:val="20"/>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225" w:lineRule="exact"/>
        <w:rPr>
          <w:rFonts w:ascii="Arial" w:cs="Arial" w:eastAsia="Arial" w:hAnsi="Arial"/>
          <w:sz w:val="18"/>
          <w:szCs w:val="18"/>
          <w:color w:val="auto"/>
        </w:rPr>
      </w:pPr>
    </w:p>
    <w:p>
      <w:pPr>
        <w:ind w:left="720" w:right="259" w:hanging="319"/>
        <w:spacing w:after="0" w:line="277"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170" w:lineRule="exact"/>
        <w:rPr>
          <w:rFonts w:ascii="Arial" w:cs="Arial" w:eastAsia="Arial" w:hAnsi="Arial"/>
          <w:sz w:val="18"/>
          <w:szCs w:val="18"/>
          <w:color w:val="auto"/>
        </w:rPr>
      </w:pPr>
    </w:p>
    <w:p>
      <w:pPr>
        <w:ind w:left="720" w:right="539" w:hanging="319"/>
        <w:spacing w:after="0" w:line="342" w:lineRule="auto"/>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difficulty converting the customers of the acquired business onto our platform and contract terms, including disparities in the revenue, licensing, support or professional services model of the acquired company;</w:t>
      </w:r>
    </w:p>
    <w:p>
      <w:pPr>
        <w:spacing w:after="0" w:line="123" w:lineRule="exact"/>
        <w:rPr>
          <w:rFonts w:ascii="Arial" w:cs="Arial" w:eastAsia="Arial" w:hAnsi="Arial"/>
          <w:sz w:val="16"/>
          <w:szCs w:val="16"/>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720" w:right="579" w:hanging="319"/>
        <w:spacing w:after="0" w:line="277"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 as a result of the acquisition;</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left="60" w:right="639" w:firstLine="324"/>
        <w:spacing w:after="0" w:line="279"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1" w:lineRule="exact"/>
        <w:rPr>
          <w:sz w:val="20"/>
          <w:szCs w:val="20"/>
          <w:color w:val="auto"/>
        </w:rPr>
      </w:pPr>
    </w:p>
    <w:p>
      <w:pPr>
        <w:ind w:left="60" w:right="479" w:firstLine="324"/>
        <w:spacing w:after="0" w:line="263"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84"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70"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healthcare fraud and abuse laws and regulations, or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but</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it is not always possible to identify and deter employee misconduct, and the precautions we take to detect and prevent this activity may not be effective in controlling unknown or unmanaged risk.</w:t>
      </w:r>
    </w:p>
    <w:p>
      <w:pPr>
        <w:spacing w:after="0" w:line="170"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Business interruptions could adversely affect future operations, revenues, and financial conditions, and may increase our costs and expenses.</w:t>
      </w:r>
    </w:p>
    <w:p>
      <w:pPr>
        <w:spacing w:after="0" w:line="170"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pandemics such as the COVID-19 pandemic,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64" w:lineRule="exact"/>
        <w:rPr>
          <w:sz w:val="20"/>
          <w:szCs w:val="20"/>
          <w:color w:val="auto"/>
        </w:rPr>
      </w:pPr>
    </w:p>
    <w:p>
      <w:pPr>
        <w:ind w:left="60" w:right="159" w:firstLine="324"/>
        <w:spacing w:after="0" w:line="252" w:lineRule="auto"/>
        <w:rPr>
          <w:sz w:val="20"/>
          <w:szCs w:val="20"/>
          <w:color w:val="auto"/>
        </w:rPr>
      </w:pPr>
      <w:r>
        <w:rPr>
          <w:rFonts w:ascii="Arial" w:cs="Arial" w:eastAsia="Arial" w:hAnsi="Arial"/>
          <w:sz w:val="17"/>
          <w:szCs w:val="17"/>
          <w:color w:val="auto"/>
        </w:rPr>
        <w:t>Likewise, we will rely on third parties, including ARx, to manufacture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our product candidates and to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94" w:lineRule="exact"/>
        <w:rPr>
          <w:sz w:val="20"/>
          <w:szCs w:val="20"/>
          <w:color w:val="auto"/>
        </w:rPr>
      </w:pPr>
    </w:p>
    <w:p>
      <w:pPr>
        <w:ind w:left="60" w:right="359"/>
        <w:spacing w:after="0" w:line="263" w:lineRule="auto"/>
        <w:rPr>
          <w:sz w:val="20"/>
          <w:szCs w:val="20"/>
          <w:color w:val="auto"/>
        </w:rPr>
      </w:pPr>
      <w:r>
        <w:rPr>
          <w:rFonts w:ascii="Arial" w:cs="Arial" w:eastAsia="Arial" w:hAnsi="Arial"/>
          <w:sz w:val="18"/>
          <w:szCs w:val="18"/>
          <w:b w:val="1"/>
          <w:bCs w:val="1"/>
          <w:i w:val="1"/>
          <w:iCs w:val="1"/>
          <w:color w:val="auto"/>
        </w:rPr>
        <w:t>Data breaches or cyber-attacks could disrupt our business operations and information technology systems, adversely impact our financial results or result in the loss or exposure of confidential or sensitive product candidate, clinical trial, employee or Company information.</w:t>
      </w:r>
    </w:p>
    <w:p>
      <w:pPr>
        <w:spacing w:after="0" w:line="184" w:lineRule="exact"/>
        <w:rPr>
          <w:sz w:val="20"/>
          <w:szCs w:val="20"/>
          <w:color w:val="auto"/>
        </w:rPr>
      </w:pPr>
    </w:p>
    <w:p>
      <w:pPr>
        <w:ind w:left="60" w:right="159" w:firstLine="324"/>
        <w:spacing w:after="0" w:line="268" w:lineRule="auto"/>
        <w:rPr>
          <w:sz w:val="20"/>
          <w:szCs w:val="20"/>
          <w:color w:val="auto"/>
        </w:rPr>
      </w:pPr>
      <w:r>
        <w:rPr>
          <w:rFonts w:ascii="Arial" w:cs="Arial" w:eastAsia="Arial" w:hAnsi="Arial"/>
          <w:sz w:val="17"/>
          <w:szCs w:val="17"/>
          <w:color w:val="auto"/>
        </w:rPr>
        <w:t>Our information technology systems have been and may in the future be attacked or breached by individuals or organizations intending to obtain sensitive data regarding our business, our product candidates, clinical trials or other third parties with whom we do business; harm or disrupt our business operations; or otherwise misappropriate information or Company funds. A security compromise of our information technology systems or business operations could occur through a variety of methods such as from cyber-attacks and cyber-intrusions over the Internet, malware, computer viruses, email spoofing, attachments to e-mails, persons inside our organization or persons with access to systems inside our organization. The risk of such intrusions, threats to data and information technology systems and breaches has generally increased as the number, intensity and sophistication of attempted attacks and intrusions from around the world have increased. We use our information technology systems to protect confidential or sensitive product candidate, clinical trial, employee and Company information. Any attack on such systems that results in the unauthorized release or loss of such information could have a material adverse effect on our business reputation, increase our costs and expose us to material legal claims and liability. If the unauthorized release or loss of product candidate, clinical trial, employee or other confidential or sensitive data were to occur, our operations and financial results and our share price could be adversely affected.</w:t>
      </w:r>
    </w:p>
    <w:p>
      <w:pPr>
        <w:spacing w:after="0" w:line="184"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While we maintain some of our own critical information technology systems, we also depend on third parties to provide important information technology services relating to several key business functions. Our measures to prevent, detect and mitigate these threats, including password protection, firewalls, backup servers, threat monitoring and periodic penetration testing, may not be successful in preventing a data breach or limiting the effects of a breach.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5" w:lineRule="auto"/>
        <w:rPr>
          <w:sz w:val="20"/>
          <w:szCs w:val="20"/>
          <w:color w:val="auto"/>
        </w:rPr>
      </w:pPr>
      <w:r>
        <w:rPr>
          <w:rFonts w:ascii="Arial" w:cs="Arial" w:eastAsia="Arial" w:hAnsi="Arial"/>
          <w:sz w:val="17"/>
          <w:szCs w:val="17"/>
          <w:color w:val="auto"/>
        </w:rPr>
        <w:t>Even if identified, we may be unable to adequately investigate or remediate incidents or breaches due to attackers increasingly using tools and techniques that are designed to circumvent controls, to avoid detection, and to remove or obfuscate forensic evidence. Furthermore, the security measures employed by third-party service providers may prove to be ineffective at preventing breaches of their systems. Although we maintain insurance for our business, the coverage under our policies may not be adequate to compensate us for all losses that may occur.</w:t>
      </w:r>
    </w:p>
    <w:p>
      <w:pPr>
        <w:spacing w:after="0" w:line="176" w:lineRule="exact"/>
        <w:rPr>
          <w:sz w:val="20"/>
          <w:szCs w:val="20"/>
          <w:color w:val="auto"/>
        </w:rPr>
      </w:pPr>
    </w:p>
    <w:p>
      <w:pPr>
        <w:ind w:left="60" w:right="359"/>
        <w:spacing w:after="0" w:line="381" w:lineRule="auto"/>
        <w:rPr>
          <w:sz w:val="20"/>
          <w:szCs w:val="20"/>
          <w:color w:val="auto"/>
        </w:rPr>
      </w:pPr>
      <w:r>
        <w:rPr>
          <w:rFonts w:ascii="Arial" w:cs="Arial" w:eastAsia="Arial" w:hAnsi="Arial"/>
          <w:sz w:val="15"/>
          <w:szCs w:val="15"/>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00"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Additionally, our use of AI and machine learning may be subject to laws and evolving regulations regarding the use of AI or machine learning, controlling for data bias, and antidiscrimination.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71"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California Consumer Privacy Act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in the U.S. Further, the California Privacy Rights Act (“CPRA”) passed in California, which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69"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In Europe, the General Data Protection Regulation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EU and the U.S. remains uncertain. For example, in 2016, the EU and U.S. agreed to a transfer framework for data transferred from the EU to the U.S., called the Privacy Shield, but the Privacy Shield was invalidated in July 2020 by the Court of Justice of</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6" w:lineRule="auto"/>
        <w:rPr>
          <w:sz w:val="20"/>
          <w:szCs w:val="20"/>
          <w:color w:val="auto"/>
        </w:rPr>
      </w:pPr>
      <w:r>
        <w:rPr>
          <w:rFonts w:ascii="Arial" w:cs="Arial" w:eastAsia="Arial" w:hAnsi="Arial"/>
          <w:sz w:val="16"/>
          <w:szCs w:val="16"/>
          <w:color w:val="auto"/>
        </w:rPr>
        <w:t>the EU (“CJEU”). The European Commission issued revised standard contractual clauses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UK; the UK’s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74" w:lineRule="exact"/>
        <w:rPr>
          <w:sz w:val="20"/>
          <w:szCs w:val="20"/>
          <w:color w:val="auto"/>
        </w:rPr>
      </w:pPr>
    </w:p>
    <w:p>
      <w:pPr>
        <w:ind w:left="60" w:right="259" w:firstLine="324"/>
        <w:spacing w:after="0" w:line="269" w:lineRule="auto"/>
        <w:rPr>
          <w:sz w:val="20"/>
          <w:szCs w:val="20"/>
          <w:color w:val="auto"/>
        </w:rPr>
      </w:pPr>
      <w:r>
        <w:rPr>
          <w:rFonts w:ascii="Arial" w:cs="Arial" w:eastAsia="Arial" w:hAnsi="Arial"/>
          <w:sz w:val="17"/>
          <w:szCs w:val="17"/>
          <w:color w:val="auto"/>
        </w:rPr>
        <w:t>Further, from January 1, 2021, companies have had to comply with the GDPR and also the UK GDPR, which, together with the amended UK Data Protection Act 2018, retains the GDPR in UK national law. The UK GDPR mirrors the fines under the GDPR (i.e., fines up to the greater of £17,500 or 4% of global turnover). The European Commission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long-term. These changes may lead to additional costs and increase our overall risk exposure.</w:t>
      </w:r>
    </w:p>
    <w:p>
      <w:pPr>
        <w:spacing w:after="0" w:line="185"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95"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Our failure to successfully acquire, develop and market additional product candidates or approved drug products could impair our ability to grow.</w:t>
      </w:r>
    </w:p>
    <w:p>
      <w:pPr>
        <w:spacing w:after="0" w:line="170"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As part of our growth strategy, we may evaluate, acquire, license, develop and/or market third-party product candidates and technologies.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future acquisitions may entail numerous operational and financial risks, including:</w:t>
      </w:r>
    </w:p>
    <w:p>
      <w:pPr>
        <w:spacing w:after="0" w:line="225" w:lineRule="exact"/>
        <w:rPr>
          <w:sz w:val="20"/>
          <w:szCs w:val="20"/>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59" w:hanging="319"/>
        <w:spacing w:after="0" w:line="277"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and technical personnel’s time and attention to develop acquired products or technologies;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225" w:lineRule="exact"/>
        <w:rPr>
          <w:rFonts w:ascii="Arial" w:cs="Arial" w:eastAsia="Arial" w:hAnsi="Arial"/>
          <w:sz w:val="18"/>
          <w:szCs w:val="18"/>
          <w:color w:val="auto"/>
        </w:rPr>
      </w:pPr>
    </w:p>
    <w:p>
      <w:pPr>
        <w:ind w:left="720" w:right="159" w:hanging="319"/>
        <w:spacing w:after="0" w:line="277"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170" w:lineRule="exact"/>
        <w:rPr>
          <w:rFonts w:ascii="Arial" w:cs="Arial" w:eastAsia="Arial" w:hAnsi="Arial"/>
          <w:sz w:val="18"/>
          <w:szCs w:val="18"/>
          <w:color w:val="auto"/>
        </w:rPr>
      </w:pPr>
    </w:p>
    <w:p>
      <w:pPr>
        <w:ind w:left="720" w:right="699" w:hanging="319"/>
        <w:spacing w:after="0" w:line="277"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25" w:lineRule="exact"/>
        <w:rPr>
          <w:sz w:val="20"/>
          <w:szCs w:val="20"/>
          <w:color w:val="auto"/>
        </w:rPr>
      </w:pPr>
    </w:p>
    <w:p>
      <w:pPr>
        <w:ind w:left="60" w:right="439" w:firstLine="324"/>
        <w:spacing w:after="0" w:line="273" w:lineRule="auto"/>
        <w:rPr>
          <w:sz w:val="20"/>
          <w:szCs w:val="20"/>
          <w:color w:val="auto"/>
        </w:rPr>
      </w:pPr>
      <w:r>
        <w:rPr>
          <w:rFonts w:ascii="Arial" w:cs="Arial" w:eastAsia="Arial" w:hAnsi="Arial"/>
          <w:sz w:val="17"/>
          <w:szCs w:val="17"/>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78"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and tax credits to offset future taxable income and income tax liabilities may be limited.</w:t>
      </w:r>
    </w:p>
    <w:p>
      <w:pPr>
        <w:spacing w:after="0" w:line="170"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At December 31, 2021, the Company had federal net operating loss carryforwards (“NOLs”) of approximately $139.0 million and state NOLs of approximately $139.0 million. If not utilized, the federal and state NOLs, which are subject to expiration, will begin to expire in 2037. Federal NOLs generated in taxable years beginning after December 31, 2017 may be carried forward indefinitely but may only be used to offset 80% of our taxable income in taxable years beginning after December 31, 2020. As of December 31, 2021, we also had approximately $6.5 million of federal orphan drug credits and research and development credits, or tax credits, which will begin to expire in 2037 if not utilized. The utilization of such NOLs and tax credits and realization of tax benefits in future years depends upon our having taxable income and income tax liabilities.</w:t>
      </w:r>
    </w:p>
    <w:p>
      <w:pPr>
        <w:spacing w:after="0" w:line="192"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In addition, in general, under Sections 382 and 383 of the Internal Revenue Code of 1986, as amended, a corporation that undergoes an “ownership change” is subject to limitations on its ability to utilize its pre-ownership change NOLs and tax credits to offset future taxable income or income tax liabilities. For these purposes, an ownership change generally occurs where the aggregate change in stock ownership, of one or more stockholders or groups of stockholders owning at least 5% of a corporation's stock, exceeds 50 percentage points over a rolling three-year period. We may have experienced ownership changes in the past, and future changes in our stock ownership, many of which are outside of our control, could result in ownership changes in the future. Our state NOLs or tax credits may also be impaired under state law. Accordingly, even if we attain profitability, we may not be able to utilize a material portion of our NOLs or tax credits. We have recorded a full valuation allowance related to our NOLs and other deferred tax assets due to the uncertainty of the ultimate realization of the future benefits of those assets.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left="60" w:right="539"/>
        <w:spacing w:after="0" w:line="263"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84" w:lineRule="exact"/>
        <w:rPr>
          <w:sz w:val="20"/>
          <w:szCs w:val="20"/>
          <w:color w:val="auto"/>
        </w:rPr>
      </w:pPr>
    </w:p>
    <w:p>
      <w:pPr>
        <w:ind w:left="60" w:right="159" w:firstLine="324"/>
        <w:spacing w:after="0" w:line="291" w:lineRule="auto"/>
        <w:rPr>
          <w:sz w:val="20"/>
          <w:szCs w:val="20"/>
          <w:color w:val="auto"/>
        </w:rPr>
      </w:pPr>
      <w:r>
        <w:rPr>
          <w:rFonts w:ascii="Arial" w:cs="Arial" w:eastAsia="Arial" w:hAnsi="Arial"/>
          <w:sz w:val="16"/>
          <w:szCs w:val="16"/>
          <w:color w:val="auto"/>
        </w:rPr>
        <w:t>Our commercial success will depend in part on obtaining and maintaining patent protection and trade secret protection of our current and future product candidates, the processes used to manufacture them and the methods for using them, as well as successfully defending these patents against third-party challenges. We are the owner of record of patents and patent applications pending in the U.S. and in certain foreign jurisdictions. Patents issue from non-provisional applications, which are typically filed from provisional patent applications or from PCT applications that enter the national phase. Neither provisional patent applications nor PCT applications issue directly as patents. We own PCT patent applications relating to our platform technologies covering methods of use and applications of the platform technologies.</w:t>
      </w:r>
    </w:p>
    <w:p>
      <w:pPr>
        <w:spacing w:after="0" w:line="166" w:lineRule="exact"/>
        <w:rPr>
          <w:sz w:val="20"/>
          <w:szCs w:val="20"/>
          <w:color w:val="auto"/>
        </w:rPr>
      </w:pPr>
    </w:p>
    <w:p>
      <w:pPr>
        <w:ind w:left="60" w:right="279" w:firstLine="324"/>
        <w:spacing w:after="0" w:line="272" w:lineRule="auto"/>
        <w:rPr>
          <w:sz w:val="20"/>
          <w:szCs w:val="20"/>
          <w:color w:val="auto"/>
        </w:rPr>
      </w:pPr>
      <w:r>
        <w:rPr>
          <w:rFonts w:ascii="Arial" w:cs="Arial" w:eastAsia="Arial" w:hAnsi="Arial"/>
          <w:sz w:val="17"/>
          <w:szCs w:val="17"/>
          <w:color w:val="auto"/>
        </w:rPr>
        <w:t>As of October 31, 2022, our patent portfolio included four Patent Cooperation Treaty (“PCT”) applications, 18 U.S. utility applications, two issued U.S. utility patents, six U.S. provisional patent applications, 122 pending non-U.S. applications, 15 allowed or granted non-U.S. patents (including four in Japan), one design patent application, which is a U.S. design application, and 34 allowed or registered design patents (including two in Japan). 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or trade secrets that cover these activities.</w:t>
      </w:r>
    </w:p>
    <w:p>
      <w:pPr>
        <w:spacing w:after="0" w:line="177" w:lineRule="exact"/>
        <w:rPr>
          <w:sz w:val="20"/>
          <w:szCs w:val="20"/>
          <w:color w:val="auto"/>
        </w:rPr>
      </w:pPr>
    </w:p>
    <w:p>
      <w:pPr>
        <w:ind w:left="60" w:right="259" w:firstLine="324"/>
        <w:spacing w:after="0" w:line="271" w:lineRule="auto"/>
        <w:rPr>
          <w:sz w:val="20"/>
          <w:szCs w:val="20"/>
          <w:color w:val="auto"/>
        </w:rPr>
      </w:pPr>
      <w:r>
        <w:rPr>
          <w:rFonts w:ascii="Arial" w:cs="Arial" w:eastAsia="Arial" w:hAnsi="Arial"/>
          <w:sz w:val="17"/>
          <w:szCs w:val="17"/>
          <w:color w:val="auto"/>
        </w:rPr>
        <w:t>The patent positions of biotechnology and pharmaceutical companies can be highly uncertain and involve complex legal and factual questions for which important legal principles remain unresolved. No consistent policy regarding the breadth of claims allowed in pharmaceutical patents has emerged to date in the U.S. or in foreign jurisdictions outside of the U.S. Changes in either the patent laws or interpretations of patent laws in the U.S.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178"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88" w:lineRule="exact"/>
        <w:rPr>
          <w:sz w:val="20"/>
          <w:szCs w:val="20"/>
          <w:color w:val="auto"/>
        </w:rPr>
      </w:pPr>
    </w:p>
    <w:p>
      <w:pPr>
        <w:ind w:left="60" w:right="159" w:firstLine="324"/>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720" w:right="179" w:hanging="319"/>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our patents;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pending patent applications;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225" w:lineRule="exact"/>
        <w:rPr>
          <w:rFonts w:ascii="Arial" w:cs="Arial" w:eastAsia="Arial" w:hAnsi="Arial"/>
          <w:sz w:val="18"/>
          <w:szCs w:val="18"/>
          <w:color w:val="auto"/>
        </w:rPr>
      </w:pPr>
    </w:p>
    <w:p>
      <w:pPr>
        <w:ind w:left="720" w:right="699" w:hanging="319"/>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products or product candidates;</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granted patents may be held invalid or unenforceable as a result of legal challenges by third parties; and</w:t>
      </w:r>
    </w:p>
    <w:p>
      <w:pPr>
        <w:spacing w:after="0" w:line="248" w:lineRule="exact"/>
        <w:rPr>
          <w:rFonts w:ascii="Arial" w:cs="Arial" w:eastAsia="Arial" w:hAnsi="Arial"/>
          <w:sz w:val="16"/>
          <w:szCs w:val="16"/>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60" w:right="319"/>
        <w:spacing w:after="0" w:line="286"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5" w:lineRule="exact"/>
        <w:rPr>
          <w:sz w:val="20"/>
          <w:szCs w:val="20"/>
          <w:color w:val="auto"/>
        </w:rPr>
      </w:pPr>
    </w:p>
    <w:p>
      <w:pPr>
        <w:ind w:left="60" w:right="199" w:firstLine="324"/>
        <w:spacing w:after="0" w:line="268" w:lineRule="auto"/>
        <w:rPr>
          <w:sz w:val="20"/>
          <w:szCs w:val="20"/>
          <w:color w:val="auto"/>
        </w:rPr>
      </w:pPr>
      <w:r>
        <w:rPr>
          <w:rFonts w:ascii="Arial" w:cs="Arial" w:eastAsia="Arial" w:hAnsi="Arial"/>
          <w:sz w:val="17"/>
          <w:szCs w:val="17"/>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various procedural, document submission,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86" w:lineRule="exact"/>
        <w:rPr>
          <w:sz w:val="20"/>
          <w:szCs w:val="20"/>
          <w:color w:val="auto"/>
        </w:rPr>
      </w:pPr>
    </w:p>
    <w:p>
      <w:pPr>
        <w:ind w:left="60" w:right="359"/>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84" w:lineRule="exact"/>
        <w:rPr>
          <w:sz w:val="20"/>
          <w:szCs w:val="20"/>
          <w:color w:val="auto"/>
        </w:rPr>
      </w:pPr>
    </w:p>
    <w:p>
      <w:pPr>
        <w:ind w:left="60" w:right="239" w:firstLine="324"/>
        <w:spacing w:after="0" w:line="270" w:lineRule="auto"/>
        <w:rPr>
          <w:sz w:val="20"/>
          <w:szCs w:val="20"/>
          <w:color w:val="auto"/>
        </w:rPr>
      </w:pPr>
      <w:r>
        <w:rPr>
          <w:rFonts w:ascii="Arial" w:cs="Arial" w:eastAsia="Arial" w:hAnsi="Arial"/>
          <w:sz w:val="17"/>
          <w:szCs w:val="17"/>
          <w:color w:val="auto"/>
        </w:rPr>
        <w:t>We may be required to enter into intellectual property license agreements that are important to our business. These license agreements may impose various diligence, milestone payment, royalty, and other obligations on us. For example, we may enter into exclusive license agreements with various universities and research institutions,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disputes may arise regarding intellectual property subject to a license agreement, including:</w:t>
      </w:r>
    </w:p>
    <w:p>
      <w:pPr>
        <w:spacing w:after="0" w:line="225" w:lineRule="exact"/>
        <w:rPr>
          <w:sz w:val="20"/>
          <w:szCs w:val="20"/>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720" w:right="579" w:hanging="319"/>
        <w:spacing w:after="0" w:line="277"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obligations;</w:t>
      </w:r>
    </w:p>
    <w:p>
      <w:pPr>
        <w:spacing w:after="0" w:line="225" w:lineRule="exact"/>
        <w:rPr>
          <w:rFonts w:ascii="Arial" w:cs="Arial" w:eastAsia="Arial" w:hAnsi="Arial"/>
          <w:sz w:val="18"/>
          <w:szCs w:val="18"/>
          <w:color w:val="auto"/>
        </w:rPr>
      </w:pPr>
    </w:p>
    <w:p>
      <w:pPr>
        <w:ind w:left="720" w:right="159" w:hanging="319"/>
        <w:spacing w:after="0" w:line="263"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 third-party expresses interest in an area under a license that we are not pursuing, under the terms of certain of our license agreements, we may be required to sublicense rights in that area to a third-party, and that sublicense could harm our business; and</w:t>
      </w:r>
    </w:p>
    <w:p>
      <w:pPr>
        <w:spacing w:after="0" w:line="183" w:lineRule="exact"/>
        <w:rPr>
          <w:rFonts w:ascii="Arial" w:cs="Arial" w:eastAsia="Arial" w:hAnsi="Arial"/>
          <w:sz w:val="18"/>
          <w:szCs w:val="18"/>
          <w:color w:val="auto"/>
        </w:rPr>
      </w:pPr>
    </w:p>
    <w:p>
      <w:pPr>
        <w:ind w:left="720" w:right="159" w:hanging="319"/>
        <w:spacing w:after="0" w:line="277"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firstLine="324"/>
        <w:spacing w:after="0" w:line="263"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4" w:lineRule="exact"/>
        <w:rPr>
          <w:sz w:val="20"/>
          <w:szCs w:val="20"/>
          <w:color w:val="auto"/>
        </w:rPr>
      </w:pPr>
    </w:p>
    <w:p>
      <w:pPr>
        <w:jc w:val="both"/>
        <w:ind w:left="60" w:right="219" w:firstLine="324"/>
        <w:spacing w:after="0" w:line="259" w:lineRule="auto"/>
        <w:rPr>
          <w:sz w:val="20"/>
          <w:szCs w:val="20"/>
          <w:color w:val="auto"/>
        </w:rPr>
      </w:pPr>
      <w:r>
        <w:rPr>
          <w:rFonts w:ascii="Arial" w:cs="Arial" w:eastAsia="Arial" w:hAnsi="Arial"/>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our patents and other intellectual property.</w:t>
      </w:r>
    </w:p>
    <w:p>
      <w:pPr>
        <w:spacing w:after="0" w:line="260"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8" w:lineRule="exact"/>
        <w:rPr>
          <w:sz w:val="20"/>
          <w:szCs w:val="20"/>
          <w:color w:val="auto"/>
        </w:rPr>
      </w:pPr>
    </w:p>
    <w:p>
      <w:pPr>
        <w:ind w:left="60" w:right="559"/>
        <w:spacing w:after="0" w:line="308" w:lineRule="auto"/>
        <w:rPr>
          <w:sz w:val="20"/>
          <w:szCs w:val="20"/>
          <w:color w:val="auto"/>
        </w:rPr>
      </w:pPr>
      <w:r>
        <w:rPr>
          <w:rFonts w:ascii="Arial" w:cs="Arial" w:eastAsia="Arial" w:hAnsi="Arial"/>
          <w:sz w:val="17"/>
          <w:szCs w:val="17"/>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46" w:lineRule="exact"/>
        <w:rPr>
          <w:sz w:val="20"/>
          <w:szCs w:val="20"/>
          <w:color w:val="auto"/>
        </w:rPr>
      </w:pPr>
    </w:p>
    <w:p>
      <w:pPr>
        <w:ind w:left="60" w:right="139" w:firstLine="324"/>
        <w:spacing w:after="0" w:line="288" w:lineRule="auto"/>
        <w:rPr>
          <w:sz w:val="20"/>
          <w:szCs w:val="20"/>
          <w:color w:val="auto"/>
        </w:rPr>
      </w:pPr>
      <w:r>
        <w:rPr>
          <w:rFonts w:ascii="Arial" w:cs="Arial" w:eastAsia="Arial" w:hAnsi="Arial"/>
          <w:sz w:val="16"/>
          <w:szCs w:val="16"/>
          <w:color w:val="auto"/>
        </w:rPr>
        <w:t>Our product candidates have been or will be submitted to the FDA for approval under Section 505(b)(2) of the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Hatch-Waxman Act apply. In accordance with the Hatch-Waxman Act, such NDAs may be required to include certifications, known as paragraph IV certifications, that certify that any patents listed in the Patent and Exclusivity Information Addendum of the FDA’s Orange Book, with respect to any product referenced in the 505(b)(2) application, are invalid, unenforceable or will not be infringed by the manufacture, use or sale of the product that is the subject of the 505(b)(2) NDA.</w:t>
      </w:r>
    </w:p>
    <w:p>
      <w:pPr>
        <w:spacing w:after="0" w:line="168"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6"/>
          <w:szCs w:val="16"/>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 month stay of the FDA’s ability to approve the 505(b)(2) NDA, unless patent litigation is resolved in the favor of the paragraph IV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other intellectual property rights.</w:t>
      </w:r>
    </w:p>
    <w:p>
      <w:pPr>
        <w:spacing w:after="0" w:line="170"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If we choose to commence a proceeding or litigation to prevent another party from infringing our patents, that party will have the right to ask the examiner or court to rule that our patents are invalid or should not be enforced against them. There is a risk that the examiner or court will decide that our patents are not valid and that we do not have the right to stop the other party from using the related inventions. There is also the risk that, even if the validity of our patents is upheld, the examiner or court will refuse to stop the other party on the ground that such other party’s activities do not infringe our rights to such patents. In addition, the U.S. Supreme Court has recently modified some tests used by the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71" w:lineRule="exact"/>
        <w:rPr>
          <w:sz w:val="20"/>
          <w:szCs w:val="20"/>
          <w:color w:val="auto"/>
        </w:rPr>
      </w:pPr>
    </w:p>
    <w:p>
      <w:pPr>
        <w:ind w:left="60" w:right="399"/>
        <w:spacing w:after="0" w:line="286"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which may prevent or delay our product development efforts and stop us from commercializing or increase the costs of commercializing our product candidates.</w:t>
      </w:r>
    </w:p>
    <w:p>
      <w:pPr>
        <w:spacing w:after="0" w:line="165"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Our success will depend in part on our ability to operate without infringing, misappropriating or otherwise violating the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products, or the manufacture or use of our product candidates, including interference proceedings, post grant review, inter partes review, and derivation proceedings before the USPTO and similar proceedings in foreign jurisdictions. 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w:t>
      </w:r>
    </w:p>
    <w:p>
      <w:pPr>
        <w:spacing w:after="0" w:line="174" w:lineRule="exact"/>
        <w:rPr>
          <w:sz w:val="20"/>
          <w:szCs w:val="20"/>
          <w:color w:val="auto"/>
        </w:rPr>
      </w:pPr>
    </w:p>
    <w:p>
      <w:pPr>
        <w:ind w:left="60" w:right="219" w:firstLine="324"/>
        <w:spacing w:after="0" w:line="269" w:lineRule="auto"/>
        <w:rPr>
          <w:sz w:val="20"/>
          <w:szCs w:val="20"/>
          <w:color w:val="auto"/>
        </w:rPr>
      </w:pPr>
      <w:r>
        <w:rPr>
          <w:rFonts w:ascii="Arial" w:cs="Arial" w:eastAsia="Arial" w:hAnsi="Arial"/>
          <w:sz w:val="17"/>
          <w:szCs w:val="17"/>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059" w:firstLine="324"/>
        <w:spacing w:after="0" w:line="277" w:lineRule="auto"/>
        <w:rPr>
          <w:sz w:val="20"/>
          <w:szCs w:val="20"/>
          <w:color w:val="auto"/>
        </w:rPr>
      </w:pPr>
      <w:r>
        <w:rPr>
          <w:rFonts w:ascii="Arial" w:cs="Arial" w:eastAsia="Arial" w:hAnsi="Arial"/>
          <w:sz w:val="18"/>
          <w:szCs w:val="18"/>
          <w:color w:val="auto"/>
        </w:rPr>
        <w:t>We cannot be certain that others have not filed patent applications for technology covered by our pending applications, or that we were the first to invent the technology, because:</w:t>
      </w:r>
    </w:p>
    <w:p>
      <w:pPr>
        <w:spacing w:after="0" w:line="170" w:lineRule="exact"/>
        <w:rPr>
          <w:sz w:val="20"/>
          <w:szCs w:val="20"/>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some patent applications in the U.S. may be maintained in secrecy until the patents are issued;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patent applications in the U.S. are typically not published until 18 months after the priority date;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225" w:lineRule="exact"/>
        <w:rPr>
          <w:sz w:val="20"/>
          <w:szCs w:val="20"/>
          <w:color w:val="auto"/>
        </w:rPr>
      </w:pPr>
    </w:p>
    <w:p>
      <w:pPr>
        <w:ind w:left="60" w:right="179" w:firstLine="324"/>
        <w:spacing w:after="0" w:line="289"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 priority to any applications filed prior to the priority dates of our applications, we may have to participate in an interference proceeding declared by the USPTO to determine priority of invention in the U.S.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66" w:lineRule="exact"/>
        <w:rPr>
          <w:sz w:val="20"/>
          <w:szCs w:val="20"/>
          <w:color w:val="auto"/>
        </w:rPr>
      </w:pPr>
    </w:p>
    <w:p>
      <w:pPr>
        <w:ind w:left="60" w:right="359" w:firstLine="324"/>
        <w:spacing w:after="0" w:line="259"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87"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70"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67"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alleged trade secrets.</w:t>
      </w:r>
    </w:p>
    <w:p>
      <w:pPr>
        <w:spacing w:after="0" w:line="170" w:lineRule="exact"/>
        <w:rPr>
          <w:sz w:val="20"/>
          <w:szCs w:val="20"/>
          <w:color w:val="auto"/>
        </w:rPr>
      </w:pPr>
    </w:p>
    <w:p>
      <w:pPr>
        <w:ind w:left="60" w:right="199" w:firstLine="324"/>
        <w:spacing w:after="0" w:line="291" w:lineRule="auto"/>
        <w:rPr>
          <w:sz w:val="20"/>
          <w:szCs w:val="20"/>
          <w:color w:val="auto"/>
        </w:rPr>
      </w:pPr>
      <w:r>
        <w:rPr>
          <w:rFonts w:ascii="Arial" w:cs="Arial" w:eastAsia="Arial" w:hAnsi="Arial"/>
          <w:sz w:val="16"/>
          <w:szCs w:val="16"/>
          <w:color w:val="auto"/>
        </w:rPr>
        <w:t>As is common in the biotechnology and pharmaceutical industries,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Litigation may be necessary to defend against these claims. If we fail in defending any such claims, in addition to paying monetary damages, we could lose valuable intellectual property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auto"/>
        </w:rPr>
        <w:t>rights or personnel, which could adversely impact our business. Even if we are successful in defending against these claims, litigation could result in substantial costs and be a distraction to management.</w:t>
      </w:r>
    </w:p>
    <w:p>
      <w:pPr>
        <w:spacing w:after="0" w:line="170"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70"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 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95" w:lineRule="exact"/>
        <w:rPr>
          <w:sz w:val="20"/>
          <w:szCs w:val="20"/>
          <w:color w:val="auto"/>
        </w:rPr>
      </w:pPr>
    </w:p>
    <w:p>
      <w:pPr>
        <w:ind w:left="60" w:right="159" w:firstLine="324"/>
        <w:spacing w:after="0" w:line="272" w:lineRule="auto"/>
        <w:rPr>
          <w:sz w:val="20"/>
          <w:szCs w:val="20"/>
          <w:color w:val="auto"/>
        </w:rPr>
      </w:pPr>
      <w:r>
        <w:rPr>
          <w:rFonts w:ascii="Arial" w:cs="Arial" w:eastAsia="Arial" w:hAnsi="Arial"/>
          <w:sz w:val="17"/>
          <w:szCs w:val="17"/>
          <w:color w:val="auto"/>
        </w:rPr>
        <w:t>Our drug re-innovation approach involves the filing of patent applications covering new methods of use and/or new formulations of previously known, studied and/or marketed drugs. Although the protection afforded by our patent and patent applications may be significant with respect to BXCL501 and BXCL701,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adversely affected.</w:t>
      </w:r>
    </w:p>
    <w:p>
      <w:pPr>
        <w:spacing w:after="0" w:line="177"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We may elect to sue a third-party, or otherwise make a claim, alleging infringement or other violation of patents, trademarks, trade dress, copyrights, trade secrets, domain names or other intellectual property rights that we either own or license from BioXcel LLC. If we do not prevail in enforcing our intellectual property rights in this type of litigation, we may be subject to:</w:t>
      </w:r>
    </w:p>
    <w:p>
      <w:pPr>
        <w:spacing w:after="0" w:line="187" w:lineRule="exact"/>
        <w:rPr>
          <w:sz w:val="20"/>
          <w:szCs w:val="20"/>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paying monetary damages related to the legal expenses of the third-party;</w:t>
      </w:r>
    </w:p>
    <w:p>
      <w:pPr>
        <w:spacing w:after="0" w:line="225" w:lineRule="exact"/>
        <w:rPr>
          <w:rFonts w:ascii="Arial" w:cs="Arial" w:eastAsia="Arial" w:hAnsi="Arial"/>
          <w:sz w:val="18"/>
          <w:szCs w:val="18"/>
          <w:color w:val="auto"/>
        </w:rPr>
      </w:pPr>
    </w:p>
    <w:p>
      <w:pPr>
        <w:ind w:left="720" w:right="419" w:hanging="319"/>
        <w:spacing w:after="0" w:line="308" w:lineRule="auto"/>
        <w:tabs>
          <w:tab w:leader="none" w:pos="7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facing additional competition that may have a significant adverse effect on our product pricing, market share, business operations, financial condition, and the commercial viability of our products; and</w:t>
      </w:r>
    </w:p>
    <w:p>
      <w:pPr>
        <w:spacing w:after="0" w:line="146" w:lineRule="exact"/>
        <w:rPr>
          <w:rFonts w:ascii="Arial" w:cs="Arial" w:eastAsia="Arial" w:hAnsi="Arial"/>
          <w:sz w:val="17"/>
          <w:szCs w:val="17"/>
          <w:color w:val="auto"/>
        </w:rPr>
      </w:pPr>
    </w:p>
    <w:p>
      <w:pPr>
        <w:jc w:val="both"/>
        <w:ind w:left="720" w:right="199" w:hanging="319"/>
        <w:spacing w:after="0" w:line="263"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84"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A third-party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88" w:lineRule="exact"/>
        <w:rPr>
          <w:sz w:val="20"/>
          <w:szCs w:val="20"/>
          <w:color w:val="auto"/>
        </w:rPr>
      </w:pPr>
    </w:p>
    <w:p>
      <w:pPr>
        <w:jc w:val="both"/>
        <w:ind w:left="60" w:right="299" w:firstLine="324"/>
        <w:spacing w:after="0" w:line="263" w:lineRule="auto"/>
        <w:rPr>
          <w:sz w:val="20"/>
          <w:szCs w:val="20"/>
          <w:color w:val="auto"/>
        </w:rPr>
      </w:pPr>
      <w:r>
        <w:rPr>
          <w:rFonts w:ascii="Arial" w:cs="Arial" w:eastAsia="Arial" w:hAnsi="Arial"/>
          <w:sz w:val="18"/>
          <w:szCs w:val="18"/>
          <w:color w:val="auto"/>
        </w:rPr>
        <w:t>Intellectual property rights and enforcement may be less extensive in jurisdictions outside of the U.S.; thus, we may not be able to protect our intellectual property and third parties may be able to market competitive products that may use some or all of our intellectual property.</w:t>
      </w:r>
    </w:p>
    <w:p>
      <w:pPr>
        <w:spacing w:after="0" w:line="184" w:lineRule="exact"/>
        <w:rPr>
          <w:sz w:val="20"/>
          <w:szCs w:val="20"/>
          <w:color w:val="auto"/>
        </w:rPr>
      </w:pPr>
    </w:p>
    <w:p>
      <w:pPr>
        <w:ind w:left="60" w:right="279" w:firstLine="324"/>
        <w:spacing w:after="0" w:line="275" w:lineRule="auto"/>
        <w:rPr>
          <w:sz w:val="20"/>
          <w:szCs w:val="20"/>
          <w:color w:val="auto"/>
        </w:rPr>
      </w:pPr>
      <w:r>
        <w:rPr>
          <w:rFonts w:ascii="Arial" w:cs="Arial" w:eastAsia="Arial" w:hAnsi="Arial"/>
          <w:sz w:val="17"/>
          <w:szCs w:val="17"/>
          <w:color w:val="auto"/>
        </w:rPr>
        <w:t>Changes to patent law, including the Leahy-Smith America Invents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LLC, can be defended or will protect us against future intellectual property challenges, particularly as they pertain to changes in patent law and future patent law interpretations.</w:t>
      </w:r>
    </w:p>
    <w:p>
      <w:pPr>
        <w:spacing w:after="0" w:line="176" w:lineRule="exact"/>
        <w:rPr>
          <w:sz w:val="20"/>
          <w:szCs w:val="20"/>
          <w:color w:val="auto"/>
        </w:rPr>
      </w:pPr>
    </w:p>
    <w:p>
      <w:pPr>
        <w:ind w:left="60" w:right="639" w:firstLine="324"/>
        <w:spacing w:after="0" w:line="342" w:lineRule="auto"/>
        <w:rPr>
          <w:sz w:val="20"/>
          <w:szCs w:val="20"/>
          <w:color w:val="auto"/>
        </w:rPr>
      </w:pPr>
      <w:r>
        <w:rPr>
          <w:rFonts w:ascii="Arial" w:cs="Arial" w:eastAsia="Arial" w:hAnsi="Arial"/>
          <w:sz w:val="16"/>
          <w:szCs w:val="16"/>
          <w:color w:val="auto"/>
        </w:rPr>
        <w:t>In addition, enforcing and maintaining our intellectual property protection depends on compliance with various procedural, document submission, fee payment and other requirements imposed by the USPTO, courts and foreign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government patent agencies, and our patent protection could be reduced or eliminated for non- compliance with these requirements.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common stock may fluctuate substantially.</w:t>
      </w:r>
    </w:p>
    <w:p>
      <w:pPr>
        <w:spacing w:after="0" w:line="22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79" w:lineRule="exact"/>
        <w:rPr>
          <w:sz w:val="20"/>
          <w:szCs w:val="20"/>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sale of our common stock by our stockholders, executives, and directors;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volatility and limitations in trading volumes of our shares of common stock;</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speculative trading in and short sales of our stock, as well as trading phenomena such as the “short squeeze”;</w:t>
      </w:r>
    </w:p>
    <w:p>
      <w:pPr>
        <w:spacing w:after="0" w:line="248" w:lineRule="exact"/>
        <w:rPr>
          <w:rFonts w:ascii="Arial" w:cs="Arial" w:eastAsia="Arial" w:hAnsi="Arial"/>
          <w:sz w:val="16"/>
          <w:szCs w:val="16"/>
          <w:color w:val="auto"/>
        </w:rPr>
      </w:pPr>
    </w:p>
    <w:p>
      <w:pPr>
        <w:ind w:left="720" w:right="319" w:hanging="319"/>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obtain financings to conduct and complete research and development activities including, but not limited to, our clinical trials, and other business activities;</w:t>
      </w:r>
    </w:p>
    <w:p>
      <w:pPr>
        <w:spacing w:after="0" w:line="170" w:lineRule="exact"/>
        <w:rPr>
          <w:rFonts w:ascii="Arial" w:cs="Arial" w:eastAsia="Arial" w:hAnsi="Arial"/>
          <w:sz w:val="18"/>
          <w:szCs w:val="18"/>
          <w:color w:val="auto"/>
        </w:rPr>
      </w:pPr>
    </w:p>
    <w:p>
      <w:pPr>
        <w:ind w:left="720" w:right="779" w:hanging="319"/>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possible delays in the expected recognition of revenue due to lengthy and sometimes unpredictable sales timelines;</w:t>
      </w:r>
    </w:p>
    <w:p>
      <w:pPr>
        <w:spacing w:after="0" w:line="170" w:lineRule="exact"/>
        <w:rPr>
          <w:rFonts w:ascii="Arial" w:cs="Arial" w:eastAsia="Arial" w:hAnsi="Arial"/>
          <w:sz w:val="18"/>
          <w:szCs w:val="18"/>
          <w:color w:val="auto"/>
        </w:rPr>
      </w:pPr>
    </w:p>
    <w:p>
      <w:pPr>
        <w:jc w:val="both"/>
        <w:ind w:left="720" w:right="379" w:hanging="319"/>
        <w:spacing w:after="0" w:line="263"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customer renewal rates and the timing and terms of customer renewals;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ability to secure resources and the necessary personnel to conduct clinical trials on our desired schedule;</w:t>
      </w:r>
    </w:p>
    <w:p>
      <w:pPr>
        <w:spacing w:after="0" w:line="248" w:lineRule="exact"/>
        <w:rPr>
          <w:rFonts w:ascii="Arial" w:cs="Arial" w:eastAsia="Arial" w:hAnsi="Arial"/>
          <w:sz w:val="16"/>
          <w:szCs w:val="16"/>
          <w:color w:val="auto"/>
        </w:rPr>
      </w:pPr>
    </w:p>
    <w:p>
      <w:pPr>
        <w:ind w:left="720" w:right="219" w:hanging="319"/>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commencement, enrollment or results of our clinical trials for our product candidates or any future clinical trials we may conduct;</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w:t>
      </w:r>
    </w:p>
    <w:p>
      <w:pPr>
        <w:spacing w:after="0" w:line="225" w:lineRule="exact"/>
        <w:rPr>
          <w:rFonts w:ascii="Arial" w:cs="Arial" w:eastAsia="Arial" w:hAnsi="Arial"/>
          <w:sz w:val="18"/>
          <w:szCs w:val="18"/>
          <w:color w:val="auto"/>
        </w:rPr>
      </w:pPr>
    </w:p>
    <w:p>
      <w:pPr>
        <w:ind w:left="720" w:right="239" w:hanging="319"/>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delays or adverse developments or perceived adverse developments with respect to the FDA’s review of our planned preclinical and clinical trials;</w:t>
      </w:r>
    </w:p>
    <w:p>
      <w:pPr>
        <w:spacing w:after="0" w:line="170" w:lineRule="exact"/>
        <w:rPr>
          <w:rFonts w:ascii="Arial" w:cs="Arial" w:eastAsia="Arial" w:hAnsi="Arial"/>
          <w:sz w:val="18"/>
          <w:szCs w:val="18"/>
          <w:color w:val="auto"/>
        </w:rPr>
      </w:pPr>
    </w:p>
    <w:p>
      <w:pPr>
        <w:ind w:left="720" w:right="179" w:hanging="319"/>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delay in our submission for studies or product approvals or adverse regulatory decisions, including failure to receive regulatory approval for our product candidates;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unanticipated safety concerns related to the use of our product candidates;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failures to meet external expectations or management guidance;</w:t>
      </w:r>
    </w:p>
    <w:p>
      <w:pPr>
        <w:spacing w:after="0" w:line="225" w:lineRule="exact"/>
        <w:rPr>
          <w:rFonts w:ascii="Arial" w:cs="Arial" w:eastAsia="Arial" w:hAnsi="Arial"/>
          <w:sz w:val="18"/>
          <w:szCs w:val="18"/>
          <w:color w:val="auto"/>
        </w:rPr>
      </w:pPr>
    </w:p>
    <w:p>
      <w:pPr>
        <w:ind w:left="720" w:right="779" w:hanging="319"/>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our capital structure or dividend policy, future issuances of securities, sales of large blocks of common stock by our stockholders;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and events surrounding financing efforts, including debt and equity securities;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inability to enter into new markets or develop new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reputational issues;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competition from existing technologies and products or new technologies and products that may emerge;</w:t>
      </w:r>
    </w:p>
    <w:p>
      <w:pPr>
        <w:spacing w:after="0" w:line="236" w:lineRule="exact"/>
        <w:rPr>
          <w:rFonts w:ascii="Arial" w:cs="Arial" w:eastAsia="Arial" w:hAnsi="Arial"/>
          <w:sz w:val="17"/>
          <w:szCs w:val="17"/>
          <w:color w:val="auto"/>
        </w:rPr>
      </w:pPr>
    </w:p>
    <w:p>
      <w:pPr>
        <w:ind w:left="720" w:right="219" w:hanging="319"/>
        <w:spacing w:after="0" w:line="277"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of acquisitions, partnerships, collaborations, joint ventures, new products, capital commitments, or other events by us or our competitors;</w:t>
      </w:r>
    </w:p>
    <w:p>
      <w:pPr>
        <w:spacing w:after="0" w:line="170" w:lineRule="exact"/>
        <w:rPr>
          <w:rFonts w:ascii="Arial" w:cs="Arial" w:eastAsia="Arial" w:hAnsi="Arial"/>
          <w:sz w:val="18"/>
          <w:szCs w:val="18"/>
          <w:color w:val="auto"/>
        </w:rPr>
      </w:pPr>
    </w:p>
    <w:p>
      <w:pPr>
        <w:ind w:left="720" w:right="339" w:hanging="319"/>
        <w:spacing w:after="0" w:line="277"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general economic, political and market conditions in or any of the regions in which we conduct our business;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industry conditions or perceptions;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valuations of similar companies or groups of companies;</w:t>
      </w:r>
    </w:p>
    <w:p>
      <w:pPr>
        <w:spacing w:after="0" w:line="225" w:lineRule="exact"/>
        <w:rPr>
          <w:rFonts w:ascii="Arial" w:cs="Arial" w:eastAsia="Arial" w:hAnsi="Arial"/>
          <w:sz w:val="18"/>
          <w:szCs w:val="18"/>
          <w:color w:val="auto"/>
        </w:rPr>
      </w:pPr>
    </w:p>
    <w:p>
      <w:pPr>
        <w:ind w:left="720" w:right="419" w:hanging="319"/>
        <w:spacing w:after="0" w:line="277"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analyst research reports, recommendation and changes in recommendations, price targets, and withdrawals of coverage;</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departures and additions of key personnel;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disputes and litigations related to intellectual properties, proprietary rights, and contractual obligations;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applicable laws, rules, regulations, or accounting practices and other dynamics;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events or factors, many of which may be out of our control.</w:t>
      </w:r>
    </w:p>
    <w:p>
      <w:pPr>
        <w:spacing w:after="0" w:line="225"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pacing w:after="0" w:line="157"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b w:val="1"/>
          <w:bCs w:val="1"/>
          <w:i w:val="1"/>
          <w:iCs w:val="1"/>
          <w:color w:val="auto"/>
        </w:rPr>
        <w:t>Because certain of our stockholders control a significant number of shares of our common stock, they may have significant influence over actions requiring stockholder approval.</w:t>
      </w:r>
    </w:p>
    <w:p>
      <w:pPr>
        <w:spacing w:after="0" w:line="170"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As of September 30, 2022, our directors, executive officers and BioXcel LLC, and their respective affiliates, beneficially owned approximately 37% of our outstanding shares of common stock. As a result, these stockholders, acting together, would have significant control over the outcome of matters submitted to our stockholders for approval, including the election of directors and any merger, consolidation or sale of all or substantially all of our assets. In addition, these stockholders, acting together, would have significant control over the management and affairs of our company. Accordingly, this concentration of ownership might harm the market price of our common stock by:</w:t>
      </w:r>
    </w:p>
    <w:p>
      <w:pPr>
        <w:spacing w:after="0" w:line="164" w:lineRule="exact"/>
        <w:rPr>
          <w:sz w:val="20"/>
          <w:szCs w:val="20"/>
          <w:color w:val="auto"/>
        </w:rPr>
      </w:pPr>
    </w:p>
    <w:p>
      <w:pPr>
        <w:ind w:left="720" w:hanging="319"/>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delaying, deferring or preventing a change in corporate control;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We do not intend to pay cash dividends on our shares of common stock so any returns will be limited to the value of our shares.</w:t>
      </w:r>
    </w:p>
    <w:p>
      <w:pPr>
        <w:spacing w:after="0" w:line="170" w:lineRule="exact"/>
        <w:rPr>
          <w:sz w:val="20"/>
          <w:szCs w:val="20"/>
          <w:color w:val="auto"/>
        </w:rPr>
      </w:pPr>
    </w:p>
    <w:p>
      <w:pPr>
        <w:ind w:left="60" w:right="679" w:firstLine="324"/>
        <w:spacing w:after="0" w:line="286" w:lineRule="auto"/>
        <w:rPr>
          <w:sz w:val="20"/>
          <w:szCs w:val="20"/>
          <w:color w:val="auto"/>
        </w:rPr>
      </w:pPr>
      <w:r>
        <w:rPr>
          <w:rFonts w:ascii="Arial" w:cs="Arial" w:eastAsia="Arial" w:hAnsi="Arial"/>
          <w:sz w:val="17"/>
          <w:szCs w:val="17"/>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165"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b w:val="1"/>
          <w:bCs w:val="1"/>
          <w:i w:val="1"/>
          <w:iCs w:val="1"/>
          <w:color w:val="auto"/>
        </w:rPr>
        <w:t>If we were deemed to be an investment company under the Investment Company Act of 1940, as amended (the “1940 Act”), applicable restrictions could make it impractical for us to continue our business as contemplated and could have a material adverse effect on our business, financial condition and results of operations.</w:t>
      </w:r>
    </w:p>
    <w:p>
      <w:pPr>
        <w:spacing w:after="0" w:line="149" w:lineRule="exact"/>
        <w:rPr>
          <w:sz w:val="20"/>
          <w:szCs w:val="20"/>
          <w:color w:val="auto"/>
        </w:rPr>
      </w:pPr>
    </w:p>
    <w:p>
      <w:pPr>
        <w:ind w:left="60" w:right="279" w:firstLine="324"/>
        <w:spacing w:after="0" w:line="272" w:lineRule="auto"/>
        <w:rPr>
          <w:sz w:val="20"/>
          <w:szCs w:val="20"/>
          <w:color w:val="auto"/>
        </w:rPr>
      </w:pPr>
      <w:r>
        <w:rPr>
          <w:rFonts w:ascii="Arial" w:cs="Arial" w:eastAsia="Arial" w:hAnsi="Arial"/>
          <w:sz w:val="17"/>
          <w:szCs w:val="17"/>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77" w:lineRule="exact"/>
        <w:rPr>
          <w:sz w:val="20"/>
          <w:szCs w:val="20"/>
          <w:color w:val="auto"/>
        </w:rPr>
      </w:pPr>
    </w:p>
    <w:p>
      <w:pPr>
        <w:ind w:left="60" w:right="379" w:firstLine="324"/>
        <w:spacing w:after="0" w:line="273" w:lineRule="auto"/>
        <w:rPr>
          <w:sz w:val="20"/>
          <w:szCs w:val="20"/>
          <w:color w:val="auto"/>
        </w:rPr>
      </w:pPr>
      <w:r>
        <w:rPr>
          <w:rFonts w:ascii="Arial" w:cs="Arial" w:eastAsia="Arial" w:hAnsi="Arial"/>
          <w:sz w:val="17"/>
          <w:szCs w:val="17"/>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178" w:lineRule="exact"/>
        <w:rPr>
          <w:sz w:val="20"/>
          <w:szCs w:val="20"/>
          <w:color w:val="auto"/>
        </w:rPr>
      </w:pPr>
    </w:p>
    <w:p>
      <w:pPr>
        <w:jc w:val="both"/>
        <w:ind w:left="60" w:right="279"/>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“smaller reporting company” and are able to avail ourselves of reduced disclosure requirements applicable to emerging growth companies and small reporting companies, which could make our common stock less attractive to investors.</w:t>
      </w:r>
    </w:p>
    <w:p>
      <w:pPr>
        <w:spacing w:after="0" w:line="184" w:lineRule="exact"/>
        <w:rPr>
          <w:sz w:val="20"/>
          <w:szCs w:val="20"/>
          <w:color w:val="auto"/>
        </w:rPr>
      </w:pPr>
    </w:p>
    <w:p>
      <w:pPr>
        <w:ind w:left="60" w:right="139" w:firstLine="324"/>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not electing to delay such adoption of new or revised accounting standards, and as a result, we will comply with new or revised accounting standards on the relevant dates on which adoption of such standards is required for non-emerging growth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revenues of $1.07 billion or more; (ii) the last day of our fiscal year following the fifth anniversary of the date of the completion of our IPO; (iii) the date on which we have issued more than $1 billion in nonconvertible debt during the previous three years; or (iv) the date on which we are deemed to be a large accelerated filer under the rules of the SEC.</w:t>
      </w:r>
    </w:p>
    <w:p>
      <w:pPr>
        <w:spacing w:after="0" w:line="182" w:lineRule="exact"/>
        <w:rPr>
          <w:sz w:val="20"/>
          <w:szCs w:val="20"/>
          <w:color w:val="auto"/>
        </w:rPr>
      </w:pPr>
    </w:p>
    <w:p>
      <w:pPr>
        <w:ind w:left="60" w:right="179" w:firstLine="324"/>
        <w:spacing w:after="0" w:line="311" w:lineRule="auto"/>
        <w:rPr>
          <w:sz w:val="20"/>
          <w:szCs w:val="20"/>
          <w:color w:val="auto"/>
        </w:rPr>
      </w:pPr>
      <w:r>
        <w:rPr>
          <w:rFonts w:ascii="Arial" w:cs="Arial" w:eastAsia="Arial" w:hAnsi="Arial"/>
          <w:sz w:val="16"/>
          <w:szCs w:val="16"/>
          <w:color w:val="auto"/>
        </w:rPr>
        <w:t>We are also a smaller reporting company, and we will remain a smaller reporting company until, as of fiscal year end, we determine that either (1) our annual revenues are at least $100 million and our voting and non-voting common stock held by non-affiliates is at least $250 million measured on the last business day of our most recent second fiscal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quarter or (2) our voting and non-voting common stock held by non-affiliates is at least $700 million measured on the last business day of our most recent second fiscal quarter. Similar to emerging growth companies, smaller reporting companies are able to provide simplified executive compensation disclosure, are exempt from the auditor attestation requirements of Section 404 of the Sarbanes-Oxley Act,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78" w:lineRule="exact"/>
        <w:rPr>
          <w:sz w:val="20"/>
          <w:szCs w:val="20"/>
          <w:color w:val="auto"/>
        </w:rPr>
      </w:pPr>
    </w:p>
    <w:p>
      <w:pPr>
        <w:ind w:left="60" w:right="359" w:firstLine="324"/>
        <w:spacing w:after="0" w:line="259" w:lineRule="auto"/>
        <w:rPr>
          <w:sz w:val="20"/>
          <w:szCs w:val="20"/>
          <w:color w:val="auto"/>
        </w:rPr>
      </w:pPr>
      <w:r>
        <w:rPr>
          <w:rFonts w:ascii="Arial" w:cs="Arial" w:eastAsia="Arial" w:hAnsi="Arial"/>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225"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We may be at risk of securities class action litigation. In the past, biotechnology and pharmaceutical companies have experienced significant stock price volatility, particularly when associated with binary events such as clinical trials and product approvals. If we face such litigation, it could result in substantial costs and a diversion of management’s attention and resources, which could harm our business and result in a decline in the market price of our common stock.</w:t>
      </w:r>
    </w:p>
    <w:p>
      <w:pPr>
        <w:spacing w:after="0" w:line="157" w:lineRule="exact"/>
        <w:rPr>
          <w:sz w:val="20"/>
          <w:szCs w:val="20"/>
          <w:color w:val="auto"/>
        </w:rPr>
      </w:pPr>
    </w:p>
    <w:p>
      <w:pPr>
        <w:ind w:left="60" w:right="939"/>
        <w:spacing w:after="0" w:line="342" w:lineRule="auto"/>
        <w:rPr>
          <w:sz w:val="20"/>
          <w:szCs w:val="20"/>
          <w:color w:val="auto"/>
        </w:rPr>
      </w:pPr>
      <w:r>
        <w:rPr>
          <w:rFonts w:ascii="Arial" w:cs="Arial" w:eastAsia="Arial" w:hAnsi="Arial"/>
          <w:sz w:val="16"/>
          <w:szCs w:val="16"/>
          <w:b w:val="1"/>
          <w:bCs w:val="1"/>
          <w:i w:val="1"/>
          <w:iCs w:val="1"/>
          <w:color w:val="auto"/>
        </w:rPr>
        <w:t>Our certificate of incorporation and our bylaws, and Delaware law may have anti-takeover effects that could discourage, delay or prevent a change in control, which may cause our stock price to decline.</w:t>
      </w:r>
    </w:p>
    <w:p>
      <w:pPr>
        <w:spacing w:after="0" w:line="124"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Our amended and restated certificate of incorporation and our amended and restated bylaws and Delaware law could make it more difficult for a third-party to acquire us, even if closing such a transaction would be beneficial to our stockholders. We are authorized to issue up to 10 million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third-party and thereby preserve control by the present management.</w:t>
      </w:r>
    </w:p>
    <w:p>
      <w:pPr>
        <w:spacing w:after="0" w:line="60" w:lineRule="exact"/>
        <w:rPr>
          <w:sz w:val="20"/>
          <w:szCs w:val="20"/>
          <w:color w:val="auto"/>
        </w:rPr>
      </w:pPr>
    </w:p>
    <w:p>
      <w:pPr>
        <w:ind w:left="60" w:right="439" w:firstLine="324"/>
        <w:spacing w:after="0" w:line="296" w:lineRule="auto"/>
        <w:rPr>
          <w:sz w:val="20"/>
          <w:szCs w:val="20"/>
          <w:color w:val="auto"/>
        </w:rPr>
      </w:pPr>
      <w:r>
        <w:rPr>
          <w:rFonts w:ascii="Arial" w:cs="Arial" w:eastAsia="Arial" w:hAnsi="Arial"/>
          <w:sz w:val="16"/>
          <w:szCs w:val="16"/>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53" w:lineRule="exact"/>
        <w:rPr>
          <w:sz w:val="20"/>
          <w:szCs w:val="20"/>
          <w:color w:val="auto"/>
        </w:rPr>
      </w:pP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the board of directors with the ability to alter the bylaws without stockholder approval;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place limitations on the removal of directors;</w:t>
      </w:r>
    </w:p>
    <w:p>
      <w:pPr>
        <w:spacing w:after="0" w:line="225" w:lineRule="exact"/>
        <w:rPr>
          <w:rFonts w:ascii="Arial" w:cs="Arial" w:eastAsia="Arial" w:hAnsi="Arial"/>
          <w:sz w:val="18"/>
          <w:szCs w:val="18"/>
          <w:color w:val="auto"/>
        </w:rPr>
      </w:pPr>
    </w:p>
    <w:p>
      <w:pPr>
        <w:ind w:left="720" w:right="279" w:hanging="319"/>
        <w:spacing w:after="0" w:line="277"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 and</w:t>
      </w:r>
    </w:p>
    <w:p>
      <w:pPr>
        <w:spacing w:after="0" w:line="170" w:lineRule="exact"/>
        <w:rPr>
          <w:rFonts w:ascii="Arial" w:cs="Arial" w:eastAsia="Arial" w:hAnsi="Arial"/>
          <w:sz w:val="18"/>
          <w:szCs w:val="18"/>
          <w:color w:val="auto"/>
        </w:rPr>
      </w:pPr>
    </w:p>
    <w:p>
      <w:pPr>
        <w:ind w:left="720" w:right="319" w:hanging="319"/>
        <w:spacing w:after="0" w:line="277"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that vacancies on the board of directors may be filled by a majority of directors in office, although less than a quorum.</w:t>
      </w:r>
    </w:p>
    <w:p>
      <w:pPr>
        <w:spacing w:after="0" w:line="170"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U.S. are expensive and time-consuming, and our management is required to devote substantial time to compliance matters.</w:t>
      </w:r>
    </w:p>
    <w:p>
      <w:pPr>
        <w:spacing w:after="0" w:line="170" w:lineRule="exact"/>
        <w:rPr>
          <w:sz w:val="20"/>
          <w:szCs w:val="20"/>
          <w:color w:val="auto"/>
        </w:rPr>
      </w:pPr>
    </w:p>
    <w:p>
      <w:pPr>
        <w:jc w:val="both"/>
        <w:ind w:left="60" w:right="399" w:firstLine="324"/>
        <w:spacing w:after="0" w:line="311" w:lineRule="auto"/>
        <w:rPr>
          <w:sz w:val="20"/>
          <w:szCs w:val="20"/>
          <w:color w:val="auto"/>
        </w:rPr>
      </w:pPr>
      <w:r>
        <w:rPr>
          <w:rFonts w:ascii="Arial" w:cs="Arial" w:eastAsia="Arial" w:hAnsi="Arial"/>
          <w:sz w:val="16"/>
          <w:szCs w:val="16"/>
          <w:color w:val="auto"/>
        </w:rPr>
        <w:t>As a publicly traded company we have incurred and will continue to incur significant legal, accounting and other expenses. The obligations of being a public company in the U.S. require significant expenditures and place significant demands on our management and other personnel, including costs resulting from public company reporting obligations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7" w:lineRule="auto"/>
        <w:rPr>
          <w:sz w:val="20"/>
          <w:szCs w:val="20"/>
          <w:color w:val="auto"/>
        </w:rPr>
      </w:pPr>
      <w:r>
        <w:rPr>
          <w:rFonts w:ascii="Arial" w:cs="Arial" w:eastAsia="Arial" w:hAnsi="Arial"/>
          <w:sz w:val="16"/>
          <w:szCs w:val="16"/>
          <w:color w:val="auto"/>
        </w:rPr>
        <w:t>under the Exchange Act and the rules and regulations regarding corporate governance practices, including those under the Sarbanes-Oxley Act, the Dodd-Frank Wall Street Reform and Consumer Protection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reforms made possible by the JOBS Act, the reporting requirements, rules, and regulations will make some activities more time-consuming and costly, particularly after we are no longer an “emerging growth company.” In addition, we expect these and similar rules and regulations to make it more difficult and more expensive for us to obtain director and officer liability insurance and we may be required to incur substantial costs to maintain such insurance. Our continued compliance with applicable requirements and to keep pace with new regulations requires management and other personnel to devote a substantial amount of their time, otherwise we may fall out of compliance and risk becoming subject to litigation or being delisted, among other potential problems.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02"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70"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38"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could result in additional dilution of the percentage ownership of our stockholders and could cause our share price to fall.</w:t>
      </w:r>
    </w:p>
    <w:p>
      <w:pPr>
        <w:spacing w:after="0" w:line="170"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including increased marketing, hiring new personnel, commercializing our products, and continuing activities as an operating public company.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51" w:lineRule="exact"/>
        <w:rPr>
          <w:sz w:val="20"/>
          <w:szCs w:val="20"/>
          <w:color w:val="auto"/>
        </w:rPr>
      </w:pPr>
    </w:p>
    <w:p>
      <w:pPr>
        <w:ind w:left="60" w:right="279"/>
        <w:spacing w:after="0" w:line="311" w:lineRule="auto"/>
        <w:rPr>
          <w:sz w:val="20"/>
          <w:szCs w:val="20"/>
          <w:color w:val="auto"/>
        </w:rPr>
      </w:pPr>
      <w:r>
        <w:rPr>
          <w:rFonts w:ascii="Arial" w:cs="Arial" w:eastAsia="Arial" w:hAnsi="Arial"/>
          <w:sz w:val="16"/>
          <w:szCs w:val="16"/>
          <w:b w:val="1"/>
          <w:bCs w:val="1"/>
          <w:i w:val="1"/>
          <w:iCs w:val="1"/>
          <w:color w:val="auto"/>
        </w:rPr>
        <w:t>If we fail to comply with the rules under the Sarbanes-Oxley Act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49" w:lineRule="exact"/>
        <w:rPr>
          <w:sz w:val="20"/>
          <w:szCs w:val="20"/>
          <w:color w:val="auto"/>
        </w:rPr>
      </w:pPr>
    </w:p>
    <w:p>
      <w:pPr>
        <w:ind w:left="60" w:right="159" w:firstLine="324"/>
        <w:spacing w:after="0" w:line="289" w:lineRule="auto"/>
        <w:rPr>
          <w:sz w:val="20"/>
          <w:szCs w:val="20"/>
          <w:color w:val="auto"/>
        </w:rPr>
      </w:pPr>
      <w:r>
        <w:rPr>
          <w:rFonts w:ascii="Arial" w:cs="Arial" w:eastAsia="Arial" w:hAnsi="Arial"/>
          <w:sz w:val="16"/>
          <w:szCs w:val="16"/>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We have discovered material weaknesses in the past. If future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064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308" w:lineRule="auto"/>
        <w:rPr>
          <w:sz w:val="20"/>
          <w:szCs w:val="20"/>
          <w:color w:val="auto"/>
        </w:rPr>
      </w:pPr>
      <w:r>
        <w:rPr>
          <w:rFonts w:ascii="Arial" w:cs="Arial" w:eastAsia="Arial" w:hAnsi="Arial"/>
          <w:sz w:val="17"/>
          <w:szCs w:val="17"/>
          <w:color w:val="auto"/>
        </w:rPr>
        <w:t>financial reports or prevent fraud, our business and operating results could be harmed, investors could lose confidence in our reported financial information, and the trading price of our common stock could drop significantly.</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225" w:lineRule="exact"/>
        <w:rPr>
          <w:sz w:val="20"/>
          <w:szCs w:val="20"/>
          <w:color w:val="auto"/>
        </w:rPr>
      </w:pPr>
    </w:p>
    <w:p>
      <w:pPr>
        <w:ind w:left="60" w:right="199" w:firstLine="324"/>
        <w:spacing w:after="0" w:line="291" w:lineRule="auto"/>
        <w:rPr>
          <w:sz w:val="20"/>
          <w:szCs w:val="20"/>
          <w:color w:val="auto"/>
        </w:rPr>
      </w:pPr>
      <w:r>
        <w:rPr>
          <w:rFonts w:ascii="Arial" w:cs="Arial" w:eastAsia="Arial" w:hAnsi="Arial"/>
          <w:sz w:val="16"/>
          <w:szCs w:val="16"/>
          <w:color w:val="auto"/>
        </w:rPr>
        <w:t>In 2017, the U.S. government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Future changes in corporate tax rates, the realization of net deferred tax assets relating to our operations, the taxation of any foreign earnings, and the deductibility of expenses under future reform legislation could have a material impact on the value of our deferred tax assets, could result in significant one-time charges, and could increase our future U.S. tax expense.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jc w:val="center"/>
              <w:ind w:left="737"/>
              <w:spacing w:after="0"/>
              <w:rPr>
                <w:sz w:val="20"/>
                <w:szCs w:val="20"/>
                <w:color w:val="auto"/>
              </w:rPr>
            </w:pPr>
            <w:r>
              <w:rPr>
                <w:rFonts w:ascii="Arial" w:cs="Arial" w:eastAsia="Arial" w:hAnsi="Arial"/>
                <w:sz w:val="14"/>
                <w:szCs w:val="14"/>
                <w:b w:val="1"/>
                <w:bCs w:val="1"/>
                <w:color w:val="auto"/>
                <w:w w:val="92"/>
              </w:rPr>
              <w:t>Filed/</w:t>
            </w:r>
          </w:p>
        </w:tc>
        <w:tc>
          <w:tcPr>
            <w:tcW w:w="0" w:type="dxa"/>
            <w:vAlign w:val="bottom"/>
          </w:tcPr>
          <w:p>
            <w:pPr>
              <w:spacing w:after="0"/>
              <w:rPr>
                <w:sz w:val="1"/>
                <w:szCs w:val="1"/>
                <w:color w:val="auto"/>
              </w:rPr>
            </w:pPr>
          </w:p>
        </w:tc>
      </w:tr>
      <w:tr>
        <w:trPr>
          <w:trHeight w:val="148"/>
        </w:trPr>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0" w:type="dxa"/>
            <w:vAlign w:val="bottom"/>
            <w:gridSpan w:val="9"/>
            <w:vMerge w:val="restart"/>
          </w:tcPr>
          <w:p>
            <w:pPr>
              <w:ind w:left="1200"/>
              <w:spacing w:after="0"/>
              <w:rPr>
                <w:sz w:val="20"/>
                <w:szCs w:val="20"/>
                <w:color w:val="auto"/>
              </w:rPr>
            </w:pPr>
            <w:r>
              <w:rPr>
                <w:rFonts w:ascii="Arial" w:cs="Arial" w:eastAsia="Arial" w:hAnsi="Arial"/>
                <w:sz w:val="14"/>
                <w:szCs w:val="14"/>
                <w:b w:val="1"/>
                <w:bCs w:val="1"/>
                <w:color w:val="auto"/>
              </w:rPr>
              <w:t>Description</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560" w:type="dxa"/>
            <w:vAlign w:val="bottom"/>
          </w:tcPr>
          <w:p>
            <w:pPr>
              <w:jc w:val="center"/>
              <w:ind w:left="737"/>
              <w:spacing w:after="0" w:line="149"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9"/>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Filing Date  Herewith</w:t>
            </w:r>
          </w:p>
        </w:tc>
        <w:tc>
          <w:tcPr>
            <w:tcW w:w="0" w:type="dxa"/>
            <w:vAlign w:val="bottom"/>
          </w:tcPr>
          <w:p>
            <w:pPr>
              <w:spacing w:after="0"/>
              <w:rPr>
                <w:sz w:val="1"/>
                <w:szCs w:val="1"/>
                <w:color w:val="auto"/>
              </w:rPr>
            </w:pPr>
          </w:p>
        </w:tc>
      </w:tr>
      <w:tr>
        <w:trPr>
          <w:trHeight w:val="291"/>
        </w:trPr>
        <w:tc>
          <w:tcPr>
            <w:tcW w:w="760" w:type="dxa"/>
            <w:vAlign w:val="bottom"/>
          </w:tcPr>
          <w:p>
            <w:pPr>
              <w:jc w:val="right"/>
              <w:ind w:right="135"/>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4480" w:type="dxa"/>
            <w:vAlign w:val="bottom"/>
            <w:gridSpan w:val="10"/>
          </w:tcPr>
          <w:p>
            <w:pPr>
              <w:spacing w:after="0"/>
              <w:rPr>
                <w:rFonts w:ascii="Arial" w:cs="Arial" w:eastAsia="Arial" w:hAnsi="Arial"/>
                <w:sz w:val="18"/>
                <w:szCs w:val="18"/>
                <w:color w:val="0000EE"/>
              </w:rPr>
            </w:pPr>
            <w:hyperlink r:id="rId116">
              <w:r>
                <w:rPr>
                  <w:rFonts w:ascii="Arial" w:cs="Arial" w:eastAsia="Arial" w:hAnsi="Arial"/>
                  <w:sz w:val="18"/>
                  <w:szCs w:val="18"/>
                  <w:color w:val="0000EE"/>
                </w:rPr>
                <w:t>Amended and Restated Certificate of Incorporation, as</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001-38410</w:t>
            </w:r>
          </w:p>
        </w:tc>
        <w:tc>
          <w:tcPr>
            <w:tcW w:w="5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560" w:type="dxa"/>
            <w:vAlign w:val="bottom"/>
          </w:tcPr>
          <w:p>
            <w:pPr>
              <w:jc w:val="right"/>
              <w:ind w:right="697"/>
              <w:spacing w:after="0"/>
              <w:rPr>
                <w:sz w:val="20"/>
                <w:szCs w:val="20"/>
                <w:color w:val="auto"/>
              </w:rPr>
            </w:pPr>
            <w:r>
              <w:rPr>
                <w:rFonts w:ascii="Arial" w:cs="Arial" w:eastAsia="Arial" w:hAnsi="Arial"/>
                <w:sz w:val="18"/>
                <w:szCs w:val="18"/>
                <w:color w:val="auto"/>
                <w:w w:val="94"/>
              </w:rPr>
              <w:t>8/10/2021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amended.</w:t>
              </w:r>
            </w:hyperlink>
          </w:p>
        </w:tc>
        <w:tc>
          <w:tcPr>
            <w:tcW w:w="56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jc w:val="right"/>
              <w:ind w:right="135"/>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4480" w:type="dxa"/>
            <w:vAlign w:val="bottom"/>
            <w:gridSpan w:val="10"/>
          </w:tcPr>
          <w:p>
            <w:pPr>
              <w:spacing w:after="0"/>
              <w:rPr>
                <w:rFonts w:ascii="Arial" w:cs="Arial" w:eastAsia="Arial" w:hAnsi="Arial"/>
                <w:sz w:val="18"/>
                <w:szCs w:val="18"/>
                <w:color w:val="0000EE"/>
              </w:rPr>
            </w:pPr>
            <w:hyperlink r:id="rId117">
              <w:r>
                <w:rPr>
                  <w:rFonts w:ascii="Arial" w:cs="Arial" w:eastAsia="Arial" w:hAnsi="Arial"/>
                  <w:sz w:val="18"/>
                  <w:szCs w:val="18"/>
                  <w:color w:val="0000EE"/>
                </w:rPr>
                <w:t>Amended and Restated Bylaws.</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001-38410</w:t>
            </w:r>
          </w:p>
        </w:tc>
        <w:tc>
          <w:tcPr>
            <w:tcW w:w="5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560" w:type="dxa"/>
            <w:vAlign w:val="bottom"/>
          </w:tcPr>
          <w:p>
            <w:pPr>
              <w:jc w:val="right"/>
              <w:ind w:right="697"/>
              <w:spacing w:after="0"/>
              <w:rPr>
                <w:sz w:val="20"/>
                <w:szCs w:val="20"/>
                <w:color w:val="auto"/>
              </w:rPr>
            </w:pPr>
            <w:r>
              <w:rPr>
                <w:rFonts w:ascii="Arial" w:cs="Arial" w:eastAsia="Arial" w:hAnsi="Arial"/>
                <w:sz w:val="18"/>
                <w:szCs w:val="18"/>
                <w:color w:val="auto"/>
                <w:w w:val="94"/>
              </w:rPr>
              <w:t>3/13/2018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jc w:val="right"/>
              <w:ind w:right="135"/>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4100" w:type="dxa"/>
            <w:vAlign w:val="bottom"/>
            <w:tcBorders>
              <w:bottom w:val="single" w:sz="8" w:color="0000EE"/>
            </w:tcBorders>
            <w:gridSpan w:val="7"/>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OnkosXcel Therapeutics LLC and OnkosXcel Employee</w:t>
              </w:r>
            </w:hyperlink>
          </w:p>
        </w:tc>
        <w:tc>
          <w:tcPr>
            <w:tcW w:w="38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001-38410</w:t>
            </w: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560" w:type="dxa"/>
            <w:vAlign w:val="bottom"/>
          </w:tcPr>
          <w:p>
            <w:pPr>
              <w:jc w:val="right"/>
              <w:ind w:right="697"/>
              <w:spacing w:after="0"/>
              <w:rPr>
                <w:sz w:val="20"/>
                <w:szCs w:val="20"/>
                <w:color w:val="auto"/>
              </w:rPr>
            </w:pPr>
            <w:r>
              <w:rPr>
                <w:rFonts w:ascii="Arial" w:cs="Arial" w:eastAsia="Arial" w:hAnsi="Arial"/>
                <w:sz w:val="18"/>
                <w:szCs w:val="18"/>
                <w:color w:val="auto"/>
                <w:w w:val="94"/>
              </w:rPr>
              <w:t>8/19/2022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80" w:type="dxa"/>
            <w:vAlign w:val="bottom"/>
            <w:gridSpan w:val="10"/>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Holdings LLC Management Incentive Plan.</w:t>
              </w:r>
            </w:hyperlink>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jc w:val="right"/>
              <w:ind w:right="135"/>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4480" w:type="dxa"/>
            <w:vAlign w:val="bottom"/>
            <w:gridSpan w:val="10"/>
          </w:tcPr>
          <w:p>
            <w:pPr>
              <w:spacing w:after="0"/>
              <w:rPr>
                <w:rFonts w:ascii="Arial" w:cs="Arial" w:eastAsia="Arial" w:hAnsi="Arial"/>
                <w:sz w:val="18"/>
                <w:szCs w:val="18"/>
                <w:color w:val="0000EE"/>
              </w:rPr>
            </w:pPr>
            <w:hyperlink r:id="rId118">
              <w:r>
                <w:rPr>
                  <w:rFonts w:ascii="Arial" w:cs="Arial" w:eastAsia="Arial" w:hAnsi="Arial"/>
                  <w:sz w:val="18"/>
                  <w:szCs w:val="18"/>
                  <w:color w:val="0000EE"/>
                </w:rPr>
                <w:t>Form of Profits Interest Award Agreement under the</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001-38410</w:t>
            </w: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560" w:type="dxa"/>
            <w:vAlign w:val="bottom"/>
          </w:tcPr>
          <w:p>
            <w:pPr>
              <w:jc w:val="right"/>
              <w:ind w:right="697"/>
              <w:spacing w:after="0"/>
              <w:rPr>
                <w:sz w:val="20"/>
                <w:szCs w:val="20"/>
                <w:color w:val="auto"/>
              </w:rPr>
            </w:pPr>
            <w:r>
              <w:rPr>
                <w:rFonts w:ascii="Arial" w:cs="Arial" w:eastAsia="Arial" w:hAnsi="Arial"/>
                <w:sz w:val="18"/>
                <w:szCs w:val="18"/>
                <w:color w:val="auto"/>
                <w:w w:val="94"/>
              </w:rPr>
              <w:t>8/19/2022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18">
              <w:r>
                <w:rPr>
                  <w:rFonts w:ascii="Arial" w:cs="Arial" w:eastAsia="Arial" w:hAnsi="Arial"/>
                  <w:sz w:val="18"/>
                  <w:szCs w:val="18"/>
                  <w:color w:val="0000EE"/>
                  <w:w w:val="89"/>
                </w:rPr>
                <w:t>Management Incentive Plan.</w:t>
              </w:r>
            </w:hyperlink>
          </w:p>
        </w:tc>
        <w:tc>
          <w:tcPr>
            <w:tcW w:w="1700" w:type="dxa"/>
            <w:vAlign w:val="bottom"/>
            <w:tcBorders>
              <w:top w:val="single" w:sz="8" w:color="0000EE"/>
            </w:tcBorders>
            <w:gridSpan w:val="3"/>
          </w:tcPr>
          <w:p>
            <w:pPr>
              <w:spacing w:after="0"/>
              <w:rPr>
                <w:sz w:val="17"/>
                <w:szCs w:val="17"/>
                <w:color w:val="auto"/>
              </w:rPr>
            </w:pPr>
          </w:p>
        </w:tc>
        <w:tc>
          <w:tcPr>
            <w:tcW w:w="72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jc w:val="right"/>
              <w:ind w:right="135"/>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4480" w:type="dxa"/>
            <w:vAlign w:val="bottom"/>
            <w:gridSpan w:val="10"/>
          </w:tcPr>
          <w:p>
            <w:pPr>
              <w:spacing w:after="0"/>
              <w:rPr>
                <w:sz w:val="20"/>
                <w:szCs w:val="20"/>
                <w:color w:val="auto"/>
              </w:rPr>
            </w:pPr>
            <w:r>
              <w:rPr>
                <w:rFonts w:ascii="Arial" w:cs="Arial" w:eastAsia="Arial" w:hAnsi="Arial"/>
                <w:sz w:val="18"/>
                <w:szCs w:val="18"/>
                <w:color w:val="0000EE"/>
                <w:w w:val="93"/>
              </w:rPr>
              <w:t>Certification of Principal Executive Officer Pursuant to Rules</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20" w:type="dxa"/>
            <w:vAlign w:val="bottom"/>
            <w:gridSpan w:val="8"/>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9"/>
              </w:rPr>
              <w:t>13a-14(a) and 15d-14(a) under the Securities Exchange Act of</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vMerge w:val="restart"/>
          </w:tcPr>
          <w:p>
            <w:pPr>
              <w:jc w:val="center"/>
              <w:ind w:left="737"/>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80" w:type="dxa"/>
            <w:vAlign w:val="bottom"/>
            <w:gridSpan w:val="10"/>
            <w:vMerge w:val="restart"/>
          </w:tcPr>
          <w:p>
            <w:pPr>
              <w:spacing w:after="0" w:line="196" w:lineRule="exact"/>
              <w:rPr>
                <w:sz w:val="20"/>
                <w:szCs w:val="20"/>
                <w:color w:val="auto"/>
              </w:rPr>
            </w:pPr>
            <w:r>
              <w:rPr>
                <w:rFonts w:ascii="Arial" w:cs="Arial" w:eastAsia="Arial" w:hAnsi="Arial"/>
                <w:sz w:val="18"/>
                <w:szCs w:val="18"/>
                <w:color w:val="0000EE"/>
                <w:w w:val="93"/>
              </w:rPr>
              <w:t>1934, as Adopted Pursuant to Section 302 of the Sarbanes-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80" w:type="dxa"/>
            <w:vAlign w:val="bottom"/>
            <w:gridSpan w:val="10"/>
            <w:vMerge w:val="continue"/>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0000EE"/>
        </w:rPr>
        <w:t>Oxley Act of 2002.</w:t>
      </w:r>
    </w:p>
    <w:p>
      <w:pPr>
        <w:sectPr>
          <w:pgSz w:w="11900" w:h="16838" w:orient="portrait"/>
          <w:cols w:equalWidth="0" w:num="1">
            <w:col w:w="9019"/>
          </w:cols>
          <w:pgMar w:left="1440" w:top="517" w:right="1440" w:bottom="1440" w:gutter="0" w:footer="0" w:header="0"/>
        </w:sectPr>
      </w:pPr>
    </w:p>
    <w:p>
      <w:pPr>
        <w:spacing w:after="0" w:line="131" w:lineRule="exact"/>
        <w:rPr>
          <w:sz w:val="20"/>
          <w:szCs w:val="20"/>
          <w:color w:val="auto"/>
        </w:rPr>
      </w:pPr>
    </w:p>
    <w:p>
      <w:pPr>
        <w:ind w:left="880" w:right="2340" w:hanging="609"/>
        <w:spacing w:after="0" w:line="259" w:lineRule="auto"/>
        <w:tabs>
          <w:tab w:leader="none" w:pos="8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EE"/>
        </w:rPr>
        <w:t>Certification of Principal Financial Officer Pursuant to Rules 13a-14(a) and 15d-14(a) under the Securities Exchange Act of 1934, as Adopted Pursuant to Section 302 of the Sarbanes-Oxley Act of 2002.</w:t>
      </w:r>
    </w:p>
    <w:p>
      <w:pPr>
        <w:spacing w:after="0" w:line="92" w:lineRule="exact"/>
        <w:rPr>
          <w:sz w:val="20"/>
          <w:szCs w:val="20"/>
          <w:color w:val="auto"/>
        </w:rPr>
      </w:pPr>
    </w:p>
    <w:p>
      <w:pPr>
        <w:ind w:left="880" w:right="2500" w:hanging="609"/>
        <w:spacing w:after="0" w:line="263" w:lineRule="auto"/>
        <w:tabs>
          <w:tab w:leader="none" w:pos="8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EE"/>
        </w:rPr>
        <w:t>Certification of Principal Executive Officer Pursuant to 18 U.S.C. Section 1350, as Adopted Pursuant to Section 906 of the Sarbanes-Oxley Act of 2002.</w:t>
      </w:r>
    </w:p>
    <w:p>
      <w:pPr>
        <w:spacing w:after="0" w:line="89" w:lineRule="exact"/>
        <w:rPr>
          <w:sz w:val="20"/>
          <w:szCs w:val="20"/>
          <w:color w:val="auto"/>
        </w:rPr>
      </w:pPr>
    </w:p>
    <w:p>
      <w:pPr>
        <w:ind w:left="880" w:right="2500" w:hanging="609"/>
        <w:spacing w:after="0" w:line="263" w:lineRule="auto"/>
        <w:tabs>
          <w:tab w:leader="none" w:pos="8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EE"/>
        </w:rPr>
        <w:t>Certification of Principal Financial Officer Pursuant to 18 U.S.C. Section 1350, as Adopted Pursuant to Section 906 of the Sarbanes-Oxley Act of 2002.</w:t>
      </w:r>
    </w:p>
    <w:p>
      <w:pPr>
        <w:spacing w:after="0" w:line="89"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6"/>
          <w:szCs w:val="16"/>
          <w:color w:val="auto"/>
        </w:rPr>
        <w:t>Inline XBRL Instance Document</w:t>
      </w:r>
    </w:p>
    <w:p>
      <w:pPr>
        <w:spacing w:after="0" w:line="23" w:lineRule="exact"/>
        <w:rPr>
          <w:sz w:val="20"/>
          <w:szCs w:val="20"/>
          <w:color w:val="auto"/>
        </w:rPr>
      </w:pPr>
    </w:p>
    <w:p>
      <w:pPr>
        <w:jc w:val="both"/>
        <w:ind w:left="880" w:right="2660" w:hanging="10"/>
        <w:spacing w:after="0" w:line="255" w:lineRule="auto"/>
        <w:tabs>
          <w:tab w:leader="none" w:pos="9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95"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101.SCH  Inline XBRL Taxonomy Extension Schema Document</w:t>
      </w:r>
    </w:p>
    <w:p>
      <w:pPr>
        <w:spacing w:after="0" w:line="131" w:lineRule="exact"/>
        <w:rPr>
          <w:sz w:val="20"/>
          <w:szCs w:val="20"/>
          <w:color w:val="auto"/>
        </w:rPr>
      </w:pPr>
    </w:p>
    <w:p>
      <w:pPr>
        <w:ind w:left="880" w:right="2720" w:hanging="789"/>
        <w:spacing w:after="0" w:line="277" w:lineRule="auto"/>
        <w:rPr>
          <w:sz w:val="20"/>
          <w:szCs w:val="20"/>
          <w:color w:val="auto"/>
        </w:rPr>
      </w:pPr>
      <w:r>
        <w:rPr>
          <w:rFonts w:ascii="Arial" w:cs="Arial" w:eastAsia="Arial" w:hAnsi="Arial"/>
          <w:sz w:val="18"/>
          <w:szCs w:val="18"/>
          <w:color w:val="auto"/>
        </w:rPr>
        <w:t>101.CAL Inline XBRL Taxonomy Extension Calculation Linkbase Document</w:t>
      </w:r>
    </w:p>
    <w:p>
      <w:pPr>
        <w:spacing w:after="0" w:line="76" w:lineRule="exact"/>
        <w:rPr>
          <w:sz w:val="20"/>
          <w:szCs w:val="20"/>
          <w:color w:val="auto"/>
        </w:rPr>
      </w:pPr>
    </w:p>
    <w:p>
      <w:pPr>
        <w:ind w:left="880" w:right="2820" w:hanging="779"/>
        <w:spacing w:after="0" w:line="277" w:lineRule="auto"/>
        <w:rPr>
          <w:sz w:val="20"/>
          <w:szCs w:val="20"/>
          <w:color w:val="auto"/>
        </w:rPr>
      </w:pPr>
      <w:r>
        <w:rPr>
          <w:rFonts w:ascii="Arial" w:cs="Arial" w:eastAsia="Arial" w:hAnsi="Arial"/>
          <w:sz w:val="18"/>
          <w:szCs w:val="18"/>
          <w:color w:val="auto"/>
        </w:rPr>
        <w:t>101.DEF Inline XBRL Taxonomy Extension Definition Linkbase Document</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7"/>
          <w:szCs w:val="17"/>
          <w:color w:val="auto"/>
        </w:rPr>
        <w:t>101.LAB Inline XBRL Taxonomy Extension Label Linkbase Document</w:t>
      </w:r>
    </w:p>
    <w:p>
      <w:pPr>
        <w:spacing w:after="0" w:line="142" w:lineRule="exact"/>
        <w:rPr>
          <w:sz w:val="20"/>
          <w:szCs w:val="20"/>
          <w:color w:val="auto"/>
        </w:rPr>
      </w:pPr>
    </w:p>
    <w:p>
      <w:pPr>
        <w:ind w:left="880" w:right="2660" w:hanging="774"/>
        <w:spacing w:after="0" w:line="277" w:lineRule="auto"/>
        <w:rPr>
          <w:sz w:val="20"/>
          <w:szCs w:val="20"/>
          <w:color w:val="auto"/>
        </w:rPr>
      </w:pPr>
      <w:r>
        <w:rPr>
          <w:rFonts w:ascii="Arial" w:cs="Arial" w:eastAsia="Arial" w:hAnsi="Arial"/>
          <w:sz w:val="18"/>
          <w:szCs w:val="18"/>
          <w:color w:val="auto"/>
        </w:rPr>
        <w:t>101.PRE Inline XBRL Taxonomy Extension Presentation Linkbase Document</w:t>
      </w:r>
    </w:p>
    <w:p>
      <w:pPr>
        <w:spacing w:after="0" w:line="76" w:lineRule="exact"/>
        <w:rPr>
          <w:sz w:val="20"/>
          <w:szCs w:val="20"/>
          <w:color w:val="auto"/>
        </w:rPr>
      </w:pPr>
    </w:p>
    <w:p>
      <w:pPr>
        <w:ind w:left="880" w:right="2480" w:hanging="597"/>
        <w:spacing w:after="0" w:line="277" w:lineRule="auto"/>
        <w:tabs>
          <w:tab w:leader="none" w:pos="8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10"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49" w:lineRule="exact"/>
        <w:rPr>
          <w:rFonts w:ascii="Arial" w:cs="Arial" w:eastAsia="Arial" w:hAnsi="Arial"/>
          <w:sz w:val="18"/>
          <w:szCs w:val="18"/>
          <w:color w:val="auto"/>
        </w:rPr>
      </w:pPr>
    </w:p>
    <w:p>
      <w:pPr>
        <w:ind w:left="380" w:hanging="330"/>
        <w:spacing w:after="0"/>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-379095</wp:posOffset>
            </wp:positionV>
            <wp:extent cx="1405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1040" w:lineRule="exact"/>
        <w:rPr>
          <w:sz w:val="20"/>
          <w:szCs w:val="20"/>
          <w:color w:val="auto"/>
        </w:rPr>
      </w:pPr>
    </w:p>
    <w:p>
      <w:pPr>
        <w:sectPr>
          <w:pgSz w:w="11900" w:h="16838" w:orient="portrait"/>
          <w:cols w:equalWidth="0" w:num="2">
            <w:col w:w="7700" w:space="720"/>
            <w:col w:w="599"/>
          </w:cols>
          <w:pgMar w:left="1440" w:top="517" w:right="1440"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064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BioXcel Therapeutics, Inc.</w:t>
            </w:r>
          </w:p>
        </w:tc>
      </w:tr>
      <w:tr>
        <w:trPr>
          <w:trHeight w:val="418"/>
        </w:trPr>
        <w:tc>
          <w:tcPr>
            <w:tcW w:w="4400" w:type="dxa"/>
            <w:vAlign w:val="bottom"/>
          </w:tcPr>
          <w:p>
            <w:pPr>
              <w:spacing w:after="0"/>
              <w:rPr>
                <w:sz w:val="20"/>
                <w:szCs w:val="20"/>
                <w:color w:val="auto"/>
              </w:rPr>
            </w:pPr>
            <w:r>
              <w:rPr>
                <w:rFonts w:ascii="Arial" w:cs="Arial" w:eastAsia="Arial" w:hAnsi="Arial"/>
                <w:sz w:val="18"/>
                <w:szCs w:val="18"/>
                <w:color w:val="auto"/>
              </w:rPr>
              <w:t>Dated: November 14, 2022</w:t>
            </w:r>
          </w:p>
        </w:tc>
        <w:tc>
          <w:tcPr>
            <w:tcW w:w="442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Vimal Mehta</w:t>
            </w:r>
          </w:p>
        </w:tc>
      </w:tr>
      <w:tr>
        <w:trPr>
          <w:trHeight w:val="195"/>
        </w:trPr>
        <w:tc>
          <w:tcPr>
            <w:tcW w:w="4400" w:type="dxa"/>
            <w:vAlign w:val="bottom"/>
          </w:tcPr>
          <w:p>
            <w:pPr>
              <w:spacing w:after="0"/>
              <w:rPr>
                <w:sz w:val="16"/>
                <w:szCs w:val="16"/>
                <w:color w:val="auto"/>
              </w:rPr>
            </w:pP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Vimal Mehta</w:t>
            </w:r>
          </w:p>
        </w:tc>
      </w:tr>
      <w:tr>
        <w:trPr>
          <w:trHeight w:val="216"/>
        </w:trPr>
        <w:tc>
          <w:tcPr>
            <w:tcW w:w="44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34"/>
        </w:trPr>
        <w:tc>
          <w:tcPr>
            <w:tcW w:w="4400" w:type="dxa"/>
            <w:vAlign w:val="bottom"/>
          </w:tcPr>
          <w:p>
            <w:pPr>
              <w:spacing w:after="0"/>
              <w:rPr>
                <w:sz w:val="20"/>
                <w:szCs w:val="20"/>
                <w:color w:val="auto"/>
              </w:rPr>
            </w:pPr>
            <w:r>
              <w:rPr>
                <w:rFonts w:ascii="Arial" w:cs="Arial" w:eastAsia="Arial" w:hAnsi="Arial"/>
                <w:sz w:val="18"/>
                <w:szCs w:val="18"/>
                <w:color w:val="auto"/>
              </w:rPr>
              <w:t>Dated: November 14, 2022</w:t>
            </w:r>
          </w:p>
        </w:tc>
        <w:tc>
          <w:tcPr>
            <w:tcW w:w="442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Steinhart</w:t>
            </w:r>
          </w:p>
        </w:tc>
      </w:tr>
      <w:tr>
        <w:trPr>
          <w:trHeight w:val="195"/>
        </w:trPr>
        <w:tc>
          <w:tcPr>
            <w:tcW w:w="4400" w:type="dxa"/>
            <w:vAlign w:val="bottom"/>
          </w:tcPr>
          <w:p>
            <w:pPr>
              <w:spacing w:after="0"/>
              <w:rPr>
                <w:sz w:val="16"/>
                <w:szCs w:val="16"/>
                <w:color w:val="auto"/>
              </w:rPr>
            </w:pP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Richard Steinhart</w:t>
            </w:r>
          </w:p>
        </w:tc>
      </w:tr>
      <w:tr>
        <w:trPr>
          <w:trHeight w:val="216"/>
        </w:trPr>
        <w:tc>
          <w:tcPr>
            <w:tcW w:w="44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p>
      <w:pPr>
        <w:jc w:val="right"/>
        <w:ind w:right="21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Vimal Mehta, Ph.D., certify that:</w:t>
      </w:r>
    </w:p>
    <w:p>
      <w:pPr>
        <w:spacing w:after="0" w:line="360" w:lineRule="exact"/>
        <w:rPr>
          <w:sz w:val="20"/>
          <w:szCs w:val="20"/>
          <w:color w:val="auto"/>
        </w:rPr>
      </w:pPr>
    </w:p>
    <w:p>
      <w:pPr>
        <w:ind w:left="540" w:right="819" w:hanging="331"/>
        <w:spacing w:after="0" w:line="277"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2022 of BioXcel Therapeutics, Inc.;</w:t>
      </w:r>
    </w:p>
    <w:p>
      <w:pPr>
        <w:spacing w:after="0" w:line="143" w:lineRule="exact"/>
        <w:rPr>
          <w:rFonts w:ascii="Arial" w:cs="Arial" w:eastAsia="Arial" w:hAnsi="Arial"/>
          <w:sz w:val="18"/>
          <w:szCs w:val="18"/>
          <w:color w:val="auto"/>
        </w:rPr>
      </w:pPr>
    </w:p>
    <w:p>
      <w:pPr>
        <w:ind w:left="540" w:right="459" w:hanging="331"/>
        <w:spacing w:after="0" w:line="263"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40" w:right="359" w:hanging="331"/>
        <w:spacing w:after="0" w:line="263"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ind w:left="540" w:right="379" w:hanging="331"/>
        <w:spacing w:after="0" w:line="311"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6"/>
          <w:szCs w:val="16"/>
          <w:color w:val="auto"/>
        </w:rPr>
      </w:pPr>
    </w:p>
    <w:p>
      <w:pPr>
        <w:ind w:left="1180" w:right="239" w:hanging="323"/>
        <w:spacing w:after="0" w:line="259" w:lineRule="auto"/>
        <w:tabs>
          <w:tab w:leader="none" w:pos="11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80" w:right="239" w:hanging="323"/>
        <w:spacing w:after="0" w:line="259" w:lineRule="auto"/>
        <w:tabs>
          <w:tab w:leader="none" w:pos="11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ind w:left="1180" w:right="339" w:hanging="323"/>
        <w:spacing w:after="0" w:line="263" w:lineRule="auto"/>
        <w:tabs>
          <w:tab w:leader="none" w:pos="11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1180" w:right="279" w:hanging="323"/>
        <w:spacing w:after="0" w:line="259" w:lineRule="auto"/>
        <w:tabs>
          <w:tab w:leader="none" w:pos="11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ind w:left="540" w:right="539" w:hanging="331"/>
        <w:spacing w:after="0" w:line="263"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1180" w:right="479" w:hanging="323"/>
        <w:spacing w:after="0" w:line="263" w:lineRule="auto"/>
        <w:tabs>
          <w:tab w:leader="none" w:pos="11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180" w:right="259" w:hanging="323"/>
        <w:spacing w:after="0" w:line="277" w:lineRule="auto"/>
        <w:tabs>
          <w:tab w:leader="none" w:pos="11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Date: November 14, 2022</w:t>
            </w:r>
          </w:p>
        </w:tc>
        <w:tc>
          <w:tcPr>
            <w:tcW w:w="5520" w:type="dxa"/>
            <w:vAlign w:val="bottom"/>
            <w:gridSpan w:val="2"/>
          </w:tcPr>
          <w:p>
            <w:pPr>
              <w:ind w:left="1220"/>
              <w:spacing w:after="0"/>
              <w:rPr>
                <w:sz w:val="20"/>
                <w:szCs w:val="20"/>
                <w:color w:val="auto"/>
              </w:rPr>
            </w:pPr>
            <w:r>
              <w:rPr>
                <w:rFonts w:ascii="Arial" w:cs="Arial" w:eastAsia="Arial" w:hAnsi="Arial"/>
                <w:sz w:val="18"/>
                <w:szCs w:val="18"/>
                <w:color w:val="auto"/>
              </w:rPr>
              <w:t>By:   /s/ Vimal Mehta</w:t>
            </w:r>
          </w:p>
        </w:tc>
      </w:tr>
      <w:tr>
        <w:trPr>
          <w:trHeight w:val="195"/>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Vimal Mehta, Ph.D.</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4" w:name="page105"/>
    <w:bookmarkEnd w:id="104"/>
    <w:p>
      <w:pPr>
        <w:jc w:val="right"/>
        <w:ind w:right="21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Richard Steinhart, certify that:</w:t>
      </w:r>
    </w:p>
    <w:p>
      <w:pPr>
        <w:spacing w:after="0" w:line="360" w:lineRule="exact"/>
        <w:rPr>
          <w:sz w:val="20"/>
          <w:szCs w:val="20"/>
          <w:color w:val="auto"/>
        </w:rPr>
      </w:pPr>
    </w:p>
    <w:p>
      <w:pPr>
        <w:ind w:left="540" w:right="819" w:hanging="331"/>
        <w:spacing w:after="0" w:line="277"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2022 of BioXcel Therapeutics, Inc.;</w:t>
      </w:r>
    </w:p>
    <w:p>
      <w:pPr>
        <w:spacing w:after="0" w:line="143" w:lineRule="exact"/>
        <w:rPr>
          <w:rFonts w:ascii="Arial" w:cs="Arial" w:eastAsia="Arial" w:hAnsi="Arial"/>
          <w:sz w:val="18"/>
          <w:szCs w:val="18"/>
          <w:color w:val="auto"/>
        </w:rPr>
      </w:pPr>
    </w:p>
    <w:p>
      <w:pPr>
        <w:ind w:left="540" w:right="459" w:hanging="331"/>
        <w:spacing w:after="0" w:line="263"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40" w:right="359" w:hanging="331"/>
        <w:spacing w:after="0" w:line="263"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ind w:left="540" w:right="379" w:hanging="331"/>
        <w:spacing w:after="0" w:line="311" w:lineRule="auto"/>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6"/>
          <w:szCs w:val="16"/>
          <w:color w:val="auto"/>
        </w:rPr>
      </w:pPr>
    </w:p>
    <w:p>
      <w:pPr>
        <w:ind w:left="1180" w:right="239" w:hanging="323"/>
        <w:spacing w:after="0" w:line="259" w:lineRule="auto"/>
        <w:tabs>
          <w:tab w:leader="none" w:pos="11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80" w:right="239" w:hanging="323"/>
        <w:spacing w:after="0" w:line="259" w:lineRule="auto"/>
        <w:tabs>
          <w:tab w:leader="none" w:pos="11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ind w:left="1180" w:right="339" w:hanging="323"/>
        <w:spacing w:after="0" w:line="263" w:lineRule="auto"/>
        <w:tabs>
          <w:tab w:leader="none" w:pos="11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1180" w:right="279" w:hanging="323"/>
        <w:spacing w:after="0" w:line="259" w:lineRule="auto"/>
        <w:tabs>
          <w:tab w:leader="none" w:pos="11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ind w:left="540" w:right="539" w:hanging="331"/>
        <w:spacing w:after="0" w:line="263"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1180" w:right="479" w:hanging="323"/>
        <w:spacing w:after="0" w:line="263" w:lineRule="auto"/>
        <w:tabs>
          <w:tab w:leader="none" w:pos="11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180" w:right="259" w:hanging="323"/>
        <w:spacing w:after="0" w:line="277" w:lineRule="auto"/>
        <w:tabs>
          <w:tab w:leader="none" w:pos="11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Date: November 14, 2022</w:t>
            </w:r>
          </w:p>
        </w:tc>
        <w:tc>
          <w:tcPr>
            <w:tcW w:w="5520" w:type="dxa"/>
            <w:vAlign w:val="bottom"/>
            <w:gridSpan w:val="2"/>
          </w:tcPr>
          <w:p>
            <w:pPr>
              <w:ind w:left="1220"/>
              <w:spacing w:after="0"/>
              <w:rPr>
                <w:sz w:val="20"/>
                <w:szCs w:val="20"/>
                <w:color w:val="auto"/>
              </w:rPr>
            </w:pPr>
            <w:r>
              <w:rPr>
                <w:rFonts w:ascii="Arial" w:cs="Arial" w:eastAsia="Arial" w:hAnsi="Arial"/>
                <w:sz w:val="18"/>
                <w:szCs w:val="18"/>
                <w:color w:val="auto"/>
              </w:rPr>
              <w:t>By: /s/ Richard Steinhart</w:t>
            </w:r>
          </w:p>
        </w:tc>
      </w:tr>
      <w:tr>
        <w:trPr>
          <w:trHeight w:val="195"/>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Steinhart</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992"/>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05" w:name="page106"/>
    <w:bookmarkEnd w:id="105"/>
    <w:p>
      <w:pPr>
        <w:jc w:val="right"/>
        <w:ind w:right="2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right="479" w:firstLine="648"/>
        <w:spacing w:after="0" w:line="279" w:lineRule="auto"/>
        <w:rPr>
          <w:sz w:val="20"/>
          <w:szCs w:val="20"/>
          <w:color w:val="auto"/>
        </w:rPr>
      </w:pPr>
      <w:r>
        <w:rPr>
          <w:rFonts w:ascii="Arial" w:cs="Arial" w:eastAsia="Arial" w:hAnsi="Arial"/>
          <w:sz w:val="17"/>
          <w:szCs w:val="17"/>
          <w:color w:val="auto"/>
        </w:rPr>
        <w:t>In connection with the Quarterly Report on Form 10-Q of BioXcel Therapeutics, Inc. (the “Company”) for the quarterly period ended September 30, 2022,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1180" w:right="759" w:hanging="323"/>
        <w:spacing w:after="0" w:line="277"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70" w:lineRule="exact"/>
        <w:rPr>
          <w:rFonts w:ascii="Arial" w:cs="Arial" w:eastAsia="Arial" w:hAnsi="Arial"/>
          <w:sz w:val="18"/>
          <w:szCs w:val="18"/>
          <w:color w:val="auto"/>
        </w:rPr>
      </w:pPr>
    </w:p>
    <w:p>
      <w:pPr>
        <w:ind w:left="1180" w:right="499" w:hanging="323"/>
        <w:spacing w:after="0" w:line="277"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Date: November 14, 2022</w:t>
            </w:r>
          </w:p>
        </w:tc>
        <w:tc>
          <w:tcPr>
            <w:tcW w:w="5600" w:type="dxa"/>
            <w:vAlign w:val="bottom"/>
            <w:gridSpan w:val="2"/>
          </w:tcPr>
          <w:p>
            <w:pPr>
              <w:ind w:left="1120"/>
              <w:spacing w:after="0"/>
              <w:rPr>
                <w:sz w:val="20"/>
                <w:szCs w:val="20"/>
                <w:color w:val="auto"/>
              </w:rPr>
            </w:pPr>
            <w:r>
              <w:rPr>
                <w:rFonts w:ascii="Arial" w:cs="Arial" w:eastAsia="Arial" w:hAnsi="Arial"/>
                <w:sz w:val="18"/>
                <w:szCs w:val="18"/>
                <w:color w:val="auto"/>
              </w:rPr>
              <w:t>By:  /s/ Vimal Mehta</w:t>
            </w:r>
          </w:p>
        </w:tc>
      </w:tr>
      <w:tr>
        <w:trPr>
          <w:trHeight w:val="195"/>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Vimal Mehta, Ph.D.</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6" w:name="page107"/>
    <w:bookmarkEnd w:id="106"/>
    <w:p>
      <w:pPr>
        <w:jc w:val="right"/>
        <w:ind w:right="2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right="479" w:firstLine="648"/>
        <w:spacing w:after="0" w:line="279" w:lineRule="auto"/>
        <w:rPr>
          <w:sz w:val="20"/>
          <w:szCs w:val="20"/>
          <w:color w:val="auto"/>
        </w:rPr>
      </w:pPr>
      <w:r>
        <w:rPr>
          <w:rFonts w:ascii="Arial" w:cs="Arial" w:eastAsia="Arial" w:hAnsi="Arial"/>
          <w:sz w:val="17"/>
          <w:szCs w:val="17"/>
          <w:color w:val="auto"/>
        </w:rPr>
        <w:t>In connection with the Quarterly Report on Form 10-Q of BioXcel Therapeutics, Inc. (the “Company”) for the quarterly period ended September 30, 2022,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1180" w:right="759" w:hanging="323"/>
        <w:spacing w:after="0" w:line="277" w:lineRule="auto"/>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70" w:lineRule="exact"/>
        <w:rPr>
          <w:rFonts w:ascii="Arial" w:cs="Arial" w:eastAsia="Arial" w:hAnsi="Arial"/>
          <w:sz w:val="18"/>
          <w:szCs w:val="18"/>
          <w:color w:val="auto"/>
        </w:rPr>
      </w:pPr>
    </w:p>
    <w:p>
      <w:pPr>
        <w:ind w:left="1180" w:right="499" w:hanging="323"/>
        <w:spacing w:after="0" w:line="277" w:lineRule="auto"/>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Date: November 14, 2022</w:t>
            </w:r>
          </w:p>
        </w:tc>
        <w:tc>
          <w:tcPr>
            <w:tcW w:w="5520" w:type="dxa"/>
            <w:vAlign w:val="bottom"/>
            <w:gridSpan w:val="2"/>
          </w:tcPr>
          <w:p>
            <w:pPr>
              <w:ind w:left="1220"/>
              <w:spacing w:after="0"/>
              <w:rPr>
                <w:sz w:val="20"/>
                <w:szCs w:val="20"/>
                <w:color w:val="auto"/>
              </w:rPr>
            </w:pPr>
            <w:r>
              <w:rPr>
                <w:rFonts w:ascii="Arial" w:cs="Arial" w:eastAsia="Arial" w:hAnsi="Arial"/>
                <w:sz w:val="18"/>
                <w:szCs w:val="18"/>
                <w:color w:val="auto"/>
              </w:rPr>
              <w:t>By: /s/ Richard Steinhart</w:t>
            </w:r>
          </w:p>
        </w:tc>
      </w:tr>
      <w:tr>
        <w:trPr>
          <w:trHeight w:val="195"/>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Steinhart</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63"/>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1)"/>
      <w:numFmt w:val="upperLetter"/>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lvl w:ilvl="1">
      <w:lvlJc w:val="left"/>
      <w:lvlText w:val="%2"/>
      <w:numFmt w:val="decimal"/>
      <w:start w:val="104"/>
    </w:lvl>
  </w:abstractNum>
  <w:abstractNum w:abstractNumId="55">
    <w:nsid w:val="235BA861"/>
    <w:multiLevelType w:val="hybridMultilevel"/>
    <w:lvl w:ilvl="0">
      <w:lvlJc w:val="left"/>
      <w:lvlText w:val="**"/>
      <w:numFmt w:val="bullet"/>
      <w:start w:val="1"/>
    </w:lvl>
    <w:lvl w:ilvl="1">
      <w:lvlJc w:val="left"/>
      <w:lvlText w:val="%2"/>
      <w:numFmt w:val="decimal"/>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16" Type="http://schemas.openxmlformats.org/officeDocument/2006/relationships/hyperlink" Target="https://www.sec.gov/Archives/edgar/data/1720893/000155837021011074/btai-20210630xex3d1.htm" TargetMode="External"/><Relationship Id="rId117" Type="http://schemas.openxmlformats.org/officeDocument/2006/relationships/hyperlink" Target="https://www.sec.gov/Archives/edgar/data/1720893/000110465918016770/a18-8090_1ex3d2.htm" TargetMode="External"/><Relationship Id="rId118" Type="http://schemas.openxmlformats.org/officeDocument/2006/relationships/hyperlink" Target="https://www.sec.gov/ix?doc=/Archives/edgar/data/1720893/000110465922092973/tm2223745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2022-11-14T07:33:06Z</dcterms:created>
  <dcterms:modified xsi:type="dcterms:W3CDTF">2022-11-14T07:33:06Z</dcterms:modified>
</cp:coreProperties>
</file>