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763270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 w:lineRule="exact"/>
        <w:rPr>
          <w:sz w:val="24"/>
          <w:szCs w:val="24"/>
          <w:color w:val="auto"/>
        </w:rPr>
      </w:pPr>
    </w:p>
    <w:p>
      <w:pPr>
        <w:ind w:left="380" w:hanging="216"/>
        <w:spacing w:after="0"/>
        <w:tabs>
          <w:tab w:leader="none" w:pos="3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or</w:t>
      </w:r>
    </w:p>
    <w:p>
      <w:pPr>
        <w:ind w:left="380" w:hanging="216"/>
        <w:spacing w:after="0"/>
        <w:tabs>
          <w:tab w:leader="none" w:pos="3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spacing w:after="0" w:line="1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3"/>
          <w:szCs w:val="13"/>
          <w:b w:val="1"/>
          <w:bCs w:val="1"/>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w:t>
      </w:r>
    </w:p>
    <w:p>
      <w:pPr>
        <w:spacing w:after="0" w:line="63" w:lineRule="exact"/>
        <w:rPr>
          <w:sz w:val="24"/>
          <w:szCs w:val="24"/>
          <w:color w:val="auto"/>
        </w:rPr>
      </w:pPr>
    </w:p>
    <w:p>
      <w:pPr>
        <w:sectPr>
          <w:pgSz w:w="11900" w:h="16838" w:orient="portrait"/>
          <w:cols w:equalWidth="0" w:num="3">
            <w:col w:w="4820" w:space="440"/>
            <w:col w:w="120" w:space="400"/>
            <w:col w:w="3239"/>
          </w:cols>
          <w:pgMar w:left="1440" w:top="66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001-38410</w:t>
      </w:r>
    </w:p>
    <w:p>
      <w:pPr>
        <w:sectPr>
          <w:pgSz w:w="11900" w:h="16838" w:orient="portrait"/>
          <w:cols w:equalWidth="0" w:num="1">
            <w:col w:w="9019"/>
          </w:cols>
          <w:pgMar w:left="1440" w:top="661" w:right="1440" w:bottom="1440" w:gutter="0" w:footer="0" w:header="0"/>
          <w:type w:val="continuous"/>
        </w:sectPr>
      </w:pP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BioXcel Therapeutics, Inc.</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79" w:lineRule="exact"/>
        <w:rPr>
          <w:sz w:val="24"/>
          <w:szCs w:val="24"/>
          <w:color w:val="auto"/>
        </w:rPr>
      </w:pPr>
    </w:p>
    <w:tbl>
      <w:tblPr>
        <w:tblLayout w:type="fixed"/>
        <w:tblInd w:w="92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2100" w:type="dxa"/>
            <w:vAlign w:val="bottom"/>
            <w:gridSpan w:val="2"/>
          </w:tcPr>
          <w:p>
            <w:pPr>
              <w:jc w:val="center"/>
              <w:ind w:right="71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320" w:type="dxa"/>
            <w:vAlign w:val="bottom"/>
          </w:tcPr>
          <w:p>
            <w:pPr>
              <w:spacing w:after="0"/>
              <w:rPr>
                <w:sz w:val="12"/>
                <w:szCs w:val="12"/>
                <w:color w:val="auto"/>
              </w:rPr>
            </w:pPr>
          </w:p>
        </w:tc>
        <w:tc>
          <w:tcPr>
            <w:tcW w:w="1960" w:type="dxa"/>
            <w:vAlign w:val="bottom"/>
          </w:tcPr>
          <w:p>
            <w:pPr>
              <w:jc w:val="right"/>
              <w:ind w:right="897"/>
              <w:spacing w:after="0"/>
              <w:rPr>
                <w:sz w:val="20"/>
                <w:szCs w:val="20"/>
                <w:color w:val="auto"/>
              </w:rPr>
            </w:pPr>
            <w:r>
              <w:rPr>
                <w:rFonts w:ascii="Times New Roman" w:cs="Times New Roman" w:eastAsia="Times New Roman" w:hAnsi="Times New Roman"/>
                <w:sz w:val="13"/>
                <w:szCs w:val="13"/>
                <w:b w:val="1"/>
                <w:bCs w:val="1"/>
                <w:color w:val="auto"/>
              </w:rPr>
              <w:t>82-1386754</w:t>
            </w:r>
          </w:p>
        </w:tc>
        <w:tc>
          <w:tcPr>
            <w:tcW w:w="0" w:type="dxa"/>
            <w:vAlign w:val="bottom"/>
          </w:tcPr>
          <w:p>
            <w:pPr>
              <w:spacing w:after="0"/>
              <w:rPr>
                <w:sz w:val="1"/>
                <w:szCs w:val="1"/>
                <w:color w:val="auto"/>
              </w:rPr>
            </w:pPr>
          </w:p>
        </w:tc>
      </w:tr>
      <w:tr>
        <w:trPr>
          <w:trHeight w:val="135"/>
        </w:trPr>
        <w:tc>
          <w:tcPr>
            <w:tcW w:w="280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320" w:type="dxa"/>
            <w:vAlign w:val="bottom"/>
          </w:tcPr>
          <w:p>
            <w:pPr>
              <w:spacing w:after="0"/>
              <w:rPr>
                <w:sz w:val="11"/>
                <w:szCs w:val="11"/>
                <w:color w:val="auto"/>
              </w:rPr>
            </w:pPr>
          </w:p>
        </w:tc>
        <w:tc>
          <w:tcPr>
            <w:tcW w:w="1960" w:type="dxa"/>
            <w:vAlign w:val="bottom"/>
          </w:tcPr>
          <w:p>
            <w:pPr>
              <w:jc w:val="center"/>
              <w:ind w:right="5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33"/>
        </w:trPr>
        <w:tc>
          <w:tcPr>
            <w:tcW w:w="280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3"/>
                <w:szCs w:val="13"/>
                <w:color w:val="auto"/>
                <w:w w:val="95"/>
              </w:rPr>
              <w:t>incorporation or organization)</w:t>
            </w:r>
          </w:p>
        </w:tc>
        <w:tc>
          <w:tcPr>
            <w:tcW w:w="2320" w:type="dxa"/>
            <w:vAlign w:val="bottom"/>
          </w:tcPr>
          <w:p>
            <w:pPr>
              <w:spacing w:after="0"/>
              <w:rPr>
                <w:sz w:val="11"/>
                <w:szCs w:val="11"/>
                <w:color w:val="auto"/>
              </w:rPr>
            </w:pPr>
          </w:p>
        </w:tc>
        <w:tc>
          <w:tcPr>
            <w:tcW w:w="1960" w:type="dxa"/>
            <w:vAlign w:val="bottom"/>
          </w:tcPr>
          <w:p>
            <w:pPr>
              <w:jc w:val="center"/>
              <w:ind w:right="5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100" w:type="dxa"/>
            <w:vAlign w:val="bottom"/>
            <w:gridSpan w:val="2"/>
          </w:tcPr>
          <w:p>
            <w:pPr>
              <w:jc w:val="center"/>
              <w:ind w:right="6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555 Long Wharf Drive</w:t>
            </w:r>
          </w:p>
        </w:tc>
        <w:tc>
          <w:tcPr>
            <w:tcW w:w="2320" w:type="dxa"/>
            <w:vAlign w:val="bottom"/>
          </w:tcPr>
          <w:p>
            <w:pPr>
              <w:spacing w:after="0"/>
              <w:rPr>
                <w:sz w:val="11"/>
                <w:szCs w:val="11"/>
                <w:color w:val="auto"/>
              </w:rPr>
            </w:pPr>
          </w:p>
        </w:tc>
        <w:tc>
          <w:tcPr>
            <w:tcW w:w="1960" w:type="dxa"/>
            <w:vAlign w:val="bottom"/>
          </w:tcPr>
          <w:p>
            <w:pPr>
              <w:jc w:val="right"/>
              <w:ind w:right="1057"/>
              <w:spacing w:after="0" w:line="135" w:lineRule="exact"/>
              <w:rPr>
                <w:sz w:val="20"/>
                <w:szCs w:val="20"/>
                <w:color w:val="auto"/>
              </w:rPr>
            </w:pPr>
            <w:r>
              <w:rPr>
                <w:rFonts w:ascii="Times New Roman" w:cs="Times New Roman" w:eastAsia="Times New Roman" w:hAnsi="Times New Roman"/>
                <w:sz w:val="13"/>
                <w:szCs w:val="13"/>
                <w:b w:val="1"/>
                <w:bCs w:val="1"/>
                <w:color w:val="auto"/>
              </w:rPr>
              <w:t>06511</w:t>
            </w:r>
          </w:p>
        </w:tc>
        <w:tc>
          <w:tcPr>
            <w:tcW w:w="0" w:type="dxa"/>
            <w:vAlign w:val="bottom"/>
          </w:tcPr>
          <w:p>
            <w:pPr>
              <w:spacing w:after="0"/>
              <w:rPr>
                <w:sz w:val="1"/>
                <w:szCs w:val="1"/>
                <w:color w:val="auto"/>
              </w:rPr>
            </w:pPr>
          </w:p>
        </w:tc>
      </w:tr>
      <w:tr>
        <w:trPr>
          <w:trHeight w:val="137"/>
        </w:trPr>
        <w:tc>
          <w:tcPr>
            <w:tcW w:w="700" w:type="dxa"/>
            <w:vAlign w:val="bottom"/>
          </w:tcPr>
          <w:p>
            <w:pPr>
              <w:spacing w:after="0"/>
              <w:rPr>
                <w:sz w:val="11"/>
                <w:szCs w:val="11"/>
                <w:color w:val="auto"/>
              </w:rPr>
            </w:pPr>
          </w:p>
        </w:tc>
        <w:tc>
          <w:tcPr>
            <w:tcW w:w="2100" w:type="dxa"/>
            <w:vAlign w:val="bottom"/>
            <w:gridSpan w:val="2"/>
          </w:tcPr>
          <w:p>
            <w:pPr>
              <w:jc w:val="center"/>
              <w:ind w:right="697"/>
              <w:spacing w:after="0" w:line="137" w:lineRule="exact"/>
              <w:rPr>
                <w:sz w:val="20"/>
                <w:szCs w:val="20"/>
                <w:color w:val="auto"/>
              </w:rPr>
            </w:pPr>
            <w:r>
              <w:rPr>
                <w:rFonts w:ascii="Times New Roman" w:cs="Times New Roman" w:eastAsia="Times New Roman" w:hAnsi="Times New Roman"/>
                <w:sz w:val="13"/>
                <w:szCs w:val="13"/>
                <w:b w:val="1"/>
                <w:bCs w:val="1"/>
                <w:color w:val="auto"/>
                <w:w w:val="96"/>
              </w:rPr>
              <w:t>New Haven CT</w:t>
            </w:r>
          </w:p>
        </w:tc>
        <w:tc>
          <w:tcPr>
            <w:tcW w:w="2320" w:type="dxa"/>
            <w:vAlign w:val="bottom"/>
          </w:tcPr>
          <w:p>
            <w:pPr>
              <w:spacing w:after="0"/>
              <w:rPr>
                <w:sz w:val="11"/>
                <w:szCs w:val="11"/>
                <w:color w:val="auto"/>
              </w:rPr>
            </w:pPr>
          </w:p>
        </w:tc>
        <w:tc>
          <w:tcPr>
            <w:tcW w:w="1960" w:type="dxa"/>
            <w:vAlign w:val="bottom"/>
          </w:tcPr>
          <w:p>
            <w:pPr>
              <w:jc w:val="center"/>
              <w:ind w:right="517"/>
              <w:spacing w:after="0" w:line="137" w:lineRule="exact"/>
              <w:rPr>
                <w:sz w:val="20"/>
                <w:szCs w:val="20"/>
                <w:color w:val="auto"/>
              </w:rPr>
            </w:pPr>
            <w:r>
              <w:rPr>
                <w:rFonts w:ascii="Times New Roman" w:cs="Times New Roman" w:eastAsia="Times New Roman" w:hAnsi="Times New Roman"/>
                <w:sz w:val="13"/>
                <w:szCs w:val="13"/>
                <w:color w:val="auto"/>
                <w:w w:val="93"/>
              </w:rPr>
              <w:t>(Zip Code)</w:t>
            </w:r>
          </w:p>
        </w:tc>
        <w:tc>
          <w:tcPr>
            <w:tcW w:w="0" w:type="dxa"/>
            <w:vAlign w:val="bottom"/>
          </w:tcPr>
          <w:p>
            <w:pPr>
              <w:spacing w:after="0"/>
              <w:rPr>
                <w:sz w:val="1"/>
                <w:szCs w:val="1"/>
                <w:color w:val="auto"/>
              </w:rPr>
            </w:pPr>
          </w:p>
        </w:tc>
      </w:tr>
      <w:tr>
        <w:trPr>
          <w:trHeight w:val="164"/>
        </w:trPr>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80" w:type="dxa"/>
            <w:vAlign w:val="bottom"/>
            <w:gridSpan w:val="3"/>
          </w:tcPr>
          <w:p>
            <w:pPr>
              <w:jc w:val="center"/>
              <w:ind w:right="1457"/>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(475) 238-6837</w:t>
            </w: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520" w:type="dxa"/>
            <w:vAlign w:val="bottom"/>
            <w:gridSpan w:val="2"/>
          </w:tcPr>
          <w:p>
            <w:pPr>
              <w:jc w:val="center"/>
              <w:ind w:left="397"/>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2100" w:type="dxa"/>
            <w:vAlign w:val="bottom"/>
            <w:gridSpan w:val="2"/>
          </w:tcPr>
          <w:p>
            <w:pPr>
              <w:jc w:val="center"/>
              <w:ind w:right="113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2320" w:type="dxa"/>
            <w:vAlign w:val="bottom"/>
          </w:tcPr>
          <w:p>
            <w:pPr>
              <w:jc w:val="center"/>
              <w:ind w:right="537"/>
              <w:spacing w:after="0"/>
              <w:rPr>
                <w:sz w:val="20"/>
                <w:szCs w:val="20"/>
                <w:color w:val="auto"/>
              </w:rPr>
            </w:pPr>
            <w:r>
              <w:rPr>
                <w:rFonts w:ascii="Times New Roman" w:cs="Times New Roman" w:eastAsia="Times New Roman" w:hAnsi="Times New Roman"/>
                <w:sz w:val="13"/>
                <w:szCs w:val="13"/>
                <w:color w:val="auto"/>
                <w:w w:val="97"/>
              </w:rPr>
              <w:t>Trading Symbol(s)</w:t>
            </w:r>
          </w:p>
        </w:tc>
        <w:tc>
          <w:tcPr>
            <w:tcW w:w="1960" w:type="dxa"/>
            <w:vAlign w:val="bottom"/>
          </w:tcPr>
          <w:p>
            <w:pPr>
              <w:spacing w:after="0"/>
              <w:rPr>
                <w:sz w:val="20"/>
                <w:szCs w:val="20"/>
                <w:color w:val="auto"/>
              </w:rPr>
            </w:pPr>
            <w:r>
              <w:rPr>
                <w:rFonts w:ascii="Times New Roman" w:cs="Times New Roman" w:eastAsia="Times New Roman" w:hAnsi="Times New Roman"/>
                <w:sz w:val="13"/>
                <w:szCs w:val="13"/>
                <w:color w:val="auto"/>
                <w:w w:val="95"/>
              </w:rPr>
              <w:t>Name of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vMerge w:val="restart"/>
          </w:tcPr>
          <w:p>
            <w:pPr>
              <w:jc w:val="center"/>
              <w:ind w:right="517"/>
              <w:spacing w:after="0"/>
              <w:rPr>
                <w:sz w:val="20"/>
                <w:szCs w:val="20"/>
                <w:color w:val="auto"/>
              </w:rPr>
            </w:pPr>
            <w:r>
              <w:rPr>
                <w:rFonts w:ascii="Times New Roman" w:cs="Times New Roman" w:eastAsia="Times New Roman" w:hAnsi="Times New Roman"/>
                <w:sz w:val="13"/>
                <w:szCs w:val="13"/>
                <w:b w:val="1"/>
                <w:bCs w:val="1"/>
                <w:color w:val="auto"/>
                <w:w w:val="94"/>
              </w:rPr>
              <w:t>BTAI</w:t>
            </w: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00" w:type="dxa"/>
            <w:vAlign w:val="bottom"/>
            <w:gridSpan w:val="3"/>
          </w:tcPr>
          <w:p>
            <w:pPr>
              <w:jc w:val="center"/>
              <w:ind w:right="417"/>
              <w:spacing w:after="0"/>
              <w:rPr>
                <w:sz w:val="20"/>
                <w:szCs w:val="20"/>
                <w:color w:val="auto"/>
              </w:rPr>
            </w:pPr>
            <w:r>
              <w:rPr>
                <w:rFonts w:ascii="Times New Roman" w:cs="Times New Roman" w:eastAsia="Times New Roman" w:hAnsi="Times New Roman"/>
                <w:sz w:val="13"/>
                <w:szCs w:val="13"/>
                <w:b w:val="1"/>
                <w:bCs w:val="1"/>
                <w:color w:val="auto"/>
                <w:w w:val="97"/>
              </w:rPr>
              <w:t>Common Stock, par value $0.001 per share</w:t>
            </w:r>
          </w:p>
        </w:tc>
        <w:tc>
          <w:tcPr>
            <w:tcW w:w="2320" w:type="dxa"/>
            <w:vAlign w:val="bottom"/>
            <w:vMerge w:val="continue"/>
          </w:tcPr>
          <w:p>
            <w:pPr>
              <w:spacing w:after="0"/>
              <w:rPr>
                <w:sz w:val="13"/>
                <w:szCs w:val="13"/>
                <w:color w:val="auto"/>
              </w:rPr>
            </w:pPr>
          </w:p>
        </w:tc>
        <w:tc>
          <w:tcPr>
            <w:tcW w:w="196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Nasdaq Capital Market</w:t>
            </w:r>
          </w:p>
        </w:tc>
        <w:tc>
          <w:tcPr>
            <w:tcW w:w="0" w:type="dxa"/>
            <w:vAlign w:val="bottom"/>
          </w:tcPr>
          <w:p>
            <w:pPr>
              <w:spacing w:after="0"/>
              <w:rPr>
                <w:sz w:val="1"/>
                <w:szCs w:val="1"/>
                <w:color w:val="auto"/>
              </w:rPr>
            </w:pPr>
          </w:p>
        </w:tc>
      </w:tr>
    </w:tbl>
    <w:p>
      <w:pPr>
        <w:spacing w:after="0" w:line="7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67" w:lineRule="exact"/>
        <w:rPr>
          <w:sz w:val="24"/>
          <w:szCs w:val="24"/>
          <w:color w:val="auto"/>
        </w:rPr>
      </w:pPr>
    </w:p>
    <w:p>
      <w:pPr>
        <w:ind w:left="3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left="3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5" w:lineRule="exact"/>
        <w:rPr>
          <w:sz w:val="24"/>
          <w:szCs w:val="24"/>
          <w:color w:val="auto"/>
        </w:rPr>
      </w:pPr>
    </w:p>
    <w:p>
      <w:pPr>
        <w:ind w:left="60" w:right="279" w:firstLine="324"/>
        <w:spacing w:after="0" w:line="254"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1" w:lineRule="exact"/>
        <w:rPr>
          <w:sz w:val="24"/>
          <w:szCs w:val="24"/>
          <w:color w:val="auto"/>
        </w:rPr>
      </w:pPr>
    </w:p>
    <w:p>
      <w:pPr>
        <w:ind w:left="60" w:right="239" w:firstLine="324"/>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46" w:lineRule="exact"/>
        <w:rPr>
          <w:sz w:val="24"/>
          <w:szCs w:val="24"/>
          <w:color w:val="auto"/>
        </w:rPr>
      </w:pPr>
    </w:p>
    <w:p>
      <w:pPr>
        <w:jc w:val="both"/>
        <w:ind w:left="60" w:right="79" w:firstLine="324"/>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14" w:lineRule="exact"/>
        <w:rPr>
          <w:sz w:val="24"/>
          <w:szCs w:val="24"/>
          <w:color w:val="auto"/>
        </w:rPr>
      </w:pPr>
    </w:p>
    <w:p>
      <w:pPr>
        <w:ind w:left="56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both"/>
        <w:ind w:right="59" w:hanging="1"/>
        <w:spacing w:after="0" w:line="175"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Emerging growth company </w:t>
      </w:r>
      <w:r>
        <w:rPr>
          <w:rFonts w:ascii="MS PGothic" w:cs="MS PGothic" w:eastAsia="MS PGothic" w:hAnsi="MS PGothic"/>
          <w:sz w:val="12"/>
          <w:szCs w:val="12"/>
          <w:color w:val="auto"/>
        </w:rPr>
        <w:t>☐</w:t>
      </w:r>
    </w:p>
    <w:p>
      <w:pPr>
        <w:spacing w:after="0" w:line="46" w:lineRule="exact"/>
        <w:rPr>
          <w:sz w:val="24"/>
          <w:szCs w:val="24"/>
          <w:color w:val="auto"/>
        </w:rPr>
      </w:pPr>
    </w:p>
    <w:p>
      <w:pPr>
        <w:sectPr>
          <w:pgSz w:w="11900" w:h="16838" w:orient="portrait"/>
          <w:cols w:equalWidth="0" w:num="4">
            <w:col w:w="2280" w:space="720"/>
            <w:col w:w="1220" w:space="720"/>
            <w:col w:w="1780" w:space="720"/>
            <w:col w:w="1579"/>
          </w:cols>
          <w:pgMar w:left="1440" w:top="661" w:right="1440" w:bottom="1440" w:gutter="0" w:footer="0" w:header="0"/>
          <w:type w:val="continuous"/>
        </w:sectPr>
      </w:pPr>
    </w:p>
    <w:p>
      <w:pPr>
        <w:ind w:left="60" w:right="359" w:firstLine="324"/>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5" w:lineRule="exact"/>
        <w:rPr>
          <w:sz w:val="24"/>
          <w:szCs w:val="24"/>
          <w:color w:val="auto"/>
        </w:rPr>
      </w:pPr>
    </w:p>
    <w:p>
      <w:pPr>
        <w:ind w:left="60" w:right="79" w:firstLine="324"/>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32" w:lineRule="exact"/>
        <w:rPr>
          <w:sz w:val="24"/>
          <w:szCs w:val="24"/>
          <w:color w:val="auto"/>
        </w:rPr>
      </w:pPr>
    </w:p>
    <w:p>
      <w:pPr>
        <w:ind w:left="60" w:right="159" w:firstLine="324"/>
        <w:spacing w:after="0"/>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66" w:lineRule="exact"/>
        <w:rPr>
          <w:sz w:val="24"/>
          <w:szCs w:val="24"/>
          <w:color w:val="auto"/>
        </w:rPr>
      </w:pPr>
    </w:p>
    <w:p>
      <w:pPr>
        <w:ind w:left="60" w:right="159" w:firstLine="324"/>
        <w:spacing w:after="0"/>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37" w:lineRule="exact"/>
        <w:rPr>
          <w:sz w:val="24"/>
          <w:szCs w:val="24"/>
          <w:color w:val="auto"/>
        </w:rPr>
      </w:pPr>
    </w:p>
    <w:p>
      <w:pPr>
        <w:ind w:left="38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09" w:lineRule="exact"/>
        <w:rPr>
          <w:sz w:val="24"/>
          <w:szCs w:val="24"/>
          <w:color w:val="auto"/>
        </w:rPr>
      </w:pPr>
    </w:p>
    <w:p>
      <w:pPr>
        <w:ind w:left="60" w:right="199" w:firstLine="324"/>
        <w:spacing w:after="0" w:line="228" w:lineRule="auto"/>
        <w:rPr>
          <w:sz w:val="20"/>
          <w:szCs w:val="20"/>
          <w:color w:val="auto"/>
        </w:rPr>
      </w:pPr>
      <w:r>
        <w:rPr>
          <w:rFonts w:ascii="Times New Roman" w:cs="Times New Roman" w:eastAsia="Times New Roman" w:hAnsi="Times New Roman"/>
          <w:sz w:val="13"/>
          <w:szCs w:val="13"/>
          <w:color w:val="auto"/>
        </w:rPr>
        <w:t>As of June 30, 2024, the last business day of the registrant's most recently completed second fiscal quarter, the aggregate market value of the registrant’s common stock held by non-affiliates of the registrant was approximately $41,276,960 (based upon the closing sale price of the registrant’s common stock reported on the Nasdaq Capital Market on that date). This calculation excludes shares held by the registrant’s current directors and executive officers and stockholders that the registrant has concluded are affiliates of the registrant.</w:t>
      </w:r>
    </w:p>
    <w:p>
      <w:pPr>
        <w:spacing w:after="0" w:line="10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color w:val="auto"/>
        </w:rPr>
        <w:t>There were 5,486,038 shares of our common stock outstanding at March 26, 2025.</w:t>
      </w:r>
    </w:p>
    <w:p>
      <w:pPr>
        <w:spacing w:after="0" w:line="80"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628015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130810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173990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40" w:type="dxa"/>
            <w:vAlign w:val="bottom"/>
            <w:gridSpan w:val="12"/>
          </w:tcPr>
          <w:p>
            <w:pPr>
              <w:ind w:left="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Forward Looking Statements</w:t>
            </w:r>
          </w:p>
        </w:tc>
        <w:tc>
          <w:tcPr>
            <w:tcW w:w="5240" w:type="dxa"/>
            <w:vAlign w:val="bottom"/>
            <w:gridSpan w:val="12"/>
            <w:vMerge w:val="restart"/>
          </w:tcPr>
          <w:p>
            <w:pPr>
              <w:spacing w:after="0"/>
              <w:rPr>
                <w:sz w:val="24"/>
                <w:szCs w:val="24"/>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00" w:type="dxa"/>
            <w:vAlign w:val="bottom"/>
            <w:tcBorders>
              <w:bottom w:val="single" w:sz="8" w:color="0000EE"/>
            </w:tcBorders>
            <w:gridSpan w:val="13"/>
            <w:vMerge w:val="continue"/>
          </w:tcPr>
          <w:p>
            <w:pPr>
              <w:spacing w:after="0"/>
              <w:rPr>
                <w:sz w:val="13"/>
                <w:szCs w:val="13"/>
                <w:color w:val="auto"/>
              </w:rPr>
            </w:pPr>
          </w:p>
        </w:tc>
        <w:tc>
          <w:tcPr>
            <w:tcW w:w="5240" w:type="dxa"/>
            <w:vAlign w:val="bottom"/>
            <w:gridSpan w:val="12"/>
            <w:vMerge w:val="continue"/>
          </w:tcPr>
          <w:p>
            <w:pPr>
              <w:spacing w:after="0"/>
              <w:rPr>
                <w:sz w:val="13"/>
                <w:szCs w:val="13"/>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180" w:type="dxa"/>
            <w:vAlign w:val="bottom"/>
            <w:gridSpan w:val="4"/>
            <w:vMerge w:val="restart"/>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0" w:type="dxa"/>
            <w:vAlign w:val="bottom"/>
            <w:tcBorders>
              <w:bottom w:val="single" w:sz="8" w:color="0000EE"/>
            </w:tcBorders>
            <w:vMerge w:val="continue"/>
          </w:tcPr>
          <w:p>
            <w:pPr>
              <w:spacing w:after="0"/>
              <w:rPr>
                <w:sz w:val="17"/>
                <w:szCs w:val="17"/>
                <w:color w:val="auto"/>
              </w:rPr>
            </w:pPr>
          </w:p>
        </w:tc>
        <w:tc>
          <w:tcPr>
            <w:tcW w:w="18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1C</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Cybersecurity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340" w:type="dxa"/>
            <w:vAlign w:val="bottom"/>
            <w:gridSpan w:val="19"/>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1"/>
              </w:rPr>
              <w:t>Part II.</w:t>
            </w:r>
          </w:p>
        </w:tc>
        <w:tc>
          <w:tcPr>
            <w:tcW w:w="1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2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6620" w:type="dxa"/>
            <w:vAlign w:val="bottom"/>
            <w:gridSpan w:val="2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40" w:type="dxa"/>
            <w:vAlign w:val="bottom"/>
          </w:tcPr>
          <w:p>
            <w:pPr>
              <w:spacing w:after="0"/>
              <w:rPr>
                <w:sz w:val="17"/>
                <w:szCs w:val="17"/>
                <w:color w:val="auto"/>
              </w:rPr>
            </w:pPr>
          </w:p>
        </w:tc>
        <w:tc>
          <w:tcPr>
            <w:tcW w:w="436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298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9B</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Other Information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Part III.</w:t>
            </w: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10.</w:t>
            </w:r>
          </w:p>
        </w:tc>
        <w:tc>
          <w:tcPr>
            <w:tcW w:w="40" w:type="dxa"/>
            <w:vAlign w:val="bottom"/>
          </w:tcPr>
          <w:p>
            <w:pPr>
              <w:spacing w:after="0"/>
              <w:rPr>
                <w:sz w:val="17"/>
                <w:szCs w:val="17"/>
                <w:color w:val="auto"/>
              </w:rPr>
            </w:pPr>
          </w:p>
        </w:tc>
        <w:tc>
          <w:tcPr>
            <w:tcW w:w="41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240" w:type="dxa"/>
            <w:vAlign w:val="bottom"/>
            <w:gridSpan w:val="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11.</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40" w:type="dxa"/>
            <w:vAlign w:val="bottom"/>
          </w:tcPr>
          <w:p>
            <w:pPr>
              <w:spacing w:after="0"/>
              <w:rPr>
                <w:sz w:val="17"/>
                <w:szCs w:val="17"/>
                <w:color w:val="auto"/>
              </w:rPr>
            </w:pPr>
          </w:p>
        </w:tc>
        <w:tc>
          <w:tcPr>
            <w:tcW w:w="72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40" w:type="dxa"/>
            <w:vAlign w:val="bottom"/>
          </w:tcPr>
          <w:p>
            <w:pPr>
              <w:spacing w:after="0"/>
              <w:rPr>
                <w:sz w:val="17"/>
                <w:szCs w:val="17"/>
                <w:color w:val="auto"/>
              </w:rPr>
            </w:pPr>
          </w:p>
        </w:tc>
        <w:tc>
          <w:tcPr>
            <w:tcW w:w="54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900" w:type="dxa"/>
            <w:vAlign w:val="bottom"/>
            <w:gridSpan w:val="5"/>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Part IV.</w:t>
            </w: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41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40" w:type="dxa"/>
            <w:vAlign w:val="bottom"/>
          </w:tcPr>
          <w:p>
            <w:pPr>
              <w:spacing w:after="0"/>
              <w:rPr>
                <w:sz w:val="17"/>
                <w:szCs w:val="17"/>
                <w:color w:val="auto"/>
              </w:rPr>
            </w:pPr>
          </w:p>
        </w:tc>
        <w:tc>
          <w:tcPr>
            <w:tcW w:w="31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4180" w:type="dxa"/>
            <w:vAlign w:val="bottom"/>
            <w:gridSpan w:val="10"/>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16.</w:t>
            </w:r>
          </w:p>
        </w:tc>
        <w:tc>
          <w:tcPr>
            <w:tcW w:w="40" w:type="dxa"/>
            <w:vAlign w:val="bottom"/>
          </w:tcPr>
          <w:p>
            <w:pPr>
              <w:spacing w:after="0"/>
              <w:rPr>
                <w:sz w:val="17"/>
                <w:szCs w:val="17"/>
                <w:color w:val="auto"/>
              </w:rPr>
            </w:pPr>
          </w:p>
        </w:tc>
        <w:tc>
          <w:tcPr>
            <w:tcW w:w="73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580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026"/>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 words “anticipate,” “believe,” “can,” “continue,” “could,” “designed,” “estimate,” “expect,” “forecast,” “goal,” “intend,” “may,” “might,” “plan,” “possible,” “potential,” “predict,” “project,” “should,” “target,” “will,” “would” and similar expressions are intended to identify forward-looking statements, though not all forward-looking statements use these words or expressions. All statements contained in this Annual Report on Form 10-K, other than statements of historical fact, are forward-looking statements, including, without limitation, statements regarding:</w:t>
      </w:r>
    </w:p>
    <w:p>
      <w:pPr>
        <w:spacing w:after="0" w:line="72"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continue as a going concern;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listed on the Nasdaq Capital market;</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covenants under our financing arrangements;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SERENITY and TRANQUILITY programs;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total addressable markets and related underlying estimates;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clinical trials and marketing applications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current and future product candidates;</w:t>
      </w:r>
    </w:p>
    <w:p>
      <w:pPr>
        <w:ind w:left="720" w:right="59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seek to enter into collaborations for the development and commercialization of certain product candidates;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any future collaboration;</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results of discussions we have with regulators;</w:t>
      </w:r>
    </w:p>
    <w:p>
      <w:pPr>
        <w:ind w:left="720" w:right="159" w:hanging="319"/>
        <w:spacing w:after="0" w:line="185"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clinical utility, number of prescribers and formulary wins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product candidates for which we receive marketing approval;</w:t>
      </w:r>
    </w:p>
    <w:p>
      <w:pPr>
        <w:spacing w:after="0" w:line="1" w:lineRule="exact"/>
        <w:rPr>
          <w:rFonts w:ascii="Times New Roman" w:cs="Times New Roman" w:eastAsia="Times New Roman" w:hAnsi="Times New Roman"/>
          <w:sz w:val="18"/>
          <w:szCs w:val="18"/>
          <w:color w:val="auto"/>
        </w:rPr>
      </w:pPr>
    </w:p>
    <w:p>
      <w:pPr>
        <w:ind w:left="720" w:right="35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 including the potential benefits from any advertising campaigns;</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and any potential benefits from, events, conferences, presentations and conventions;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ind w:left="720" w:right="1039" w:hanging="319"/>
        <w:spacing w:after="0" w:line="22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investments in, or other strategic options for, our subsidiary, OnkosXcel Therapeutics, LLC (“OnkosXcel”);</w:t>
      </w:r>
    </w:p>
    <w:p>
      <w:pPr>
        <w:spacing w:after="0" w:line="1" w:lineRule="exact"/>
        <w:rPr>
          <w:rFonts w:ascii="Times New Roman" w:cs="Times New Roman" w:eastAsia="Times New Roman" w:hAnsi="Times New Roman"/>
          <w:sz w:val="18"/>
          <w:szCs w:val="18"/>
          <w:color w:val="auto"/>
        </w:rPr>
      </w:pP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ind w:left="720" w:hanging="319"/>
        <w:spacing w:after="0" w:line="234"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legal proceedings and investigations; and</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BioXcel LLC.</w:t>
      </w:r>
    </w:p>
    <w:p>
      <w:pPr>
        <w:spacing w:after="0" w:line="97"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those listed under Part I, Item 1A. “Risk Factors,” Part II, Item 7. “Management’s Discussion and Analysis of Financial Condition and Results of Operations” and elsewhere in this Annual Report on Form 10-K. These and other important factors discussed under the caption “Risk Factors” in our other filings with the Securities and Exchange Commission (“SEC”) could cause actual results to differ materially from those indicated by the forward-looking statements made in this filing. Given these uncertainties, you should not rely on these forward-looking statements as predictions of future events. While we may elect to update such forward-looking statements at some point in the future, we disclaim any obligation to do so, even if subsequent events cause our views to change.</w:t>
      </w:r>
    </w:p>
    <w:p>
      <w:pPr>
        <w:spacing w:after="0" w:line="151"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49"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specified or the context otherwise requires, the terms “we,” “our,” “us,” the “Company” or “BTI” refer to BioXcel Therapeutics, Inc., and “BioXcel, LLC” refers to the Company’s former parent company and stockholder, BioXcel LLC, and its predecessor, BioXcel Corporation. All brand names or trademarks appearing in this Annual Report on Form 10-K are the property of their respective owners, including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a trademark of BioXcel Therapeutics, Inc.</w:t>
      </w:r>
    </w:p>
    <w:p>
      <w:pPr>
        <w:spacing w:after="0" w:line="3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Investors &amp; Media section of its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xml:space="preserve">. In addition, you may automatically receive email alerts and other information about the Company when you enroll your email address by visiting the “Email Alerts” option under the News / Events menu of the Investors &amp; Media section of our website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49"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substantial product revenues to date, which may make it difficult to evaluate the success of our business to date and to assess our future viability.</w:t>
      </w:r>
    </w:p>
    <w:p>
      <w:pPr>
        <w:spacing w:after="0" w:line="121" w:lineRule="exact"/>
        <w:rPr>
          <w:rFonts w:ascii="Times New Roman" w:cs="Times New Roman" w:eastAsia="Times New Roman" w:hAnsi="Times New Roman"/>
          <w:sz w:val="18"/>
          <w:szCs w:val="18"/>
          <w:color w:val="auto"/>
        </w:rPr>
      </w:pPr>
    </w:p>
    <w:p>
      <w:pPr>
        <w:ind w:left="720" w:right="679" w:hanging="319"/>
        <w:spacing w:after="0" w:line="312"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operating losses since inception and anticipate that we will continue to incur substantial operating losses for the foreseeable future and may never achieve or maintain profitability.</w:t>
      </w:r>
    </w:p>
    <w:p>
      <w:pPr>
        <w:spacing w:after="0" w:line="99" w:lineRule="exact"/>
        <w:rPr>
          <w:rFonts w:ascii="Times New Roman" w:cs="Times New Roman" w:eastAsia="Times New Roman" w:hAnsi="Times New Roman"/>
          <w:sz w:val="17"/>
          <w:szCs w:val="17"/>
          <w:color w:val="auto"/>
        </w:rPr>
      </w:pPr>
    </w:p>
    <w:p>
      <w:pPr>
        <w:ind w:left="720" w:right="13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and if we are unable to raise capital when needed, we could be forced to delay, reduce or eliminate our product development programs or commercialization efforts or otherwise seek strategic alternatives.</w:t>
      </w:r>
    </w:p>
    <w:p>
      <w:pPr>
        <w:spacing w:after="0" w:line="14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common stock from trading on its exchange, which could limit investors' ability to make transactions in our securities and subject us to additional trading restrictions.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our financing facilities.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reprioritization and other workforce reductions in force may not achieve our intended outcome.</w:t>
      </w:r>
    </w:p>
    <w:p>
      <w:pPr>
        <w:spacing w:after="0" w:line="198"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drug discovery and drug development.</w:t>
      </w:r>
    </w:p>
    <w:p>
      <w:pPr>
        <w:spacing w:after="0" w:line="184"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 and may also subject us to additional risks and uncertainties, including regulatory, stockholder or other actions, loss of investor confidence and negative impacts on the trading price of our common stock.</w:t>
      </w:r>
    </w:p>
    <w:p>
      <w:pPr>
        <w:spacing w:after="0" w:line="148" w:lineRule="exact"/>
        <w:rPr>
          <w:rFonts w:ascii="Times New Roman" w:cs="Times New Roman" w:eastAsia="Times New Roman" w:hAnsi="Times New Roman"/>
          <w:sz w:val="18"/>
          <w:szCs w:val="18"/>
          <w:color w:val="auto"/>
        </w:rPr>
      </w:pPr>
    </w:p>
    <w:p>
      <w:pPr>
        <w:ind w:left="720" w:right="279" w:hanging="319"/>
        <w:spacing w:after="0" w:line="217"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near term, we are dependent on 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either alone or with a collaborator, or if we experience significant delays in doing so, our business could be substantially harmed.</w:t>
      </w:r>
    </w:p>
    <w:p>
      <w:pPr>
        <w:spacing w:after="0" w:line="16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United States (“U.S.”) Food and Drug Administration (“FDA”), and comparable foreign authorities are lengthy, time consuming, expensive and inherently unpredictable, and if we are ultimately unable to obtain regulatory approval for our product candidates, our business will be substantially harmed.</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difficult to design, difficult to conduct and involve an uncertain outcome.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enrollment of patients in our clinical trials to continue development of our product candidates. If we are unable to enroll patients in our clinical trials, our research and development efforts could be adversely affected.</w:t>
      </w:r>
    </w:p>
    <w:p>
      <w:pPr>
        <w:spacing w:after="0" w:line="148" w:lineRule="exact"/>
        <w:rPr>
          <w:rFonts w:ascii="Times New Roman" w:cs="Times New Roman" w:eastAsia="Times New Roman" w:hAnsi="Times New Roman"/>
          <w:sz w:val="18"/>
          <w:szCs w:val="18"/>
          <w:color w:val="auto"/>
        </w:rPr>
      </w:pPr>
    </w:p>
    <w:p>
      <w:pPr>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42" w:lineRule="exact"/>
        <w:rPr>
          <w:rFonts w:ascii="Times New Roman" w:cs="Times New Roman" w:eastAsia="Times New Roman" w:hAnsi="Times New Roman"/>
          <w:sz w:val="18"/>
          <w:szCs w:val="18"/>
          <w:color w:val="auto"/>
        </w:rPr>
      </w:pPr>
    </w:p>
    <w:p>
      <w:pPr>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and development of product candidates based on EvolverAI, BioXcel LLC’s proprietary pharmaceutical discovery and development engine, as well as our own AI platform is novel and unproven, and we do not know whether we will be able to develop any products of commercial value.</w:t>
      </w:r>
    </w:p>
    <w:p>
      <w:pPr>
        <w:spacing w:after="0" w:line="135" w:lineRule="exact"/>
        <w:rPr>
          <w:rFonts w:ascii="Times New Roman" w:cs="Times New Roman" w:eastAsia="Times New Roman" w:hAnsi="Times New Roman"/>
          <w:sz w:val="18"/>
          <w:szCs w:val="18"/>
          <w:color w:val="auto"/>
        </w:rPr>
      </w:pPr>
    </w:p>
    <w:p>
      <w:pPr>
        <w:ind w:left="720" w:right="2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40" w:lineRule="exact"/>
        <w:rPr>
          <w:rFonts w:ascii="Times New Roman" w:cs="Times New Roman" w:eastAsia="Times New Roman" w:hAnsi="Times New Roman"/>
          <w:sz w:val="18"/>
          <w:szCs w:val="18"/>
          <w:color w:val="auto"/>
        </w:rPr>
      </w:pPr>
    </w:p>
    <w:p>
      <w:pPr>
        <w:ind w:left="720" w:right="219" w:hanging="319"/>
        <w:spacing w:after="0" w:line="23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FDA has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product candidates for which we obtain approval.</w:t>
      </w:r>
    </w:p>
    <w:p>
      <w:pPr>
        <w:spacing w:after="0" w:line="38" w:lineRule="exact"/>
        <w:rPr>
          <w:rFonts w:ascii="Times New Roman" w:cs="Times New Roman" w:eastAsia="Times New Roman" w:hAnsi="Times New Roman"/>
          <w:sz w:val="18"/>
          <w:szCs w:val="18"/>
          <w:color w:val="auto"/>
        </w:rPr>
      </w:pPr>
    </w:p>
    <w:p>
      <w:pPr>
        <w:ind w:left="720" w:right="119" w:hanging="319"/>
        <w:spacing w:after="0" w:line="22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obtained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products and product candidates may not be accepted by physicians or the medical community in general, and there may be insufficient insurance coverage and reimbursement.</w:t>
      </w:r>
    </w:p>
    <w:p>
      <w:pPr>
        <w:spacing w:after="0" w:line="160"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in violation of federal, state or foreign health care “fraud and abuse” laws, we may be required to pay significant fines and penalties, which may adversely affect our business, financial condition and results of operations.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depend on BioXcel LLC to provide us with certain services for our business.</w:t>
      </w:r>
    </w:p>
    <w:p>
      <w:pPr>
        <w:spacing w:after="0" w:line="184" w:lineRule="exact"/>
        <w:rPr>
          <w:rFonts w:ascii="Times New Roman" w:cs="Times New Roman" w:eastAsia="Times New Roman" w:hAnsi="Times New Roman"/>
          <w:sz w:val="18"/>
          <w:szCs w:val="18"/>
          <w:color w:val="auto"/>
        </w:rPr>
      </w:pPr>
    </w:p>
    <w:p>
      <w:pPr>
        <w:ind w:left="720" w:right="699" w:hanging="319"/>
        <w:spacing w:after="0" w:line="224"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we intend to rely on third parties to produce commercial supplies of any other approved product candidate.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89" w:lineRule="auto"/>
        <w:tabs>
          <w:tab w:leader="none" w:pos="7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30" w:lineRule="exact"/>
        <w:rPr>
          <w:rFonts w:ascii="Times New Roman" w:cs="Times New Roman" w:eastAsia="Times New Roman" w:hAnsi="Times New Roman"/>
          <w:sz w:val="17"/>
          <w:szCs w:val="17"/>
          <w:color w:val="auto"/>
        </w:rPr>
      </w:pPr>
    </w:p>
    <w:p>
      <w:pPr>
        <w:ind w:left="720" w:right="29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cyber-attacks could disrupt our business, operations and information technology systems, and financial results, or result in the loss or exposure of confidential or sensitive Company information.</w:t>
      </w:r>
    </w:p>
    <w:p>
      <w:pPr>
        <w:spacing w:after="0" w:line="121" w:lineRule="exact"/>
        <w:rPr>
          <w:rFonts w:ascii="Times New Roman" w:cs="Times New Roman" w:eastAsia="Times New Roman" w:hAnsi="Times New Roman"/>
          <w:sz w:val="18"/>
          <w:szCs w:val="18"/>
          <w:color w:val="auto"/>
        </w:rPr>
      </w:pPr>
    </w:p>
    <w:p>
      <w:pPr>
        <w:ind w:left="720" w:right="1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39" w:lineRule="exact"/>
        <w:rPr>
          <w:rFonts w:ascii="Times New Roman" w:cs="Times New Roman" w:eastAsia="Times New Roman" w:hAnsi="Times New Roman"/>
          <w:sz w:val="18"/>
          <w:szCs w:val="18"/>
          <w:color w:val="auto"/>
        </w:rPr>
      </w:pPr>
    </w:p>
    <w:p>
      <w:pPr>
        <w:ind w:left="720" w:right="43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political or economic events and conditions could adversely affect our business, financial condition or results of operations.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the increased scrutiny relating to environmental, social and governance matters.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00" w:lineRule="exact"/>
        <w:rPr>
          <w:sz w:val="20"/>
          <w:szCs w:val="20"/>
          <w:color w:val="auto"/>
        </w:rPr>
      </w:pPr>
    </w:p>
    <w:p>
      <w:pPr>
        <w:spacing w:after="0" w:line="218" w:lineRule="exact"/>
        <w:rPr>
          <w:sz w:val="20"/>
          <w:szCs w:val="20"/>
          <w:color w:val="auto"/>
        </w:rPr>
      </w:pPr>
    </w:p>
    <w:p>
      <w:pPr>
        <w:ind w:left="60" w:right="139" w:firstLine="324"/>
        <w:spacing w:after="0" w:line="239" w:lineRule="auto"/>
        <w:rPr>
          <w:sz w:val="20"/>
          <w:szCs w:val="20"/>
          <w:color w:val="auto"/>
        </w:rPr>
      </w:pPr>
      <w:r>
        <w:rPr>
          <w:rFonts w:ascii="Times New Roman" w:cs="Times New Roman" w:eastAsia="Times New Roman" w:hAnsi="Times New Roman"/>
          <w:sz w:val="18"/>
          <w:szCs w:val="18"/>
          <w:color w:val="auto"/>
        </w:rPr>
        <w:t>This Annual Report includes our trademarks, trade names and service marks, including, without limitation,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our logo, which are our property and are protected under applicable intellectual property laws. Solely for convenience, trademarks, trade names and service marks may appear in this Annual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AND OTHER DATA</w:t>
      </w:r>
    </w:p>
    <w:p>
      <w:pPr>
        <w:spacing w:after="0" w:line="229"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While we believe the information from these third-party publications, research, surveys and studies included in this Annual Report is reliable, we do not guarantee the accuracy or completeness of such information, and we have not independently verified this information.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“Risk Factor Summary” and Part I, Item 1A “Risk Factors.” These and other factors could cause our future performance and market expectations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the “Company,” “we,” “us” or “our”)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88" w:lineRule="exact"/>
        <w:rPr>
          <w:sz w:val="20"/>
          <w:szCs w:val="20"/>
          <w:color w:val="auto"/>
        </w:rPr>
      </w:pPr>
    </w:p>
    <w:p>
      <w:pPr>
        <w:ind w:left="60" w:right="79" w:firstLine="324"/>
        <w:spacing w:after="0" w:line="230"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United States (“U.S.”) Food and Drug Administration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film formulation of dexmedetomidine (or “Dex”) in development for the treatment of agitation associated with psychiatric and neurological disorders.</w:t>
      </w:r>
    </w:p>
    <w:p>
      <w:pPr>
        <w:spacing w:after="0" w:line="190" w:lineRule="exact"/>
        <w:rPr>
          <w:sz w:val="20"/>
          <w:szCs w:val="20"/>
          <w:color w:val="auto"/>
        </w:rPr>
      </w:pPr>
    </w:p>
    <w:p>
      <w:pPr>
        <w:ind w:left="60" w:right="11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commercially available in doses of 120 and 180 micrograms.</w:t>
      </w:r>
    </w:p>
    <w:p>
      <w:pPr>
        <w:spacing w:after="0" w:line="200"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On September 5, 2024, we announced the initiation of our SERENITY At-Home trial, a double-blind, placebo-controlled study to evaluate the safety of a 120 mcg dose of BXCL501 in 200 patients for acute treatment of agitation associated with bipolar disorders or schizophrenia in the at-home setting. On November 12, 2024, we announced that the first patient had been randomized in the trial, and on March 27, 2025, that 24 clinical trial sites had been opened and 127 patients had been enrolled. Topline data results, which are expected in the second half of 2025, are intended to support a supplemental new drug application (“sNDA”) submission to potentially expand the label of IGALMI® (dexmedetomidine) sublingual film in the at-home setting.</w:t>
      </w:r>
    </w:p>
    <w:p>
      <w:pPr>
        <w:spacing w:after="0" w:line="18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We are continuing to develop BXCL501 for the potential acute treatment of agitation associated with bipolar disorders or schizophrenia in the at-home setting and for the potential acute treatment of agitation (non-daily) associated with dementia due to probable Alzheimer’s disease in the at-home setting and in care facilities.</w:t>
      </w:r>
    </w:p>
    <w:p>
      <w:pPr>
        <w:spacing w:after="0" w:line="176"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As described further below, we have deprioritized the development of BXCL501 for certain other proposed indications, as a potential adjunctive treatment for major depressive disorder (“MDD”), as well as our BXCL701 program, except as noted under “Immuno-Oncology”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-364490</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September 5, 2024, we submitted to the FDA the proposed protocol for our TRANQUILITY In-Care Phase 3 trial designed to evaluate the efficacy and safety of a 60 mcg dose of BXCL501 for agitation associated with Alzheimer’s dementia. See further discussion in </w:t>
      </w:r>
      <w:r>
        <w:rPr>
          <w:rFonts w:ascii="Times New Roman" w:cs="Times New Roman" w:eastAsia="Times New Roman" w:hAnsi="Times New Roman"/>
          <w:sz w:val="18"/>
          <w:szCs w:val="18"/>
          <w:i w:val="1"/>
          <w:iCs w:val="1"/>
          <w:color w:val="auto"/>
        </w:rPr>
        <w:t>“Our Neuroscience Clinical Programs”</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15, 2024, we announced a U.S. Department of Defense grant to the University of North Carolina to fund a study of BXCL501 (sublingual dexmedetomidine) for treating Acute Stress Disorder (ASD). See further discussion in </w:t>
      </w:r>
      <w:r>
        <w:rPr>
          <w:rFonts w:ascii="Times New Roman" w:cs="Times New Roman" w:eastAsia="Times New Roman" w:hAnsi="Times New Roman"/>
          <w:sz w:val="18"/>
          <w:szCs w:val="18"/>
          <w:i w:val="1"/>
          <w:iCs w:val="1"/>
          <w:color w:val="auto"/>
        </w:rPr>
        <w:t xml:space="preserve">“Additional Neuroscience Opportunities” </w:t>
      </w:r>
      <w:r>
        <w:rPr>
          <w:rFonts w:ascii="Times New Roman" w:cs="Times New Roman" w:eastAsia="Times New Roman" w:hAnsi="Times New Roman"/>
          <w:sz w:val="18"/>
          <w:szCs w:val="18"/>
          <w:color w:val="auto"/>
        </w:rPr>
        <w:t>below.</w:t>
      </w:r>
    </w:p>
    <w:p>
      <w:pPr>
        <w:spacing w:after="0" w:line="176"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most advanced immuno-oncology candidate, BXCL701, is an investigational oral innate immune activator being developed by OnkosXcel as a potential therapy for the treatment of aggressive forms of prostate cancer, pancreatic cancer, and other solid and liquid tumors.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Nasdaq Notice</w:t>
      </w:r>
    </w:p>
    <w:p>
      <w:pPr>
        <w:spacing w:after="0" w:line="202"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September 16, 2024, the Company received a letter from the Listing Qualifications Department (the “Staff”) of The Nasdaq Stock Market LLC (“Nasdaq”) that it was not in compliance with Nasdaq Listing Rule 5550(a)(2) because its common stock failed to maintain a minimum closing bid price of $1.00 per share for 30 consecutive business days.</w:t>
      </w:r>
    </w:p>
    <w:p>
      <w:pPr>
        <w:spacing w:after="0" w:line="176"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On February 6, 2025, the Company announced that it would effect a 1-for-16 reverse stock split of its common stock. The reverse stock split became effective at 5:00 p.m. on February 7, 2025, and the company’s common stock began trading on a split-adjusted basis (above $1 per share) at the opening of the market on Monday, February 10, 2025.</w:t>
      </w:r>
    </w:p>
    <w:p>
      <w:pPr>
        <w:spacing w:after="0" w:line="176"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To regain compliance, the Company was required to maintain a minimum closing bid price of $1.00 per share for at least 12 consecutive trading days. This requirement was met on February 26, 2025.</w:t>
      </w:r>
    </w:p>
    <w:p>
      <w:pPr>
        <w:spacing w:after="0" w:line="162"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As previously reported, on September 20, 2024, we received a letter from the Nasdaq Staff notifying us that for the 30 consecutive business days prior to the date of the letter, the Company’s market value of listed securities (“MVLS”) closed below the minimum $35 million requirement for continued listing on The Nasdaq Capital Market under Nasdaq Listing Rule 5550(b)(2) (the “MVLS Requirement”). In accordance with Nasdaq Listing Rule 5810(c)(3)(C), the Company was granted a period of 180 calendar days, or until March 19, 2025, to regain compliance.</w:t>
      </w:r>
    </w:p>
    <w:p>
      <w:pPr>
        <w:spacing w:after="0" w:line="183"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As anticipated, on March 20, 2025, the Company received another letter from the Staff stating that, as a result of the Company’s continued non-compliance with the MVLS Requirement, its securities would be delisted from Nasdaq unless the Company appealed the Staff’s delisting determination by requesting a hearing before the Nasdaq Hearings Panel (the “Panel”). The Company made timely request for a hearing before the Panel to appeal the Staff’s determination. The Company’s common stock will remain listed and eligible for trading on Nasdaq at least pending the ultimate conclusion of the hearing process; however, there can be no assurance that the Company will ultimately regain compliance and remain listed on Nasdaq.</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227"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in the notes to the consolidated financial statements included elsewhere in this Annual Report on Form 10-K, on May 8, 2024 the Company took additional actions as part of its continued efforts to preserve cash and prioritize investment in its core clinical programs. As part of these actions, the Company initiated a reduction of approximately 15% of the Company’s workforce.</w:t>
      </w:r>
    </w:p>
    <w:p>
      <w:pPr>
        <w:spacing w:after="0" w:line="182"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On September 17, 2024, the Company approved a plan for an additional reduction in its workforce by 15 employees (including all but one sales and marketing employee), or approximately 28% of the Company’s headcount (the “Clinical Prioritization”), in order to extend its cash runway and prioritize investment on the clinical development of its lead neuroscience asset, BXCL501.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Neuroscience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Neuroscience Strategy</w:t>
      </w:r>
    </w:p>
    <w:p>
      <w:pPr>
        <w:spacing w:after="0" w:line="18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goal is to become the leading AI-enabled neuroscience therapeutics company. We continue to evaluate all strategic options for our neuroscience assets, which could include licensing, partnering, and co-commercialization.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Novel Drug Re-Innovation Approach</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aim to deploy and implement, throughout the drug development process, an AI ecosystem designed to rapidly identify medications related to our key focus areas of neuroscience and immuno-oncology. Our in-house, uniquely integrated AI-to-drug-development capability is complemented by the services and technology of BioXcel LLC, our former parent company. It includes a labeled properties graph (also referred to as a “knowledge graph”) that visually relates collected big data in the form of entities and their properties that include neuropsychiatric symptoms, brain circuits, drug targets, and existing drugs. We believe that understanding the relation between entities relevant to drug development may lead to novel potential uses for existing drugs. Predictive algorithms or queries of the knowledge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graph may uncover not only single drugs but potentially identify new combinations of drugs that we believe may be more effective in treating disorders than single agents. New combinations of drugs may lower tolerable doses of drugs and provide the basis for stronger intellectual property positions. Our AI team prioritizes the most valuable external opportunities in a data-driven manner. These opportunities may be found in new potential uses for launched drugs, in drugs that are part of pharmaceutical company pipelines no longer being pursued, or within academic efforts to develop new drug candidates.</w:t>
      </w:r>
    </w:p>
    <w:p>
      <w:pPr>
        <w:spacing w:after="0" w:line="160"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Traditional drug development is marred by low success rates, long drug development cycles, and exorbitant development costs that are increasing year over year. In addition, many serious diseases remain unaddressed due to limitations of the current drug discovery paradigm. The pharmacological universe spans more than 27,000 active pharmaceutical agents, of which only approximately 4,000 are approved and marketed. Marketed drugs may not be exclusively effective in the indication for which they are approved but relevant to other indications, including rare diseases, and thus represent an untapped potential for addressing unmet medical needs and recouping research and development costs. Many of the remaining agents are active clinical candidates that are shelved or have failed for reasons other than toxicity, which offers the opportunity to re-innovate for other indications or patient segments. Such agents potentially represent an unrealized investment of billions of research and development dollars by the private and public sectors, while failing to remediate immeasurable patient suffering and sacrifice during clinical development. Also, these compounds may have known pharmaco-dynamic and pharmaco-kinetic properties, potentially allowing for a more data-driven selection of appropriate doses for development programs. Finally, with respect to neuropsychiatric indications, we prioritize those compounds with structural design features that we believe may contribute to high blood-brain barrier permeability, and therefore could increase the likelihood of compound penetration into the brain. Lack of brain penetration is a common cause for failure of many drugs developed for neuropsychiatric indications. In addition, we are prioritizing compounds with available human safety data, acceptable pharmacokinetic results, and data that support a high probability of achieving reasonable brain concentrations after dosing. The compounds in our pipeline have been identified using this proprietary platform.</w:t>
      </w:r>
    </w:p>
    <w:p>
      <w:pPr>
        <w:spacing w:after="0" w:line="151" w:lineRule="exact"/>
        <w:rPr>
          <w:sz w:val="20"/>
          <w:szCs w:val="20"/>
          <w:color w:val="auto"/>
        </w:rPr>
      </w:pPr>
    </w:p>
    <w:p>
      <w:pPr>
        <w:ind w:left="60" w:right="259" w:firstLine="324"/>
        <w:spacing w:after="0" w:line="238" w:lineRule="auto"/>
        <w:rPr>
          <w:sz w:val="20"/>
          <w:szCs w:val="20"/>
          <w:color w:val="auto"/>
        </w:rPr>
      </w:pPr>
      <w:r>
        <w:rPr>
          <w:rFonts w:ascii="Times New Roman" w:cs="Times New Roman" w:eastAsia="Times New Roman" w:hAnsi="Times New Roman"/>
          <w:sz w:val="18"/>
          <w:szCs w:val="18"/>
          <w:color w:val="auto"/>
        </w:rPr>
        <w:t>This drug re-innovation model has been exemplified by the successful development and commercialization of drugs such as Tecfidera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(Biogen, Inc.), Thalomid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(Celgene Corporation), and Viagra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(Pfizer, Inc.). All of these drugs were identified by insights in biology and disease pathophysiology. The successful business models of biotech companies like Axsome Therapeutics, Inc. and Karuna Therapeutics, Inc. (acquired by Bristol Myers Squibb) are based on the re-innovation and combination of existing clinical candidates or marketed drugs to provide novel solutions for patients. Unfortunately, such discoveries have been severely limited in scope due to the lack of a genuinely integrated approach to mining big data and advanced analytics.</w:t>
      </w:r>
    </w:p>
    <w:p>
      <w:pPr>
        <w:spacing w:after="0" w:line="15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Our AI-based discovery and development process is the foundation of our drug re-innovation model for identifying the next wave of potential medicines. Our therapeutic area experts have substantial experience across the drug discovery and development value chain. We believe that our method of finding potential product candidates gives us a higher probability of success because it combines AI expertise and intuition of human experience in drug development. We believe the combination of AI and drug discovery and development expertise facilitates the generation of therapeutic candidates and gives us a significant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approach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5434965" cy="3068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496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right="159" w:firstLine="324"/>
        <w:spacing w:after="0" w:line="230" w:lineRule="auto"/>
        <w:rPr>
          <w:sz w:val="20"/>
          <w:szCs w:val="20"/>
          <w:color w:val="auto"/>
        </w:rPr>
      </w:pPr>
      <w:r>
        <w:rPr>
          <w:rFonts w:ascii="Times New Roman" w:cs="Times New Roman" w:eastAsia="Times New Roman" w:hAnsi="Times New Roman"/>
          <w:sz w:val="18"/>
          <w:szCs w:val="18"/>
          <w:color w:val="auto"/>
        </w:rPr>
        <w:t>We continue to integrate and evolve our neuroscience and immuno-oncology AI machine learning and drug discovery and development platform. Our platform led to the identification of Dex, the rapid development of BXCL501, and its approval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well as the advancement of BXCL501 for other potential indications. We are continuing to leverage our platform to identify and develop new neuroscience and immuno-oncology programs.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Neuroscience Clinical Programs</w:t>
      </w:r>
    </w:p>
    <w:p>
      <w:pPr>
        <w:spacing w:after="0" w:line="20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neuroscience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80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498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easy to administer and has shown a rapid onset of action in multiple clinical trials, including clinical trials studying patients with schizophrenia, bipolar disorders, and dementia. We believe the results from these studies suggest that BXCL501 has the potential to generate a calming effect without producing excessive sedation. We believe that BXCL501 is highly differentiated from antipsychotics currently used as a standard of care for the treatment of agitation that often produce unwanted side effects such as excessive sedation and extra-pyramidal motor effects. Managing patient agitation in neuropsychiatric and neurodegenerative disorders represents a significant challenge for physicians and caregivers. We believe that BXCL501 has the potential to address these challenges while providing an efficient treatment regimen for patients.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Agitation Overview and Market Opportunity</w:t>
      </w:r>
    </w:p>
    <w:p>
      <w:pPr>
        <w:spacing w:after="0" w:line="20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Agitation in patients with neuropsychiatric diseases is a serious medical condition. Agitation is characterized by feelings of unease, excessive talking, and/or unintentional and purposeless motions, such as wringing of the hands or pacing. People experiencing agitation may also express excitement, hostility, poor impulse control, tension, uncooperativeness, and occasional disruptive behavior, which may lead to aggression and violence. In many cases, people develop agitation when treatment for their underlying disorder is not working well. Stressful situations or traumatic events can also trigger agitation. Agitation can occur suddenly or slowly and vary in length, lasting for a few minutes or for an extended period.</w:t>
      </w:r>
    </w:p>
    <w:p>
      <w:pPr>
        <w:spacing w:after="0" w:line="148"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With the agitation issues associated with schizophrenia and bipolar disease coupled with a fast-growing elderly population that is potentially likely to experience agitation associated with Alzheimer’s disease, the difficulties and expenses of acute treatment of agitation are expected to grow significantly. We estimate that in the United States, there are approximately 1.9 million patients diagnosed with Alzheimer’s disease-related dementia (“AAD”) and that those patients experience agitation at a rate of about six episodes per month, on average. In addition, we estimate that there are approximately 1.6 million Americans diagnosed with schizophrenia or bipolar disorders and that those patients experience agitation at a rate of about three episodes per month, on average. We, therefore, believe there is significant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potential market opportunity for BXCL501 if approved for use in these patient populations in the at-home setting. The foregoing estimates of the incidence of each patient population and the number of agitation episodes experienced and potential market opportunity are based on management’s estimates and third-party data, which may be materially different from actual agitation episodes and actual treatable patients. For additional information regarding risks associated with these estimates, see Part I, Item 1A, Risk Factors </w:t>
      </w:r>
      <w:r>
        <w:rPr>
          <w:rFonts w:ascii="Times New Roman" w:cs="Times New Roman" w:eastAsia="Times New Roman" w:hAnsi="Times New Roman"/>
          <w:sz w:val="18"/>
          <w:szCs w:val="18"/>
          <w:i w:val="1"/>
          <w:iCs w:val="1"/>
          <w:color w:val="auto"/>
        </w:rPr>
        <w:t>“— Our estimated number of episodes of agitation and our corresponding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Treatments for Agitation</w:t>
      </w:r>
    </w:p>
    <w:p>
      <w:pPr>
        <w:spacing w:after="0" w:line="189" w:lineRule="exact"/>
        <w:rPr>
          <w:sz w:val="20"/>
          <w:szCs w:val="20"/>
          <w:color w:val="auto"/>
        </w:rPr>
      </w:pPr>
    </w:p>
    <w:p>
      <w:pPr>
        <w:ind w:left="60" w:right="119" w:firstLine="324"/>
        <w:spacing w:after="0" w:line="273" w:lineRule="auto"/>
        <w:rPr>
          <w:sz w:val="20"/>
          <w:szCs w:val="20"/>
          <w:color w:val="auto"/>
        </w:rPr>
      </w:pPr>
      <w:r>
        <w:rPr>
          <w:rFonts w:ascii="Times New Roman" w:cs="Times New Roman" w:eastAsia="Times New Roman" w:hAnsi="Times New Roman"/>
          <w:sz w:val="17"/>
          <w:szCs w:val="17"/>
          <w:color w:val="auto"/>
        </w:rPr>
        <w:t>Antipsychotics, the current standard of care for acute treatment of agitation associated with schizophrenia and bipolar disorder, are also used off-label to treat agitation in dementia and other conditions. Side effects of these medications include movement disorders, including akathisia and extrapyramidal symptoms. One of the serious limitations of these drugs is that they can sedate the patient and do not permit verbal interaction with the hospital staff to continue. Intramuscular (“IM”)-delivered antipsychotics, such as haloperidol and olanzapine, are used extensively in this setting but are invasive and often require patient restraint. This type of treatment can dehumanize patients and cause trauma that could have long-term impact on them. Furthermore, these treatments include a black box warning for use in elderly patients.</w:t>
      </w:r>
    </w:p>
    <w:p>
      <w:pPr>
        <w:spacing w:after="0" w:line="131"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sublingual tablet formulations utilizing antipsychotics have been developed, these formulations have long half-lives (21-24 hours) and significant side effects when given acutely or chronically. Oral agents such as benzodiazepines are also used but have a slow onset of action and are consequently ineffective in the acute treatment of agitation. Side effects of these agents include sedation, amnesia, confusion, and paradoxical responses. They can intensify cognitive slowing and worsen memory and motor impairment, contributing to an increased risk of falls and fractures. In addition, long-term use of benzodiazepines has been found to be habit-forming and can cause addiction or relapse to abuse substances. Nonadherence with oral agents can also be problematic as patients may attempt to spit out these medications. We believe that, based on the current method of administration of oral medicine for agitation, an orally dissolving, mucoadhesive film could offer compliance advantages by making it less likely that patients will avoid treatment.</w:t>
      </w:r>
    </w:p>
    <w:p>
      <w:pPr>
        <w:spacing w:after="0" w:line="161" w:lineRule="exact"/>
        <w:rPr>
          <w:sz w:val="20"/>
          <w:szCs w:val="20"/>
          <w:color w:val="auto"/>
        </w:rPr>
      </w:pPr>
    </w:p>
    <w:p>
      <w:pPr>
        <w:ind w:left="60" w:right="99" w:firstLine="324"/>
        <w:spacing w:after="0" w:line="238" w:lineRule="auto"/>
        <w:rPr>
          <w:sz w:val="20"/>
          <w:szCs w:val="20"/>
          <w:color w:val="auto"/>
        </w:rPr>
      </w:pPr>
      <w:r>
        <w:rPr>
          <w:rFonts w:ascii="Times New Roman" w:cs="Times New Roman" w:eastAsia="Times New Roman" w:hAnsi="Times New Roman"/>
          <w:sz w:val="18"/>
          <w:szCs w:val="18"/>
          <w:color w:val="auto"/>
        </w:rPr>
        <w:t>The sublingual or buccal route of administration is an accepted alternative to oral administration of drug delivery to the central nervous system when rapid onset or more controlled delivery is required. Currently, there are six products approved for film administration, including our product,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example, BioDelivery Sciences International, Inc., a commercial-stage specialty pharmaceutical company, has developed a buccal film formulation of buprenorphine for chronic pain management and buprenorphine and naloxone for opioid dependence. We developed BXCL501 as a differentiated sublingual film dosage form of Dex, which we believe may offer benefits such as ease of use and quick absorption for rapid therapeutic effects.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Mechanism of Action: α2a Adrenergic Receptor and NE Role in Acute Agitation</w:t>
      </w:r>
    </w:p>
    <w:p>
      <w:pPr>
        <w:spacing w:after="0" w:line="189" w:lineRule="exact"/>
        <w:rPr>
          <w:sz w:val="20"/>
          <w:szCs w:val="20"/>
          <w:color w:val="auto"/>
        </w:rPr>
      </w:pPr>
    </w:p>
    <w:p>
      <w:pPr>
        <w:ind w:left="60" w:right="99" w:firstLine="324"/>
        <w:spacing w:after="0" w:line="230" w:lineRule="auto"/>
        <w:rPr>
          <w:sz w:val="20"/>
          <w:szCs w:val="20"/>
          <w:color w:val="auto"/>
        </w:rPr>
      </w:pPr>
      <w:r>
        <w:rPr>
          <w:rFonts w:ascii="Times New Roman" w:cs="Times New Roman" w:eastAsia="Times New Roman" w:hAnsi="Times New Roman"/>
          <w:sz w:val="18"/>
          <w:szCs w:val="18"/>
          <w:color w:val="auto"/>
        </w:rPr>
        <w:t>BXCL501 is a sublingual formulation of Dex that is designed to be easily administered and have a rapid onset of action. Dex is approved in the U.S. for the sedation of initially intubated and mechanically ventilated patients during treatment in the intensive care unit (“ICU”). It is also used in the intensive care setting for sedation of non-intubated patients prior to and/or during surgical and other invasive procedures. Dex, launched in the U.S. as Precedex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1999, is a selective α2a adrenergic receptor agonist that has a strong safety record and has been studied in over 130 clinical trials to date. It has also been sold in the European Union (“EU”) and other countries under the trade name Dexdor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a sedative for intensive care patients. Dex was approved by the European Commission for sedation of adult ICU patients requiring a sedation level no deeper than arousal in response to verbal stimulation (corresponding to Richmond Agitation-Sedation Scale 0 to -3). It has been used to prevent or treat hyperactive delirium resulting from anesthesia 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ICU. Given these uses of the IV formulation of Dex, we believe Dex formulated in a sublingual film and at much lower doses allows for ease of administration in settings where rapid acute treatment of agitation is needed.</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Commercial Strategy</w:t>
      </w:r>
    </w:p>
    <w:p>
      <w:pPr>
        <w:spacing w:after="0" w:line="93" w:lineRule="exact"/>
        <w:rPr>
          <w:sz w:val="20"/>
          <w:szCs w:val="20"/>
          <w:color w:val="auto"/>
        </w:rPr>
      </w:pPr>
    </w:p>
    <w:p>
      <w:pPr>
        <w:ind w:left="60" w:right="119" w:firstLine="324"/>
        <w:spacing w:after="0" w:line="222" w:lineRule="auto"/>
        <w:rPr>
          <w:sz w:val="20"/>
          <w:szCs w:val="20"/>
          <w:color w:val="auto"/>
        </w:rPr>
      </w:pPr>
      <w:r>
        <w:rPr>
          <w:rFonts w:ascii="Times New Roman" w:cs="Times New Roman" w:eastAsia="Times New Roman" w:hAnsi="Times New Roman"/>
          <w:sz w:val="18"/>
          <w:szCs w:val="18"/>
          <w:color w:val="auto"/>
        </w:rPr>
        <w:t>We continue to support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hospital setting through limited and focused commercial activity. In the third quarter of 2023, we revised our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reducing in-hospital commercialization expenses, suspending programs no longer deemed core to our business, and shifting focus to the development of BXCL501 for use in the at-home and care facilities in the treatment of acute agitation in schizophrenia and bipolar disorders, and in the treatment of acute agitation (non-daily) associated with dementia due to probable Alzheimer’s disease (collectively, the “Reprioritization”).</w:t>
      </w:r>
    </w:p>
    <w:p>
      <w:pPr>
        <w:spacing w:after="0" w:line="201" w:lineRule="exact"/>
        <w:rPr>
          <w:sz w:val="20"/>
          <w:szCs w:val="20"/>
          <w:color w:val="auto"/>
        </w:rPr>
      </w:pPr>
    </w:p>
    <w:p>
      <w:pPr>
        <w:ind w:left="60" w:right="319" w:firstLine="324"/>
        <w:spacing w:after="0" w:line="265" w:lineRule="auto"/>
        <w:rPr>
          <w:sz w:val="20"/>
          <w:szCs w:val="20"/>
          <w:color w:val="auto"/>
        </w:rPr>
      </w:pPr>
      <w:r>
        <w:rPr>
          <w:rFonts w:ascii="Times New Roman" w:cs="Times New Roman" w:eastAsia="Times New Roman" w:hAnsi="Times New Roman"/>
          <w:sz w:val="18"/>
          <w:szCs w:val="18"/>
          <w:color w:val="auto"/>
        </w:rPr>
        <w:t>Following the Reprioritization, a small Corporate Account Director team supported existing customers and targeted Integrated Delivery Networks (“IDNs”) with educational assistance and contracting opportunities, while our trade operation supported customers with drug supply. The goal of this approach was to help maintain current business and potentially broaden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utilization through volume contracting.</w:t>
      </w:r>
    </w:p>
    <w:p>
      <w:pPr>
        <w:spacing w:after="0" w:line="64" w:lineRule="exact"/>
        <w:rPr>
          <w:sz w:val="20"/>
          <w:szCs w:val="20"/>
          <w:color w:val="auto"/>
        </w:rPr>
      </w:pPr>
    </w:p>
    <w:p>
      <w:pPr>
        <w:ind w:left="60" w:right="379" w:firstLine="324"/>
        <w:spacing w:after="0" w:line="233" w:lineRule="auto"/>
        <w:rPr>
          <w:sz w:val="20"/>
          <w:szCs w:val="20"/>
          <w:color w:val="auto"/>
        </w:rPr>
      </w:pPr>
      <w:r>
        <w:rPr>
          <w:rFonts w:ascii="Times New Roman" w:cs="Times New Roman" w:eastAsia="Times New Roman" w:hAnsi="Times New Roman"/>
          <w:sz w:val="18"/>
          <w:szCs w:val="18"/>
          <w:color w:val="auto"/>
        </w:rPr>
        <w:t>As part of the Clinical Prioritization announced on September 19, 2024, we made further workforce reductions including sales and marketing employees, as the Company announced it would maintain IGALMI™ in the market with minimal commercial support. The Clinical Prioritization staff reductions may have future impacts on net revenue. Net revenues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 sales for the years ended December 31, 2024 and 2023 were $2.3 million and $1.4 million, respectively.</w:t>
      </w:r>
    </w:p>
    <w:p>
      <w:pPr>
        <w:spacing w:after="0" w:line="194" w:lineRule="exact"/>
        <w:rPr>
          <w:sz w:val="20"/>
          <w:szCs w:val="20"/>
          <w:color w:val="auto"/>
        </w:rPr>
      </w:pPr>
    </w:p>
    <w:p>
      <w:pPr>
        <w:ind w:left="60" w:right="319" w:firstLine="324"/>
        <w:spacing w:after="0" w:line="201" w:lineRule="auto"/>
        <w:rPr>
          <w:sz w:val="20"/>
          <w:szCs w:val="20"/>
          <w:color w:val="auto"/>
        </w:rPr>
      </w:pPr>
      <w:r>
        <w:rPr>
          <w:rFonts w:ascii="Times New Roman" w:cs="Times New Roman" w:eastAsia="Times New Roman" w:hAnsi="Times New Roman"/>
          <w:sz w:val="18"/>
          <w:szCs w:val="18"/>
          <w:color w:val="auto"/>
        </w:rPr>
        <w:t>We are currently seeking potential commercial partners. Our continued commercialization efforts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designed to build the foundation to launch additional potential follow-on indications. If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would be approved outside the U.S., we would consider launching the product through collaborations with third parties.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Development</w:t>
      </w:r>
    </w:p>
    <w:p>
      <w:pPr>
        <w:spacing w:after="0" w:line="194" w:lineRule="exact"/>
        <w:rPr>
          <w:sz w:val="20"/>
          <w:szCs w:val="20"/>
          <w:color w:val="auto"/>
        </w:rPr>
      </w:pPr>
    </w:p>
    <w:p>
      <w:pPr>
        <w:ind w:left="60" w:right="159" w:firstLine="324"/>
        <w:spacing w:after="0" w:line="237" w:lineRule="auto"/>
        <w:rPr>
          <w:sz w:val="20"/>
          <w:szCs w:val="20"/>
          <w:color w:val="auto"/>
        </w:rPr>
      </w:pPr>
      <w:r>
        <w:rPr>
          <w:rFonts w:ascii="Times New Roman" w:cs="Times New Roman" w:eastAsia="Times New Roman" w:hAnsi="Times New Roman"/>
          <w:sz w:val="18"/>
          <w:szCs w:val="18"/>
          <w:color w:val="auto"/>
        </w:rPr>
        <w:t>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remains an investigational, proprietary, orally dissolving film formulation of Dex, a selective alpha-2 receptor agonist, targeting symptoms from stress-related behaviors such as agitation. BXCL501 is our most advanced neuroscience clinical program, being evaluated for the acute treatment of agitation associated with bipolar disorders or schizophrenia in the at-home setting and for the acute treatment of agitation (non-daily) in patients with dementia due to probable Alzheimer’s disease in care facilities and at-home settings.</w:t>
      </w:r>
    </w:p>
    <w:p>
      <w:pPr>
        <w:spacing w:after="0" w:line="16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As a selective adrenergic agent with a sublingual or buccal route of administration, BXCL501 is designed to be easily administered and, compared to medications that may take days or weeks, has shown a relatively rapid onset of action in multiple clinical trials, including those studying patients with bipolar disorders, schizophrenia, and Alzheimer’s disease. We believe results from these studies suggest that BXCL501 has the potential to reduce agitation without producing excessive sedation. We also believe BXCL501 is highly differentiated from antipsychotics, which are currently used as first-line standard-of-care treatments despite often producing unwanted side effects such as excessive sedation or extra pyramidal motor effects. Managing patient agitation in neuropsychiatric and neurodegenerative disorders represents a significant challenge for physicians and caregivers. We believe BXCL501 has the potential to address these challenges while providing an efficient treatment regimen for patients.</w:t>
      </w:r>
    </w:p>
    <w:p>
      <w:pPr>
        <w:spacing w:after="0" w:line="148"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We also believe that BXCL501, if approved for the respective indications, has the potential to become the standard of care for the acute treatment of agitation arising from diseases such as schizophrenia, bipolar disorder and Alzheimer’s disease.</w:t>
      </w:r>
    </w:p>
    <w:p>
      <w:pPr>
        <w:spacing w:after="0" w:line="14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given the differentiated design of BXCL501 and its mechanism of action, we believe BXCL501 has the potential to address several diseases or conditions for which agitation is a symptom of the condition or underlying disease, including opioid withdrawal and post-traumatic stress disorder (“PTSD”), which are being evaluated in investigator-sponsored trials run by several leading academic research institutions.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BXCL501 Clinical Trials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SERENITY Program: Agitation Associated with Bipolar Disorders I and II or Schizophrenia (at-home setting)</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We initiated the clinical study of BXCL501 in patients with agitation associated with bipolar disorders or schizophrenia in SERENITY III, which consisted of two parts. The first part was comparable to our pivotal SERENITY I and II studies. Using similar inclusion and exclusion criterion under a well-controlled in-patient setting, acutely agitated patients with bipolar disorders or schizophrenia were randomized to self-administer either 60 mcg of BXCL501 or placebo in a double-blind placebo-controlled trial. The primary endpoint of Part I was efficacy, as measured by the change in PEC score change from baseline at two hours post-dose. The secondary objectives of Part I were safety and tolerability.</w:t>
      </w:r>
    </w:p>
    <w:p>
      <w:pPr>
        <w:spacing w:after="0" w:line="147" w:lineRule="exact"/>
        <w:rPr>
          <w:sz w:val="20"/>
          <w:szCs w:val="20"/>
          <w:color w:val="auto"/>
        </w:rPr>
      </w:pPr>
    </w:p>
    <w:p>
      <w:pPr>
        <w:ind w:left="60" w:right="119" w:firstLine="324"/>
        <w:spacing w:after="0" w:line="239" w:lineRule="auto"/>
        <w:rPr>
          <w:sz w:val="20"/>
          <w:szCs w:val="20"/>
          <w:color w:val="auto"/>
        </w:rPr>
      </w:pPr>
      <w:r>
        <w:rPr>
          <w:rFonts w:ascii="Times New Roman" w:cs="Times New Roman" w:eastAsia="Times New Roman" w:hAnsi="Times New Roman"/>
          <w:sz w:val="18"/>
          <w:szCs w:val="18"/>
          <w:color w:val="auto"/>
        </w:rPr>
        <w:t>On May 25, 2023, we reported topline results from Part I of the study. Although the trial did not meet its primary efficacy endpoint, we believe the efficacy results, observed with the 60 mcg dose, representing half of the lowest approved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in-patient use (120 mcg), were promising. Specifically, greater than 50% of individuals were responders, defined as those patients who achieved a 40% or greater reduction in PEC score. Furthermore, this population responder rate was consistent and dose-proportionate to the same response rates observed in the larger SERENITY I and II trials. Although the primary efficacy endpoint as a group mean change in PEC score from baseline at 2 hours was not statistically significant at the primary endpoint at 2 hours (p=0.077), BXCL501 statistically separated from placebo at 4 hours (p=0.049).</w:t>
      </w:r>
    </w:p>
    <w:p>
      <w:pPr>
        <w:spacing w:after="0" w:line="176" w:lineRule="exact"/>
        <w:rPr>
          <w:sz w:val="20"/>
          <w:szCs w:val="20"/>
          <w:color w:val="auto"/>
        </w:rPr>
      </w:pPr>
    </w:p>
    <w:p>
      <w:pPr>
        <w:ind w:left="60" w:right="79" w:firstLine="324"/>
        <w:spacing w:after="0" w:line="243" w:lineRule="auto"/>
        <w:rPr>
          <w:sz w:val="20"/>
          <w:szCs w:val="20"/>
          <w:color w:val="auto"/>
        </w:rPr>
      </w:pPr>
      <w:r>
        <w:rPr>
          <w:rFonts w:ascii="Times New Roman" w:cs="Times New Roman" w:eastAsia="Times New Roman" w:hAnsi="Times New Roman"/>
          <w:sz w:val="18"/>
          <w:szCs w:val="18"/>
          <w:color w:val="auto"/>
        </w:rPr>
        <w:t>Part II of the SERENITY III study was designed to evaluate the same dose tested in Part I, 60 mcg (with an optional additional 60 mcg dose), but in the at-home setting and focusing on safety only. However, because the trial did not meet its primary efficacy endpoint using this 60 mcg dose in Part I, we paused continuation of Part II of the study pending feedback from the FDA. We held a Type C meeting with the FDA on November 8, 2023 to discuss changes to Part II of our SERENITY III study. We proposed the evaluation of an 80 mcg dose based on previous clinical experience with this dose during our Phase 1b trial in schizophrenia patients with agitation, and pharmacokinetic and pharmacodynamic modeling suggesting that use of an 80 mcg dose of BXCL501 could provide an optimal balance between safety and efficacy for at-home use. Based on feedback from the FDA during the meeting, we made the decision to evaluate a 120 mcg dose in the at-home setting. The 120 mcg dose has already demonstrated efficacy based on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(when administered under the supervision of a healthcare provider, for a single agitation episode), so we sought further feedback from the FDA regarding the proposed design of this study amendment in a request for a follow-up meeting with the FDA, which was held on March 6, 2024.</w:t>
      </w:r>
    </w:p>
    <w:p>
      <w:pPr>
        <w:spacing w:after="0" w:line="160"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Based on the FDA’s feedback in advance of and during the March 6, 2024 meeting, we moved forward evaluating the use of the 120 mcg dose of BXCL501 in the at-home setting, and amended Part 2 of the SERENITY III study. We now refer to this study as the SERENITY At-Home trial, with safety as the primary objective and efficacy measures as exploratory endpoints to support use in the at-home setting. This was the FDA’s recommendation in the November 8, 2023 FDA meeting, for the acute treatment of agitation in bipolar disorders or schizophrenia. We also plan to initiate a clinical study designed to enroll approximately 30 patient-informant dyads to evaluate the correlation between patient-and informant-reported efficacy measurement and the PEC scale, conducted by trained clinician raters as previously recommended by the FDA.</w:t>
      </w:r>
    </w:p>
    <w:p>
      <w:pPr>
        <w:spacing w:after="0" w:line="143" w:lineRule="exact"/>
        <w:rPr>
          <w:sz w:val="20"/>
          <w:szCs w:val="20"/>
          <w:color w:val="auto"/>
        </w:rPr>
      </w:pPr>
    </w:p>
    <w:p>
      <w:pPr>
        <w:ind w:left="60" w:right="119" w:firstLine="324"/>
        <w:spacing w:after="0" w:line="225"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 Based on FDA feedback, we believe that our ability to seek labeling without the current LOU will depend, in part, on the number of agitation episodes we observe during our planned study period. On April 22, 2024, we announced our plans, subject to funding, to advance the SERENITY At-Home trial. On September 5, 2024, we announced the initiation of our SERENITY At-Home trial. The pivotal Phase 3 trial is designed to evaluate the safety of BXCL501 in the at home setting. On November 12, 2024, we announced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first patient had been randomized in the trial. On March 27, 2025, 24 clinical trial sites had been opened and 127 patients have been enrolled, representing 63% of the total required enrollment in the trial. Topline data results, which are expected in the second half of 2025, are intended to support a supplemental new drug application (“sNDA”) submission to potentially expand the label of IGALMI® (dexmedetomidine) sublingual film.</w:t>
      </w:r>
    </w:p>
    <w:p>
      <w:pPr>
        <w:spacing w:after="0" w:line="365" w:lineRule="exact"/>
        <w:rPr>
          <w:sz w:val="20"/>
          <w:szCs w:val="20"/>
          <w:color w:val="auto"/>
        </w:rPr>
      </w:pPr>
    </w:p>
    <w:p>
      <w:pPr>
        <w:ind w:left="60" w:right="419"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TRANQUILITY Program: Acute Agitation Associated with Dementia due to Probable Alzheimer’s Disease (AAD)</w:t>
      </w:r>
    </w:p>
    <w:p>
      <w:pPr>
        <w:spacing w:after="0" w:line="11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On June 29, 2023, we announced positive topline results from TRANQUILITY II, a randomized, double-blind, placebo-controlled, parallel group trial that evaluated the safety and efficacy of BXCL501 for the acute treatment of Alzheimer’s-related agitation in adults 65 years and older with mild to moderate dementia in assisted living facilities (“ALFs”) and residential care settings who required minimal assistance with activities of daily living. The trial dosed 149 patients. Randomized patients self-administered 40 mcg or 60 mcg of BXCL501 or placebo for agitation episodes that occurred over a 12-week period. The primary endpoint was the change from pre-dose in Positive and Negative Syndrome Scale-Excitatory Component (“PEC”) total score at 2 hours post-dose for the first treated episode of agitation. The key secondary efficacy endpoints were PEC change from pre-dose at 1 hour post-dose of study treatment for the first treated episode of agitation, and PEC change from pre-dose at 30 minutes post-dose of study treatment for the first treated episode of agitation.</w:t>
      </w:r>
    </w:p>
    <w:p>
      <w:pPr>
        <w:spacing w:after="0" w:line="15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The Phase 3 trial met its primary efficacy endpoint with the 60 mcg dose; a statistically significant and clinically meaningful 7.5 point reduction from baseline in PEC total score was observed at 2 hours versus 5.4 with placebo (p=0.0112). The 60 mcg dose also met the first key secondary endpoint of reducing agitation symptoms at 1 hour during the first episode of agitation (p=0.0185) but did not meet the other key secondary endpoint of change from baseline in PEC score at 30 minutes.</w:t>
      </w:r>
    </w:p>
    <w:p>
      <w:pPr>
        <w:spacing w:after="0" w:line="156"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Efficacy for this dose was supported by several secondary measures, including the Clinical Global Impressions – Improvement Scale (“CGI-I”) and Agitation-Calmness Evaluation Scale (“ACES”). Most patients (76%) responded to the first 60 mcg dose and were determined to be “Very Much” or “Much Improved” (CGI-I of 1 or 2, respectively) compared to 50% with placebo. The primary endpoint was not met for the 40 mcg dose, with a 5.7 point reduction from baseline in PEC score.</w:t>
      </w:r>
    </w:p>
    <w:p>
      <w:pPr>
        <w:spacing w:after="0" w:line="143"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On June 29, 2023, we also announced that we had learned that an investigator in this study, who enrolled approximately 40% of the patients, engaged in misconduct.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4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On March 3, 2025 we announced that the U.S. Food and Drug Administration (FDA) concluded that the inspection of a single site in its TRANQUILITY II Phase 3 trial was closed under 21 C.F.R.20.64(d)(3) and released the Establishment Inspection Report. The FDA designated “Voluntary Action Indicated” for the site. We believe this further supports the reliability of data from the TRANQUILITY II trial of BXCL501.</w:t>
      </w:r>
    </w:p>
    <w:p>
      <w:pPr>
        <w:spacing w:after="0" w:line="153"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 Type B/Breakthrough Therapy designation meeting with the FDA on October 11, 2023, we reviewed our TRANQUILITY clinical trial program and discussed the data package required to support submission of an sNDA for the potential approval of BXCL501 for the acute treatment of agitation in patients with mild to moderate dementia due to probable Alzheimer’s disease in the ALF and at-home settings. Specifically, we sought feedback from the FDA as to whether our data package consisting of TRANQUILITY I and II, along with the clinical pharmacology and toxicology programs previously discussed with the FDA, would be sufficient to support an sNDA submission for the potential use of BXCL501 to treat agitation in patients with mild to moderate dementia due to probable Alzheimer’s disease in either the at-home or ALF setting, or, if not, what additional data would be required. Based on the FDA’s feedback in this meeting, we understand that the FDA will require additional efficacy data, including repeat efficacy data, and long-term safety data. We therefore requested another meeting with the FDA to further discuss the additional data that would be required to support an sNDA submission.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need to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Based on the FDA’s feedback, we are currently planning to generate additional Phase 3 efficacy and safety data, in a variety of relevant care-facility settings and across severity of dementia, in our planned TRANQUILITY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and subject to funding, we are re-evaluating the timing for initiating TRANQUILITY At Home.</w:t>
      </w:r>
    </w:p>
    <w:p>
      <w:pPr>
        <w:spacing w:after="0" w:line="201" w:lineRule="exact"/>
        <w:rPr>
          <w:sz w:val="20"/>
          <w:szCs w:val="20"/>
          <w:color w:val="auto"/>
        </w:rPr>
      </w:pPr>
    </w:p>
    <w:p>
      <w:pPr>
        <w:ind w:left="60" w:right="179" w:firstLine="324"/>
        <w:spacing w:after="0" w:line="266" w:lineRule="auto"/>
        <w:rPr>
          <w:sz w:val="20"/>
          <w:szCs w:val="20"/>
          <w:color w:val="auto"/>
        </w:rPr>
      </w:pPr>
      <w:r>
        <w:rPr>
          <w:rFonts w:ascii="Times New Roman" w:cs="Times New Roman" w:eastAsia="Times New Roman" w:hAnsi="Times New Roman"/>
          <w:sz w:val="18"/>
          <w:szCs w:val="18"/>
          <w:color w:val="auto"/>
        </w:rPr>
        <w:t>On September 5, 2024, we submitted to the FDA the proposed protocol for our TRANQUILITY In-Care Phase 3 trial designed to evaluate the efficacy and safety of a 60 mcg dose of BXCL501 for agitation associated with Alzheimer’s dementia. On November 12, 2024, we announced that we had received FDA feedback on the proposed protocol</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Adjunctive treatment in Major Depressive Disorder (“MDD”)</w:t>
      </w:r>
    </w:p>
    <w:p>
      <w:pPr>
        <w:spacing w:after="0" w:line="202" w:lineRule="exact"/>
        <w:rPr>
          <w:sz w:val="20"/>
          <w:szCs w:val="20"/>
          <w:color w:val="auto"/>
        </w:rPr>
      </w:pPr>
    </w:p>
    <w:p>
      <w:pPr>
        <w:jc w:val="both"/>
        <w:ind w:left="60" w:right="639" w:firstLine="324"/>
        <w:spacing w:after="0" w:line="266" w:lineRule="auto"/>
        <w:rPr>
          <w:sz w:val="20"/>
          <w:szCs w:val="20"/>
          <w:color w:val="auto"/>
        </w:rPr>
      </w:pPr>
      <w:r>
        <w:rPr>
          <w:rFonts w:ascii="Times New Roman" w:cs="Times New Roman" w:eastAsia="Times New Roman" w:hAnsi="Times New Roman"/>
          <w:sz w:val="18"/>
          <w:szCs w:val="18"/>
          <w:color w:val="auto"/>
        </w:rPr>
        <w:t>We were previously evaluating BXCL501 as an adjunctive treatment for MDD. The initial clinical study in this program was a double-blind, placebo-controlled, multiple ascending dose (“MAD”) trial to evaluate the safety and tolerability of daily doses of BXCL501 in healthy volunteers.</w:t>
      </w:r>
    </w:p>
    <w:p>
      <w:pPr>
        <w:spacing w:after="0" w:line="135" w:lineRule="exact"/>
        <w:rPr>
          <w:sz w:val="20"/>
          <w:szCs w:val="20"/>
          <w:color w:val="auto"/>
        </w:rPr>
      </w:pPr>
    </w:p>
    <w:p>
      <w:pPr>
        <w:ind w:left="60" w:right="159" w:firstLine="324"/>
        <w:spacing w:after="0" w:line="289" w:lineRule="auto"/>
        <w:rPr>
          <w:sz w:val="20"/>
          <w:szCs w:val="20"/>
          <w:color w:val="auto"/>
        </w:rPr>
      </w:pPr>
      <w:r>
        <w:rPr>
          <w:rFonts w:ascii="Times New Roman" w:cs="Times New Roman" w:eastAsia="Times New Roman" w:hAnsi="Times New Roman"/>
          <w:sz w:val="17"/>
          <w:szCs w:val="17"/>
          <w:color w:val="auto"/>
        </w:rPr>
        <w:t>As part of the Reprioritization announced on August 14, 2023, we paused our plan to develop a Phase 2 human proof-of-concept trial design to investigate BXCL501 as a potential adjunctive treatment and its potential accelerant effect in combination with first-line selective serotonin reuptake inhibitors or serotonin-norepinephrine reuptake inhibitors.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Pediatric Study</w:t>
      </w:r>
    </w:p>
    <w:p>
      <w:pPr>
        <w:spacing w:after="0" w:line="189" w:lineRule="exact"/>
        <w:rPr>
          <w:sz w:val="20"/>
          <w:szCs w:val="20"/>
          <w:color w:val="auto"/>
        </w:rPr>
      </w:pPr>
    </w:p>
    <w:p>
      <w:pPr>
        <w:ind w:left="60" w:right="179" w:firstLine="324"/>
        <w:spacing w:after="0" w:line="242" w:lineRule="auto"/>
        <w:rPr>
          <w:sz w:val="20"/>
          <w:szCs w:val="20"/>
          <w:color w:val="auto"/>
        </w:rPr>
      </w:pPr>
      <w:r>
        <w:rPr>
          <w:rFonts w:ascii="Times New Roman" w:cs="Times New Roman" w:eastAsia="Times New Roman" w:hAnsi="Times New Roman"/>
          <w:sz w:val="18"/>
          <w:szCs w:val="18"/>
          <w:color w:val="auto"/>
        </w:rPr>
        <w:t>In June 2021, we initiated a global clinical trial designed to evaluate the safety and efficacy of BXCL501 in the acute treatment of agitation associated with pediatric schizophrenia and bipolar disorders, in part to fulfill pediatric study requirements agreed to with the FDA in connection with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trial protocol has been reviewed by the FDA, as well as by the European Medicines Agency, to fulfill potential commitments to study the effects of BXCL501 in pediatric patients ages 13 to 17 with schizophrenia and ages 10 to 17 with bipolar disorders. Enrollment of patients with schizophrenia, schizoaffective disorder, bipolar I, and bipolar II disorder is ongoing in this multisite, double-blind, placebo-controlled parallel group trial. Approximately 63% of the 150 total subjects have been enrolled in the U.S. and 95 of such subjects have completed the clinical trial. In July 2023, we stopped activities in the European region as enrollment and site recruitment was unproductive. Similar to our registration trials in schizophrenia and bipolar disorder (SERENITY I and II), the primary endpoint is the change from baseline PEC total score at two hours. The U.S. portion of this program remains active following the Reprioritization.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October 2024, we submitted a request to the FDA for an extension and plan to submit an updated trial protocol to complete enrollment requirements for pediatric patients with schizophrenia or schizoaffective disorder. The FDA granted a 3-year extension to complete the pediatric study.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Post-Marketing Requirement Study</w:t>
      </w:r>
    </w:p>
    <w:p>
      <w:pPr>
        <w:spacing w:after="0" w:line="118" w:lineRule="exact"/>
        <w:rPr>
          <w:sz w:val="20"/>
          <w:szCs w:val="20"/>
          <w:color w:val="auto"/>
        </w:rPr>
      </w:pPr>
    </w:p>
    <w:p>
      <w:pPr>
        <w:ind w:left="60" w:right="119" w:firstLine="324"/>
        <w:spacing w:after="0" w:line="225" w:lineRule="auto"/>
        <w:rPr>
          <w:sz w:val="20"/>
          <w:szCs w:val="20"/>
          <w:color w:val="auto"/>
        </w:rPr>
      </w:pPr>
      <w:r>
        <w:rPr>
          <w:rFonts w:ascii="Times New Roman" w:cs="Times New Roman" w:eastAsia="Times New Roman" w:hAnsi="Times New Roman"/>
          <w:sz w:val="18"/>
          <w:szCs w:val="18"/>
          <w:color w:val="auto"/>
        </w:rPr>
        <w:t>On June 25, 2024, we announced positive topline results from our post-marketing requirement study evaluating whether tolerance, tachyphylaxis, or withdrawal occur following repeat dosing of the 180 mcg (highest approved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This study was a single-arm, open-label study of 28 inpatient adults with frequent episodes of agitation associated with bipolar disorders or schizophrenia who self-administered 180 mcg dose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needed over seven days. A total of 83 episodes were treated. The study achieved its objective and demonstrated no evidence of tachyphylaxis, tolerance, or withdrawal, and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generally well tolerated during the study.</w:t>
      </w:r>
    </w:p>
    <w:p>
      <w:pPr>
        <w:spacing w:after="0" w:line="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Neuroscience Opportunities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BXCL501 Pipeline Opportunities for Franchise Expansion</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Given the differentiated design of BXCL501 and its selective mechanism of action, we believe BXCL501 has the potential for broad applicability across several indications where agitation is a symptom of a condition or underlying disease.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Government-Supported Investigator-Sponsored Trial Programs</w:t>
      </w:r>
    </w:p>
    <w:p>
      <w:pPr>
        <w:spacing w:after="0" w:line="229"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The Company has been awarded key opportunities for the development of BXCL501 in post-traumatic stress disorder (“PTSD”), alcohol use disorder (“AUD”), and opioid use disorder (“OUD”). These are being funded through Cooperative Agreements with the U.S. Department of Defense Congressionally Directed Medical Research Program and National Institute on Drug Abuse (“NIDA”). Clinical and regulatory responsibilities are led by clinical researchers and regulatory staff at the Veterans Affairs Connecticut Healthcare System, Yale University Medical School, RTI International, Columbia University New York State Psychiatric Institute, and NIDA.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Opioid Use Disorder Program</w:t>
      </w:r>
    </w:p>
    <w:p>
      <w:pPr>
        <w:spacing w:after="0" w:line="229" w:lineRule="exact"/>
        <w:rPr>
          <w:sz w:val="20"/>
          <w:szCs w:val="20"/>
          <w:color w:val="auto"/>
        </w:rPr>
      </w:pPr>
    </w:p>
    <w:p>
      <w:pPr>
        <w:ind w:left="60" w:right="79" w:firstLine="405"/>
        <w:spacing w:after="0" w:line="253" w:lineRule="auto"/>
        <w:rPr>
          <w:sz w:val="20"/>
          <w:szCs w:val="20"/>
          <w:color w:val="auto"/>
        </w:rPr>
      </w:pPr>
      <w:r>
        <w:rPr>
          <w:rFonts w:ascii="Times New Roman" w:cs="Times New Roman" w:eastAsia="Times New Roman" w:hAnsi="Times New Roman"/>
          <w:sz w:val="18"/>
          <w:szCs w:val="18"/>
          <w:color w:val="auto"/>
        </w:rPr>
        <w:t xml:space="preserve">As previously announced, NIDA awarded a grant to Columbia University to fund clinical testing of BXCL501 as a potential treatment for opioid withdrawal in patients diagnosed with OUD. The original 160-patient, three-site, four-arm </w:t>
      </w:r>
      <w:r>
        <w:rPr>
          <w:rFonts w:ascii="Times New Roman" w:cs="Times New Roman" w:eastAsia="Times New Roman" w:hAnsi="Times New Roman"/>
          <w:sz w:val="18"/>
          <w:szCs w:val="18"/>
          <w:color w:val="212121"/>
        </w:rPr>
        <w:t>study is a randomized, double-blind, double-dummy inpatient study comparing BXCL501 (180 mcg and 240 mcg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 xml:space="preserve">BID), lofexidine (as a positive control), and placebo. The study’s goal is to evaluate the safety and efficacy of BXCL501 relative to lofexidine and placebo in subjects with OUD. A majority of OUD patients participating in the study are anticipated to be exposed to </w:t>
      </w:r>
      <w:r>
        <w:rPr>
          <w:rFonts w:ascii="Times New Roman" w:cs="Times New Roman" w:eastAsia="Times New Roman" w:hAnsi="Times New Roman"/>
          <w:sz w:val="18"/>
          <w:szCs w:val="18"/>
          <w:color w:val="000000"/>
        </w:rPr>
        <w:t>fentanyl adulterated or associated with xylazine</w:t>
      </w:r>
      <w:r>
        <w:rPr>
          <w:rFonts w:ascii="Times New Roman" w:cs="Times New Roman" w:eastAsia="Times New Roman" w:hAnsi="Times New Roman"/>
          <w:sz w:val="18"/>
          <w:szCs w:val="18"/>
          <w:color w:val="212121"/>
        </w:rPr>
        <w:t>. To date, a</w:t>
      </w:r>
      <w:r>
        <w:rPr>
          <w:rFonts w:ascii="Times New Roman" w:cs="Times New Roman" w:eastAsia="Times New Roman" w:hAnsi="Times New Roman"/>
          <w:sz w:val="18"/>
          <w:szCs w:val="18"/>
          <w:color w:val="000000"/>
        </w:rPr>
        <w:t>ll three initial sites have recruited,</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enrolled, and dosed patients diagnosed with OUD who are physically dependent on opioids, including prescription opioids. The Company is supplying BXCL501 for the conduct of this study, which is sponsored by Columbia University</w:t>
      </w:r>
      <w:r>
        <w:rPr>
          <w:rFonts w:ascii="Times New Roman" w:cs="Times New Roman" w:eastAsia="Times New Roman" w:hAnsi="Times New Roman"/>
          <w:sz w:val="18"/>
          <w:szCs w:val="18"/>
          <w:color w:val="212121"/>
        </w:rPr>
        <w:t>. We expect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that the results from current study will be used to select a recommended dose of BXCL501 to compare to placebo in a later outpatient Phase 3 study sponsored by </w:t>
      </w:r>
      <w:r>
        <w:rPr>
          <w:rFonts w:ascii="Times New Roman" w:cs="Times New Roman" w:eastAsia="Times New Roman" w:hAnsi="Times New Roman"/>
          <w:sz w:val="18"/>
          <w:szCs w:val="18"/>
          <w:color w:val="000000"/>
        </w:rPr>
        <w:t>NIDA.</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November 6, 2023, we announced that NIDA requested Columbia University, the trial coordinator, to add a fourth site to expedite trial completion. The patient screening and enrollment process for the fourth site commenced in March 2024, a potential mid-study readout anticipated in the first half of 2025. Subject to favorable results and available funding, we plan to seek FDA feedback on potential registrational paths.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Alcohol Use Disorder with Comorbid Post-traumatic Stress Disorder Program</w:t>
      </w:r>
    </w:p>
    <w:p>
      <w:pPr>
        <w:spacing w:after="0" w:line="229"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December 2020, the Veterans Affairs Connecticut Healthcare System and Yale University Medical School were awarded a grant by the U.S. Department of Defense’s Congressionally Directed Medical Research Program with the overall objective to evaluate BXCL501 in patients who suffer from AUD with comorbid PTSD. The Company provided BXCL501 for the inpatient Alcohol Interaction Study, which has been completed. We understand Yale is currently seeking approval from its Institutional Review Board (“IRB”) and allowance from the FDA to proceed with a trial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evaluating the effects of up to 80 mcg BID of BXCL501 per day for 28 days on alcohol consumption, PTSD symptoms, cognitive function, memory, sleep, and mood in patients diagnosed with mild, moderate, or severe AUD and who meet Criterion A for comorbid PTSD. The new outpatient study has received funding approval from the Pharmacotherapies for Alcohol and Substance Use Disorders Alliance (funded through a Cooperative Agreement between the U.S. Department of Defense Congressionally Directed Medical Research Program and RTI International). Patient screening and enrollment began in the fourth quarter of 2024. We believe the results from this study may be used to inform a Phase 3 study intended to commence with support by the alliance.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Acute Stress Disorder (ASD) Program</w:t>
      </w:r>
    </w:p>
    <w:p>
      <w:pPr>
        <w:spacing w:after="0" w:line="229"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On October 15, 2024, we announced a U.S. Department of Defense grant to the University of North Carolina (“UNC”) to fund a study of BXCL501 for treating ASD. The award provides $2,800 to the UNC Institute for Trauma Recovery from September 15, 2024 through September 14, 2026 to evaluate the potential efficacy of BXCL501 to reduce ASD symptom severity and/or posttraumatic neuropsychiatric symptoms. The double-blind, placebo-controlled trial is expected to enroll 100 patients experiencing ASD resulting from motor vehicle collisions, beginning in the first half of 2025. We intend to supply BXCL501 for the trial.</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BXCL502 Development</w:t>
      </w:r>
    </w:p>
    <w:p>
      <w:pPr>
        <w:spacing w:after="0" w:line="189"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We identified a second neuropsychiatric drug candidate, BXCL502 − Latrepirdine (Dimebon) − through our AI-based platform. We plan to evaluate BXCL502 initially as a monotherapy and possibly in combination with BXCL501 for the chronic treatment of agitation in patients with dementia and acute stress disorder. The active pharmaceutical ingredient (“API”) underlying BXCL502 affects serotonergic signaling in the brain. Our preclinical data suggests BXCL502 has the potential to treat stress-related neuropsychiatric symptoms in dementia and other stress-related disorders. In previously published third-party clinical trial data, daily administration of the API of BXCL502 demonstrated improvement in behaviors using a well-established, clinically validated symptom scale. Formulation and further clinical development planning for BXCL502 was paused as part of the Reprioritization.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Product Candidates Leveraging the AI Platform</w:t>
      </w:r>
    </w:p>
    <w:p>
      <w:pPr>
        <w:spacing w:after="0" w:line="20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Our AI platform is comprised of a series of customized and specific AI applications aimed at identifying, predicting efficacy and testing of late-stage assets with known mechanisms of action and associated pharmacology and safety data. We target neuropsychiatric and neurological rare disorders, where the compounds are either disease-modifying or symptom-mitigating. Compounds are tested in relevant models of disease and rank-ordered based on the potential to enter the clinic and ease of development. Disease areas of interest are stress related such as agitation, or neuropsychiatric symptoms associated with dementia and responsible for increased levels of healthcare burden. For example, our pipeline concepts BXCL503 and BXCL504 putatively have the potential to address apathy and aggression in dementia, respectively. These programs were also paused as part of the Reprioritization.</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Competition</w:t>
      </w:r>
    </w:p>
    <w:p>
      <w:pPr>
        <w:spacing w:after="0" w:line="18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products. The neuroscience and rare disease segments of the industry are highly competitive. While we believe that our technology, development experience, and scientific knowledge provide competitive advantages, we face potential competition from many different sources, including major pharmaceutical, specialty pharmaceutical, and biotechnology companies, academic institutions, governmental agencies, and public and private research institutions.</w:t>
      </w:r>
    </w:p>
    <w:p>
      <w:pPr>
        <w:spacing w:after="0" w:line="160"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Many of our competitors may have significantly greater financial resources, and expertise in research and development, manufacturing, preclinical studies, conducting clinical trials, obtaining regulatory approvals, and marketing approved medicines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in establishing clinical trial sites and patient registration for clinical trials, as well as in acquiring technologies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complementary to or necessary for our programs. Smaller or early-stage companies may also prove to be significant competitors, particularly through collaborative arrangements with large and established companies.</w:t>
      </w:r>
    </w:p>
    <w:p>
      <w:pPr>
        <w:spacing w:after="0" w:line="135" w:lineRule="exact"/>
        <w:rPr>
          <w:sz w:val="20"/>
          <w:szCs w:val="20"/>
          <w:color w:val="auto"/>
        </w:rPr>
      </w:pPr>
    </w:p>
    <w:p>
      <w:pPr>
        <w:jc w:val="both"/>
        <w:ind w:left="60" w:right="119" w:firstLine="324"/>
        <w:spacing w:after="0" w:line="289" w:lineRule="auto"/>
        <w:rPr>
          <w:sz w:val="20"/>
          <w:szCs w:val="20"/>
          <w:color w:val="auto"/>
        </w:rPr>
      </w:pPr>
      <w:r>
        <w:rPr>
          <w:rFonts w:ascii="Times New Roman" w:cs="Times New Roman" w:eastAsia="Times New Roman" w:hAnsi="Times New Roman"/>
          <w:sz w:val="17"/>
          <w:szCs w:val="17"/>
          <w:color w:val="auto"/>
        </w:rPr>
        <w:t>The key competitive factors affecting the success of our product candidates, if approved, are likely to be their efficacy, safety, convenience, price, the effectiveness of companion diagnostics in guiding the use of related therapeutics, if any, the level of generic competition, and the availability of reimbursement from government and other third-party payors.</w:t>
      </w:r>
    </w:p>
    <w:p>
      <w:pPr>
        <w:spacing w:after="0" w:line="11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medicines that are safer, more effective, more convenient, less expensive, or have fewer or less severe side effects than any medicines we may develop. Our competitors also may obtain FDA or other regulatory approval for their medicines more rapidly than us, which could result in our competitors establishing a strong market position before we are able to enter the market. In addition, our ability to compete may be affected in many cases by insurers or other third-party payors seeking to encourage the use of generic medicines. There are many generic medicines currently on the market for certain indications that we are pursuing, and additional generics are expected to become available over the coming years. We expect that any of our therapeutic product candidates that are approved will be priced at a significant premium over competitive generic medicines.</w:t>
      </w:r>
    </w:p>
    <w:p>
      <w:pPr>
        <w:spacing w:after="0" w:line="148" w:lineRule="exact"/>
        <w:rPr>
          <w:sz w:val="20"/>
          <w:szCs w:val="20"/>
          <w:color w:val="auto"/>
        </w:rPr>
      </w:pPr>
    </w:p>
    <w:p>
      <w:pPr>
        <w:jc w:val="both"/>
        <w:ind w:left="60" w:right="119" w:firstLine="324"/>
        <w:spacing w:after="0" w:line="224"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of our other product candidates that are approved, if any, will compete with the drugs discussed below, in addition to any other drugs currently in development.</w:t>
      </w:r>
    </w:p>
    <w:p>
      <w:pPr>
        <w:spacing w:after="0" w:line="172" w:lineRule="exact"/>
        <w:rPr>
          <w:sz w:val="20"/>
          <w:szCs w:val="20"/>
          <w:color w:val="auto"/>
        </w:rPr>
      </w:pPr>
    </w:p>
    <w:p>
      <w:pPr>
        <w:ind w:left="60" w:right="79" w:firstLine="324"/>
        <w:spacing w:after="0" w:line="233" w:lineRule="auto"/>
        <w:rPr>
          <w:sz w:val="20"/>
          <w:szCs w:val="20"/>
          <w:color w:val="auto"/>
        </w:rPr>
      </w:pPr>
      <w:r>
        <w:rPr>
          <w:rFonts w:ascii="Times New Roman" w:cs="Times New Roman" w:eastAsia="Times New Roman" w:hAnsi="Times New Roman"/>
          <w:sz w:val="18"/>
          <w:szCs w:val="18"/>
          <w:color w:val="auto"/>
        </w:rPr>
        <w:t>Drugs used for the acute treatment of agitation related to schizophrenia and bipolar disorder are antipsychotics frequently administered via IM injection that typically requires patient restraint. These include IM aripiprazole, olanzapine, ziprasidone, and haloperidol. Oral products include the sublingually administered atypical antipsychotic Asenapine, as well as benzodiazepines, lorazepam, and midazolam. The typical antipsychotic Adasuve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(loxapine) from Alexza is delivered via inhalation.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Manufacturing</w:t>
      </w:r>
    </w:p>
    <w:p>
      <w:pPr>
        <w:spacing w:after="0" w:line="189" w:lineRule="exact"/>
        <w:rPr>
          <w:sz w:val="20"/>
          <w:szCs w:val="20"/>
          <w:color w:val="auto"/>
        </w:rPr>
      </w:pPr>
    </w:p>
    <w:p>
      <w:pPr>
        <w:ind w:left="60" w:right="99" w:firstLine="324"/>
        <w:spacing w:after="0" w:line="233" w:lineRule="auto"/>
        <w:rPr>
          <w:sz w:val="20"/>
          <w:szCs w:val="20"/>
          <w:color w:val="auto"/>
        </w:rPr>
      </w:pPr>
      <w:r>
        <w:rPr>
          <w:rFonts w:ascii="Times New Roman" w:cs="Times New Roman" w:eastAsia="Times New Roman" w:hAnsi="Times New Roman"/>
          <w:sz w:val="18"/>
          <w:szCs w:val="18"/>
          <w:color w:val="auto"/>
        </w:rPr>
        <w:t>We do not have manufacturing facilities. We currently rely on strategic manufacturing partners, in particular ARx, LLC (“ARx”), and expect to continue to rely on third parties for the manufacture of our product candidates for clinical research and our products for commercialization efforts. ARx has agreed to exclusively manufacture and supply our supply of film formulation of dexmedetomidine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BXCL501, subject to certain alternative supply provisions.</w:t>
      </w:r>
    </w:p>
    <w:p>
      <w:pPr>
        <w:spacing w:after="0" w:line="175" w:lineRule="exact"/>
        <w:rPr>
          <w:sz w:val="20"/>
          <w:szCs w:val="20"/>
          <w:color w:val="auto"/>
        </w:rPr>
      </w:pPr>
    </w:p>
    <w:p>
      <w:pPr>
        <w:ind w:left="60" w:right="479" w:firstLine="324"/>
        <w:spacing w:after="0" w:line="282" w:lineRule="auto"/>
        <w:rPr>
          <w:sz w:val="20"/>
          <w:szCs w:val="20"/>
          <w:color w:val="auto"/>
        </w:rPr>
      </w:pPr>
      <w:r>
        <w:rPr>
          <w:rFonts w:ascii="Times New Roman" w:cs="Times New Roman" w:eastAsia="Times New Roman" w:hAnsi="Times New Roman"/>
          <w:sz w:val="18"/>
          <w:szCs w:val="18"/>
          <w:color w:val="auto"/>
        </w:rPr>
        <w:t>BXCL501 drug product is manufactured using commercially available components and packaging materials. The equipment employed for manufacturing and analysis is consistent with standard pharmaceutical production.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Commercialization</w:t>
      </w:r>
    </w:p>
    <w:p>
      <w:pPr>
        <w:spacing w:after="0" w:line="181" w:lineRule="exact"/>
        <w:rPr>
          <w:sz w:val="20"/>
          <w:szCs w:val="20"/>
          <w:color w:val="auto"/>
        </w:rPr>
      </w:pPr>
    </w:p>
    <w:p>
      <w:pPr>
        <w:ind w:left="60" w:right="59" w:firstLine="324"/>
        <w:spacing w:after="0" w:line="217" w:lineRule="auto"/>
        <w:rPr>
          <w:sz w:val="20"/>
          <w:szCs w:val="20"/>
          <w:color w:val="auto"/>
        </w:rPr>
      </w:pPr>
      <w:r>
        <w:rPr>
          <w:rFonts w:ascii="Times New Roman" w:cs="Times New Roman" w:eastAsia="Times New Roman" w:hAnsi="Times New Roman"/>
          <w:sz w:val="18"/>
          <w:szCs w:val="18"/>
          <w:color w:val="auto"/>
        </w:rPr>
        <w:t>We plan to retain worldwide commercialization rights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other approved product candidates, if any, but could consider collaboration opportunities to maximize returns or facilitate commercialization efforts in foreign jurisdictions. For additional information regarding our commercialization efforts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see above under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Strategy.”</w:t>
      </w:r>
    </w:p>
    <w:p>
      <w:pPr>
        <w:spacing w:after="0" w:line="63"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As product candidates advance through our pipeline, our commercialization plans may change. Clinical data, the size of the development programs, the size of the target market, the required commercial infrastructure, and manufacturing needs may all influence global commercialization strategies.</w:t>
      </w: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Neuroscience Intellectual Property</w:t>
      </w:r>
    </w:p>
    <w:p>
      <w:pPr>
        <w:spacing w:after="0" w:line="189"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Our policy is to protect and enhance the proprietary technologies, inventions, and improvements that are commercially important to our business by filing patent applications in the U.S. and other jurisdictions related to our proprietary technology, inventions, improvements, and product candidates. We also rely on trademarks, trade secrets,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and know-how relating to our proprietary technologies and product candidates, continuing innovation, and in-licensing technology and products. This reliance is expected to develop, maintain, and strengthen our proprietary position for novel therapeutics and novel formulations of existing therapeutics across multiple therapeutic areas. We also plan to rely on data exclusivity, market exclusivity, and patent term extensions when available.</w:t>
      </w:r>
    </w:p>
    <w:p>
      <w:pPr>
        <w:spacing w:after="0" w:line="153"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have multiple patent families filed to protect our Neuroscience program, including BXCL501. As of February 20, 2025, our neuroscience patent portfolio included five Patent Cooperation Treaty (“PCT”) applications not yet in national phase, 13 U.S. utility applications, 16 issued U.S. utility patents, 76 pending non-U.S. utility applications, 24 allowed or granted non-U.S. patents (including four in Japan), one pending U.S. design patent application, and 39 allowed or registered design patents (including two in Japan). Thirteen U.S. utility patents, directed to our proprietary sublingual film formulation of Dex and methods of treating agitation, are listed in the FDA’s Approved Drug Products with Therapeutic Equivalence Evaluations (commonly known as the “Orange Book”)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expiration dates between 2037 and 2043. In the formulation family, we have granted or allowed patents in China, Europe, Eurasia, Japan, Mexico, and the U.S., and pending applications in the U.S., China, and other major markets. We expect that patents issued in this family will expire no earlier than 2039. We have also filed applications in additional patent families that are relevant to BXCL501. We have one granted European patent and applications pending in the U.S. and Japan directed to methods of treating insomnia using sublingual Dex. We expect that patents issued from these applications, will expire no earlier than 2035. We also have granted patents and pending applications filed in major markets, including the U.S., Europe, Japan, and China, directed to methods of treating agitation. We expect that patents issued from these applications, will expire between 2039 and 2043. We also have four PCT applications directed to treating mania, depression, stress and agitation. If patents are issued from those cases, we expect them to expire in 2043 or 2044.</w:t>
      </w:r>
    </w:p>
    <w:p>
      <w:pPr>
        <w:spacing w:after="0" w:line="164"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8"/>
          <w:szCs w:val="18"/>
          <w:color w:val="auto"/>
        </w:rPr>
        <w:t>In August 2024, the Company received a Notice of Allowance from the U.S. Patent and Trademark Office (“USPTO”) for U.S. Patent Application No. 18/600,431 (the “’431 Application”). The ’431 Application claims methods of treating agitation using an oromucosal formulation of dexmedetomidine. The ‘431 Application issued as U.S. Patent No. 12,138,247 (the ‘247 Patent) patent, issued on November 2024, and is expected to expire no earlier than January 12, 2043. The ’247 Patent is listed in the Orange Book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3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Depending upon the timing, duration, and specifics of FDA approval of our product candidates, a U.S. patent that we own or license may be eligible for limited patent term extension under the Drug Price Competition and Patent Term Restoration Act of 1984 (a.k.a., the “Hatch-Waxman Act”). The act permits a patent restoration term of up to five years as compensation for patent term lost during product development and the drug approval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new drug application (“NDA”), plus the time between the submission date of an NDA and the approval of that application. Only one patent applicable to an approved drug is eligible for the extension, and the application for extension must be made prior to patent expiration.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7"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The term of a patent can also be extended by PTA established in 35 U.S.C. 154(b). The intention of the PTA is to accommodate for delays caused by the USPTO during the prosecution of a US utility or plant patent application. Under PTA, the USPTO delay is divided into three types: type A (delays after 14 months from the filing date of the application until the USPTO issues a first Office Action and delays after four months from the filing of certain actions by the applicant until the USPTO responds to such actions); type B (delays after three years from the earliest effective filing date until a patent is granted); and type C (delays due to interferences, secrecy orders, and successful appeals). The total amount of PTA is calculated by adding the types A, B, and C delays, and then subtracting any delay that is overlapped among three types or that is attributable to the applicant.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term of a patent can also be shortened by a terminal disclaimer. A terminal disclaimer is a statement filed by a patent owner in which the owner disclaims or dedicates to the public the terminal part of the term of a patent. Often, the terminal disclaimer is filed in cases where at least one claim of a pending application would have been obvious in light of at least one claim in an earlier-filed patent, (or non-statutory obviousness-type double patenting rejection).</w:t>
      </w:r>
    </w:p>
    <w:p>
      <w:pPr>
        <w:spacing w:after="0" w:line="180"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The patent positions of companies such as ours are generally uncertain and involve complex legal and factual questions. No consistent policy regarding the scope of claims allowable in patents in the field of method of use patents or reformulation patents has emerged in the U.S. patent laws and their interpretation outside of the U.S. are also uncertain. Changes in either the patent laws or their interpretation in the U.S. and other countries may diminish our ability to protect our technology or product candidates and enforce the patent rights that we license, and also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With respect to both licensed and company owned intellectual property,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the manufacture of those products. In addition, if a pending patent application is granted, it is possible that only a subset of the claims that are currently contained in the pending patent application will be issued. Further, the coverage claimed in a patent application can be significantly reduced before the patent is issued, and its scope can be reinterpreted after issuance. Patent and other intellectual property rights in the pharmaceutical and biotechnology space are evolving and involve many risks and uncertainties. For example, third parties may have blocking patents that could be used to prevent us from commercializing our product candidates and practicing our proprietary technology, and the issued patents that we in-license and those that may issue in the future may be challenged, invalidated, or circumvented, which could limit our ability to stop competitors from marketing related products or could limit the term of patent protection that otherwise may exist for our product candidates. In addition, the scope of the rights granted under any issued patents may not provide us with protection or competitive advantages against competitors with similar technology. Furthermore, our competitors may independently develop similar technologies outside the scope of the rights granted under any issued patents that we own or exclusively in license.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 For additional information regarding intellectual property regulations and risks, see below under “Immuno-Oncology Intellectual Property” and Part I, Item 1A, “Risk Factors - Risks Related to Our Intellectual Property.”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Immuno-Oncology</w:t>
      </w:r>
    </w:p>
    <w:p>
      <w:pPr>
        <w:spacing w:after="0" w:line="189"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On April 19, 2022, we announced the formation of a wholly owned subsidiary, OnkosXcel to develop potentially transformative medicines in oncology. OnkosXcel uses proprietary AI capabilities to drive the capital-efficient development of innovative anti-cancer therapeutics. On March 14, 2023, we announced that OnkosXcel had confidentially submitted a draft registration statement on Form S-1 with the SEC relating to the proposed initial public offering of its common stock following its conversion into a corporation. The Company is continuing to evaluate strategic options for OnkosXcel. With the Company’s Reprioritization announcement on August 14, 2023, further work on the immuno-oncology programs described below has generally been paused, except as noted below.</w:t>
      </w:r>
    </w:p>
    <w:p>
      <w:pPr>
        <w:spacing w:after="0" w:line="148" w:lineRule="exact"/>
        <w:rPr>
          <w:sz w:val="20"/>
          <w:szCs w:val="20"/>
          <w:color w:val="auto"/>
        </w:rPr>
      </w:pPr>
    </w:p>
    <w:p>
      <w:pPr>
        <w:ind w:left="60" w:right="159" w:firstLine="324"/>
        <w:spacing w:after="0" w:line="241" w:lineRule="auto"/>
        <w:rPr>
          <w:sz w:val="20"/>
          <w:szCs w:val="20"/>
          <w:color w:val="auto"/>
        </w:rPr>
      </w:pPr>
      <w:r>
        <w:rPr>
          <w:rFonts w:ascii="Times New Roman" w:cs="Times New Roman" w:eastAsia="Times New Roman" w:hAnsi="Times New Roman"/>
          <w:sz w:val="18"/>
          <w:szCs w:val="18"/>
          <w:color w:val="auto"/>
        </w:rPr>
        <w:t>Our approach to drug discovery leverages the application and methodology of our proprietary AI-based research and development platform, complemented by EvolverAI, utilized in the successful development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the aim of efficiently identifying and developing immuno-oncology product candidates. We believe that BXCL701 reflects the potential of this discovery approach in immuno-oncology. BXCL701 is an investigational, oral innate immune activator which demonstrated a 25% composite response rate in a Phase 2a clinical trial to treat patients with small cell neuroendocrine carcinoma (“SCNC”) phenotype metastatic castration-resistant prostate cancer (“mCRPC”). On February 12, 2024, the Company announced that the FDA has designated as a Fast Track development program the investigation of BXCL701 in combination with a checkpoint inhibitor for the treatment of patients with metastatic SCNC with progression on chemotherapy and no evidence of microsatellite instability. We have finalized a potential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registrational trial design in mCRPC patients with SCNC phenotype, however in light of our Clinical Prioritization, we have not met with the FDA to discuss this, nor plan at the current time to initiate this trial.</w:t>
      </w:r>
    </w:p>
    <w:p>
      <w:pPr>
        <w:spacing w:after="0" w:line="135" w:lineRule="exact"/>
        <w:rPr>
          <w:sz w:val="20"/>
          <w:szCs w:val="20"/>
          <w:color w:val="auto"/>
        </w:rPr>
      </w:pPr>
    </w:p>
    <w:p>
      <w:pPr>
        <w:ind w:left="60" w:right="59" w:firstLine="324"/>
        <w:spacing w:after="0" w:line="267" w:lineRule="auto"/>
        <w:rPr>
          <w:sz w:val="20"/>
          <w:szCs w:val="20"/>
          <w:color w:val="auto"/>
        </w:rPr>
      </w:pPr>
      <w:r>
        <w:rPr>
          <w:rFonts w:ascii="Times New Roman" w:cs="Times New Roman" w:eastAsia="Times New Roman" w:hAnsi="Times New Roman"/>
          <w:sz w:val="17"/>
          <w:szCs w:val="17"/>
          <w:color w:val="auto"/>
        </w:rPr>
        <w:t>mCRPC is often characterized as a “cold” tumor, which is a tumor with an immunosuppressive tumor microenvironment (“TME”) and poor immune cell infiltration. Currently approved checkpoint inhibitors (“CPIs”) that target programmed cell death 1 (“PD-1”) or cytotoxic T-lymphocyte-associated protein 4 (“CTLA-4") have failed to demonstrate meaningful single-agent activity against such difficult-to-treat tumor types, including mCRPC. BXCL701 is designed to promote an immune-induced inflammatory response in the TME primarily via inhibition of dipeptidyl peptidases (“DPP”) 8 and 9, which we believe can provide enhanced CPIs therapeutic utility. We believe BXCL701 can potentially provide significant benefits for the approximately 20% of the estimated 299,010 men who will be diagnosed with prostate cancer in the U.S. in 2024 and are expected to progress to the more aggressive mCRPC form of the disease, including approximately 20%, or 11,960, of those patients who will develop the SCNC phenotype, for which there are currently limited treatment options. Immune checkpoints represent a myriad of inhibitory pathways that act to regulate the duration and intensity of an antigen-induced immune response and factor prominently in mediating immune tolerance. They function as critical gatekeepers that prevent the indiscriminate attack of normal host cells by components of the immune system. Certain cancers co-opt these pathways and overexpress immune checkpoint molecules to camouflage themselves to avoid detection and destruction. CPIs, designed to harness the intrinsic power resident in the immune system, work by disabling the suppressive function of immune checkpoints, allowing the immune system to bypass such cancers’ shield of immune tolerance. CPIs are expected to generate sales of more than $50 billion worldwide by 2025, up from sales of approximately $29 billion in 2020. While CPIs have proven to be a significant advancement in cancer therapy, those currently approved by the FDA do not produce meaningful results in a majority of patients, as the clinical benefit is generally viewed to be limited to between 13% and 30% of cancer patients, and the duration of response is relatively short.</w:t>
      </w:r>
    </w:p>
    <w:p>
      <w:pPr>
        <w:spacing w:after="0" w:line="365"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the limited efficacy of approved CPIs results primarily from their intervention at later stages of the immune response. As a result, other targets and pathways can be exploited by the tumor to create a TME that can evade the enhanced immunological response enabled by approved CPIs. While numerous agents designed to target the earlier stages of an immune response are in development for use in combination with CPIs, their activity is restricted to a single component of the immune response. In contrast, we have developed BXCL701 to simultaneously address multiple components of the immune response, including:</w:t>
      </w:r>
    </w:p>
    <w:p>
      <w:pPr>
        <w:spacing w:after="0" w:line="145" w:lineRule="exact"/>
        <w:rPr>
          <w:sz w:val="20"/>
          <w:szCs w:val="20"/>
          <w:color w:val="auto"/>
        </w:rPr>
      </w:pPr>
    </w:p>
    <w:p>
      <w:pPr>
        <w:ind w:left="720" w:right="25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31"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cytotoxic T lymphocytes (“CTLs”).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pacing w:after="0" w:line="117" w:lineRule="exact"/>
        <w:rPr>
          <w:rFonts w:ascii="Times New Roman" w:cs="Times New Roman" w:eastAsia="Times New Roman" w:hAnsi="Times New Roman"/>
          <w:sz w:val="18"/>
          <w:szCs w:val="18"/>
          <w:color w:val="auto"/>
        </w:rPr>
      </w:pPr>
    </w:p>
    <w:p>
      <w:pPr>
        <w:ind w:left="720" w:right="579" w:hanging="319"/>
        <w:spacing w:after="0" w:line="28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33"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Accordingly, we believe BXCL701 may have utility in stimulating increased activation, proliferation, and infiltration of tumor cells by immune effector cells, enabling its potential application in combination with currently approved CPIs, across a range of solid tumors and hematological malignancies, to potentially:</w:t>
      </w:r>
    </w:p>
    <w:p>
      <w:pPr>
        <w:spacing w:after="0" w:line="133"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 immunological cold tumors into ones sensitive to CPIs;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 hot tumors’ response rate and depth of response to CPIs;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Restore CPI sensitivity to tumors that were previously responsive.</w:t>
      </w:r>
    </w:p>
    <w:p>
      <w:pPr>
        <w:spacing w:after="0" w:line="187"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Central to our drug discovery initiatives are proprietary, AI-driven platform technologies we employ to identify novel therapeutic uses for approved therapeutics and candidates in clinical evaluation. The first and most advanced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our AI-driven discovery programs is our innate immune modulation program, which supported the pursuit of BXCL701 as a development candidate. We believe the application of this program provides us actionable insights into the inflammasome, a component of the innate immune system responsible for activation of the inflammatory response.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Programs</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status of our immuno-oncology clinical development programs as of the date of this Annual Report on Form 10-K. We believe our product candidates, if successfully developed and approved, have the potential to become compelling treatment options for their respective indications. With our Reprioritization announced on August 14, 2023, further work on our immuno-oncology program has been paused, other than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99695</wp:posOffset>
            </wp:positionV>
            <wp:extent cx="5503545" cy="2400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35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Clinical Trials</w:t>
      </w:r>
    </w:p>
    <w:p>
      <w:pPr>
        <w:spacing w:after="0" w:line="18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Leveraging the insights enabled by the application and methodology of our proprietary AI-based platform complemented by EvolverAI, which was used to identify novel therapeutic uses for our approved therapeutics and product candidates in clinical evaluation, and our industry expertise, we are pursuing two proprietary discovery programs to advance our goal of developing anti-cancer therapeutics. The first program, which encompasses BXCL701 across a range of indications, is based on the application of innate immune modulation technology. This program has been constructed to embrace key distinguishing characteristics of the innate immune system and we believe it is supported by our development efforts. This approach has driven the development of BXCL701, which we are currently evaluating in a Phase 1b/2a clinical proof-of-concept trial as a potential treatment for mCRPC with either SCNC or adenocarcinoma phenotype. Fundamental to the innate immune modulation program is BXCL701’s potential to:</w:t>
      </w:r>
    </w:p>
    <w:p>
      <w:pPr>
        <w:spacing w:after="0" w:line="148"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cold tumors into ones sensitive to CPIs;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hot tumors’ response rate and depth of response to CPIs;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Restore CPI sensitivity to tumors which had previously been responsive.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mCRPC</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Prostate cancer is the most common malignancy and the second-leading cause of cancer-related deaths in men in the U.S. According to the American Cancer Society, approximately 299,010 men will be diagnosed with, and 35,250 men will die of, prostate cancer in 2024. The majority of these cases are classified as adenocarcinomas and involve low risk, localized or regional disease for which the five-year survival rate ranges from 60% to 99%. However, an estimated 20%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of these newly diagnosed cases will progress to the more aggressive metastatic disease. The five-year survival rate for men with metastatic prostate cancer drops significantly, to approximately 30%. Approximately 20% of patients with mCRPC will develop the SCNC phenotype, which is characterized by poor prognosis and low survival rate with a five-year life expectancy of 14%.</w:t>
      </w:r>
    </w:p>
    <w:p>
      <w:pPr>
        <w:spacing w:after="0" w:line="153" w:lineRule="exact"/>
        <w:rPr>
          <w:sz w:val="20"/>
          <w:szCs w:val="20"/>
          <w:color w:val="auto"/>
        </w:rPr>
      </w:pPr>
    </w:p>
    <w:p>
      <w:pPr>
        <w:ind w:left="60" w:right="179" w:firstLine="324"/>
        <w:spacing w:after="0" w:line="244" w:lineRule="auto"/>
        <w:rPr>
          <w:sz w:val="20"/>
          <w:szCs w:val="20"/>
          <w:color w:val="auto"/>
        </w:rPr>
      </w:pPr>
      <w:r>
        <w:rPr>
          <w:rFonts w:ascii="Times New Roman" w:cs="Times New Roman" w:eastAsia="Times New Roman" w:hAnsi="Times New Roman"/>
          <w:sz w:val="18"/>
          <w:szCs w:val="18"/>
          <w:color w:val="auto"/>
        </w:rPr>
        <w:t>Prostate function requires the presence of various androgens, such as testosterone. Early cancerous prostate cells typically also require androgens to proliferate. Accordingly, aggressive forms of prostate cancer can initially be treated using androgen deprivation therapy (“ADT”). While ADT offers temporary therapeutic benefit, in almost all patients the treatment eventually loses efficacy, referred to as “castration resistance.” Cases of castration-resistant prostate cancer (“CRPC”) are generally treated with a second-generation androgen receptor (“AR”) inhibitor, such as XTANDI</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(enzalutamide), or an androgen synthesis inhibitor, such as ZYTIGA</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(abiraterone), which targets the enzyme CYP17 to block the production of testosterone. These therapeutics have widely become the standard of care, though only ZYTIGA has been approved to treat mCRPC, as well as metastatic high-risk castration-sensitive prostate cancer. XTANDI has been approved to treat CRPC and metastatic castration-sensitive prostate cancer.</w:t>
      </w:r>
    </w:p>
    <w:p>
      <w:pPr>
        <w:spacing w:after="0" w:line="155" w:lineRule="exact"/>
        <w:rPr>
          <w:sz w:val="20"/>
          <w:szCs w:val="20"/>
          <w:color w:val="auto"/>
        </w:rPr>
      </w:pPr>
    </w:p>
    <w:p>
      <w:pPr>
        <w:ind w:left="60" w:right="79" w:firstLine="324"/>
        <w:spacing w:after="0" w:line="243" w:lineRule="auto"/>
        <w:rPr>
          <w:sz w:val="20"/>
          <w:szCs w:val="20"/>
          <w:color w:val="auto"/>
        </w:rPr>
      </w:pPr>
      <w:r>
        <w:rPr>
          <w:rFonts w:ascii="Times New Roman" w:cs="Times New Roman" w:eastAsia="Times New Roman" w:hAnsi="Times New Roman"/>
          <w:sz w:val="18"/>
          <w:szCs w:val="18"/>
          <w:color w:val="auto"/>
        </w:rPr>
        <w:t>Virtually all patients who initially respond to ZYTIGA and XTANDI are expected to progress to even more aggressive forms of prostate cancer requiring further treatment. Patients whose disease has progressed after treatment with these second-generation targeted endocrine therapies are administered a docetaxel containing drug regimen that provides a survival benefit of only 10 months. The poly-ADP ribose polymerase (“PARP”) inhibitors LYNPARZA</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(olaparib) and RUBRACA</w:t>
      </w:r>
      <w:r>
        <w:rPr>
          <w:rFonts w:ascii="Times New Roman" w:cs="Times New Roman" w:eastAsia="Times New Roman" w:hAnsi="Times New Roman"/>
          <w:sz w:val="21"/>
          <w:szCs w:val="21"/>
          <w:color w:val="auto"/>
          <w:vertAlign w:val="superscript"/>
        </w:rPr>
        <w:t>â</w:t>
      </w:r>
      <w:r>
        <w:rPr>
          <w:rFonts w:ascii="Times New Roman" w:cs="Times New Roman" w:eastAsia="Times New Roman" w:hAnsi="Times New Roman"/>
          <w:sz w:val="18"/>
          <w:szCs w:val="18"/>
          <w:color w:val="auto"/>
        </w:rPr>
        <w:t xml:space="preserve"> (rucaparib) are approved for the treatment of mCRPC in patients whose disease has progressed after receiving XTANDI or ZYTIGA, but their approval is limited to instances of mCRPC linked to a BRCA gene mutation. As such, an unmet medical need remains for patients with mCRPC who are not eligible for PARP inhibitor treatment after treatment with the targeted endocrine therapy and docetaxel.</w:t>
      </w:r>
    </w:p>
    <w:p>
      <w:pPr>
        <w:spacing w:after="0" w:line="157"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a number of men, both newly diagnosed patients and men whose disease has progressed after second-generation targeted endocrine therapy, will develop an aggressive tumor that typically expresses very little AR and accordingly does not respond to therapeutics targeting the AR signaling pathway. Prostate cancer with this phenotype is referred to as SCNC, for which there is currently no effective treatment. The incidence of SCNC is increasing with the widespread use of AR inhibitor therapy. Treatment protocols for patients with SCNC typically involve cytotoxic chemotherapies despite their short duration of response and considerable toxicities. These patients represent an additional unmet medical need among men with prostate cancer. We believe BXCL701 may prove efficacious in addressing the unmet needs of both adenocarcinoma and SCNC prostate cancer phenotypes.</w:t>
      </w:r>
    </w:p>
    <w:p>
      <w:pPr>
        <w:spacing w:after="0" w:line="165" w:lineRule="exact"/>
        <w:rPr>
          <w:sz w:val="20"/>
          <w:szCs w:val="20"/>
          <w:color w:val="auto"/>
        </w:rPr>
      </w:pPr>
    </w:p>
    <w:p>
      <w:pPr>
        <w:ind w:left="60" w:right="99" w:firstLine="324"/>
        <w:spacing w:after="0" w:line="236" w:lineRule="auto"/>
        <w:rPr>
          <w:sz w:val="20"/>
          <w:szCs w:val="20"/>
          <w:color w:val="auto"/>
        </w:rPr>
      </w:pPr>
      <w:r>
        <w:rPr>
          <w:rFonts w:ascii="Times New Roman" w:cs="Times New Roman" w:eastAsia="Times New Roman" w:hAnsi="Times New Roman"/>
          <w:sz w:val="18"/>
          <w:szCs w:val="18"/>
          <w:color w:val="auto"/>
        </w:rPr>
        <w:t xml:space="preserve">mCRPC is often characterized as a cold tumor, or a tumor with an immunosuppressive TME and poor immune cell infiltration. Currently approved CPIs, which target PD-1 and CTLA-4, have not demonstrated significant single-agent therapeutic activity. For instance, a Phase 2 investigator sponsored trial (“IST”) to assess the efficacy of the PD-L1 inhibitor avelumab, marketed by EMD Serono and Pfizer as BAVENCIO </w:t>
      </w:r>
      <w:r>
        <w:rPr>
          <w:rFonts w:ascii="Times New Roman" w:cs="Times New Roman" w:eastAsia="Times New Roman" w:hAnsi="Times New Roman"/>
          <w:sz w:val="26"/>
          <w:szCs w:val="26"/>
          <w:color w:val="auto"/>
          <w:vertAlign w:val="superscript"/>
        </w:rPr>
        <w:t>â</w:t>
      </w:r>
      <w:r>
        <w:rPr>
          <w:rFonts w:ascii="Times New Roman" w:cs="Times New Roman" w:eastAsia="Times New Roman" w:hAnsi="Times New Roman"/>
          <w:sz w:val="18"/>
          <w:szCs w:val="18"/>
          <w:color w:val="auto"/>
        </w:rPr>
        <w:t>, to treat mCRPC with SCNC phenotype, as well as aggressive variant prostate cancer with adenocarcinoma histology, generated an ORR of 6.7% (representing 1 of 15 patients who was known to be microsatellite instability-high, an established marker of response to CPIs).</w:t>
      </w:r>
    </w:p>
    <w:p>
      <w:pPr>
        <w:spacing w:after="0" w:line="160"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believe the limited efficacy of CPIs results primarily from their intervention at later stages of the immune response. As a result, other targets and pathways can be exploited by the tumor to create a TME that can evade the enhanced immunological response enabled by approved CPIs. BXCL701 is designed to act on multiple components of immune system functioning, including:</w:t>
      </w:r>
    </w:p>
    <w:p>
      <w:pPr>
        <w:spacing w:after="0" w:line="137" w:lineRule="exact"/>
        <w:rPr>
          <w:sz w:val="20"/>
          <w:szCs w:val="20"/>
          <w:color w:val="auto"/>
        </w:rPr>
      </w:pPr>
    </w:p>
    <w:p>
      <w:pPr>
        <w:ind w:left="720" w:right="259" w:hanging="319"/>
        <w:spacing w:after="0" w:line="284"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Cancer antigen presentation by dendritic cells</w:t>
      </w:r>
      <w:r>
        <w:rPr>
          <w:rFonts w:ascii="Times New Roman" w:cs="Times New Roman" w:eastAsia="Times New Roman" w:hAnsi="Times New Roman"/>
          <w:sz w:val="18"/>
          <w:szCs w:val="18"/>
          <w:color w:val="auto"/>
        </w:rPr>
        <w:t>: stimulation of dendritic cell trafficking to tumor draining lymph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nodes.</w:t>
      </w:r>
    </w:p>
    <w:p>
      <w:pPr>
        <w:spacing w:after="0" w:line="131"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Priming and activation of T cells</w:t>
      </w:r>
      <w:r>
        <w:rPr>
          <w:rFonts w:ascii="Times New Roman" w:cs="Times New Roman" w:eastAsia="Times New Roman" w:hAnsi="Times New Roman"/>
          <w:sz w:val="18"/>
          <w:szCs w:val="18"/>
          <w:color w:val="auto"/>
        </w:rPr>
        <w:t>: acceleration of tumor-induced priming of T cells and the formation of potent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CTLs.</w:t>
      </w:r>
    </w:p>
    <w:p>
      <w:pPr>
        <w:spacing w:after="0" w:line="117" w:lineRule="exact"/>
        <w:rPr>
          <w:rFonts w:ascii="Times New Roman" w:cs="Times New Roman" w:eastAsia="Times New Roman" w:hAnsi="Times New Roman"/>
          <w:sz w:val="18"/>
          <w:szCs w:val="18"/>
          <w:color w:val="auto"/>
        </w:rPr>
      </w:pPr>
    </w:p>
    <w:p>
      <w:pPr>
        <w:ind w:left="720" w:right="299" w:hanging="319"/>
        <w:spacing w:after="0" w:line="284"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Infiltration of immune cells into the tumor</w:t>
      </w:r>
      <w:r>
        <w:rPr>
          <w:rFonts w:ascii="Times New Roman" w:cs="Times New Roman" w:eastAsia="Times New Roman" w:hAnsi="Times New Roman"/>
          <w:sz w:val="18"/>
          <w:szCs w:val="18"/>
          <w:color w:val="auto"/>
        </w:rPr>
        <w:t>: stimulation of release of chemokines that attract effector T cells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block regulatory T cells and also induce NK cell and neutrophil migration.</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right="579" w:hanging="319"/>
        <w:spacing w:after="0" w:line="284"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Killing of tumor cells</w:t>
      </w:r>
      <w:r>
        <w:rPr>
          <w:rFonts w:ascii="Times New Roman" w:cs="Times New Roman" w:eastAsia="Times New Roman" w:hAnsi="Times New Roman"/>
          <w:sz w:val="18"/>
          <w:szCs w:val="18"/>
          <w:color w:val="auto"/>
        </w:rPr>
        <w:t>: induction of formation of CTLs and NK cells expressing tumor-killing perforins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granzymes as well as the formation of memory T cells that can selectively kill returning tumor cells.</w:t>
      </w:r>
    </w:p>
    <w:p>
      <w:pPr>
        <w:spacing w:after="0" w:line="133"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believe BXCL701 may have utility in stimulating increased activation, proliferation, and infiltration of tumor cells by immune effector cells, enabling its potential use in combination with currently approved CPIs to treat cold tumors, such as mCRPC. We elected to pursue mCRPC as an indication for BXCL701 due to its enrichment for DPP mutations, which are especially prevalent in tumors with SCNC phenotype.</w:t>
      </w:r>
    </w:p>
    <w:p>
      <w:pPr>
        <w:spacing w:after="0" w:line="180"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BXCL701 has been evaluated in a Phase 1b/2a clinical proof-of-concept trial that we sponsored to investigate its potential efficacy when used in combination with pembrolizumab. Enrollment in this trial is complete, and the data are described below.</w:t>
      </w:r>
    </w:p>
    <w:p>
      <w:pPr>
        <w:spacing w:after="0" w:line="17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received initial comments from the FDA on our proposed clinical development plan and received feedback regarding dose-optimization for use in future studies. However, the start of any such additional trial is paused following the Company’s Reprioritization. The Phase 1b portion of our Phase 1b/2 clinical trial was a dose escalation safety lead-in which employed a standard 3 x 3 trial design to determine the recommended Phase 2 dose (“RP2D”). During each 21-day treatment cycle, 200 mg of pembrolizumab were administered intravenously on day one, with BXCL701 taken twice daily on days one through 14, for a minimum of two cycles. The results of this Phase 1b trial, which were presented at The Society for Immunotherapy of Cancer’s 35th Anniversary Annual Meeting, allowed us to identify 0.3 mg, taken twice daily, as the RP2D.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-3175</wp:posOffset>
            </wp:positionV>
            <wp:extent cx="5554980" cy="3128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498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Phase 2a portion of the trial was segregated into two 28-patient trial cohorts, one cohort consisting of mCRPC patients with SCNC phenotype and a second cohort consisting of mCRPC patients with adenocarcinoma phenotype. Initially, we focused on mCRPC with SCNC phenotype as the primary patient population for BXCL701, since DPP9 is amplified in approximately 17% of treatment-emergent mCRPC with SCNC phenotype, compared to 5% or less in the broader prostate cancer population. However, we also observed responses in mCRPC patients with adenocarcinoma phenotype who were microsatellite stable in the Phase 1b portion of the trial. On this basis, we widened our Phase 2a trial to include relapsed mCRPC patients with either SCNC or adenocarcinoma phenotype. Both cohorts employed a Simon two-stage trial design of 15 trial participants followed by 13 additional patients. The primary endpoint of the Phase 2a portion of this trial was a composite response rate, determined as either a RECIST 1.1 response (defined as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reduction in RECIST score of 30% or more), and/or a reduction in prostate specific antigen (“PSA”) level of 50% or more, and/or a conversion in circulating tumor cells (“CTCs”) from 5 or more CTCs/7.5 milliliter (“ml”) to less than 5 CTCs/7.5 ml. Secondary endpoints included duration of response, progression-free survival, overall survival, changes in circulating cytokines, and certain disease-specific biomarkers.</w:t>
      </w:r>
    </w:p>
    <w:p>
      <w:pPr>
        <w:spacing w:after="0" w:line="153"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We believe the results observed in the Phase 2a trial of BXCL701 administered in combination with pembrolizumab support further development.</w:t>
      </w:r>
    </w:p>
    <w:p>
      <w:pPr>
        <w:spacing w:after="0" w:line="121" w:lineRule="exact"/>
        <w:rPr>
          <w:sz w:val="20"/>
          <w:szCs w:val="20"/>
          <w:color w:val="auto"/>
        </w:rPr>
      </w:pPr>
    </w:p>
    <w:p>
      <w:pPr>
        <w:ind w:left="60" w:right="179" w:firstLine="324"/>
        <w:spacing w:after="0" w:line="238" w:lineRule="auto"/>
        <w:rPr>
          <w:sz w:val="20"/>
          <w:szCs w:val="20"/>
          <w:color w:val="auto"/>
        </w:rPr>
      </w:pPr>
      <w:r>
        <w:rPr>
          <w:rFonts w:ascii="Times New Roman" w:cs="Times New Roman" w:eastAsia="Times New Roman" w:hAnsi="Times New Roman"/>
          <w:sz w:val="18"/>
          <w:szCs w:val="18"/>
          <w:color w:val="auto"/>
        </w:rPr>
        <w:t>We were particularly encouraged by the results observed in the cohort consisting of mCRPC patients with SCNC phenotype. Updated Phase 2a results for the SCNC cohort were presented at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Prostate Cancer Foundation Scientific Retreat (PCF 2023). BXCL701 in combination with pembrolizumab demonstrated a 25% (seven out of 28 evaluable patients) composite response rate in mCRPC patients with SCNC phenotype, for whom there is no standard of care. As of a data cutoff of September 6, 2023, five of these responders were RECIST 1.1 responders (four confirmed responses and one unconfirmed response) with decreases in tumor size ranging from -45% to -67% and a median duration of response of 7.6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138430</wp:posOffset>
            </wp:positionV>
            <wp:extent cx="5554980" cy="30257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5498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right="119" w:firstLine="324"/>
        <w:spacing w:after="0" w:line="272" w:lineRule="auto"/>
        <w:rPr>
          <w:sz w:val="20"/>
          <w:szCs w:val="20"/>
          <w:color w:val="auto"/>
        </w:rPr>
      </w:pPr>
      <w:r>
        <w:rPr>
          <w:rFonts w:ascii="Times New Roman" w:cs="Times New Roman" w:eastAsia="Times New Roman" w:hAnsi="Times New Roman"/>
          <w:sz w:val="17"/>
          <w:szCs w:val="17"/>
          <w:color w:val="auto"/>
        </w:rPr>
        <w:t>AEs consistent with cytokine activation, including fever, nausea, chills, fatigue, headache, and dizziness were observed during the trial and were generally mild to moderate. SAEs experienced by six trial participants - one patient hospitalized with Grade 1 orthostatic hypotension, one patient hospitalized with Grade 3 hypotension and acute kidney injury (“AKI”), which resolved, one patient with Grade 3 hypothyroidism which resolved, one patient with Grade 3 colitis, one patient with Grade 3 generalized oedema, and one patient hospitalized with Grade 4/5 tumor lysis syndrome/AKI, which resulted in fatality after the patient voluntarily discontinued dialysis - were reported as related or possibly related to BXCL701 or pembrolizumab, though there was no evidence that BXCL701 potentiated immune-related AEs associated with CPIs. The table below summarizes treatment-related AEs observed in the SCNC cohort as of December 19, 2022.</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2974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498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On October 10, 2023, we reported positive overall survival (OS) results from the Phase 2a portion of the trial in SCNC patients. BXCL701 in combination with pembrolizumab demonstrated a compelling median OS and 12-month survival rate. As of a data cutoff of September 6, 2023, evaluable patients with SCNC (n = 28) showed a median OS of 13.6 months (95% CI 10.9–NR), and a 12-month survival rate of 56.5%.</w:t>
      </w:r>
    </w:p>
    <w:p>
      <w:pPr>
        <w:spacing w:after="0" w:line="13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On February 12, 2024 the Company announced that the FDA designated as a Fast Track development program the investigation of BXCL701 in combination with a checkpoint inhibitor for treatment of patients with metastatic SCNC with progression on chemotherapy and no evidence of microsatellite instability.</w:t>
      </w:r>
    </w:p>
    <w:p>
      <w:pPr>
        <w:spacing w:after="0" w:line="1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Phase 2a trial has also been completed for the adenocarcinoma cohort. Updated results for this trial cohort were also presented at PCF 2023. BXCL701 in combination with pembrolizumab demonstrated a 21% (six out of 29 evaluable patients) composite response rate in mCRPC patients with adenocarcinoma phenotype, for whom there are limited treatment options. As of a cutoff date of September 6, 2023, five of these composite responders were RECIST 1.1 responders (four confirmed responses and one unconfirmed response) with decreases in tumor size ranging from -30% to -99% and a median duration of response to 19 months.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077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498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As of the cutoff date of December 19, 2022, the majority of AEs experienced by patients in the adenocarcinoma cohort were low grade. AEs consistent with cytokine activation were observed, including fever, myalgia, nausea, chills, fatigue, dyspnea, headache and dizziness. SAEs experienced by five patients (12%) were reported as possibly related to BXCL701 or pembrolizumab: two reports of hypotension; one report of dizziness; one report of peripheral edema; one report of pyrexia; one report of Myasthenia Gravis; and one report of Cytokine Release Syndrome. Two patients (5%) discontinued therapy due to AEs. There was no evidence that BXCL701 potentiated immune-related AEs related to CPIs. The table below summarizes treatment-related AEs observed in the adenocarcinoma cohort.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694690</wp:posOffset>
            </wp:positionV>
            <wp:extent cx="5554980" cy="3240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5498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On November 8, 2023, we reported positive OS results from the Phase 2a portion of the trial in patients with adenocarcinoma. As of a data cutoff of September 6, 2023, among evaluable patients with adenocarcinoma (n = 29) BXCL701 in combination with pembrolizumab demonstrated a median OS of 15.5 months (95% CI 9.6–NR), and a 12-month survival rate of 59.3%.</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Small Cell Lung Cancer (“SCLC”)</w:t>
      </w:r>
    </w:p>
    <w:p>
      <w:pPr>
        <w:spacing w:after="0" w:line="189" w:lineRule="exact"/>
        <w:rPr>
          <w:sz w:val="20"/>
          <w:szCs w:val="20"/>
          <w:color w:val="auto"/>
        </w:rPr>
      </w:pPr>
    </w:p>
    <w:p>
      <w:pPr>
        <w:jc w:val="both"/>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American Cancer Society estimates that in 2024, about 35,187 cases of SCLC will be diagnosed in the U.S. Approximately 60-70% of these patients present with extensive disease, and first-line therapy for a majority of these patients involves the combination of a CPI with platinum-based chemotherapy or etoposide.</w:t>
      </w:r>
    </w:p>
    <w:p>
      <w:pPr>
        <w:spacing w:after="0" w:line="135"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are encouraged by the therapeutic potential of BXCL701 for SCLC given the activity it has demonstrated in the ongoing SCNC clinical trial. We are preparing the protocol for a Phase 1b/2 trial design to be a dose-escalation safety lead-in to establish a RP2D. However, the start of any such trial is paused following the Reprioritization.</w:t>
      </w:r>
    </w:p>
    <w:p>
      <w:pPr>
        <w:spacing w:after="0" w:line="3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BXCL701 as a Potential Treatment for Other Cancers</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to its potential use in combination with CPIs to treat mCRPC, an immunologically cold tumor, we are developing BXCL701 as a therapeutic for pancreatic cancer, and other solid tumors with greater, or “non-cold,” immunological activity that are nonetheless regarded as difficult-to-treat, and hematological malignancies. We believe the synergistic potential of BXCL701 and CPIs, when administered in combination, could increase cancer cell susceptibility to an enhanced immune response, potentially increasing the clinical benefit of CPIs, whose single-agent efficacy in treating these tumor types is generally viewed to be limited to between 13% and 30% of cancer patients and the duration of response to treatment is often short. As such, we envision the potential therapeutic benefit of BXCL701 increasing the sensitivity of cold tumors to CPI therapy, enabling the potential treatment of a range of cancers including pancreatic cancer, breast cancer, colorectal cancer, and ovarian cancer, as well as enhancing the depth of response to CPIs in other cancers. In addition, based on the preclinical observation that BXCL701 showed direct cytotoxic activity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against certain leukemic cells, we have initiated clinical development targeting relapsed or refractory acute myeloid leukemia (“AML”).</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Pancreatic Cancer</w:t>
      </w:r>
    </w:p>
    <w:p>
      <w:pPr>
        <w:spacing w:after="0" w:line="189"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66,440 cases of pancreatic cancer were expected to be diagnosed in the U.S. We are supporting a Phase 2 investigator-sponsored trial (“IST”) sponsored by Georgetown Lombardi Comprehensive Cancer Center (“Georgetown Lombardi”), designed to evaluate the use of BXCL701 along with pembrolizumab to treat pancreatic cancer. Few therapeutic options are available for patients with this disease, which has a five-year survival rate of less than 10%, among the lowest of all cancers. Pancreatic cancer has among the highest levels of overexpression and amplification of DPPs. Preclinical models demonstrated synergy between DPP inhibition with BXCL701 and anti-PD-1 antibody in the pancreatic cancer tumor microenvironment. Based on these preclinical observations, Georgetown Lombardi has initiated a Phase 2 IST to assess the safety of BXCL701 when administered in combination with pembrolizumab (safety lead-in), as well as to estimate the 18-week progression-free survival rate (primary objective of the efficacy phase) in previously treated metastatic pancreatic ductal adenocarcinoma. This trial started in the third quarter of 2023. On February 6, 2024, we announced the completion of patient enrollment in the safety lead-in portion of the trial. As part of the trial’s safety lead-in, the first six patients have been enrolled and will be observed for a six-week safety window period. The trial is then expected to enroll approximately 39 patients in its efficacy phase in a Simon 2-stage single-arm, open-label design (19 patients in stage 1 and 20 patients in stage 2). Patients will be monitored radiographically and by tumor markers for response assessment. Tumor biopsies and blood samples will also be collected over the course of treatment to better understand the potential mechanism of action for the combination. The human proof of concept portion of the trial started in the first half of 2024. On April 24, 2024, we announced that an abstract entitled “Phase II trial of BXCL701 and pembrolizumab in patients with metastatic pancreatic ductal adenocarcinoma (EXPEL-PANC): Preliminary findings,” was selected for presentation at the poster session at the 2024 American Society of Clinical Oncology (ASCO) Annual Meeting that took place in Chicago, Illinois from May 31 to June 4, 2024. Investigators reported that, as of the applicable cutoff date, one patient was progression-free at 18 weeks, three patients showed substantial reductions in serum CA19-9, a tumor marker that may correlate with increased T-cell infiltration, and one patient showed a best response of partial responses, out of six patients that had been treated with the combination.</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Relapsed or Refractory AML</w:t>
      </w:r>
    </w:p>
    <w:p>
      <w:pPr>
        <w:spacing w:after="0" w:line="202"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The American Cancer Society estimated that in 2024, approximately 20,800 new cases of AML were expected to be diagnosed in the U.S. We are supporting a Phase 1b IST sponsored by the Dana-Farber Cancer Institute (“Dana-Farber”) designed to evaluate the use of BXCL701, along with the current standard of care to treat relapsed or refractory AML. We believe that pyroptosis triggered by BXCL701 may provide potent single agent cytotoxicity directed towards AML. We also believe that DPP9 copy number may provide an actionable biomarker, as high copy number has been observed to correlate with BXCL701 toxicity in human AML cell lines. DPP8/9 inhibition has been shown to be cytotoxic to THP-1 cells, monocytic cancer cells cultured from a patient with AML, but not other cell lines, suggesting a specific vulnerability of AML to these inhibitors which we believe can be exploited for therapeutic benefit. Based on these preclinical observations, Dana-Farber has initiated a Phase 1b trial to assess the safety of BXCL701 and to determine the maximum tolerated dose or the RP2D of BXCL701 as a single agent. This trial started in the first quarter of 2023. Subject to successful completion of this Phase 1b trial, we anticipate that Dana-Farber will conduct further studies to determine BXCL701's objective response rate in AML in combination with the standard of care.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Anti-cancer Programs</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collaborated with the University of Texas MD Anderson Cancer Center in a Phase 2a IST to evaluate the potential efficacy of BXCL701 administered in combination with pembrolizumab in patients with advanced solid cancer. The design of this open label trial included two cohorts and incorporated a two-stage configuration, which allowed for an expansion of patient enrollment to a total of 17 patients in each cohort if a RECIST 1.1 complete response or partial response was observed in at least one of the initial nine patients. The first cohort enrolled patients who previously had not received CPI therapy, with a second cohort consisting of patients that were either refractory to CPI therapy or had relapsed while on CPI therapy, meaning that no further response to CPI treatment is anticipated among patients in the second cohort. Trial participants received 200 mg of pembrolizumab on day 1 of a 21-day cycle, with 0.2 mg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BXCL701 administered twice-daily (“BID”) on days 1 through 7 during the first cycle, the dose increasing to 0.3 mg BID on Days 8 through 14 during the first and the subsequent cycles. Evaluable trial participants were required to receive a minimum of two treatment cycles. A preliminary assessment of BXCL701 dosed in combination with a CPI, as of completion of the first stage, noted responses in one patient in each of the CPI naïve and CPI refractory/relapsed cohorts, including a partial response in CPI-naïve, microsatellite stable endometrial carcinoma, PD-L1 negative (CPS &lt;1) and a partial response in CPI-refractory uveal melanoma. These preliminary results were presented at the 2021 American Society of Clinical Oncology annual meeting (ASCO 2021). Patient enrollment in this trial was completed in the third quarter of 2022.</w:t>
      </w:r>
    </w:p>
    <w:p>
      <w:pPr>
        <w:spacing w:after="0" w:line="165"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We believe BXCL701 may have potential application in breast cancer, as its use in combination with monoclonal antibody therapy generated encouraging in vivo data in a preclinical disease model where enhanced antibody-dependent cellular cytotoxicity was observed.</w:t>
      </w:r>
    </w:p>
    <w:p>
      <w:pPr>
        <w:spacing w:after="0" w:line="135"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FDA has granted BXCL701 orphan drug designation for the treatment of AML, stage IIb to IV melanoma, pancreatic cancer, and soft tissue sarcoma. As we consider BXCL701’s therapeutic potential for additional indications that represent unmet medical needs, we intend to apply for additional orphan drug designations for BXCL701.</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Biomarker Development Initiatives Intended to Complement BXCL701 Administration</w:t>
      </w:r>
    </w:p>
    <w:p>
      <w:pPr>
        <w:spacing w:after="0" w:line="202" w:lineRule="exact"/>
        <w:rPr>
          <w:sz w:val="20"/>
          <w:szCs w:val="20"/>
          <w:color w:val="auto"/>
        </w:rPr>
      </w:pPr>
    </w:p>
    <w:p>
      <w:pPr>
        <w:ind w:left="60" w:right="219" w:firstLine="324"/>
        <w:spacing w:after="0" w:line="239" w:lineRule="auto"/>
        <w:rPr>
          <w:sz w:val="20"/>
          <w:szCs w:val="20"/>
          <w:color w:val="auto"/>
        </w:rPr>
      </w:pPr>
      <w:r>
        <w:rPr>
          <w:rFonts w:ascii="Times New Roman" w:cs="Times New Roman" w:eastAsia="Times New Roman" w:hAnsi="Times New Roman"/>
          <w:sz w:val="18"/>
          <w:szCs w:val="18"/>
          <w:color w:val="auto"/>
        </w:rPr>
        <w:t>We are also actively engaged in the identification and development of predictive biomarkers that we believe could be used in conjunction with BXCL701 to predict the likelihood of patient response to therapy across the range of targeted indications. Based on preliminary data from AML patients, we believe DPP9 copy number could correlate to BXCL701 response rate, with a greater likelihood of BXCL701 cytotoxicity in patients with increased DPP9 copy number. We are pursuing its use in our biomarker discovery activities as a potential companion diagnostic. At the Society for Immunotherapy of Cancer’s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Meeting (SITC 2023), we presented data from the Phase 2a trial in SCNC patients, which indicated DPP9 overexpression is a potential response-predictive biomarker of BXCL701 and pembrolizumab combination treatment in mCRPC patients with SCNC phenotype.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Manufacturing</w:t>
      </w:r>
    </w:p>
    <w:p>
      <w:pPr>
        <w:spacing w:after="0" w:line="18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We rely on third party contract manufacturing organizations to support development and manufacture of product candidates for our clinical trials, and, if any of our current or future product candidates receives marketing approval, we expect to rely on such manufacturers to meet commercial demand. We expect this strategy will enable us to maintain a more efficient infrastructure, avoiding dependence on our own manufacturing facility and equipment, while simultaneously enabling us to focus our expertise on the clinical development and future commercialization of our products. Drug substance is produced by Aptuit (Oxford) Ltd, an Evotec Company, and drug product by Pharma Services (Patheon) by Thermo Fisher Scientific. We expect to enter into commercial supply agreements with these manufacturers prior to any potential approval of BXCL701.</w:t>
      </w:r>
    </w:p>
    <w:p>
      <w:pPr>
        <w:spacing w:after="0" w:line="151"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BXCL701 drug product is manufactured via conventional pharmaceutical processing procedures, employing commercially available excipients and packaging materials. The procedure and equipment employed for manufacture and analysis are consistent with standard organic synthesis or pharmaceutical production, and are transferable to a range of manufacturing facilities, if needed. We have selected a larger third-party drug product manufacturer and will be executing technology transfer of drug product manufacture to a larger manufacturer. We also plan to maintain the current drug substance and product manufacturer as part of our supply chain strategy.</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Competition</w:t>
      </w:r>
    </w:p>
    <w:p>
      <w:pPr>
        <w:spacing w:after="0" w:line="189"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have made substantial investments in recent years into the rapid development of novel immunotherapies for the treatment of a range of pathologies, including infectious diseases and cancers, making this a highly competitive market. We believe BXCL701 is the only innate immune system activator in clinical development specifically addressing the cold tumor problem in immuno-oncology.</w:t>
      </w:r>
    </w:p>
    <w:p>
      <w:pPr>
        <w:spacing w:after="0" w:line="139"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We face substantial competition from multiple sources, including large and specialty pharmaceutical, biopharmaceutical and biotechnology companies, academic research institutions and governmental agencies, and public</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w:t>
      </w:r>
    </w:p>
    <w:p>
      <w:pPr>
        <w:spacing w:after="0" w:line="16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current standard of care treatments for patients with infectious diseases or cancers, numerous commercial and academic preclinical studies and clinical trials are being undertaken by a large number of parties to assess novel technologies and product candidates in the field of immunotherapy. Results from these studies and trials have fueled increasing levels of interest in the field of immunotherapy.</w:t>
      </w:r>
    </w:p>
    <w:p>
      <w:pPr>
        <w:spacing w:after="0" w:line="13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Large pharmaceutical companies that have commercialized or are developing immunotherapies to treat cancer include AstraZeneca AB, Bristol-Myers Squibb Company, Merck &amp; Co., Inc., Novartis AG, Pfizer Inc., and F. Hoffmann-La Roche Ltd.</w:t>
      </w:r>
    </w:p>
    <w:p>
      <w:pPr>
        <w:spacing w:after="0" w:line="135"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We face significant competition from pharmaceutical and biotechnology companies that target specific tumor-associated antigens using immune cells or other cytotoxic modalities. These generally include immune cell redirecting therapeutics such as T cell engagers, adoptive cellular therapies such as CAR-Ts, antibody drug conjugates, targeted radiopharmaceuticals, targeted immunotoxin, and targeted cancer vaccines.</w:t>
      </w:r>
    </w:p>
    <w:p>
      <w:pPr>
        <w:spacing w:after="0" w:line="15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Clinical stage companies that compete with us directly on the level of the development of product candidates targeting the innate immune system include Amgen Inc., Mirati Therapeutics, Inc., Bristol- Myers Squibb Company, Ryvu Therapeutics, Merck &amp; Co., Inc., Replimune Group Inc., Nektar Therapeutics, Novartis AG, Xbiotech Inc., Stingthera, Inc., AstraZeneca AB, F. Hoffmann-La Roche Ltd and Aravive, Inc. Clinical stage companies that compete with us directly on the level of the development of product candidates targeting the mCRPC include Astellas Pharma Inc., Pfizer Inc., Bayer AG, Janssen, Sanofi S.A., Clovis Oncology, Inc., AstraZeneca AB, Merck &amp; Co., Inc., GSK plc, Tempest Therapeutics, Inc., Zenith Epigenetics Ltd. and Gossamer Bio, Inc. Clinical stage companies that compete with us directly on the level of the development of product candidates utilizing the therapeutic potential of synthetic lethality include Repare Therapeutics Inc., IDEAYA Biosciences, Inc. and Tango Therapeutics, Inc.</w:t>
      </w:r>
    </w:p>
    <w:p>
      <w:pPr>
        <w:spacing w:after="0" w:line="148"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1"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one or more of our competitors develop and commercialize products that are safer, more effective, better tolerated, or of greater convenience or economic benefit than our proposed product offerings.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Immuno-Oncology Intellectual Property</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Intellectual property is of vital importance in our field and in biotechnology generally. We seek to protect and enhance proprietary technology, inventions, and improvements that are commercially important to the development of our business by seeking, maintaining, enforcing, and defending patent and other intellectual property rights, whether developed internally or licensed from third parties. We will also seek to rely on regulatory protection afforded through</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inclusion in expedited development and review, data exclusivity, market exclusivity, and patent term extensions where available.</w:t>
      </w:r>
    </w:p>
    <w:p>
      <w:pPr>
        <w:spacing w:after="0" w:line="135"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of February 20, 2025, we have multiple patent families filed to protect our immuno-oncology program, including our core patent family directed to methods of using BXCL701 with immune checkpoint inhibitors, which is granted in the U.S., Japan, Australia, Canada, Russia, China, India, Taiwan, South Africa, Mexico, New Zealand, Europe and United Arab Emirates. Additional applications in this family are pending in major markets. Patents issued from this family are expected to expire no earlier than 2036. We have an additional patent issued in the U.S. directed to a method of selecting patients based on a biomarker and methods of treating certain cancers, with an expected expiration date no earlier than 2039. A corresponding European Patent case directed to selecting patients is issued and is expected to expire no earlier than 2039.</w:t>
      </w:r>
    </w:p>
    <w:p>
      <w:pPr>
        <w:spacing w:after="0" w:line="151" w:lineRule="exact"/>
        <w:rPr>
          <w:sz w:val="20"/>
          <w:szCs w:val="20"/>
          <w:color w:val="auto"/>
        </w:rPr>
      </w:pPr>
    </w:p>
    <w:p>
      <w:pPr>
        <w:ind w:left="60" w:right="439" w:firstLine="324"/>
        <w:spacing w:after="0" w:line="281" w:lineRule="auto"/>
        <w:rPr>
          <w:sz w:val="20"/>
          <w:szCs w:val="20"/>
          <w:color w:val="auto"/>
        </w:rPr>
      </w:pPr>
      <w:r>
        <w:rPr>
          <w:rFonts w:ascii="Times New Roman" w:cs="Times New Roman" w:eastAsia="Times New Roman" w:hAnsi="Times New Roman"/>
          <w:sz w:val="17"/>
          <w:szCs w:val="17"/>
          <w:color w:val="auto"/>
        </w:rPr>
        <w:t>Additional applications are directed to administering BXCL701 in combination with various other molecules, biomarkers, and dosing regimens. We also have three PCT applications directed to novel formulations of BXCL701, various dosing regimens, methods of use, combination therapies, and to methods of treating small cell lung cancer. We expect that any patents issuing from the PCT and provisional applications will expire no earlier than 2043 to 2044.</w:t>
      </w:r>
    </w:p>
    <w:p>
      <w:pPr>
        <w:spacing w:after="0" w:line="124"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expect to file additional patent applications in support of current and new immuno-oncology clinical candidates as well as new platform and core technologies. For additional information regarding intellectual property regulations and risks, see above under “—Neuroscience—Neuroscience Intellectual Property” and Part I, Item 1A, “Risk Factors - Risks Related to Our Intellectual Property.”</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Relationship with BioXcel LLC</w:t>
      </w:r>
    </w:p>
    <w:p>
      <w:pPr>
        <w:spacing w:after="0" w:line="189"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As of March 21, 2025, BioXcel LLC holds an ownership interest of approximately 8.8% in the Company and our pipeline compounds were identified by applying our growing internal AI capabilities, along with BioXcel LLC’s EvolverAI, a proprietary pharmaceutical discovery and development engine, for drug re-innovation.</w:t>
      </w:r>
    </w:p>
    <w:p>
      <w:pPr>
        <w:spacing w:after="0" w:line="135" w:lineRule="exact"/>
        <w:rPr>
          <w:sz w:val="20"/>
          <w:szCs w:val="20"/>
          <w:color w:val="auto"/>
        </w:rPr>
      </w:pPr>
    </w:p>
    <w:p>
      <w:pPr>
        <w:jc w:val="both"/>
        <w:ind w:left="60" w:right="199" w:firstLine="324"/>
        <w:spacing w:after="0" w:line="272" w:lineRule="auto"/>
        <w:rPr>
          <w:sz w:val="20"/>
          <w:szCs w:val="20"/>
          <w:color w:val="auto"/>
        </w:rPr>
      </w:pPr>
      <w:r>
        <w:rPr>
          <w:rFonts w:ascii="Times New Roman" w:cs="Times New Roman" w:eastAsia="Times New Roman" w:hAnsi="Times New Roman"/>
          <w:sz w:val="17"/>
          <w:szCs w:val="17"/>
          <w:color w:val="auto"/>
        </w:rPr>
        <w:t>We entered into the Amended and Restated Asset Contribution Agreement (the “Contribution Agreement”), pursuant to which BioXcel LLC, agreed to contribute BioXcel LLC’s rights, title and interest in BXCL501, BXCL701, BXCL502 and BXCL702, and all of the assets and liabilities associated in consideration for (i) 592,500 shares of our common stock,</w:t>
      </w:r>
    </w:p>
    <w:p>
      <w:pPr>
        <w:spacing w:after="0" w:line="2" w:lineRule="exact"/>
        <w:rPr>
          <w:sz w:val="20"/>
          <w:szCs w:val="20"/>
          <w:color w:val="auto"/>
        </w:rPr>
      </w:pPr>
    </w:p>
    <w:p>
      <w:pPr>
        <w:ind w:left="60" w:right="79" w:hanging="10"/>
        <w:spacing w:after="0" w:line="251" w:lineRule="auto"/>
        <w:tabs>
          <w:tab w:leader="none" w:pos="3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upon completion of an initial public offering, (iii) $500,000 upon the later of the 12-month anniversary of an initial public offering and the first dosing of a patient in the bridging bioavailability/bioequivalence study for the BXCL501 program, (iv) $500,000 upon the later of the 12 month anniversary of an initial public offering and the first dosing of a patient in the Phase 2 proof of concept open-label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contributed product candidates or a product derived therefrom. As of December 31, 2024, all of the foregoing have been paid except for (v).</w:t>
      </w:r>
    </w:p>
    <w:p>
      <w:pPr>
        <w:spacing w:after="0" w:line="16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entered into a Separation and Shared Services Agreement with BioXcel LLC that took effect on June 30, 2017, as amended and restated thereafter (the “Services Agreement”), pursuant to which services provided by BioXcel LLC through its subsidiaries in India and the U.S. will continue indefinitely, as agreed upon by the parties. These services include certain intellectual property prosecution and management and research and development activities. The Company had an option, exercisable until December 31, 2024, to enter into a collaborative services agreement with BioXcel LLC pursuant to which BioXcel LLC shall perform product identification and related services for us utilizing EvolverAI, its proprietary pharmaceutical discovery and development engine. To maintain the ability to exercise the foregoing option, pursuant to an amendment to the Services Agreement effective as of April 19, 2022, the Company agreed to pay BioXcel LLC $18,000 per month from March 13, 2023 to December 31, 2024. This option was not exercised. However, BioXcel LLC continues to perform certain administrative services under the terms of the expired contract.</w:t>
      </w:r>
    </w:p>
    <w:p>
      <w:pPr>
        <w:spacing w:after="0" w:line="154"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parties were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payments did not exceed $10 million in the aggregate and were not to be payable prior to proof of concept in humans and</w:t>
      </w:r>
    </w:p>
    <w:p>
      <w:pPr>
        <w:spacing w:after="0" w:line="27" w:lineRule="exact"/>
        <w:rPr>
          <w:sz w:val="20"/>
          <w:szCs w:val="20"/>
          <w:color w:val="auto"/>
        </w:rPr>
      </w:pPr>
    </w:p>
    <w:p>
      <w:pPr>
        <w:jc w:val="both"/>
        <w:ind w:left="60" w:right="199" w:hanging="10"/>
        <w:spacing w:after="0" w:line="255" w:lineRule="auto"/>
        <w:tabs>
          <w:tab w:leader="none" w:pos="3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milestone payments were to be based on reaching annual net sales levels, were to be limited to 3% of the applicable net sales level, and were not exceed $30 million in the aggregate. However, subsequent to December 31, 2024 no development activity has been carried out by BioXcel LLC and none is contemplated.</w:t>
      </w:r>
    </w:p>
    <w:p>
      <w:pPr>
        <w:spacing w:after="0" w:line="15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Service charges recorded under the Services Agreement were $1.3 million for each of the years ended December 31, 2024 and 2023.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Product Approval</w:t>
      </w:r>
    </w:p>
    <w:p>
      <w:pPr>
        <w:spacing w:after="0" w:line="20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drug products. A new drug must be approved by the FDA through the NDA process before it may be legally marketed in the U.S. We, along with any third-party contractors, will be required to navigate the various preclinical, clinical and commercial approval requirements of the governing regulatory agencies of the countries in which we wish to conduct studies or seek approval of our products and product candidates. The process of obtaining regulatory approvals and the subsequent compliance with applicable U.S. federal, state, and local and foreign statutes and regulations require the expenditure of substantial time and financial resources.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 Drug Development Process</w:t>
      </w:r>
    </w:p>
    <w:p>
      <w:pPr>
        <w:spacing w:after="0" w:line="189" w:lineRule="exact"/>
        <w:rPr>
          <w:sz w:val="20"/>
          <w:szCs w:val="20"/>
          <w:color w:val="auto"/>
        </w:rPr>
      </w:pPr>
    </w:p>
    <w:p>
      <w:pPr>
        <w:ind w:left="60" w:right="79" w:firstLine="324"/>
        <w:spacing w:after="0" w:line="312" w:lineRule="auto"/>
        <w:rPr>
          <w:sz w:val="20"/>
          <w:szCs w:val="20"/>
          <w:color w:val="auto"/>
        </w:rPr>
      </w:pPr>
      <w:r>
        <w:rPr>
          <w:rFonts w:ascii="Times New Roman" w:cs="Times New Roman" w:eastAsia="Times New Roman" w:hAnsi="Times New Roman"/>
          <w:sz w:val="17"/>
          <w:szCs w:val="17"/>
          <w:color w:val="auto"/>
        </w:rPr>
        <w:t>In the U.S., the FDA regulates drugs under the federal Food, Drug, and Cosmetic Act (“FDCA”), and its implementing regulations. The process required by the FDA before a drug may be marketed in the U.S. generally involves the following:</w:t>
      </w:r>
    </w:p>
    <w:p>
      <w:pPr>
        <w:spacing w:after="0" w:line="113" w:lineRule="exact"/>
        <w:rPr>
          <w:sz w:val="20"/>
          <w:szCs w:val="20"/>
          <w:color w:val="auto"/>
        </w:rPr>
      </w:pPr>
    </w:p>
    <w:p>
      <w:pPr>
        <w:ind w:left="720" w:right="5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accordance with FDA’s Good Laboratory Practice requirements and other applicable regulations;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84"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clinical trial may be initiated;</w:t>
      </w:r>
    </w:p>
    <w:p>
      <w:pPr>
        <w:spacing w:after="0" w:line="134" w:lineRule="exact"/>
        <w:rPr>
          <w:rFonts w:ascii="Times New Roman" w:cs="Times New Roman" w:eastAsia="Times New Roman" w:hAnsi="Times New Roman"/>
          <w:sz w:val="18"/>
          <w:szCs w:val="18"/>
          <w:color w:val="auto"/>
        </w:rPr>
      </w:pPr>
    </w:p>
    <w:p>
      <w:pPr>
        <w:ind w:left="720" w:right="4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(“GCPs”) to establish the safety and efficacy of the proposed drug for its intended use;</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an NDA after completion of all pivotal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84" w:lineRule="exact"/>
        <w:rPr>
          <w:rFonts w:ascii="Times New Roman" w:cs="Times New Roman" w:eastAsia="Times New Roman" w:hAnsi="Times New Roman"/>
          <w:sz w:val="18"/>
          <w:szCs w:val="18"/>
          <w:color w:val="auto"/>
        </w:rPr>
      </w:pPr>
    </w:p>
    <w:p>
      <w:pPr>
        <w:ind w:left="720" w:right="199" w:hanging="319"/>
        <w:spacing w:after="0" w:line="261"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potential inspection of selected clinical investigation sites to assess compliance with GCPs; and</w:t>
      </w:r>
    </w:p>
    <w:p>
      <w:pPr>
        <w:spacing w:after="0" w:line="139"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specified indications for use in the U.S.</w:t>
      </w:r>
    </w:p>
    <w:p>
      <w:pPr>
        <w:spacing w:after="0" w:line="135"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U.S., a sponsor must submit an IND to the FDA. An IND is a request for allowance from the FDA to administer an investigational new drug product to humans. The central focus of an IND submission is on the general investigational plan and the protocol(s) for clinical studies.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17"/>
          <w:szCs w:val="17"/>
          <w:color w:val="auto"/>
        </w:rPr>
        <w:t>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any clinical trials can begin. Submission of an IND may or may not result in FDA allowance to begin a clinical trial.</w:t>
      </w:r>
    </w:p>
    <w:p>
      <w:pPr>
        <w:spacing w:after="0" w:line="14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among other things,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its investigators for actual or suspected serious and adverse events, along with any findings from other studies suggesting a significant risk to humans exposed to the same or similar drugs and findings from animal or in vitro testing suggesting a significant risk to humans, as well as any clinically important increased incidence of a suspected serious adverse reaction compared to that listed in the protocol or investigator brochure.</w:t>
      </w:r>
    </w:p>
    <w:p>
      <w:pPr>
        <w:spacing w:after="0" w:line="14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a study can move forward at designated check points, based on access to data from the study, and may halt the clinical trial if it determines that there is an unacceptable safety risk for subjects or other for other grounds, such as no demonstration of efficacy.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98" w:lineRule="exact"/>
        <w:rPr>
          <w:sz w:val="20"/>
          <w:szCs w:val="20"/>
          <w:color w:val="auto"/>
        </w:rPr>
      </w:pPr>
    </w:p>
    <w:p>
      <w:pPr>
        <w:ind w:left="720" w:right="25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39"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39"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labeling.</w:t>
      </w:r>
    </w:p>
    <w:p>
      <w:pPr>
        <w:spacing w:after="0" w:line="15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therapeutic indication. In certain instances, the FDA may mandate the performance of Phase 4 clinical trials as a condition of approval of an NDA.</w:t>
      </w:r>
    </w:p>
    <w:p>
      <w:pPr>
        <w:spacing w:after="0" w:line="135"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48" w:lineRule="exact"/>
        <w:rPr>
          <w:sz w:val="20"/>
          <w:szCs w:val="20"/>
          <w:color w:val="auto"/>
        </w:rPr>
      </w:pPr>
    </w:p>
    <w:p>
      <w:pPr>
        <w:ind w:left="60" w:right="359" w:firstLine="324"/>
        <w:spacing w:after="0" w:line="258" w:lineRule="auto"/>
        <w:rPr>
          <w:sz w:val="20"/>
          <w:szCs w:val="20"/>
          <w:color w:val="auto"/>
        </w:rPr>
      </w:pPr>
      <w:r>
        <w:rPr>
          <w:rFonts w:ascii="Times New Roman" w:cs="Times New Roman" w:eastAsia="Times New Roman" w:hAnsi="Times New Roman"/>
          <w:sz w:val="18"/>
          <w:szCs w:val="18"/>
          <w:color w:val="auto"/>
        </w:rPr>
        <w:t>In addition, during the development of a drug, sponsors are given opportunities to periodically meet with or seek feedback from the FDA. These interactions may be requested, for example, prior to submission of an IND, at the end of Phase 2, and before an NDA is submitted. These interactions can provide an opportunity for the sponsor to share information about the data gathered to date, for the FDA to provide advice, and for the sponsor and the FDA to reach alignment on the next phase of development.</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 Review and Approval Process</w:t>
      </w:r>
    </w:p>
    <w:p>
      <w:pPr>
        <w:spacing w:after="0" w:line="20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including results from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4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guidelines that are currently in effect, the FDA has a goal of ten months from the filing date to complete a standard review of an NDA for a drug that is a new molecular entity, and of ten months from the date of NDA receipt to complete a standard review of an NDA for a drug that is not a new molecular entity.</w:t>
      </w:r>
    </w:p>
    <w:p>
      <w:pPr>
        <w:spacing w:after="0" w:line="14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 evaluate and provide a recommendation as to whether the NDA should be approved and under what conditions. The FDA is not bound by the recommendations of an advisory committee, but it considers such recommendations carefully when making decisions.</w:t>
      </w:r>
    </w:p>
    <w:p>
      <w:pPr>
        <w:spacing w:after="0" w:line="153" w:lineRule="exact"/>
        <w:rPr>
          <w:sz w:val="20"/>
          <w:szCs w:val="20"/>
          <w:color w:val="auto"/>
        </w:rPr>
      </w:pPr>
    </w:p>
    <w:p>
      <w:pPr>
        <w:jc w:val="both"/>
        <w:ind w:left="60" w:right="199" w:firstLine="324"/>
        <w:spacing w:after="0" w:line="281" w:lineRule="auto"/>
        <w:rPr>
          <w:sz w:val="20"/>
          <w:szCs w:val="20"/>
          <w:color w:val="auto"/>
        </w:rPr>
      </w:pPr>
      <w:r>
        <w:rPr>
          <w:rFonts w:ascii="Times New Roman" w:cs="Times New Roman" w:eastAsia="Times New Roman" w:hAnsi="Times New Roman"/>
          <w:sz w:val="17"/>
          <w:szCs w:val="17"/>
          <w:color w:val="auto"/>
        </w:rPr>
        <w:t>Before approving an NDA, the FDA will typically inspect the facility or facilities where the product is manufactured. The FDA will not approve an application unless it determines that the manufacturing processes and facilities comply with cGMP and are adequate to assure consistent production of the product within required specifications. Additionally, before approving an NDA, the FDA will typically inspect one or more clinical trial sites to assure compliance with GCPs.</w:t>
      </w:r>
    </w:p>
    <w:p>
      <w:pPr>
        <w:spacing w:after="0" w:line="124"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and sale of the product with specific prescribing information for specific indications. A CRL usually describes the specific deficiencies in the NDA identified by the FDA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and may require additional clinical data, including additional clinical trials, or other significant and time-consuming requirements related to clinical trials, nonclinical studies or manufacturing. If a CRL is issued, the sponsor must resubmit the NDA or, address all of the deficiencies identified in the letter, or withdraw the application. Even if such data and information are submitted, the FDA may decide that the NDA does not satisfy the criteria for approval.</w:t>
      </w:r>
    </w:p>
    <w:p>
      <w:pPr>
        <w:spacing w:after="0" w:line="15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specific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post-market studies and additional surveillance programs to further assess and monitor the product’s safety and effectiveness after commercialization and may limit further marketing of the product based on the results of these post-marketing studies.</w:t>
      </w:r>
    </w:p>
    <w:p>
      <w:pPr>
        <w:spacing w:after="0" w:line="15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Expedited Development and Review Programs</w:t>
      </w:r>
    </w:p>
    <w:p>
      <w:pPr>
        <w:spacing w:after="0" w:line="202"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FDA offers expedited development and review programs for qualifying product candidates. For example, the Fast Track program is intended to expedite or facilitate the process for reviewing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NDA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Breakthrough Therapy designation includes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51" w:lineRule="exact"/>
        <w:rPr>
          <w:sz w:val="20"/>
          <w:szCs w:val="20"/>
          <w:color w:val="auto"/>
        </w:rPr>
      </w:pPr>
    </w:p>
    <w:p>
      <w:pPr>
        <w:ind w:left="60" w:right="299" w:firstLine="324"/>
        <w:spacing w:after="0" w:line="281" w:lineRule="auto"/>
        <w:rPr>
          <w:sz w:val="20"/>
          <w:szCs w:val="20"/>
          <w:color w:val="auto"/>
        </w:rPr>
      </w:pPr>
      <w:r>
        <w:rPr>
          <w:rFonts w:ascii="Times New Roman" w:cs="Times New Roman" w:eastAsia="Times New Roman" w:hAnsi="Times New Roman"/>
          <w:sz w:val="17"/>
          <w:szCs w:val="17"/>
          <w:color w:val="auto"/>
        </w:rPr>
        <w:t>Any application for a drug submitted to the FDA for approval, including a product candidate with a Fast Track designation and/or Breakthrough Therapy designation, may be eligible for other FDA review programs intended to expedite the FDA review and approval process, such as priority review. An NDA is eligible for priority review if the product candidate is designed to treat a serious or life-threatening disease or condition, and if approved, would provide a</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significant improvement in safety or effectiveness compared to available alternatives for such disease or condition. For new-molecular-entity NDAs, priority review designation means the FDA’s goal is to take action on the application within six months of the 60-day filing date, or with respect to non-new-molecular-entity NDAs, within six months of the NDA receipt date.</w:t>
      </w:r>
    </w:p>
    <w:p>
      <w:pPr>
        <w:spacing w:after="0" w:line="15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studies,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accelerated approval. Products receiving accelerated approval may be subject to expedited withdrawal procedures if the sponsor fails to conduct the required confirmatory studies or if such studies fail to verify the predicted clinical benefit. In addition, the FDA currently requires pre-approval of promotional materials as a condition for accelerated approval, which could adversely impact the timing of the commercial launch of the relevant product.</w:t>
      </w:r>
    </w:p>
    <w:p>
      <w:pPr>
        <w:spacing w:after="0" w:line="147"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such designations may expedite the development or approval process. Even if a product candidate qualifies for one or more of these programs, the FDA may later decide that the product no longer meets the conditions to qualify for such program or may decide that the time period for FDA review or approval will not be shortened.</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Orphan Drug Designation and Exclusivity</w:t>
      </w:r>
    </w:p>
    <w:p>
      <w:pPr>
        <w:spacing w:after="0" w:line="20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in the U.S. will be recovered from sales in the U.S. for that drug. Orphan drug designation must be requested before submitting an NDA. After the FDA grants orphan drug designation, the generic identity of the therapeutic agent and its potential orphan use are disclosed publicly by the FDA.</w:t>
      </w:r>
    </w:p>
    <w:p>
      <w:pPr>
        <w:spacing w:after="0" w:line="14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costs and a waiver of the NDA user fee.</w:t>
      </w:r>
    </w:p>
    <w:p>
      <w:pPr>
        <w:spacing w:after="0" w:line="14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89" w:lineRule="exact"/>
        <w:rPr>
          <w:sz w:val="20"/>
          <w:szCs w:val="20"/>
          <w:color w:val="auto"/>
        </w:rPr>
      </w:pPr>
    </w:p>
    <w:p>
      <w:pPr>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Drug products manufactured or distributed pursuant to FDA approvals are subject to pervasive and continuing regulation by the FDA, including, among other things, requirements relating to record-keeping, reporting of adverse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events,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50"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47" w:lineRule="exact"/>
        <w:rPr>
          <w:sz w:val="20"/>
          <w:szCs w:val="20"/>
          <w:color w:val="auto"/>
        </w:rPr>
      </w:pPr>
    </w:p>
    <w:p>
      <w:pPr>
        <w:ind w:left="720" w:right="49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84"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 care programs;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84" w:lineRule="exact"/>
        <w:rPr>
          <w:rFonts w:ascii="Times New Roman" w:cs="Times New Roman" w:eastAsia="Times New Roman" w:hAnsi="Times New Roman"/>
          <w:sz w:val="18"/>
          <w:szCs w:val="18"/>
          <w:color w:val="auto"/>
        </w:rPr>
      </w:pPr>
    </w:p>
    <w:p>
      <w:pPr>
        <w:ind w:left="720" w:right="83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Hatch-Waxman Act</w:t>
      </w:r>
    </w:p>
    <w:p>
      <w:pPr>
        <w:spacing w:after="0" w:line="20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 In seeking approval for a drug through an NDA, applicants are required to list with the FDA each patent with claims that cover the applicant's drug or a method of using the drug. Upon approval of a drug, each of the patents listed in the application for the drug is then published in the FDA's Orange Book. Drugs listed in the Orange Book can, in turn, be cited by potential competitors in support of approval of an ANDA or 505(b)(2) NDA.</w:t>
      </w:r>
    </w:p>
    <w:p>
      <w:pPr>
        <w:spacing w:after="0" w:line="149"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Upon submission of an ANDA or a 505(b)(2) NDA, an applicant must certify to the FDA that (1) no patent information on the drug product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Generally, the ANDA or 505(b)(2) NDA cannot be approved until all listed patents have expired, except where the ANDA or 505(b)(2) NDA applicant challenges a listed patent through the last type of certification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to the FDA,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w:t>
      </w:r>
    </w:p>
    <w:p>
      <w:pPr>
        <w:spacing w:after="0" w:line="149" w:lineRule="exact"/>
        <w:rPr>
          <w:sz w:val="20"/>
          <w:szCs w:val="20"/>
          <w:color w:val="auto"/>
        </w:rPr>
      </w:pPr>
    </w:p>
    <w:p>
      <w:pPr>
        <w:ind w:left="60" w:right="179" w:firstLine="324"/>
        <w:spacing w:after="0" w:line="253" w:lineRule="auto"/>
        <w:rPr>
          <w:sz w:val="20"/>
          <w:szCs w:val="20"/>
          <w:color w:val="auto"/>
        </w:rPr>
      </w:pPr>
      <w:r>
        <w:rPr>
          <w:rFonts w:ascii="Times New Roman" w:cs="Times New Roman" w:eastAsia="Times New Roman" w:hAnsi="Times New Roman"/>
          <w:sz w:val="18"/>
          <w:szCs w:val="18"/>
          <w:color w:val="auto"/>
        </w:rPr>
        <w:t>The Hatch-Waxman Act establishes periods of non-patent regulatory exclusivity for certain approved drug products, during which the FDA cannot approve (or in some cases accept) an ANDA or 505(b)(2) application that relies on the branded reference drug. For example, the holder of an NDA, including a 505(b)(2) NDA, may obtain five years of non-patent data exclusivity upon approval of a new drug containing new chemical entities that have not been previously approved by the FDA.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non-infringement. The Hatch-Waxman Act also provides three years of non-patent exclusivity to the holder of an NDA (including a 505(b)(2) NDA) for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particular condition of approval, or change to a marketed product, such as a new formulation for a previously approved product, if one or more new clinical studies (other than bioavailability or bioequivalence studies) was essential to the approval of the application and was conducted or sponsored by the applicant. This three-year exclusivity period protects against FDA approval of ANDAs and 505(b)(2) NDAs for the condition of the new drug's approval. As a general matter, the three-year exclusivity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FDA Approval and Regulation of Medical Devices and Companion Diagnostics</w:t>
      </w:r>
    </w:p>
    <w:p>
      <w:pPr>
        <w:spacing w:after="0" w:line="189"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safe and effective use of a therapeutic depends on an in vitro diagnostic, then the FDA generally will require approval or clearance of that diagnostic, known as a companion diagnostic, at the same time that the FDA approves the therapeutic product. In August 2014, the FDA issued final guidance clarifying the requirements that apply to approval of therapeutic products and in vitro companion diagnostics. According to the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device is not approved or cleared for that indication. Approval or clearance of the companion diagnostic device will ensure that the device has been adequately evaluated and has adequate performance characteristics in the intended population.</w:t>
      </w:r>
    </w:p>
    <w:p>
      <w:pPr>
        <w:spacing w:after="0" w:line="151"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Under the FDCA, in vitro diagnostics, including companion diagnostics, are regulated as medical devices. In the U.S.,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medical devices, including companion diagnostic tests, require marketing clearance or approval from the FDA prior to commercial distribution.</w:t>
      </w:r>
    </w:p>
    <w:p>
      <w:pPr>
        <w:spacing w:after="0" w:line="160"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two primary types of FDA marketing authorization applicable to a medical device are premarket notification (“510(k) clearance”) and premarket approval (“PMA”). To obtain 510(k) clearance, a manufacturer must submit to the FDA a premarket notification submission demonstrating that the proposed device is “substantially equivalent” to a legally marketed predicate device. The FDA’s 510(k) clearance process usually takes from three to twelve months but may take longer. The FDA may require additional information, including clinical data, to make a determination regarding substantial equivalence.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(i.e., high-risk)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51"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After a device receives 510(k) clearance, any modification that could significantly affect its safety or effectiveness, or that would constitute a major change or modification in its intended use, will require a new 510(k) clearance or depending on the modification, approval of a PMA application or de novo classification. The FDA requires each manufacturer to determine whether the proposed change requires submission of a 510(k), de novo classification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it receives 510(k) clearance, approval of a PMA application, or issuance of a de novo classification. Also, in these circumstances, the manufacturer may be subject to significant regulatory fines or penalties.</w:t>
      </w:r>
    </w:p>
    <w:p>
      <w:pPr>
        <w:spacing w:after="0" w:line="131"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QSR which imposes elaborate testing, control, documentation and other quality assurance requirements.</w:t>
      </w:r>
    </w:p>
    <w:p>
      <w:pPr>
        <w:spacing w:after="0" w:line="156"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Approval of a PMA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approval may be withdrawn by the FDA if compliance with post approval requirements, conditions of approval or other regulatory standards are not maintained, or problems are identified following initial marketing.</w:t>
      </w:r>
    </w:p>
    <w:p>
      <w:pPr>
        <w:spacing w:after="0" w:line="15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U.S.</w:t>
      </w:r>
    </w:p>
    <w:p>
      <w:pPr>
        <w:spacing w:after="0" w:line="148"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In January 2024, the FDA announced that it intends to initiate the process to reclassify most in vitro diagnostic tests (“IVDs”) that are currently Class III into Class II, including companion diagnostics. If such reclassification efforts occur, any companion diagnostics that are the subject of the down-classification may no longer require premarket approval, but rather may become subject to the generally less burdensome 510(k) clearance process.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International Regulations</w:t>
      </w:r>
    </w:p>
    <w:p>
      <w:pPr>
        <w:spacing w:after="0" w:line="18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U.S., we are and will be subject to a variety of regulations in other jurisdictions governing, among other things, clinical trials, marketing authorization, post-marketing requirements, and any commercial sales and distribution of our products. We must obtain the requisite approvals from regulatory authorities in foreign countries prior to the commencement of clinical trials or marketing of any products in those countries. The requirements and process governing the conduct of clinical trials,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Non-Clinical Studies and Clinical Trials</w:t>
      </w:r>
    </w:p>
    <w:p>
      <w:pPr>
        <w:spacing w:after="0" w:line="202"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Similar to the U.S., the various phases of non-clinical and clinical research in the EU are subject to significant regulatory controls.</w:t>
      </w:r>
    </w:p>
    <w:p>
      <w:pPr>
        <w:spacing w:after="0" w:line="121" w:lineRule="exact"/>
        <w:rPr>
          <w:sz w:val="20"/>
          <w:szCs w:val="20"/>
          <w:color w:val="auto"/>
        </w:rPr>
      </w:pPr>
    </w:p>
    <w:p>
      <w:pPr>
        <w:jc w:val="both"/>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Non-clinical studies are performed to demonstrate the health or environmental safety of new chemical or biological substances. Non-clinical (pharmaco-toxicological) studies must be conducted in compliance with the principles of good laboratory practice (“GLP”) as set forth in EU Directive 2004/10/EC (unless otherwise justified for certain particular</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medicinal products,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56"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47"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47"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16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143"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to any future MA application (“MAA”) of the product concerned.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Marketing Authorization</w:t>
      </w:r>
    </w:p>
    <w:p>
      <w:pPr>
        <w:spacing w:after="0" w:line="20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order to market our product candidates in the EU and many other foreign jurisdictions, we must obtain separate regulatory approvals. More concretely, in the EU, medicinal products candidates can only be placed on the market after obtaining a MA. To obtain regulatory approval of a product candidate in the EU, we must submit a MAA. The process for doing this depends, among other things, on the nature of the medicinal product. There are two types of MAs:</w:t>
      </w:r>
    </w:p>
    <w:p>
      <w:pPr>
        <w:spacing w:after="0" w:line="139" w:lineRule="exact"/>
        <w:rPr>
          <w:sz w:val="20"/>
          <w:szCs w:val="20"/>
          <w:color w:val="auto"/>
        </w:rPr>
      </w:pPr>
    </w:p>
    <w:p>
      <w:pPr>
        <w:jc w:val="both"/>
        <w:ind w:left="720" w:right="539" w:hanging="319"/>
        <w:spacing w:after="0" w:line="312" w:lineRule="auto"/>
        <w:tabs>
          <w:tab w:leader="none" w:pos="7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“Centralized MA”: are issued by the European Commission through the centralized procedure based on the opinion of the EMA’s CHMP and are valid throughout the EU. The centralized procedure is compulsory for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spacing w:after="0" w:line="254" w:lineRule="auto"/>
        <w:rPr>
          <w:sz w:val="20"/>
          <w:szCs w:val="20"/>
          <w:color w:val="auto"/>
        </w:rPr>
      </w:pPr>
      <w:r>
        <w:rPr>
          <w:rFonts w:ascii="Times New Roman" w:cs="Times New Roman" w:eastAsia="Times New Roman" w:hAnsi="Times New Roman"/>
          <w:sz w:val="18"/>
          <w:szCs w:val="18"/>
          <w:color w:val="auto"/>
        </w:rPr>
        <w:t>certain types of medicinal products such as (i) medicinal products derived from biotechnology processes, such as genetic engineering, (ii) medicinal products containing a new active substance indicated for the treatment of certain diseases, such as HIV or AIDS, cancer, diabetes, neurodegenerative diseases, autoimmune and other immune dysfunctions and viral diseases, (iii) designated orphan medicinal products,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w:t>
      </w:r>
    </w:p>
    <w:p>
      <w:pPr>
        <w:spacing w:after="0" w:line="165" w:lineRule="exact"/>
        <w:rPr>
          <w:sz w:val="20"/>
          <w:szCs w:val="20"/>
          <w:color w:val="auto"/>
        </w:rPr>
      </w:pPr>
    </w:p>
    <w:p>
      <w:pPr>
        <w:ind w:left="720" w:right="99" w:hanging="319"/>
        <w:spacing w:after="0" w:line="254"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 are issued by the competent authorities of the EU member states, only cover their respective territory, and are available for product candidates not falling within the mandatory scope of the centralized MAs.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51"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 MAA by the EMA is 210 days. This excludes so-called clock stops, during which additional written or oral information is to be provided by the applicant in response to questions asked by the CHMP. At the end of the review period, the CHMP provides an opinion to the European Commission. If this opinion is favorable, the European Commission may then adopt a decision to grant an MA.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53"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Data and Marketing Exclusivity</w:t>
      </w:r>
    </w:p>
    <w:p>
      <w:pPr>
        <w:spacing w:after="0" w:line="202"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EU also provides opportunities for market exclusivity. Upon receiving an MA, reference product generally receives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Orphan Medicinal Products</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U.S.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w:t>
      </w:r>
    </w:p>
    <w:p>
      <w:pPr>
        <w:spacing w:after="0" w:line="162" w:lineRule="exact"/>
        <w:rPr>
          <w:sz w:val="20"/>
          <w:szCs w:val="20"/>
          <w:color w:val="auto"/>
        </w:rPr>
      </w:pPr>
    </w:p>
    <w:p>
      <w:pPr>
        <w:jc w:val="both"/>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The application for orphan drug designation must be submitted before the MAA. Orphan designation entitles a party to incentives such as fee reductions or fee waivers, protocol assistance, and access to the Centralized MA process. Upon grant of a MA, orphan medicinal products are entitled to 10 years of market exclusivity for the approved therapeutic indication.</w:t>
      </w:r>
    </w:p>
    <w:p>
      <w:pPr>
        <w:spacing w:after="0" w:line="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10-year market exclusivity period, the competent authorities cannot accept a MAA, or grant a MA, or accept an application to extend a MA, for the same indication, in respect of a similar medicinal product. The period of market exclusivity is extended by two years for orphan medicinal products that have also complied with an agreed pediatric investigation plan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149"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147"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62"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Iceland, Liechtenstein, Norway, Switzerland and Turkey, as well as cooperating countries Albania, Bosnia and Herzegovina, Kosovo, Montenegro, North Macedonia, and Serbia.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81" w:lineRule="auto"/>
        <w:rPr>
          <w:sz w:val="20"/>
          <w:szCs w:val="20"/>
          <w:color w:val="auto"/>
        </w:rPr>
      </w:pPr>
      <w:r>
        <w:rPr>
          <w:rFonts w:ascii="Times New Roman" w:cs="Times New Roman" w:eastAsia="Times New Roman" w:hAnsi="Times New Roman"/>
          <w:sz w:val="17"/>
          <w:szCs w:val="17"/>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however new legislation such as the EU CTR is not applicable in Great Britain (“GB”).</w:t>
      </w:r>
    </w:p>
    <w:p>
      <w:pPr>
        <w:spacing w:after="0" w:line="13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Trade and Cooperation Agreement (“TCA”) became effective on January 1, 2021. The TCA includes specific provisions concerning pharmaceuticals, which include the mutual recognition of Good Manufacturing Practice (“GMP”) inspections of manufacturing facilities for medicinal products and GMP documents issued, but does not foresee wholesale mutual recognition of UK and EU pharmaceutical regulations.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Foreign Regulations</w:t>
      </w:r>
    </w:p>
    <w:p>
      <w:pPr>
        <w:spacing w:after="0" w:line="189" w:lineRule="exact"/>
        <w:rPr>
          <w:sz w:val="20"/>
          <w:szCs w:val="20"/>
          <w:color w:val="auto"/>
        </w:rPr>
      </w:pPr>
    </w:p>
    <w:p>
      <w:pPr>
        <w:jc w:val="both"/>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For other countries outside of Europe, such as countries in Eastern Europe, Latin America, or Asia, the requirements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53"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Regulation of Companion Diagnostics</w:t>
      </w:r>
    </w:p>
    <w:p>
      <w:pPr>
        <w:spacing w:after="0" w:line="18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In the EU, in vitro diagnostic medical devices were regulated by Directive 98/79/EC, which regulated the placing on the market, the CE marking, the essential requirements, the conformity assessment procedures, the registration obligations for manufacturers and devices, as well as the vigilance procedure. In vitro diagnostic medical devices had to comply with the requirements provided for in the Directive, and with further requirements implemented at national level (as the case may be).</w:t>
      </w:r>
    </w:p>
    <w:p>
      <w:pPr>
        <w:spacing w:after="0" w:line="156"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regulation of companion diagnostics is subject to further requirements since in-vitro medical diagnostic devices Regulation (No 2017/746) (“IVDR”) became applicable on May 26, 2022. The IVDR applies since May 26, 2022, but there is a tiered system extending the grace period for many devices (depending on their risk classification) before they have to be fully compliant with the Regulation.</w:t>
      </w:r>
    </w:p>
    <w:p>
      <w:pPr>
        <w:spacing w:after="0" w:line="139" w:lineRule="exact"/>
        <w:rPr>
          <w:sz w:val="20"/>
          <w:szCs w:val="20"/>
          <w:color w:val="auto"/>
        </w:rPr>
      </w:pPr>
    </w:p>
    <w:p>
      <w:pPr>
        <w:ind w:left="60" w:right="79" w:firstLine="369"/>
        <w:spacing w:after="0" w:line="254" w:lineRule="auto"/>
        <w:rPr>
          <w:sz w:val="20"/>
          <w:szCs w:val="20"/>
          <w:color w:val="auto"/>
        </w:rPr>
      </w:pPr>
      <w:r>
        <w:rPr>
          <w:rFonts w:ascii="Times New Roman" w:cs="Times New Roman" w:eastAsia="Times New Roman" w:hAnsi="Times New Roman"/>
          <w:sz w:val="18"/>
          <w:szCs w:val="18"/>
          <w:color w:val="auto"/>
        </w:rPr>
        <w:t>The IVDR introduced a new classification system for companion diagnostics, which are now specifically defined as diagnostic tests that support the safe and effective use of a specific medicinal product, by identifying patients that are suitable or unsuitable for treatment.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process for the authorization of medicines, or the medicinal product is already authorized through the centralized procedure process, or an MAA for the medicinal product has been submitted through the centralized procedure process. For other substances, the notified body can seek the opinion from a national competent authority or the EMA.</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aforementioned EU rules are generally applicable in the EEA.</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drug products for which we obtain regulatory approval. In the U.S. and other countries, sales of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FDA-approved drugs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6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new products are facing increasingly high barriers to entry. In addition, in some countries, cross-border imports from low-priced markets exert a commercial pressure on pricing within a country.</w:t>
      </w:r>
    </w:p>
    <w:p>
      <w:pPr>
        <w:spacing w:after="0" w:line="149"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The marketability of products for which we receive regulatory approval for commercial sale may suffer if the government and third-party payors fail to provide adequate coverage and reimbursement. In addition, an increasing emphasis on managed care in the U.S. has increased and we expect will continue to increase the pressure on pharmaceutical pricing. Coverage policies and third-party reimbursement rates may change at any time. Even if favorable coverage and reimbursement status is secured for one or more products for which we receive regulatory approval, less favorable coverage policies and reimbursement rates may be implemented in the future.</w:t>
      </w:r>
    </w:p>
    <w:p>
      <w:pPr>
        <w:spacing w:after="0" w:line="147"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To raise sufficient financial resources to commercialize our approved products and continue to advance our product candidates, we will need to address pricing pressures and potential third-party reimbursement coverage for our approved products and product candidates. In the U.S. and elsewhere, sales of pharmaceutical products depend in significant part on the availability of reimbursement to the consumer from third-party payors, such as government payors, like Medicare and Medicaid, and private insurance plans. Third-party payors are increasingly challenging the prices charged for medical products and services. It is and will continue to be time consuming and expensive for us or our strategic collaborators to go through the process of seeking reimbursement from Medicare and private payors. Our products may not be considered cost-effective, and coverage and reimbursement may not be available or sufficient to allow us to sell our products on a competitive and profitable basis.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89"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7"/>
          <w:szCs w:val="17"/>
          <w:color w:val="auto"/>
        </w:rPr>
        <w:t>We participate in the Medicaid Drug Rebate Program and other federal and state government pricing programs in the U.S., and we may participate in additional government pricing programs in the future. The U.S. government and other governments have shown significant interest in pursuing health care reform, which has resulted in changes to these programs and impacts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our product candidates that may be approved. For example, in March 2010, the Patient Protection and Affordable Care Act (“ACA”) was enacted and substantially changed the way health care is financed in the U.S. by both government and private insurers. Among other cost containment measures, the ACA established:</w:t>
      </w:r>
    </w:p>
    <w:p>
      <w:pPr>
        <w:spacing w:after="0" w:line="149" w:lineRule="exact"/>
        <w:rPr>
          <w:sz w:val="20"/>
          <w:szCs w:val="20"/>
          <w:color w:val="auto"/>
        </w:rPr>
      </w:pPr>
    </w:p>
    <w:p>
      <w:pPr>
        <w:ind w:left="720" w:right="31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34"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pharmaceutical manufacturers who wish to have their drugs covered under Part D must offer discounts to eligible beneficiaries during their coverage gap period, or the “donut hole”;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w:t>
      </w:r>
    </w:p>
    <w:p>
      <w:pPr>
        <w:spacing w:after="0" w:line="198" w:lineRule="exact"/>
        <w:rPr>
          <w:sz w:val="20"/>
          <w:szCs w:val="20"/>
          <w:color w:val="auto"/>
        </w:rPr>
      </w:pPr>
    </w:p>
    <w:p>
      <w:pPr>
        <w:ind w:left="60" w:right="159" w:firstLine="324"/>
        <w:spacing w:after="0" w:line="259"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without specifically ruling on the constitutionality of the ACA. Thus, the ACA will remain in effect in its current form. In addition, we expect that federal, state, and local governments in the U.S. will continue to consider legislation to limit the growth of health care costs, including the cost of prescription drugs. Future legislation could limit payments for pharmaceuticals such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are developing.</w:t>
      </w:r>
    </w:p>
    <w:p>
      <w:pPr>
        <w:spacing w:after="0" w:line="3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which will remain in effect through 2032, absent additional congressional action.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More recently, in March 2021, Congress enacted the American Rescue Plan Act of 2021, which, among other things, eliminated the statutory Medicaid drug rebate cap, effective January 1, 2024. The rebate was previously capped at a drugs average manufacturer price.</w:t>
      </w:r>
    </w:p>
    <w:p>
      <w:pPr>
        <w:spacing w:after="0" w:line="14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65"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individual U.S.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spacing w:after="0" w:line="135" w:lineRule="exact"/>
        <w:rPr>
          <w:sz w:val="20"/>
          <w:szCs w:val="20"/>
          <w:color w:val="auto"/>
        </w:rPr>
      </w:pPr>
    </w:p>
    <w:p>
      <w:pPr>
        <w:ind w:left="60" w:right="199" w:firstLine="324"/>
        <w:spacing w:after="0" w:line="237" w:lineRule="auto"/>
        <w:rPr>
          <w:sz w:val="20"/>
          <w:szCs w:val="20"/>
          <w:color w:val="auto"/>
        </w:rPr>
      </w:pPr>
      <w:r>
        <w:rPr>
          <w:rFonts w:ascii="Times New Roman" w:cs="Times New Roman" w:eastAsia="Times New Roman" w:hAnsi="Times New Roman"/>
          <w:sz w:val="18"/>
          <w:szCs w:val="18"/>
          <w:color w:val="auto"/>
        </w:rPr>
        <w:t>Future legislation could limit payments for pharmaceuticals such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are developing.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 The implementation of cost-containment measures or other healthcare reforms may prevent us from being able to generate revenue, attain profitability, or commercialize our products.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Other Health Care Laws and Compliance Requirements</w:t>
      </w:r>
    </w:p>
    <w:p>
      <w:pPr>
        <w:spacing w:after="0" w:line="202"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For approved products, we may be subject to various federal, state, and foreign laws targeting fraud and abuse in the health care industry. Such laws include, without limitation, U.S. federal and state anti-kickback, fraud and abuse, false claims, consumer fraud, and transparency laws and regulations with respect to drug pricing and payments and other transfers of value made to physicians and other health care professionals, as well as similar foreign laws in jurisdictions outside the U.S.</w:t>
      </w:r>
    </w:p>
    <w:p>
      <w:pPr>
        <w:spacing w:after="0" w:line="143"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 care program, such as the Medicare and Medicaid programs. A person or entity does not need to have actual knowledge of this statute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or specific intent to violate it in order to have committed a violation. Many states have adopted laws similar to the federal Anti-Kickback Statute, some of which apply to the referral of patients for health care items or services reimbursed by any source, not only the Medicare and Medicaid programs.</w:t>
      </w:r>
    </w:p>
    <w:p>
      <w:pPr>
        <w:spacing w:after="0" w:line="14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The federal False Claims Act imposes liability on any person who, among other things, knowingly presents, or causes to be presented, a false or fraudulent claim for payment by a federal health care program. In addition, the government may assert that a claim including items or services resulting from a violation of the federal Anti-Kickback Statute constitutes a false or fraudulent claim for purposes of the False Claims Act.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third-party payer and not merely a federal health care program. When an entity is determined to have violated the False Claims Act, it may be required to pay up to three times the actual damages sustained by the government, plus significant civil penalties for each separate false claim.</w:t>
      </w:r>
    </w:p>
    <w:p>
      <w:pPr>
        <w:spacing w:after="0" w:line="154"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Also, the Health Insurance Portability and Accountability Act of 1996 (“HIPAA”) created several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 Similar to the federal Anti-Kickback Statute, a person or entity does not need to have actual knowledge of this statute or specific intent to violate it in order to have committed a violation.</w:t>
      </w:r>
    </w:p>
    <w:p>
      <w:pPr>
        <w:spacing w:after="0" w:line="14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Physician Payment Sunshine Act (the “Sunshine Act”), which was enacted as part of the ACA, requires applicable manufacturers of drugs, devices, biologicals, or medical supplies covered under Medicare, Medicaid or the Children’s Health Insurance Program, to report annually to the Secretary of the Department of Health and Human Services payments or other transfers of value made by that entity, or by a third-party as directed by that entity, to physicians (defined to include doctors, dentists, optometrists, podiatrists, and chiropractors), certain non-physician providers including physician assistants and nurse practitioners, and teaching hospitals, or to third parties on behalf of such providers, as well as ownership and investment interests held by physicians and their immediate family members during the course of the preceding calendar year. Failure to comply with the reporting requirements can result in significant civil monetary penalties for any payment or other transfer of value that is not reported.</w:t>
      </w:r>
    </w:p>
    <w:p>
      <w:pPr>
        <w:spacing w:after="0" w:line="161"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Moreover, analogous state and foreign laws and regulations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 care providers, many of which differ from each other in significant ways, thus further complicating compliance efforts; and restrict marketing practices or require disclosure of marketing expenditures and pricing information.</w:t>
      </w:r>
    </w:p>
    <w:p>
      <w:pPr>
        <w:spacing w:after="0" w:line="147" w:lineRule="exact"/>
        <w:rPr>
          <w:sz w:val="20"/>
          <w:szCs w:val="20"/>
          <w:color w:val="auto"/>
        </w:rPr>
      </w:pPr>
    </w:p>
    <w:p>
      <w:pPr>
        <w:ind w:left="60" w:right="419" w:firstLine="324"/>
        <w:spacing w:after="0" w:line="261" w:lineRule="auto"/>
        <w:rPr>
          <w:sz w:val="20"/>
          <w:szCs w:val="20"/>
          <w:color w:val="auto"/>
        </w:rPr>
      </w:pPr>
      <w:r>
        <w:rPr>
          <w:rFonts w:ascii="Times New Roman" w:cs="Times New Roman" w:eastAsia="Times New Roman" w:hAnsi="Times New Roman"/>
          <w:sz w:val="18"/>
          <w:szCs w:val="18"/>
          <w:color w:val="auto"/>
        </w:rPr>
        <w:t>Violations of any of these laws or any other governmental laws and regulations that may apply include, without limitation, significant civil, criminal and administrative penalties, damages, fines, imprisonment, exclusion of products from government funded health care programs, such as Medicare and Medicaid, disgorgement, contractual damages, reputational harm, diminished profits, and the curtailment or restructuring of our operations.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Data Privacy &amp; Security</w:t>
      </w:r>
    </w:p>
    <w:p>
      <w:pPr>
        <w:spacing w:after="0" w:line="20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In addition, certain state and non-U.S. laws, such as the California Consumer Privacy Act (“CCPA”), the California Privacy Rights Act (“CPRA”), and the EU General Data Protection Regulation (“GDPR”), govern the privacy and security of personal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Additionally, our use of AI and machine learning may be subject to laws and evolving regulations regarding the use of AI or machine learning, controlling for data bias, and anti-discrimination.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Employees</w:t>
      </w:r>
    </w:p>
    <w:p>
      <w:pPr>
        <w:spacing w:after="0" w:line="189" w:lineRule="exact"/>
        <w:rPr>
          <w:sz w:val="20"/>
          <w:szCs w:val="20"/>
          <w:color w:val="auto"/>
        </w:rPr>
      </w:pPr>
    </w:p>
    <w:p>
      <w:pPr>
        <w:ind w:left="60" w:right="99" w:firstLine="324"/>
        <w:spacing w:after="0" w:line="241" w:lineRule="auto"/>
        <w:rPr>
          <w:sz w:val="20"/>
          <w:szCs w:val="20"/>
          <w:color w:val="auto"/>
        </w:rPr>
      </w:pPr>
      <w:r>
        <w:rPr>
          <w:rFonts w:ascii="Times New Roman" w:cs="Times New Roman" w:eastAsia="Times New Roman" w:hAnsi="Times New Roman"/>
          <w:sz w:val="18"/>
          <w:szCs w:val="18"/>
          <w:color w:val="auto"/>
        </w:rPr>
        <w:t>In August 2023, our Board of Directors approved the Reprioritization. Following a comprehensive review of the business, we determined to focus on high-potential agitation-market opportunities using our innovative, AI-based clinical drug development platforms. Our goal was to reduce more than 50% of our cash burn, as compared to our cash burn levels during the second quarter of 2023, to approximately $80 million on a go-forward annualized basis. As part of the Reprioritization, our Board of Directors approved a reduction of approximately 60% of our workforce, from approximately 190 to 80 employees. These actions also included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deemed core to our business, and a shift in focus to develop BXCL501 for use in the at-home setting in the treatment of agitation in schizophrenia, bipolar disorders, and in patients with mild to moderate dementia due to probable Alzheimer’s disease.</w:t>
      </w:r>
    </w:p>
    <w:p>
      <w:pPr>
        <w:spacing w:after="0" w:line="170"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May,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recorded total restructuring costs of $0.9 million for the three months ended June 30, 2024. These costs consisted of severance and benefit costs, all of which were paid during the three month period ended June 30, 2024.</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In September, 2024, the Company approved a plan for an additional reduction its workforce by 15 employees, or approximately 28% of the Company’s headcount (the “Clinical Prioritization”), in order to extend its cash runway and prioritize investment on the clinical development of its lead neuroscience asset, BXCL501. The Company recorded total restructuring costs of $1.6 million for the three months ended September 30, 2024. These costs also consisted of severance and benefit costs. The Company completed the Clinical Prioritization in October 2024, and commenced payments which are expected to be completed in the first quarter of 2025.</w:t>
      </w:r>
    </w:p>
    <w:p>
      <w:pPr>
        <w:spacing w:after="0" w:line="18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We recorded restructuring costs of $2.4 million and $4.2 million in the years ended December 31, 2024 and 2023, respectively, including severance and benefit costs of $4.1 million and contract termination costs of $0.1 million, substantially all of which were paid in 2023. As of December 31, 2024 and 2023, respectively, we had 37 and 74 full-time employees.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Culture</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success of our human capital management investments is evidenced by our low employee turnover, despite the difficult restructuring actions recently taken, and is regularly reviewed by our Board of Directors as part of their oversight of our human capital strategy.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 Talent Development &amp; Benefits</w:t>
      </w:r>
    </w:p>
    <w:p>
      <w:pPr>
        <w:spacing w:after="0" w:line="18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largely depends upon our continued ability to attract and retain highly skilled employees. We provide our employees with competitive salaries, bonuses, opportunities for equity ownership and other comparable benefits for our industry.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and Visitor Safety Protocols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follow health and safety guidelines to protect the well-being of our employees and visitors.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Diversity &amp; Inclusion</w:t>
      </w:r>
    </w:p>
    <w:p>
      <w:pPr>
        <w:spacing w:after="0" w:line="202"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Much of our success is rooted in the diversity of our teams and our commitment to inclusion. We value diversity at all levels and continue to focus on extending our diversity and inclusion initiatives across our entire workforce. We believe that our business benefits from the different perspectives a diverse workforce brings, and we pride ourselves on having a strong, inclusive and positive culture based on our shared mission and values.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8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Company was incorporated as a Delaware corporation on March 29, 2017. Our principal executive offices are located at 555 Long Wharf Drive, New Haven, CT 06511 and our telephone number is (475) 238-6837.</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website address is www.bioxceltherapeutics.com. The contents of, or information accessible through, our website are not part of this Annual Report on Form 10-K. We make our filings with the SEC, including our Annual Report on Form 10-K, Quarterly Reports on Form 10-Q, Current Reports on Form 8-K and all amendments to those reports, available free of charge on our website as soon as reasonably practicable after we file such reports with, or furnish such reports to, the SEC.</w:t>
      </w:r>
    </w:p>
    <w:p>
      <w:pPr>
        <w:spacing w:after="0" w:line="143"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may use our website as a distribution channel of material information about the Company. Financial and other important information regarding the Company is routinely posted on and accessible through the Investors &amp; Media sections of our website at www.bioxceltherapeutics.com. In addition, you may automatically receive email alerts and other information about the Company when you enroll your email address by visiting the “Email Alerts” option under the News / Events menu of the Investors &amp; Media section of our website at www.bioxceltherapeutics.com.</w:t>
      </w:r>
    </w:p>
    <w:p>
      <w:pPr>
        <w:spacing w:after="0" w:line="156"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reference to our website address does not constitute incorporation by reference of the information contained on or available through our website, and you should not consider such information to be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Annual Report on Form 10-K.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Financial Position and Need for Additional Capital</w:t>
      </w:r>
    </w:p>
    <w:p>
      <w:pPr>
        <w:spacing w:after="0" w:line="185" w:lineRule="exact"/>
        <w:rPr>
          <w:sz w:val="20"/>
          <w:szCs w:val="20"/>
          <w:color w:val="auto"/>
        </w:rPr>
      </w:pPr>
    </w:p>
    <w:p>
      <w:pPr>
        <w:ind w:left="60" w:right="3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substantial product revenues to date, which may make it difficult to evaluate the success of our business and to assess our future viability.</w:t>
      </w:r>
    </w:p>
    <w:p>
      <w:pPr>
        <w:spacing w:after="0" w:line="132"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We were incorporated in March 2017 and our operations to date have been largely focused on staffing our Company, raising capital, advancing the development of our product candidates, including conducting clinical and preclinical studies and establishing our commercial organization. We have only one product approved for commercial sale, and have limited experience in obtaining marketing approvals, manufacturing products on a commercial scale, and conducting sales and marketing activities necessary for successful commercialization. Consequently, predictions about our future success or viability may not be as accurate as they could be if we had a longer operating history or a history of successfully commercializing products.</w:t>
      </w:r>
    </w:p>
    <w:p>
      <w:pPr>
        <w:spacing w:after="0" w:line="148" w:lineRule="exact"/>
        <w:rPr>
          <w:sz w:val="20"/>
          <w:szCs w:val="20"/>
          <w:color w:val="auto"/>
        </w:rPr>
      </w:pPr>
    </w:p>
    <w:p>
      <w:pPr>
        <w:ind w:left="60" w:right="79" w:firstLine="324"/>
        <w:spacing w:after="0" w:line="23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are focused primarily on research and development while continuing to support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activities. We may encounter unforeseen expenses, difficulties, complications and delays, and may not be successful in such a transition.</w:t>
      </w:r>
    </w:p>
    <w:p>
      <w:pPr>
        <w:spacing w:after="0" w:line="154"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32" w:lineRule="exact"/>
        <w:rPr>
          <w:sz w:val="20"/>
          <w:szCs w:val="20"/>
          <w:color w:val="auto"/>
        </w:rPr>
      </w:pPr>
    </w:p>
    <w:p>
      <w:pPr>
        <w:ind w:left="60" w:right="99" w:firstLine="324"/>
        <w:spacing w:after="0" w:line="24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was $59.6 million and $179.1 million for the years ended December 31, 2024 and 2023, respectively. As of December 31, 2024, we had a stockholders’ deficit of approximately $93.1 million. We expect to continue to incur significant expenses and increasing operating losses for the foreseeable future. We have only one product candidate approved for marketing in the U.S., none in any other jurisdiction, and may never receive approval beyond the one product approved to date. It could be several years, if ever, before we have a commercialized product that generates significant revenues through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As a result, we are uncertain when or if we will achieve profitability and, if so, whether we will be able to sustain it. The net losses we incur may fluctuate significantly from quarter to quarter and year to year. We anticipate that our expenses may increase in the long term as we:</w:t>
      </w:r>
    </w:p>
    <w:p>
      <w:pPr>
        <w:spacing w:after="0" w:line="157"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development of our product candidates;</w:t>
      </w:r>
    </w:p>
    <w:p>
      <w:pPr>
        <w:spacing w:after="0" w:line="184"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our current product candidates and any future product candidates that we may pursue;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w:t>
      </w:r>
    </w:p>
    <w:p>
      <w:pPr>
        <w:spacing w:after="0" w:line="184" w:lineRule="exact"/>
        <w:rPr>
          <w:rFonts w:ascii="Times New Roman" w:cs="Times New Roman" w:eastAsia="Times New Roman" w:hAnsi="Times New Roman"/>
          <w:sz w:val="18"/>
          <w:szCs w:val="18"/>
          <w:color w:val="auto"/>
        </w:rPr>
      </w:pPr>
    </w:p>
    <w:p>
      <w:pPr>
        <w:ind w:left="720" w:right="499" w:hanging="319"/>
        <w:spacing w:after="0" w:line="282"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our current and future product candidates that successfully complete clinical trials;</w:t>
      </w:r>
    </w:p>
    <w:p>
      <w:pPr>
        <w:spacing w:after="0" w:line="113" w:lineRule="exact"/>
        <w:rPr>
          <w:rFonts w:ascii="Times New Roman" w:cs="Times New Roman" w:eastAsia="Times New Roman" w:hAnsi="Times New Roman"/>
          <w:sz w:val="18"/>
          <w:szCs w:val="18"/>
          <w:color w:val="auto"/>
        </w:rPr>
      </w:pPr>
    </w:p>
    <w:p>
      <w:pPr>
        <w:ind w:left="720" w:right="79" w:hanging="319"/>
        <w:spacing w:after="0" w:line="21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appropriate sales, marketing, and distribution infrastructure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 candidates for which we may obtain marketing approval;</w:t>
      </w:r>
    </w:p>
    <w:p>
      <w:pPr>
        <w:spacing w:after="0" w:line="1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hire additional clinical, commercial, regulatory, scientific and finance personnel;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36" w:lineRule="auto"/>
        <w:rPr>
          <w:sz w:val="20"/>
          <w:szCs w:val="20"/>
          <w:color w:val="auto"/>
        </w:rPr>
      </w:pPr>
      <w:r>
        <w:rPr>
          <w:rFonts w:ascii="Times New Roman" w:cs="Times New Roman" w:eastAsia="Times New Roman" w:hAnsi="Times New Roman"/>
          <w:sz w:val="18"/>
          <w:szCs w:val="18"/>
          <w:color w:val="auto"/>
        </w:rPr>
        <w:t>To become and remain profitable, we must develop and commercialize more products or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current and future product candidates for which we may obtain marketing approval, and satisfying any post-marketing requirements. We may never succeed in any or all of these activities and, even if we do, we may never generate sufficient revenue to achieve profitability.</w:t>
      </w:r>
    </w:p>
    <w:p>
      <w:pPr>
        <w:spacing w:after="0" w:line="165"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7"/>
          <w:szCs w:val="17"/>
          <w:color w:val="auto"/>
        </w:rPr>
        <w:t>Although we have obtained U.S. FDA approval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because of the numerous risks and uncertainties associated with product development, we are unable to accurately predict the timing or amount of expenses or when, or if, we will obtain marketing approval to commercialize any additional product candidates. If we are required by the FDA, or other regulatory authorities such as the European Medicines Agency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 For example, developments with respect to our TRANQUILITY program evaluating BXCL501 in patients with dementia due to probable Alzheimer’s disease may increase the likelihood that we experience such costs or delays, as discussed in the risk factor below entitled: “</w:t>
      </w:r>
      <w:r>
        <w:rPr>
          <w:rFonts w:ascii="Times New Roman" w:cs="Times New Roman" w:eastAsia="Times New Roman" w:hAnsi="Times New Roman"/>
          <w:sz w:val="17"/>
          <w:szCs w:val="17"/>
          <w:i w:val="1"/>
          <w:iCs w:val="1"/>
          <w:color w:val="auto"/>
        </w:rPr>
        <w:t>Developments relating to our TRANQUILITY II Phase 3 trial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w:t>
      </w:r>
    </w:p>
    <w:p>
      <w:pPr>
        <w:spacing w:after="0" w:line="121"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reprioritization and other workforce reductions may not achieve our intended outcome.</w:t>
      </w:r>
    </w:p>
    <w:p>
      <w:pPr>
        <w:spacing w:after="0" w:line="22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7"/>
          <w:szCs w:val="17"/>
          <w:color w:val="auto"/>
        </w:rPr>
        <w:t>In August 2023, we announced a broad-based strategic reprioritization (the “Reprioritization”) and have taken further restructuring actions since then. As part of these efforts, we have taken actions to reduce certain operational and workforce expenses that are no longer deemed core to our ongoing operations in order to extend our cash runway and drive innovation and growth in high potential clinical development and value creating opportunities. These actions include a shift in commercial strategy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the institutional setting, a reduction of in-hospital commercialization expenses, a suspension of programs no longer determined to be core to ongoing operations, and a prioritization on at-home treatment setting opportunities for BXCL501. As part of this strategy, we reduced our workforce in 2023 by approximately 60%.</w:t>
      </w:r>
    </w:p>
    <w:p>
      <w:pPr>
        <w:spacing w:after="0" w:line="189"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In May and September 2024, we initiated further workforce reductions, and we may undertake further similar cost-saving initiatives, which may include additional restructuring or workforce reductions. These types of cost-reduction activities can be complex and result in unintended consequences and costs, including decreased employee morale, loss of institutional knowledge and expertise and adversely impact our business. We completed these additional restructuring actions to further reduce the workforce by 50%, ending the year ended December 31, 2024 with 37 full-time employees.</w:t>
      </w:r>
    </w:p>
    <w:p>
      <w:pPr>
        <w:spacing w:after="0" w:line="183"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The workforce reduction could also harm our reputation, making our ability to recruit skilled personnel difficult. If we are unable to realize the anticipated benefits from the reduction in force, or if we experience significant adverse consequences from the reduction in force, our business, financial condition, and results of operations may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324"/>
        <w:spacing w:after="0" w:line="232" w:lineRule="auto"/>
        <w:rPr>
          <w:sz w:val="20"/>
          <w:szCs w:val="20"/>
          <w:color w:val="auto"/>
        </w:rPr>
      </w:pPr>
      <w:r>
        <w:rPr>
          <w:rFonts w:ascii="Times New Roman" w:cs="Times New Roman" w:eastAsia="Times New Roman" w:hAnsi="Times New Roman"/>
          <w:sz w:val="17"/>
          <w:szCs w:val="17"/>
          <w:color w:val="auto"/>
        </w:rPr>
        <w:t>In addition, we may not realize the benefits of or there may be unanticipated costs associated with our Reprioritization. As a result of the Reprioritization, including our strategic refocus, we may not generate material revenues from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the near term because our commercial force will be significantly reduced. If we are unable to commercialize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a different setting or unable to develop, receive marketing approval for and successfully commercialize BXCL501, BXCL701 and any of our other product candidates on our own or with any future collaborator, or experience delays because of any of these factors or otherwise, our business could be materially and substantially harmed.</w:t>
      </w:r>
    </w:p>
    <w:p>
      <w:pPr>
        <w:spacing w:after="0" w:line="200"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addition, because we have limited financial and managerial resources, under our Reprioritization, we intend to focus on specific product candidates, indications and development programs. We may also conduct several clinical trials for our product candidates in parallel over the next several years, which may make our decision as to which product candidates to focus on more difficult. As a result, we may forgo or delay pursuit of opportunities with other product candidates or other indications that could have had greater commercial potential or likelihood of success.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If we are not successful in increasing our efficiency as a result of this Reprioritization, our efforts to develop and commercialize our product candidates may be delayed or halted and our business could be materially adversely impacted.</w:t>
      </w:r>
    </w:p>
    <w:p>
      <w:pPr>
        <w:spacing w:after="0" w:line="183" w:lineRule="exact"/>
        <w:rPr>
          <w:sz w:val="20"/>
          <w:szCs w:val="20"/>
          <w:color w:val="auto"/>
        </w:rPr>
      </w:pPr>
    </w:p>
    <w:p>
      <w:pPr>
        <w:ind w:left="60" w:right="2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capital when needed, we could be forced to delay, reduce or eliminate our product development programs or commercialization efforts or otherwise seek strategic alternatives. In addition, the failure to raise additional financing in accordance with the minimum capital raising requirements of our Credit Agreement (as defined herein) would trigger an event of default thereunder.</w:t>
      </w:r>
    </w:p>
    <w:p>
      <w:pPr>
        <w:spacing w:after="0" w:line="153"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will require additional future funding to support current and anticipated future expenses. We currently anticipate continuing to develop and conduct clinical trials with respect to our current and any future product candidates; seek to identify and develop additional product candidates; acquire or in-license other product candidates or technologies; seek regulatory approvals for our product candidates that successfully complete clinical trials, if any; establish sales, marketing, distribution and other commercial infrastructure to support the commercialization of products for which we may obtain marketing approval; require the manufacture of larger quantities of product candidates for clinical development and, potentially, commercialization; maintain, expand and protect our intellectual property portfolio; hire and retain limited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43" w:lineRule="exact"/>
        <w:rPr>
          <w:sz w:val="20"/>
          <w:szCs w:val="20"/>
          <w:color w:val="auto"/>
        </w:rPr>
      </w:pPr>
    </w:p>
    <w:p>
      <w:pPr>
        <w:ind w:left="60" w:right="139" w:firstLine="324"/>
        <w:spacing w:after="0" w:line="245" w:lineRule="auto"/>
        <w:rPr>
          <w:sz w:val="20"/>
          <w:szCs w:val="20"/>
          <w:color w:val="auto"/>
        </w:rPr>
      </w:pPr>
      <w:r>
        <w:rPr>
          <w:rFonts w:ascii="Times New Roman" w:cs="Times New Roman" w:eastAsia="Times New Roman" w:hAnsi="Times New Roman"/>
          <w:sz w:val="18"/>
          <w:szCs w:val="18"/>
          <w:color w:val="auto"/>
        </w:rPr>
        <w:t>We have been and may continue to be required to expend significant funds to continue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and advance the development of BXCL501, BXCL701, BXCL502 and our other product candidates. In addition, while we may seek one or more collaborators for future development of our current product candidates or any future product candidates that we may develop for one or more indications, we may not be able to enter into a collaboration for any of our product candidates for such indications on suitable terms, on a timely basis or at all. In any event,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We may also seek third-party investments in or other strategic options for our subsidiary, OnkosXcel. Further financing may not be available to us on acceptable terms, or at all. In addition, we are reliant on the financial institutions with which we hold our cash and cash equivalents. If such institutions were to close, we may not be able to recover all of our cash or cash equivalents held at such institutions. Moreover, market volatility, credit crises, adverse macroeconomic conditions, such as high interest or inflation rates, or other factors, as well as Company-specific factors such as the progress of our development pipeline, adverse clinical events or results, regulatory investigations, or ongoing or potential legal proceedings, could also adversely impact our ability to access capital as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when needed. Our failure to raise capital as and when needed would have a negative impact on our financial condition and our ability to pursue our business strategy.</w:t>
      </w:r>
    </w:p>
    <w:p>
      <w:pPr>
        <w:spacing w:after="0" w:line="135"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Management believes that the Company’s cash and cash equivalents of $29.8 million as of December 31, 2024, together with approximately $14.0 million gross proceeds received from the registered direct offering in March 2025, will allow the Company to fund its operations and meet its liquidity requirements into the third quarter of 2025. However, there can be no assurance that we will be able to extend our cash runway by meeting the conditions for additional funding under the terms of our Credit Agreement (defined below) or otherwise. In addition, the failure to raise additional financing in accordance with the minimum capital raising requirements of our Credit Agreement would trigger an event of default thereunder. The Fifth Amendment to our Credit Agreement included a new capital raising covenant requiring that the Company receive (A) after the effective date of the Fifth Amendment and on or prior to November 27, 2024, at least $7.0 million in gross cash proceeds from the issuance of the Company’s common stock, warrants and/or pre- funded warrants (“Raise 1”), (B) after the effective date of the Fifth Amendment and on or before March 15, 2025 (provided that the Company was required to use its commercially reasonable efforts to satisfy the requirement by February 15, 2025), at least $18.0 million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 million in net cash proceeds (“Raise 3”) (including the proceeds from Raise 1 and Raise 2) from the same permitted capital raising activities listed in the preceding clause (B).The Company has met the requirements of Raise 1 and Raise 2, but has not met the requirements of Raise 3.</w:t>
      </w:r>
    </w:p>
    <w:p>
      <w:pPr>
        <w:spacing w:after="0" w:line="165"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 million (instead of $25.0 million) from and after the closing of Raise 1 until March 30, 2025. On March 31, 2025, the minimum liquidity amount will increase to $10.0 million, and on September 30, 2025, the minimum liquidity amount will further increase to $15.0 million.</w:t>
      </w:r>
    </w:p>
    <w:p>
      <w:pPr>
        <w:spacing w:after="0" w:line="143"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Furthermore,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56" w:lineRule="exact"/>
        <w:rPr>
          <w:sz w:val="20"/>
          <w:szCs w:val="20"/>
          <w:color w:val="auto"/>
        </w:rPr>
      </w:pPr>
    </w:p>
    <w:p>
      <w:pPr>
        <w:ind w:left="720" w:right="9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our product candidates, including any delays that have occurred or may occur due to the recent developments with the TRANQUILITY program;</w:t>
      </w:r>
    </w:p>
    <w:p>
      <w:pPr>
        <w:spacing w:after="0" w:line="121" w:lineRule="exact"/>
        <w:rPr>
          <w:rFonts w:ascii="Times New Roman" w:cs="Times New Roman" w:eastAsia="Times New Roman" w:hAnsi="Times New Roman"/>
          <w:sz w:val="18"/>
          <w:szCs w:val="18"/>
          <w:color w:val="auto"/>
        </w:rPr>
      </w:pPr>
    </w:p>
    <w:p>
      <w:pPr>
        <w:ind w:left="720" w:right="101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and the terms and timing of any collaborations, licensing agreements or other arrangements;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regulatory approvals;</w:t>
      </w:r>
    </w:p>
    <w:p>
      <w:pPr>
        <w:spacing w:after="0" w:line="190" w:lineRule="exact"/>
        <w:rPr>
          <w:rFonts w:ascii="Times New Roman" w:cs="Times New Roman" w:eastAsia="Times New Roman" w:hAnsi="Times New Roman"/>
          <w:sz w:val="18"/>
          <w:szCs w:val="18"/>
          <w:color w:val="auto"/>
        </w:rPr>
      </w:pPr>
    </w:p>
    <w:p>
      <w:pPr>
        <w:ind w:left="720" w:right="299" w:hanging="319"/>
        <w:spacing w:after="0" w:line="22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received from 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current and future product candidates;</w:t>
      </w:r>
    </w:p>
    <w:p>
      <w:pPr>
        <w:spacing w:after="0" w:line="100"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future product candidates that we pursue and their development requirements;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laws that may affect our operations;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acceptance or medical society recommendations that may affect commercial efforts;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potential new product candidates or technology;</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operations continue;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legal proceedings and investigations;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adverse market conditions or other macroeconomic factors.</w:t>
      </w:r>
    </w:p>
    <w:p>
      <w:pPr>
        <w:spacing w:after="0" w:line="185" w:lineRule="exact"/>
        <w:rPr>
          <w:sz w:val="20"/>
          <w:szCs w:val="20"/>
          <w:color w:val="auto"/>
        </w:rPr>
      </w:pPr>
    </w:p>
    <w:p>
      <w:pPr>
        <w:ind w:left="60" w:right="339" w:firstLine="324"/>
        <w:spacing w:after="0" w:line="256"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require additional resources to continue as a going concern. We can provide no assurance that we will successfully obtain additional resources to improve our financial condition. If we are unable to obtain necessary additional capital,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w:t>
      </w:r>
    </w:p>
    <w:p>
      <w:pPr>
        <w:spacing w:after="0" w:line="183" w:lineRule="exact"/>
        <w:rPr>
          <w:sz w:val="20"/>
          <w:szCs w:val="20"/>
          <w:color w:val="auto"/>
        </w:rPr>
      </w:pPr>
    </w:p>
    <w:p>
      <w:pPr>
        <w:ind w:left="60" w:right="339"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and other contractual obligations that could impair our liquidity, restrict our ability to do business and thereby harm our business, results of operations and financial condition. We may not have sufficient cash flow from operations to satisfy our obligations under the Credit Agreement.</w:t>
      </w:r>
    </w:p>
    <w:p>
      <w:pPr>
        <w:spacing w:after="0" w:line="175" w:lineRule="exact"/>
        <w:rPr>
          <w:sz w:val="20"/>
          <w:szCs w:val="20"/>
          <w:color w:val="auto"/>
        </w:rPr>
      </w:pPr>
    </w:p>
    <w:p>
      <w:pPr>
        <w:ind w:left="60" w:right="3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aggregate principal indebtedness of $106.7 million outstanding under our Credit Agreement and Guaranty (as amended, the “Credit Agreement”) by and among the Company, as the borrower, certain subsidiaries of the Company from time to time party thereto as subsidiary guarantors, the lenders party thereto (the “Lenders”), and Oaktree Fund Administration LLC (“OFA”) as administrative agent.</w:t>
      </w:r>
    </w:p>
    <w:p>
      <w:pPr>
        <w:spacing w:after="0" w:line="180"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Restrictive covenants in the Credit Agreement place limits on our ability to conduct our business. 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In addition, certain events, including receipt of a warning letter from the FDA, may constitute an event of default. We must also comply with certain covenants under the Credit Agreement, including a financial covenant that requires we maintain certain minimum cash liquidity amounts. In addition, certain events, including certain regulatory events and any “going concern” or similar qualification in a report of the Company’s independent registered public accountants relating to the Company’s annual financial statements (except for the years ended December 31, 2024 and 2023, respectively), constitute an event of default under the Credit Agreement. The report of our independent registered public accounting firm included in this Annual Report on Form 10-K contains a “going concern” explanatory paragraph. The Credit Agreement also includes other covenants relating to certain change of control events can also trigger an event of default under the Credit Agreement, including control by any entity or group of entities, other than BioXcel LLC and its affiliates, that acquires 35% or more of our voting capital stock.</w:t>
      </w:r>
    </w:p>
    <w:p>
      <w:pPr>
        <w:spacing w:after="0" w:line="197" w:lineRule="exact"/>
        <w:rPr>
          <w:sz w:val="20"/>
          <w:szCs w:val="20"/>
          <w:color w:val="auto"/>
        </w:rPr>
      </w:pPr>
    </w:p>
    <w:p>
      <w:pPr>
        <w:ind w:left="60" w:right="319" w:firstLine="324"/>
        <w:spacing w:after="0" w:line="238" w:lineRule="auto"/>
        <w:rPr>
          <w:sz w:val="20"/>
          <w:szCs w:val="20"/>
          <w:color w:val="auto"/>
        </w:rPr>
      </w:pPr>
      <w:r>
        <w:rPr>
          <w:rFonts w:ascii="Times New Roman" w:cs="Times New Roman" w:eastAsia="Times New Roman" w:hAnsi="Times New Roman"/>
          <w:sz w:val="18"/>
          <w:szCs w:val="18"/>
          <w:color w:val="auto"/>
        </w:rPr>
        <w:t>Our ability to make scheduled payments or payments to maintain compliance with covenants or to restructure or refinance these and other outstanding debt obligations depends on our financial and operating performance, including growth in revenue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BXCL501, which will be affected by prevailing economic, industry and competitive conditions and by financial, business and other factors beyond our control. A failure to pay our debt, fixed costs and other obligations or a breach of our contractual obligations or other event of default could result in a variety of adverse consequences, including the acceleration of our obligations or the exercise of remedies by our creditors and lessors. In such a situation, it is unlikely that we would be able to cure our breach, fulfill our obligations, make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payments or otherwise cover our fixed costs, which would have a material adverse effect on our business, results of operations and financial condition.</w:t>
      </w:r>
    </w:p>
    <w:p>
      <w:pPr>
        <w:spacing w:after="0" w:line="162"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In addition, historically we have relied on debt and equity financings as our primary sources of liquidity. If our future cash flows and capital resources are insufficient to fund our debt service obligations, we may be forced to reduce or delay expenditures, sell assets, seek additional capital or seek to restructure or refinance our indebtedness. Any refinancing or restructuring of our indebtedness could be at higher interest rates and may require us to comply with more onerous covenants. These alternative measures may not be successful and may not permit us to meet our scheduled or any accelerated debt service obligations. In the absence of such cash flows and resources, we could face substantial liquidity problems and might be required to sell material assets or pursue other strategic alternatives to attempt to meet our debt service obligations.</w:t>
      </w:r>
    </w:p>
    <w:p>
      <w:pPr>
        <w:spacing w:after="0" w:line="188"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regarding our ability to continue as a going concern.</w:t>
      </w:r>
    </w:p>
    <w:p>
      <w:pPr>
        <w:spacing w:after="0" w:line="13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 xml:space="preserve">As of December 31, 2024, we had $29.8 million in cash and cash equivalents. Based on our existing cash, cash equivalents and lack of current availability under our funding facilities, we do not believe we have sufficient cash on hand to support current operations and service our debt obligations for at least one year from the date of issuance of the audited consolidated financial statements appearing in this Annual Report on Form 10-K. This condition raises substantial doubt about our ability to continue as a going concern for at least one year from the date that our financial statements for the year ended December 31, 2024 are issued. In order to mitigate the current and potential future liquidity issues, we have undertaken the Reprioritization and other restructuring actions, and may, among other things, seek to raise capital through the issuance of common stock, or by restructuring, refinancing, and/or amending the terms of the Credit Agreement (including with respect to regulatory related events of default that do not contain a cure period) or pursue other strategic alternatives. However, such transactions may not be successful and we may not be able to raise additional equity and/or financing necessary to meet our obligations. Moreover, our Credit Agreement contains covenants that we may be unable to comply with and which could result in the acceleration of our debt service obligations, further reducing our capital resources and ability to fund our operations. As such, there can be no assurance that we will be able to continue as a going concern and we may be forced to delay, reduce or discontinue our product development programs or commercialization efforts in order to preserve cash. For additional cost-saving and other strategic initiatives we may be compelled to pursue, see the risk factor entitled, </w:t>
      </w:r>
      <w:r>
        <w:rPr>
          <w:rFonts w:ascii="Times New Roman" w:cs="Times New Roman" w:eastAsia="Times New Roman" w:hAnsi="Times New Roman"/>
          <w:sz w:val="18"/>
          <w:szCs w:val="18"/>
          <w:i w:val="1"/>
          <w:iCs w:val="1"/>
          <w:color w:val="auto"/>
        </w:rPr>
        <w:t>“We will need substantial additional funding, and if we are unable to raise capital when needed,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could be forced to delay, reduce or eliminate our product development programs or commercialization efforts or otherwise seek strategic alternatives.”</w:t>
      </w:r>
    </w:p>
    <w:p>
      <w:pPr>
        <w:spacing w:after="0" w:line="188" w:lineRule="exact"/>
        <w:rPr>
          <w:sz w:val="20"/>
          <w:szCs w:val="20"/>
          <w:color w:val="auto"/>
        </w:rPr>
      </w:pPr>
    </w:p>
    <w:p>
      <w:pPr>
        <w:ind w:left="60" w:right="29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delisted from The Nasdaq Capital Market, which could seriously harm the liquidity of our stock and our ability to raise capital or complete a strategic transaction.</w:t>
      </w:r>
    </w:p>
    <w:p>
      <w:pPr>
        <w:spacing w:after="0" w:line="159" w:lineRule="exact"/>
        <w:rPr>
          <w:sz w:val="20"/>
          <w:szCs w:val="20"/>
          <w:color w:val="auto"/>
        </w:rPr>
      </w:pPr>
    </w:p>
    <w:p>
      <w:pPr>
        <w:ind w:left="60" w:right="119" w:firstLine="324"/>
        <w:spacing w:after="0" w:line="272" w:lineRule="auto"/>
        <w:rPr>
          <w:sz w:val="20"/>
          <w:szCs w:val="20"/>
          <w:color w:val="auto"/>
        </w:rPr>
      </w:pPr>
      <w:r>
        <w:rPr>
          <w:rFonts w:ascii="Times New Roman" w:cs="Times New Roman" w:eastAsia="Times New Roman" w:hAnsi="Times New Roman"/>
          <w:sz w:val="17"/>
          <w:szCs w:val="17"/>
          <w:color w:val="auto"/>
        </w:rPr>
        <w:t>As previously reported, on September 20, 2024, we received a letter from Nasdaq Staff notifying us that for the 30 consecutive business days prior to the date of the letter, the Company’s market value of listed securities closed below the minimum $35 million requirement for continued listing on The Nasdaq Capital Market under Nasdaq Listing Rule 5550(b)</w:t>
      </w:r>
    </w:p>
    <w:p>
      <w:pPr>
        <w:spacing w:after="0" w:line="2"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(2). In accordance with Nasdaq Listing Rule 5810(c)(3)(C), the Company was granted a period of 180 calendar days, or until March 19, 2025, to regain compliance.</w:t>
      </w:r>
    </w:p>
    <w:p>
      <w:pPr>
        <w:spacing w:after="0" w:line="181"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anticipated, on March 20, 2025, the Company received another letter from the Staff stating that, as a result of the Company’s continued non-compliance with the MVLS Requirement, its securities would be delisted from Nasdaq unless the Company appeals the Staff’s delisting determination by requesting a hearing before the Nasdaq Panel. The Company made timely request for a hearing before the Panel to appeal the Staff’s determination. The Company’s common stock will remain listed and eligible for trading on Nasdaq at least pending the ultimate conclusion of the hearing process; however, there can be no assurance that the Company will ultimately regain compliance and remain listed on Nasdaq.</w:t>
      </w:r>
    </w:p>
    <w:p>
      <w:pPr>
        <w:spacing w:after="0" w:line="187"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their common stock or obtain accurate quotations as to the market value of our common stock. Any such delisting action may materially adversely affect our ability to raise capital or pursue strategic transactions on acceptable terms, or at all.</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if our common stock is delisted from the Nasdaq Capital Market and the trading price remains below</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$5.00 per share, trading in our common stock might also become subject to the requirements of certain rules promulgated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Exchange Act, which require additional disclosure by broker-dealers in connection with any trade involving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defined as a “penny stock” (generally, any equity security not listed on a national securities exchange that has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price of less than $5.00 per share, subject to certain exceptions).</w:t>
      </w:r>
    </w:p>
    <w:p>
      <w:pPr>
        <w:spacing w:after="0" w:line="207"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Product Candidates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in drug discovery and drug development.</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Prior to the acquisition of our product and product candidates, we were not involved in and had no control over their preclinical and clinical development. In addition, we are relying upon the parties we acquired our product candidates from to have conducted research and development in accordance with the applicable protocol, legal, regulatory and scientific standards, accurately reported the results of all clinical trials conducted prior to our acquisition of the applicable product candidate, and correctly collected and interpreted the data from these studies and trials. To the extent any of these activities did not occur, our expected development time and costs could increase, which could adversely affect our prospects for marketing approval of, and receiving any future revenue from, these product candidates.</w:t>
      </w:r>
    </w:p>
    <w:p>
      <w:pPr>
        <w:spacing w:after="0" w:line="14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Developments relating to our TRANQUILITY II Phase 3 trial may impact the timing of our development plans for, and prospects for seeking or obtaining regulatory approval of, BXCL501 for the acute treatment of agitation (non-daily) associated with dementia in patients with probable Alzheimer’s disease.</w:t>
      </w:r>
    </w:p>
    <w:p>
      <w:pPr>
        <w:spacing w:after="0" w:line="14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Following our discovery of principal investigator misconduct at one of the clinical sites in our TRANQUILITY II Phase 3 clinical trial, we initiated an investigation into the issues associated with the trial. This principal investigator had previously been subject to a December 2022 FDA inspection of her clinical site in connection with the TRANQUILITY II clinical trial. At the conclusion of this inspection, the FDA issued an FDA Form-483 identifying three inspectional observations. These observations related to the principal investigator’s failure to adhere to the informed consent form approved by the Institutional Review Board for a limited number of subjects whose records the FDA reviewed, maintain adequate case histories for certain patients whose records the FDA reviewed, and adhere to the investigational plan in certain instances. For example, the FDA cited the principal investigator’s delay in informing the sponsor’s medical monitor or pharmacovigilance safety vendor of an SAE, for one of the subjects, which report was made to our vendor outside of the 24 hour time period prescribed by the clinical trial protocol. The principal investigator for this clinical site responded to the FDA observations within the time period requested. The FDA concluded that the inspection of a single site in its TRANQUILITY II Phase 3 trial is closed under 21 C.F.R.20.64(d)(3) and released the Establishment Inspection Report. The FDA has designated “Voluntary Action Indicated” for the site.</w:t>
      </w:r>
    </w:p>
    <w:p>
      <w:pPr>
        <w:spacing w:after="0" w:line="147"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May 2023, it came to our attention that this same principal investigator in the TRANQUILITY II clinical trial may have fabricated email correspondence around the time of the FDA inspection, purporting to demonstrate that the investigator timely submitted to our pharmacovigilance safety vendor a report of an SAE from a different subject than the one cited in the FDA Form-483, and purporting to show that the vendor had confirmed receipt. Upon receipt of this information, we promptly initiated an investigation and received confirmation that the principal investigator fabricated the email correspondence related to the timing of the reporting of this SAE to our pharmacovigilance vendor to make it appear as though this SAE had been timely reported as required by the clinical trial protocol. This principal investigator has not participated in any other clinical trial sponsored or conducted by us. Both we and the principal investigator’s employer have reported this incident to the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53" w:lineRule="exact"/>
        <w:rPr>
          <w:sz w:val="20"/>
          <w:szCs w:val="20"/>
          <w:color w:val="auto"/>
        </w:rPr>
      </w:pPr>
    </w:p>
    <w:p>
      <w:pPr>
        <w:ind w:left="60" w:right="99" w:firstLine="324"/>
        <w:spacing w:after="0" w:line="245" w:lineRule="auto"/>
        <w:rPr>
          <w:sz w:val="20"/>
          <w:szCs w:val="20"/>
          <w:color w:val="auto"/>
        </w:rPr>
      </w:pPr>
      <w:r>
        <w:rPr>
          <w:rFonts w:ascii="Times New Roman" w:cs="Times New Roman" w:eastAsia="Times New Roman" w:hAnsi="Times New Roman"/>
          <w:sz w:val="18"/>
          <w:szCs w:val="18"/>
          <w:color w:val="auto"/>
        </w:rPr>
        <w:t>The primary efficacy endpoint in TRANQUILITY II was the change in PEC score, which is a measurement of agitation severity captured by trained raters during an agitation episode. While change in PEC score has been used to support the approval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acute treatment of agitation associated with schizophrenia or bipolar I or II disorder in adults, it has not been used as a primary endpoint to support the approval of a drug candidate for the treatment of agitation associated with Alzheimer’s Disease. Prior to initiating our TRANQUILITY II trial, we believe we reached alignment with FDA regarding the use of PEC scores as a primary endpoint to assess individual agitation episodes in dementia patients. In the normal course, we have been in communication with the FDA regarding the data and information needed to further support the consistency of the measurement of PEC ratings, and we believe that we have generated sufficient data to demonstrate such consistency. Following submission of certain data on PEC score from a separate study of raters assessing video vignettes, the FDA expressed certain concerns with respect to the reliability of PEC scores in that study. The FDA has requested that we provide additional information to support the consistency of the measurement of PEC ratings to assess the treatment of agitation associated with Alzheimer’s Disease. While we believe that we have generated sufficient data to demonstrate such consistency, and we plan to submit these data and analyses to the FDA, if the FDA disagrees, it may require that we provide more information to demonstrate reliability in the measurement of PEC scores and/or may require that we generate additional data to support the reliability of PEC score measurements in our TRANQUILITY II trial. There can be no assurances that any information or and data we provide to FDA will sufficiently demonstrate the consistency and reliability of the PEC-score data from our TRANQUILITY II trial, or that our PEC-score data will not represent a potential review issue in connection with any application we may submit to FDA.</w:t>
      </w:r>
    </w:p>
    <w:p>
      <w:pPr>
        <w:spacing w:after="0" w:line="166"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addition, we are continuing to seek feedback from the FDA with respect to our TRANQUILITY program. For example, on February 20, 2024, we held a Type B/Breakthrough Therapy designation meeting with the FDA. The original purpose of this meeting was to obtain feedback on the design of a proposed at-home study that did not include caregiver-collected efficacy endpoints, based on our belief that obtaining caregiver assessments of efficacy would be challenging. We believe there are no validated caregiver endpoints for assessing efficacy in Alzheimer’s disease patients in the at-home setting. As a result, we focused on requesting feedback from the FDA regarding our proposal for an at-home clinical study with safety as the primary objective, and to better understand what additional data would be required to submit an sNDA to support labeling for BXCL501 to include the acute treatment of agitation associated with dementia in probable Alzheimer’s disease or, in the alternative, in this population in the care setting only. In its preliminary responses, the FDA reiterated its prior comments that we generate additional efficacy data, including repeat-dose efficacy data, to support an sNDA submission, as the FDA indicated that our proposed efficacy database, which currently includes the 70 patients who have been treated with 60 mcg of BXCL501 in TRANQUILITY I and TRANQUILITY II, would not contain substantial evidence of effectiveness absent additional data. The FDA advised that we generate the necessary efficacy data in care facilities prior to conducting any trials in the at-home setting. In addition, the FDA indicated the need to generate long-term safety data to support an sNDA submission, including from probable Alzheimer’s disease patients exposed to BXCL501, for up to one year. We have received the final meeting minutes from the FDA, which we believe are consistent with the FDA’s preliminary responses and the subsequent meeting discussion. Based on the FDA’s feedback, we are currently planning to generate additional Phase 3 efficacy and safety data, in a variety of relevant care-facility settings and across severity of dementia, including through, among other things, conducting our planned TRANQULITY In-Care Phase 3 trial. In addition, we plan to discuss the details of the requirement for long-term safety data at a future meeting with the FDA. Also, although we announced in November 2023 that we were planning to conduct a Phase 3 trial in the at-home setting, with safety as the primary objective (TRANQUILITY At Home), given the priority to expand the database to generate additional efficacy and safety data in care facilities, we are re-evaluating the timing for initiating TRANQUILITY At Home. Conducting any new clinical trial can take significant time, funding and resources, and there are no assurances we could raise sufficient capital or have the liquidity and resources to conduct further clinical trials in our TRANQUILITY program, including our planned TRANQUILITY In-Care Trial. Any new clinical trials conducted in our target patient populations may have different safety or efficacy results from the topline data the Company previously announced for the TRANQUILITY II clinical trial. Further, any government investigation, disqualification, or debarment of, or proceeding or action against the principal investigator, or any government investigation, proceeding or action against us, could further delay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and approval of BXCL501 for this indication, and otherwise have a material adverse effect on us, our financial condition (including triggering a potential event of default under our Credit Agreement), results of operations and prospects.</w:t>
      </w:r>
    </w:p>
    <w:p>
      <w:pPr>
        <w:spacing w:after="0" w:line="109"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clinical data supporting potential safety or efficacy of BXCL501 for use in the at-home setting in the acute treatment of agitation in patients with dementia due to probable Alzheimer’s disease.</w:t>
      </w:r>
    </w:p>
    <w:p>
      <w:pPr>
        <w:spacing w:after="0" w:line="118"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August 2023, we announced our intention to pursue the Reprioritization, including among other things, a shift in focus to primarily develop BXCL501 for use in expanded settings, including the at-home setting and care facilities, for the acute treatment of agitation in patients with dementia due to probable Alzheimer’s disease and the acute treatment of agitation in schizophrenia and bipolar patients in the at-home setting. Although we have conducted several clinical trials that evaluated BXCL501 in the institutional setting, and we are conducting the SERENITY At-Home Phase 3 trial evaluating the safety of BXCL501 for the acute treatment of agitation associated with bipolar disorders or schizophrenia in the at-home setting, but we have not conducted a clinical trial evaluating the at-home use of BXCL501 in the acute treatment of agitation in patients with dementia due to probable Alzheimer’s disease.</w:t>
      </w:r>
    </w:p>
    <w:p>
      <w:pPr>
        <w:spacing w:after="0" w:line="151"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Although we will seek additional feedback from the FDA regarding the potential of its ongoing or completed clinical trials to support submission of one or more sNDAs and to support a label for use in the home, it is possible that the FDA may not consider our available data adequate to support such submissions. For example, on October 11, 2023, we received feedback from the FDA that TRANQUILITY I and TRANQUILITY II alone are not sufficient to support an sNDA submission for the use of BXCL501 to treat acute agitation (non-daily) in patients with dementia due to probable Alzheimer’s disease in either the at-home setting or care facilities, and the FDA indicated that we should, among other things, conduct a further clinical trial to evaluate safety and collect efficacy data of BXCL501 before we are able to submit an sNDA seeking approval of BXCL501 for use in such populations.</w:t>
      </w:r>
    </w:p>
    <w:p>
      <w:pPr>
        <w:spacing w:after="0" w:line="165"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For a description of recent developments relating to our TRANQUILITY program, please see the prior risk factor,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We cannot provide assurance that we will be 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seek or obtain approval of BXCL501 for treatment of agitation in patients with dementia due to probable Alzheimer’s disease in the at-home setting based on this updated development plan.</w:t>
      </w:r>
    </w:p>
    <w:p>
      <w:pPr>
        <w:spacing w:after="0" w:line="147" w:lineRule="exact"/>
        <w:rPr>
          <w:sz w:val="20"/>
          <w:szCs w:val="20"/>
          <w:color w:val="auto"/>
        </w:rPr>
      </w:pPr>
    </w:p>
    <w:p>
      <w:pPr>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Although we continue to seek feedback from the FDA with respect to our TRANQUILITY program, the FDA may not agree that any trial designs we propose are sufficient to establish both the safety and efficacy of BXCL501 for the acute treatment of agitation associated with dementia due to probable Alzheimer’s disease in either a care setting or an at-home setting. For example, to assess safety, the FDA has indicated that we need to expose more patients to BXCL501 for a longer period of time and that an efficacy trial of a shorter duration, combined with the patients in its previous trials, would not support submissions of an sNDA. Further, to assess efficacy in the home setting, the FDA may determine that we cannot rely on our previous studies of BXCL501 for this proposed indication since those studies were conducted in assisted living facilities and they are not comparable to the at-home setting. The FDA may also require us to seek approval for BXCL501 for use in care facilities prior to seeking any approval for at-home use in the targeted AD patient population. In particular, we are planning to generate additional Phase 3 safety and efficacy data in a variety of relevant care-facility settings, but even if our planned clinical efforts are successful and even if we are able to obtain approval of BXCL501 for use in patients with dementia due to probable Alzheimer's disease, we cannot provide assurance that we will be able to seek or obtain approval of BXCL501 for the treatment of agitation in patients with dementia due to probable Alzheimer’s disease in the at-home setting based on this data and we will be required to generate additional data to evaluate the at-home use of BXCL501 in our targeted Alzheimer's dementia population before we are able to seek approval for such at-home use in this population, if ever. In addition, the FDA may determine that we cannot rely on the data from our prior TRANQUILITY II Phase 3 trial to support an sNDA as a result of potential data integrity issues at the trial site, as the FDA may not agree with our belief that data reliability and integrity remain intact. See Part II, Item 1A, “Risk Factors—Risks Related to the Discovery and Development of Product Candidates—</w:t>
      </w:r>
      <w:r>
        <w:rPr>
          <w:rFonts w:ascii="Times New Roman" w:cs="Times New Roman" w:eastAsia="Times New Roman" w:hAnsi="Times New Roman"/>
          <w:sz w:val="18"/>
          <w:szCs w:val="18"/>
          <w:i w:val="1"/>
          <w:iCs w:val="1"/>
          <w:color w:val="auto"/>
        </w:rPr>
        <w:t>Developments relating to its TRANQUILITY II Phase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 may impact the timing of its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for additional information. If the FDA does not accept the data from our prior TRANQUILITY II Phase 3 trial,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be required to conduct additional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clinical trials beyond those we currently contemplate, which would increase our costs and delay potential submission of an sNDA for BXCL501 which in turn would adversely affect our financial position and operations.</w:t>
      </w:r>
    </w:p>
    <w:p>
      <w:pPr>
        <w:spacing w:after="0" w:line="135"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Accordingly, if the FDA reaches these conclusions or otherwise finds that our proposed clinical studies would not adequately evaluate the safety and efficacy of BXCL501 for the acute treatment of agitation associated with dementia due to probable Alzheimer’s disease in an at-home setting and/or care setting, we may need to evaluate more patients for a longer period of time to demonstrate the safety and efficacy of BXCL501.</w:t>
      </w:r>
    </w:p>
    <w:p>
      <w:pPr>
        <w:spacing w:after="0" w:line="139" w:lineRule="exact"/>
        <w:rPr>
          <w:sz w:val="20"/>
          <w:szCs w:val="20"/>
          <w:color w:val="auto"/>
        </w:rPr>
      </w:pPr>
    </w:p>
    <w:p>
      <w:pPr>
        <w:ind w:left="60" w:right="59" w:firstLine="324"/>
        <w:spacing w:after="0" w:line="222" w:lineRule="auto"/>
        <w:rPr>
          <w:sz w:val="20"/>
          <w:szCs w:val="20"/>
          <w:color w:val="auto"/>
        </w:rPr>
      </w:pPr>
      <w:r>
        <w:rPr>
          <w:rFonts w:ascii="Times New Roman" w:cs="Times New Roman" w:eastAsia="Times New Roman" w:hAnsi="Times New Roman"/>
          <w:sz w:val="18"/>
          <w:szCs w:val="18"/>
          <w:color w:val="auto"/>
        </w:rPr>
        <w:t>With respect to our SERENITY program, we also held a Type C Meeting with the FDA on March 6, 2024 to obtain further feedback on our proposed changes to the design of SERENITY III Part 2, including with respect to the trial endpoints, and to discuss the content and format of a potential sNDA submission to expand the label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micrograms to the acute treatment of agitation associated with schizophrenia and bipolar disorders in the outpatient setting.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already approved at the 120 mcg dose based on efficacy data that we previously generated in treating a single episode of agitation. Consistent with the data generated to date, the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currently includes a limitation on use (“LOU”), noting the lack of efficacy or safety data beyond 24 hours following the first dose. During our March 6, 2024 Type C meeting with the FDA, we discussed, among other things, whether evaluating the at-home use of BXCL501 120 mcg, with safety as the primary objective and efficacy measures as exploratory endpoints, if successful, could support the submission of an sNDA seeking expansion of the current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to allow at-home use and labeling without the current LOU. Based on current FDA feedback, we have amended the Part 2 of the SERENITY III protocol to evaluate the safety and efficacy of the 120 mg dose in the at-home setting, and now refer to this revised trial as the SERENITY At-Home trial. We believe that our ability to seek labeling without the current LOU will depend, in part, on the number of agitation episodes we observe during our planned study period. Even if our planned SERENITY At-home trial is successful in demonstrating safety in the at-home setting, and even if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120 mcg label is expanded to allow outpatient use, there is no guarantee that we will observe and/or treat a sufficient number of agitation episodes during the study period to support removal of the current LOU.</w:t>
      </w:r>
    </w:p>
    <w:p>
      <w:pPr>
        <w:spacing w:after="0" w:line="167"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Any modifications to our proposed trial designs, whether by us or by the FDA would delay our initiation of such proposed trials, increase the costs of any trial that we do conduct and delay any potential submission of an sNDAs for BXCL501. Requirements to conduct additional clinical trials evaluating BXCL501 in support of our planned sNDAs seeking approvals for BXCL501 for our targeted patient populations in at-home settings would increase our costs, and in either case, such modifications or requirements could have a material adverse effect on our prospects and results of operations.</w:t>
      </w:r>
    </w:p>
    <w:p>
      <w:pPr>
        <w:spacing w:after="0" w:line="148" w:lineRule="exact"/>
        <w:rPr>
          <w:sz w:val="20"/>
          <w:szCs w:val="20"/>
          <w:color w:val="auto"/>
        </w:rPr>
      </w:pPr>
    </w:p>
    <w:p>
      <w:pPr>
        <w:ind w:left="60" w:right="99"/>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In the near term, we are dependent on the success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the development of four of our product candidates, BXCL501, BXCL502, BXCL701 and BXCL702. If we are unable to complete the clinical development of or obtain marketing approval for our product candidates or successfully commercialize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our other product candidates, either alone or with a collaborator, or if we experience significant delays in doing so, our business could be substantially harmed.</w:t>
      </w:r>
    </w:p>
    <w:p>
      <w:pPr>
        <w:spacing w:after="0" w:line="160" w:lineRule="exact"/>
        <w:rPr>
          <w:sz w:val="20"/>
          <w:szCs w:val="20"/>
          <w:color w:val="auto"/>
        </w:rPr>
      </w:pPr>
    </w:p>
    <w:p>
      <w:pPr>
        <w:ind w:left="60" w:right="59" w:firstLine="324"/>
        <w:spacing w:after="0" w:line="221" w:lineRule="auto"/>
        <w:rPr>
          <w:sz w:val="20"/>
          <w:szCs w:val="20"/>
          <w:color w:val="auto"/>
        </w:rPr>
      </w:pPr>
      <w:r>
        <w:rPr>
          <w:rFonts w:ascii="Times New Roman" w:cs="Times New Roman" w:eastAsia="Times New Roman" w:hAnsi="Times New Roman"/>
          <w:sz w:val="18"/>
          <w:szCs w:val="18"/>
          <w:color w:val="auto"/>
        </w:rPr>
        <w:t>We currently have only one product that has received regulatory approval and may never be able to develop additional marketable product candidates. We are continuing to invest a significant portion of our efforts and financial resources in the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development of our four product candidates, BXCL501, BXCL502, BXCL701 and BXCL702, as well as other product candidates. In connection with the Reprioritization, we have significantly reduced the resources devoted to commercialization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near term. As part of the Company’s Reprioritization,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hospital/Integrated Delivery Network (“IDN”) contracting strategy with a Corporate Account Director (CAD) team. The goal of the realigned CAD team is to work with large IDNs and drive sales utilizing a top-down approach. Over time, the revised commercial effort is expected to allow the Company to continue to make inroads into the institutional market in a more cost-efficient manner. However, we have limited experience in drug development and commercialization, and our prospects are substantially dependent on our ability, or that of any future collaborator, to develop, obtain marketing approval for and successfully commercialize product candidates in one or more additional disease indications.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259" w:firstLine="324"/>
        <w:spacing w:after="0" w:line="217" w:lineRule="auto"/>
        <w:rPr>
          <w:sz w:val="20"/>
          <w:szCs w:val="20"/>
          <w:color w:val="auto"/>
        </w:rPr>
      </w:pPr>
      <w:r>
        <w:rPr>
          <w:rFonts w:ascii="Times New Roman" w:cs="Times New Roman" w:eastAsia="Times New Roman" w:hAnsi="Times New Roman"/>
          <w:sz w:val="18"/>
          <w:szCs w:val="18"/>
          <w:color w:val="auto"/>
        </w:rPr>
        <w:t>The success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of BXCL501, BXCL701, BXCL502 and our other product candidates will depend on several factors, including the following:</w:t>
      </w:r>
    </w:p>
    <w:p>
      <w:pPr>
        <w:spacing w:after="0" w:line="171" w:lineRule="exact"/>
        <w:rPr>
          <w:sz w:val="20"/>
          <w:szCs w:val="20"/>
          <w:color w:val="auto"/>
        </w:rPr>
      </w:pPr>
    </w:p>
    <w:p>
      <w:pPr>
        <w:ind w:left="720" w:right="31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 investigational new drug application (“IND”) by the FDA or acceptance of comparable applications by foreign regulatory authorities allowing us to conduct clinical trials of our product candidates in the U.S. or in foreign jurisdictions;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progress, timing, costs and results of clinical trials of our product candidates and potential product candidates, including any delays caused by the developments relating to the TRANQUILITY program, and any additional trials we may need to conduct prior to seeking approvals for BXCL501 in at-home and/or care facilities;</w:t>
      </w:r>
    </w:p>
    <w:p>
      <w:pPr>
        <w:spacing w:after="0" w:line="139"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and efficacy of our product candidates to the satisfaction of the FDA, or any comparable foreign regulatory authority, and sufficient for marketing approval;</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performance of our current and future collaborators;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required post-marketing clinical trials or other commitments to applicable regulatory authorities;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third-party raw materials suppliers and manufacturers;</w:t>
      </w:r>
    </w:p>
    <w:p>
      <w:pPr>
        <w:spacing w:after="0" w:line="19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third-party manufacturers to obtain finished drug product that is appropriately packaged for sale;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ongoing availability of raw materials and drug product for clinical development and any commercial sales;</w:t>
      </w:r>
    </w:p>
    <w:p>
      <w:pPr>
        <w:spacing w:after="0" w:line="121" w:lineRule="exact"/>
        <w:rPr>
          <w:rFonts w:ascii="Times New Roman" w:cs="Times New Roman" w:eastAsia="Times New Roman" w:hAnsi="Times New Roman"/>
          <w:sz w:val="18"/>
          <w:szCs w:val="18"/>
          <w:color w:val="auto"/>
        </w:rPr>
      </w:pPr>
    </w:p>
    <w:p>
      <w:pPr>
        <w:ind w:left="720" w:right="79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U.S. and internationally;</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launch of commercial sales following any marketing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185" w:lineRule="exact"/>
        <w:rPr>
          <w:sz w:val="20"/>
          <w:szCs w:val="20"/>
          <w:color w:val="auto"/>
        </w:rPr>
      </w:pPr>
    </w:p>
    <w:p>
      <w:pPr>
        <w:ind w:left="60" w:right="139" w:firstLine="324"/>
        <w:spacing w:after="0" w:line="236" w:lineRule="auto"/>
        <w:rPr>
          <w:sz w:val="20"/>
          <w:szCs w:val="20"/>
          <w:color w:val="auto"/>
        </w:rPr>
      </w:pPr>
      <w:r>
        <w:rPr>
          <w:rFonts w:ascii="Times New Roman" w:cs="Times New Roman" w:eastAsia="Times New Roman" w:hAnsi="Times New Roman"/>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develop, receive marketing approval for and successfully commercialize BXCL501, BXCL701 and our other product candidates, on our own or with any future collaborator, or experience delays because of any of these factors or otherwise, our business could be substantially harmed.</w:t>
      </w:r>
    </w:p>
    <w:p>
      <w:pPr>
        <w:spacing w:after="0" w:line="169"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4"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then-available data. The results and related findings and conclusions based on such preliminary data are subject to change, and have in the past changed, following a more comprehensive review of the data related to the particular study or trial. We also make assumptions, estimations, calculations and conclusions as part of our analyses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60"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14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47" w:lineRule="exact"/>
        <w:rPr>
          <w:sz w:val="20"/>
          <w:szCs w:val="20"/>
          <w:color w:val="auto"/>
        </w:rPr>
      </w:pPr>
    </w:p>
    <w:p>
      <w:pPr>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5"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expensive and inherently unpredictable, and if we are ultimately unable to obtain regulatory approval for our product candidates, our business will be substantially harmed.</w:t>
      </w:r>
    </w:p>
    <w:p>
      <w:pPr>
        <w:spacing w:after="0" w:line="134"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are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a product candidate’s clinical development and may vary among jurisdictions. We obtained regulatory approval for our first product candidate for the acute treatment of agitation associated with schizophrenia or bipolar I or II disorder, which is in the early stages of commercialization. It is possible that none of our other product candidates, or any product candidates we may seek to develop in the future, will ever obtain regulatory approval.</w:t>
      </w:r>
    </w:p>
    <w:p>
      <w:pPr>
        <w:spacing w:after="0" w:line="155"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Our current product candidates, or any that may be developed in the future, could fail to receive regulatory approval for many reasons, including the following:</w:t>
      </w:r>
    </w:p>
    <w:p>
      <w:pPr>
        <w:spacing w:after="0" w:line="135" w:lineRule="exact"/>
        <w:rPr>
          <w:sz w:val="20"/>
          <w:szCs w:val="20"/>
          <w:color w:val="auto"/>
        </w:rPr>
      </w:pPr>
    </w:p>
    <w:p>
      <w:pPr>
        <w:ind w:left="720" w:right="35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3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121"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that our changes to branded reference drugs meet the criteria for the 505(b)(2) regulatory pathway or comparable foreign regulatory pathways;</w:t>
      </w:r>
    </w:p>
    <w:p>
      <w:pPr>
        <w:spacing w:after="0" w:line="121" w:lineRule="exact"/>
        <w:rPr>
          <w:rFonts w:ascii="Times New Roman" w:cs="Times New Roman" w:eastAsia="Times New Roman" w:hAnsi="Times New Roman"/>
          <w:sz w:val="18"/>
          <w:szCs w:val="18"/>
          <w:color w:val="auto"/>
        </w:rPr>
      </w:pPr>
    </w:p>
    <w:p>
      <w:pPr>
        <w:ind w:left="720" w:right="59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3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21"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We have limited experience in completing clinical trials of product candidates. Consequently, we may not have the necessary capabilities, including adequate staffing, to successfully manage the execution and completion of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47"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60" w:lineRule="exact"/>
        <w:rPr>
          <w:sz w:val="20"/>
          <w:szCs w:val="20"/>
          <w:color w:val="auto"/>
        </w:rPr>
      </w:pPr>
    </w:p>
    <w:p>
      <w:pPr>
        <w:ind w:left="60" w:right="59" w:firstLine="324"/>
        <w:spacing w:after="0" w:line="244" w:lineRule="auto"/>
        <w:rPr>
          <w:sz w:val="20"/>
          <w:szCs w:val="20"/>
          <w:color w:val="auto"/>
        </w:rPr>
      </w:pPr>
      <w:r>
        <w:rPr>
          <w:rFonts w:ascii="Times New Roman" w:cs="Times New Roman" w:eastAsia="Times New Roman" w:hAnsi="Times New Roman"/>
          <w:sz w:val="18"/>
          <w:szCs w:val="18"/>
          <w:color w:val="auto"/>
        </w:rPr>
        <w:t>We have only submitted one NDA to the FDA and have not submitted any similar marketing applications to comparable foreign authorities, for any product candidate, and we cannot be certain that our product candidates currently in development, or any than may be developed in the future, will be successful in clinical trials or receive regulatory approval. Further, our product candidates currently in development, or any that may be developed in the future, may not receive regulatory approval even if we believe they are successful in clinical trials. If we do not receive regulatory approvals for additional product candidates, we may not be able to continue our operations. For any regulatory approvals to market one or more of our product candidates, our revenues will be dependent, in part, upon the size of the markets in the territories for which we gain regulatory approval and have commercial rights. If the markets for patients that we are targeting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other product candidates are not as significant as we estimate, we may not generate significant revenues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such other product candidates, if approved.</w:t>
      </w:r>
    </w:p>
    <w:p>
      <w:pPr>
        <w:spacing w:after="0" w:line="4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U.S., the European Union (“EU”)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4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could choose to submit a CTA under either the Clinical Trials Directive or the CTR until January 31, 2023 and, if authorized, those are governed by the Clinical Trials Directive until January 31, 2025. By that date, all ongoing trials will become subject to the provisions of the CTR.</w:t>
      </w:r>
    </w:p>
    <w:p>
      <w:pPr>
        <w:spacing w:after="0" w:line="161"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Clinical trials are expensive, time-consuming, difficult to design, difficult to conduct, and involve an uncertain outcome.</w:t>
      </w:r>
    </w:p>
    <w:p>
      <w:pPr>
        <w:spacing w:after="0" w:line="20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in accordance with applicable law and regulations. Failure can occur at any time during the clinical trial process. Although we are planning for certain clinical trials relating to BXCL501, BXCL701, BXCL502 and our other product candidates, there can be no assurance that the FDA, or other comparable foreign regulatory authorities, will accept our proposed trial designs as sufficient to establish the safety and/or efficacy of our product candidates.</w:t>
      </w:r>
    </w:p>
    <w:p>
      <w:pPr>
        <w:spacing w:after="0" w:line="162"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35" w:lineRule="exact"/>
        <w:rPr>
          <w:sz w:val="20"/>
          <w:szCs w:val="20"/>
          <w:color w:val="auto"/>
        </w:rPr>
      </w:pPr>
    </w:p>
    <w:p>
      <w:pPr>
        <w:ind w:left="720" w:right="4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2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allowances or authorizations to commence a trial or consensus with regulatory authorities on trial designs;</w:t>
      </w:r>
    </w:p>
    <w:p>
      <w:pPr>
        <w:spacing w:after="0" w:line="134" w:lineRule="exact"/>
        <w:rPr>
          <w:rFonts w:ascii="Times New Roman" w:cs="Times New Roman" w:eastAsia="Times New Roman" w:hAnsi="Times New Roman"/>
          <w:sz w:val="18"/>
          <w:szCs w:val="18"/>
          <w:color w:val="auto"/>
        </w:rPr>
      </w:pPr>
    </w:p>
    <w:p>
      <w:pPr>
        <w:jc w:val="both"/>
        <w:ind w:left="720" w:right="21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trial sites;</w:t>
      </w:r>
    </w:p>
    <w:p>
      <w:pPr>
        <w:spacing w:after="0" w:line="135"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approval at each site, or independent ethics committee approval at any sites outside the U.S.;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needs and timing of third-party collaborators;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trial in a timely manner and in sufficient numbers;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trial or return for post-treatment follow-up;</w:t>
      </w:r>
    </w:p>
    <w:p>
      <w:pPr>
        <w:spacing w:after="0" w:line="184" w:lineRule="exact"/>
        <w:rPr>
          <w:rFonts w:ascii="Times New Roman" w:cs="Times New Roman" w:eastAsia="Times New Roman" w:hAnsi="Times New Roman"/>
          <w:sz w:val="18"/>
          <w:szCs w:val="18"/>
          <w:color w:val="auto"/>
        </w:rPr>
      </w:pPr>
    </w:p>
    <w:p>
      <w:pPr>
        <w:ind w:left="720" w:right="39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including as a result of unforeseen safety issues or side effects or failure of trial sites to adhere to regulatory requirements;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SAEs in trials of the same class of agents conducted by other companies or institutions;</w:t>
      </w:r>
    </w:p>
    <w:p>
      <w:pPr>
        <w:spacing w:after="0" w:line="198"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for the indications for which we are developing our product candidates, or participating in competing trials;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for use in clinical trials;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84"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121" w:lineRule="exact"/>
        <w:rPr>
          <w:rFonts w:ascii="Times New Roman" w:cs="Times New Roman" w:eastAsia="Times New Roman" w:hAnsi="Times New Roman"/>
          <w:sz w:val="18"/>
          <w:szCs w:val="18"/>
          <w:color w:val="auto"/>
        </w:rPr>
      </w:pPr>
    </w:p>
    <w:p>
      <w:pPr>
        <w:ind w:left="720" w:right="25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(“cGMP”) regulations or other applicable requirements, or infections or cross-contaminations of product candidates in the manufacturing process;</w:t>
      </w:r>
    </w:p>
    <w:p>
      <w:pPr>
        <w:spacing w:after="0" w:line="15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184" w:lineRule="exact"/>
        <w:rPr>
          <w:rFonts w:ascii="Times New Roman" w:cs="Times New Roman" w:eastAsia="Times New Roman" w:hAnsi="Times New Roman"/>
          <w:sz w:val="18"/>
          <w:szCs w:val="18"/>
          <w:color w:val="auto"/>
        </w:rPr>
      </w:pPr>
    </w:p>
    <w:p>
      <w:pPr>
        <w:ind w:left="720" w:right="35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GCPs or other regulatory requirements; or</w:t>
      </w:r>
    </w:p>
    <w:p>
      <w:pPr>
        <w:spacing w:after="0" w:line="135" w:lineRule="exact"/>
        <w:rPr>
          <w:rFonts w:ascii="Times New Roman" w:cs="Times New Roman" w:eastAsia="Times New Roman" w:hAnsi="Times New Roman"/>
          <w:sz w:val="18"/>
          <w:szCs w:val="18"/>
          <w:color w:val="auto"/>
        </w:rPr>
      </w:pPr>
    </w:p>
    <w:p>
      <w:pPr>
        <w:ind w:left="720" w:right="219" w:hanging="319"/>
        <w:spacing w:after="0" w:line="25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third-party contractors not complying with training and trial protocol; or third-party contractors becoming debarred or suspended or otherwise penalized by the FDA, such as in the case of the recent events relating to the TRANQUILITY II clinical trial,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0" w:lineRule="exact"/>
        <w:rPr>
          <w:sz w:val="20"/>
          <w:szCs w:val="20"/>
          <w:color w:val="auto"/>
        </w:rPr>
      </w:pPr>
    </w:p>
    <w:p>
      <w:pPr>
        <w:ind w:left="60" w:right="79" w:firstLine="324"/>
        <w:spacing w:after="0" w:line="267" w:lineRule="auto"/>
        <w:rPr>
          <w:sz w:val="20"/>
          <w:szCs w:val="20"/>
          <w:color w:val="auto"/>
        </w:rPr>
      </w:pPr>
      <w:r>
        <w:rPr>
          <w:rFonts w:ascii="Times New Roman" w:cs="Times New Roman" w:eastAsia="Times New Roman" w:hAnsi="Times New Roman"/>
          <w:sz w:val="17"/>
          <w:szCs w:val="17"/>
          <w:color w:val="auto"/>
        </w:rPr>
        <w:t>We could encounter delays if a clinical trial is suspended or terminated by us, by the IRBs of the institutions in which such trials are being conducted, by the Data Safety Monitoring Board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Furthermore, we rely on CROs and clinical trial sites to ensure the proper and timely conduct of our clinical trials and, while we have agreements governing their committed activities, we have limited influence over their actual performance, which increases the risk that such CROs or trial sites may fail to perform in accordance with regulatory requirements, clinical trial protocols or with the agreements governing their services to us. For example, investigator misconduct affecting our TRANQUILITY</w:t>
      </w:r>
    </w:p>
    <w:p>
      <w:pPr>
        <w:spacing w:after="0" w:line="2" w:lineRule="exact"/>
        <w:rPr>
          <w:sz w:val="20"/>
          <w:szCs w:val="20"/>
          <w:color w:val="auto"/>
        </w:rPr>
      </w:pPr>
    </w:p>
    <w:p>
      <w:pPr>
        <w:ind w:left="60" w:right="239" w:hanging="10"/>
        <w:spacing w:after="0" w:line="253" w:lineRule="auto"/>
        <w:tabs>
          <w:tab w:leader="none" w:pos="2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which evaluated BXCL501 in patients with probable Alzheimer’s disease, may have a material adverse impact on our development program for BXCL501 in these patients, as described more fully in the risk factor above entitled: “</w:t>
      </w:r>
      <w:r>
        <w:rPr>
          <w:rFonts w:ascii="Times New Roman" w:cs="Times New Roman" w:eastAsia="Times New Roman" w:hAnsi="Times New Roman"/>
          <w:sz w:val="18"/>
          <w:szCs w:val="18"/>
          <w:i w:val="1"/>
          <w:iCs w:val="1"/>
          <w:color w:val="auto"/>
        </w:rPr>
        <w:t>Developments relating to our TRANQUILITY II Phase 3 trial may impact the timing of our development plans for,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due to differences in health care services or cultural customs, managing additional administrative burdens associated with foreign regulatory schemes, as well as political and economic risks relevant to such foreign countries. For example, current geopolitical conflicts in Eastern Europe and the Middle East may adversely impact our ability to conduct trials in those regions and elsewhere.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58" w:lineRule="exact"/>
        <w:rPr>
          <w:sz w:val="20"/>
          <w:szCs w:val="20"/>
          <w:color w:val="auto"/>
        </w:rPr>
      </w:pPr>
    </w:p>
    <w:p>
      <w:pPr>
        <w:jc w:val="both"/>
        <w:ind w:left="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and evaluation of patients in our clinical trials to continue development of our product candidates. If we are unable to enroll patients in our clinical trials, our research and development efforts could be adversely affected.</w:t>
      </w:r>
    </w:p>
    <w:p>
      <w:pPr>
        <w:spacing w:after="0" w:line="134"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and evaluate a sufficient number of patients who remain in the study until its conclusion. We may experience difficulties in patient enrollment or evaluation in our clinical trials for a variety of reasons. Patient enrollment and evaluation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our ability to recruit clinical trial investigators with the appropriate competencies and experience, our ability to obtain and maintain patient consents, the risk that patients enrolled in clinical trials will drop out of the trials before evaluation or completion, the frequency of acute agitation symptoms in enrolled patients, the opportunity for evaluation of patients enrolled in our trials,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product candidates are designed to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47" w:lineRule="exact"/>
        <w:rPr>
          <w:sz w:val="20"/>
          <w:szCs w:val="20"/>
          <w:color w:val="auto"/>
        </w:rPr>
      </w:pPr>
    </w:p>
    <w:p>
      <w:pPr>
        <w:jc w:val="both"/>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w:t>
      </w:r>
    </w:p>
    <w:p>
      <w:pPr>
        <w:spacing w:after="0" w:line="148"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BXCL502, BXCL701, BXCL702 and our other product candidates in patients, in many cases, is ongoing and it is possible that there may be side effects associated with their use. Results of our trials could reveal a high and unacceptable severity and prevalence of these or other side effects. For example, in our Phase 2 clinical trial of BXCL701 for the treatment of emergent neuroendocrine prostate cancer, one patient experienced acidosis with a fatal outcome. Although the clinical investigator could not determine that the fatality was related to treatment with BXCL701, it is possible that BXCL701 could be tied to unacceptable side effects in the future.</w:t>
      </w:r>
    </w:p>
    <w:p>
      <w:pPr>
        <w:spacing w:after="0" w:line="14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If we observe drug-related AEs or other unacceptable safety concerns in clinical trials,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medical personnel using our product candidates to understand the side effect profiles observed in our clinical trials and upon commercialization of any of our product candidates that may receive regulatory approval. Inadequate training in recognizing or managing the potential side effects of our product candidates could result in patient injury or death. Any of these occurrences may harm our business, financial condition and prospects significantly.</w:t>
      </w:r>
    </w:p>
    <w:p>
      <w:pPr>
        <w:spacing w:after="0" w:line="145" w:lineRule="exact"/>
        <w:rPr>
          <w:sz w:val="20"/>
          <w:szCs w:val="20"/>
          <w:color w:val="auto"/>
        </w:rPr>
      </w:pPr>
    </w:p>
    <w:p>
      <w:pPr>
        <w:ind w:left="60" w:right="119" w:firstLine="324"/>
        <w:spacing w:after="0" w:line="227" w:lineRule="auto"/>
        <w:rPr>
          <w:sz w:val="20"/>
          <w:szCs w:val="20"/>
          <w:color w:val="auto"/>
        </w:rPr>
      </w:pPr>
      <w:r>
        <w:rPr>
          <w:rFonts w:ascii="Times New Roman" w:cs="Times New Roman" w:eastAsia="Times New Roman" w:hAnsi="Times New Roman"/>
          <w:sz w:val="17"/>
          <w:szCs w:val="17"/>
          <w:color w:val="auto"/>
        </w:rPr>
        <w:t>Additionally, if we or others later identify undesirable side effects caused by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any other product candidate that receives marketing approval, a number of potentially significant negative consequences could result, including:</w:t>
      </w:r>
    </w:p>
    <w:p>
      <w:pPr>
        <w:spacing w:after="0" w:line="159"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a product is administered to patients;</w:t>
      </w:r>
    </w:p>
    <w:p>
      <w:pPr>
        <w:spacing w:after="0" w:line="198" w:lineRule="exact"/>
        <w:rPr>
          <w:rFonts w:ascii="Times New Roman" w:cs="Times New Roman" w:eastAsia="Times New Roman" w:hAnsi="Times New Roman"/>
          <w:sz w:val="18"/>
          <w:szCs w:val="18"/>
          <w:color w:val="auto"/>
        </w:rPr>
      </w:pPr>
    </w:p>
    <w:p>
      <w:pPr>
        <w:ind w:left="720" w:right="91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distribution of the particular product or the manufacturing processes for the product or any component thereof;</w:t>
      </w:r>
    </w:p>
    <w:p>
      <w:pPr>
        <w:spacing w:after="0" w:line="121" w:lineRule="exact"/>
        <w:rPr>
          <w:rFonts w:ascii="Times New Roman" w:cs="Times New Roman" w:eastAsia="Times New Roman" w:hAnsi="Times New Roman"/>
          <w:sz w:val="18"/>
          <w:szCs w:val="18"/>
          <w:color w:val="auto"/>
        </w:rPr>
      </w:pPr>
    </w:p>
    <w:p>
      <w:pPr>
        <w:ind w:left="720" w:right="9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a “black box” warning or contraindication;</w:t>
      </w:r>
    </w:p>
    <w:p>
      <w:pPr>
        <w:spacing w:after="0" w:line="121" w:lineRule="exact"/>
        <w:rPr>
          <w:rFonts w:ascii="Times New Roman" w:cs="Times New Roman" w:eastAsia="Times New Roman" w:hAnsi="Times New Roman"/>
          <w:sz w:val="18"/>
          <w:szCs w:val="18"/>
          <w:color w:val="auto"/>
        </w:rPr>
      </w:pPr>
    </w:p>
    <w:p>
      <w:pPr>
        <w:jc w:val="both"/>
        <w:ind w:left="720" w:right="359" w:hanging="319"/>
        <w:spacing w:after="0" w:line="312"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implement Risk Evaluation and Mitigation Strategies (“REMS”) or create a medication guide outlining the risks of such side effects for distribution to patients, or similar risk management measures;</w:t>
      </w:r>
    </w:p>
    <w:p>
      <w:pPr>
        <w:spacing w:after="0" w:line="112"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ind w:left="60" w:right="379" w:firstLine="324"/>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17"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discovery and development of product candidates based on EvolverAI, BioXcel LLC’s proprietary pharmaceutical discovery and development engine, and our artificial intelligence (“AI”) platform is novel and unproven, and we do not know whether we will be able to develop any products of commercial value.</w:t>
      </w:r>
    </w:p>
    <w:p>
      <w:pPr>
        <w:spacing w:after="0" w:line="134" w:lineRule="exact"/>
        <w:rPr>
          <w:sz w:val="20"/>
          <w:szCs w:val="20"/>
          <w:color w:val="auto"/>
        </w:rPr>
      </w:pPr>
    </w:p>
    <w:p>
      <w:pPr>
        <w:ind w:left="60" w:right="79" w:firstLine="324"/>
        <w:spacing w:after="0" w:line="244" w:lineRule="auto"/>
        <w:rPr>
          <w:sz w:val="20"/>
          <w:szCs w:val="20"/>
          <w:color w:val="auto"/>
        </w:rPr>
      </w:pPr>
      <w:r>
        <w:rPr>
          <w:rFonts w:ascii="Times New Roman" w:cs="Times New Roman" w:eastAsia="Times New Roman" w:hAnsi="Times New Roman"/>
          <w:sz w:val="18"/>
          <w:szCs w:val="18"/>
          <w:color w:val="auto"/>
        </w:rPr>
        <w:t>We are leveraging our own AI platform and BioXcel LLC’s EvolverAI, a proprietary pharmaceutical discovery and development engine,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our AI platform and BioXcel LLC’s EvolverAI to create medicines for defined patient populations may potentially enable drug research and clinical development that is more efficient than conventional drug research and development, our approach is novel. Although we obtained FDA approval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because our approach is novel, the cost and time needed to develop our product candidates is difficult to predict, and our efforts may not result in the discovery and development of commercially viable medicines. We may also be incorrect about the effects of our product and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5"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18"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63" w:lineRule="exact"/>
        <w:rPr>
          <w:sz w:val="20"/>
          <w:szCs w:val="20"/>
          <w:color w:val="auto"/>
        </w:rPr>
      </w:pPr>
    </w:p>
    <w:p>
      <w:pPr>
        <w:jc w:val="both"/>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Additionally, our use of AI and machine learning may be subject to laws and evolving regulations regarding the use of AI or machine learning, controlling for data bias, and anti-discrimination, and we may not always be able to anticipate how to respond to these laws or regulations. Further, there is an increase in litigation in a number of jurisdictions, including the United States, relating to the use of AI, particularly generative AI.</w:t>
      </w:r>
    </w:p>
    <w:p>
      <w:pPr>
        <w:spacing w:after="0" w:line="13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200" w:lineRule="exact"/>
        <w:rPr>
          <w:sz w:val="20"/>
          <w:szCs w:val="20"/>
          <w:color w:val="auto"/>
        </w:rPr>
      </w:pPr>
    </w:p>
    <w:p>
      <w:pPr>
        <w:spacing w:after="0" w:line="35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AI platform and BioXcel LLC’s EvolverAI may fail to help us discover and develop additional potential product candidates.</w:t>
      </w:r>
    </w:p>
    <w:p>
      <w:pPr>
        <w:spacing w:after="0" w:line="118" w:lineRule="exact"/>
        <w:rPr>
          <w:sz w:val="20"/>
          <w:szCs w:val="20"/>
          <w:color w:val="auto"/>
        </w:rPr>
      </w:pPr>
    </w:p>
    <w:p>
      <w:pPr>
        <w:ind w:left="60" w:right="159" w:firstLine="324"/>
        <w:spacing w:after="0" w:line="281" w:lineRule="auto"/>
        <w:rPr>
          <w:sz w:val="20"/>
          <w:szCs w:val="20"/>
          <w:color w:val="auto"/>
        </w:rPr>
      </w:pPr>
      <w:r>
        <w:rPr>
          <w:rFonts w:ascii="Times New Roman" w:cs="Times New Roman" w:eastAsia="Times New Roman" w:hAnsi="Times New Roman"/>
          <w:sz w:val="17"/>
          <w:szCs w:val="17"/>
          <w:color w:val="auto"/>
        </w:rPr>
        <w:t>Any drug discovery that we are conducting using the Company’s AI platform and BioXcel LLC’s EvolverAI may not be successful in identifying compounds that have commercial value or therapeutic utility. The Company’s AI platform and BioXcel LLC’s EvolverAI may initially show promise in identifying potential product candidates, yet fail to yield viable additional product candidates for clinical development or potential commercialization for a number of reasons, including:</w:t>
      </w:r>
    </w:p>
    <w:p>
      <w:pPr>
        <w:spacing w:after="0" w:line="124" w:lineRule="exact"/>
        <w:rPr>
          <w:sz w:val="20"/>
          <w:szCs w:val="20"/>
          <w:color w:val="auto"/>
        </w:rPr>
      </w:pPr>
    </w:p>
    <w:p>
      <w:pPr>
        <w:ind w:left="720" w:right="11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56" w:lineRule="exact"/>
        <w:rPr>
          <w:rFonts w:ascii="Times New Roman" w:cs="Times New Roman" w:eastAsia="Times New Roman" w:hAnsi="Times New Roman"/>
          <w:sz w:val="18"/>
          <w:szCs w:val="18"/>
          <w:color w:val="auto"/>
        </w:rPr>
      </w:pPr>
    </w:p>
    <w:p>
      <w:pPr>
        <w:ind w:left="720" w:right="55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compounds found through the Company’s AI platform and BioXcel LLC’s EvolverAI may not demonstrate efficacy, safety or tolerability;</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2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 therapies that render our potential product candidates non-competitive or less attractive; or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product candidate may not be capable of being produced at an acceptable cost.</w:t>
      </w:r>
    </w:p>
    <w:p>
      <w:pPr>
        <w:spacing w:after="0" w:line="194"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proprietary AI algorithms and/or may eliminate or restrict the confidentiality of our proprietary technology, which could have an adverse effect on our business, results of operations, and financial condition.</w:t>
      </w:r>
    </w:p>
    <w:p>
      <w:pPr>
        <w:spacing w:after="0" w:line="134"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Our future success depends on our ability to continue to develop and implement our proprietary AI algorithms and models, and to maintain the confidentiality of this technology. Changes to existing regulations, their interpretation or implementation, or new regulations could impede our use of this technology or require that we disclose our proprietary technology to our competitors, which could impair our competitive position and result in an adverse effect on our business, results of operations and financial condition.</w:t>
      </w:r>
    </w:p>
    <w:p>
      <w:pPr>
        <w:spacing w:after="0" w:line="139"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obtained Fast Track designation for certain of our product candidates, and we may seek Fast Track designation for other indications or for our other product candidates, but we might not receive such designations, and even if we do, such designations may not actually lead to a faster development or regulatory review or approval process.</w:t>
      </w:r>
    </w:p>
    <w:p>
      <w:pPr>
        <w:spacing w:after="0" w:line="148"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If a product candidate is intended for the treatment of a serious condition and nonclinical or clinical data demonstrate the potential to address unmet medical need for this condition, a product sponsor may apply for FDA Fast Track designation. The sponsor of a Fast Track product candidate has opportunities for more frequent interactions with the applicable FDA review team during product development and, once an NDA is submitted, the product candidate may be eligible for priority review if the relevant criteria are met.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We obtained Fast Track designation for BXCL501 for the acute treatment of mild-to-moderate agitation associated with schizophrenia, bipolar disorder, and dementia, and we further obtained Fast Track designation for BXCL701, in combination with a checkpoint inhibitor, for the treatment of patients with metastatic SCNC with progression on chemotherapy and no evidence of microsatellite instability, and we may seek additional Fast Track designation for BXCL501 or BXCL701 or for one or more of our other product candidates, but we might not receive such designations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46" w:lineRule="exact"/>
        <w:rPr>
          <w:sz w:val="20"/>
          <w:szCs w:val="20"/>
          <w:color w:val="auto"/>
        </w:rPr>
      </w:pPr>
    </w:p>
    <w:p>
      <w:pPr>
        <w:ind w:left="60" w:right="1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34"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obtained Breakthrough Therapy Designation for BXCL501 for the acute treatment of agitation associated with dementia, and we may seek additional Breakthrough Therapy designations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also receive the benefits associated with Fast Track designation, including the potential for rolling review of an NDA.</w:t>
      </w:r>
    </w:p>
    <w:p>
      <w:pPr>
        <w:spacing w:after="0" w:line="165" w:lineRule="exact"/>
        <w:rPr>
          <w:sz w:val="20"/>
          <w:szCs w:val="20"/>
          <w:color w:val="auto"/>
        </w:rPr>
      </w:pPr>
    </w:p>
    <w:p>
      <w:pPr>
        <w:jc w:val="both"/>
        <w:ind w:left="60" w:right="339" w:firstLine="324"/>
        <w:spacing w:after="0" w:line="289" w:lineRule="auto"/>
        <w:rPr>
          <w:sz w:val="20"/>
          <w:szCs w:val="20"/>
          <w:color w:val="auto"/>
        </w:rPr>
      </w:pPr>
      <w:r>
        <w:rPr>
          <w:rFonts w:ascii="Times New Roman" w:cs="Times New Roman" w:eastAsia="Times New Roman" w:hAnsi="Times New Roman"/>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or decide that the period for FDA review or approval will not be shortened.</w:t>
      </w:r>
    </w:p>
    <w:p>
      <w:pPr>
        <w:spacing w:after="0" w:line="14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25"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We intend to seek FDA approval through the 505(b)(2) regulatory pathway for certain of our product candidates. The Hatch-Waxman Act added Section 505(b)(2) to the Federal Food, Drug and Cosmetic Act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w:t>
      </w:r>
    </w:p>
    <w:p>
      <w:pPr>
        <w:spacing w:after="0" w:line="2" w:lineRule="exact"/>
        <w:rPr>
          <w:sz w:val="20"/>
          <w:szCs w:val="20"/>
          <w:color w:val="auto"/>
        </w:rPr>
      </w:pPr>
    </w:p>
    <w:p>
      <w:pPr>
        <w:ind w:left="60" w:right="159" w:hanging="10"/>
        <w:spacing w:after="0" w:line="252"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44"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by the FDA, or similar regulatory authorities, to obtain approval (or clearance, or certification) of a companion diagnostic device in connection with approval of one of our product candidates, and we do not obtain, or face delays in obtaining approval (or clearance, or certification) of a companion diagnostic device, we will not be able to commercialize the product candidate, and our ability to generate revenue will be materially impaired</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may decide to collaborate with patient diagnostic companies during our clinical trial enrollment process for BXCL701 to help identify patients with tumor gene alterations that we believe may be most likely to respond to treatment with BXCL701. The process of obtaining or creating such diagnostic is time consuming and costly.</w:t>
      </w:r>
    </w:p>
    <w:p>
      <w:pPr>
        <w:spacing w:after="0" w:line="151"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 In January 2024, the FDA announced that it intends to initiate the process to reclassify most in vitro diagnostic tests (“IVDs”) that are currently Class III into Class II, including companion diagnostic IVDs. If such reclassification efforts occur, any companion diagnostics that are the subject of the down-classification may no longer require premarket approval, but rather may be marketed pursuant to the generally less burdensome 510(k) clearance process. However, there is no assurance that any companion diagnostic required for our pharmaceutical development programs will benefit from the reclassification, or that the reclassification, even if it does occur, will result in a shorter timeline to development or marketing of the companion diagnostic.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161"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Approval, clearance or certification of companion diagnostics may be subject to further legislative or regulatory reforms notably in the EU. On May 25, 2017, the new In Vitro Medical Devices Regulation No. 2017/746 (“IVDR”) entered into force. The IVDR repeals and replaces the EU In Vitro Diagnostic Medical Devices Directive. Unlike directives, which must be implemented into the national laws of the EU member states, regulations are directly applicable (i.e., without the need for adoption of EU member states laws implementing them) in all EU member states and are intended to eliminate current differences in the regulation of medical devices among EU member states. The IVDR, among other things, is intended to establish a uniform, transparent, predictable and sustainable regulatory framework across the EU for medical devices and ensure a high level of safety and health while supporting innovation. The IVDR became effective in May 2022. However, on October 14, 2021, the European Commission proposed a “progressive” roll-out of the IVDR to prevent disruption in the supply of in vitro diagnostic medical devices. The European Parliament and Council adopted the proposed regulation on December 15, 2021. The IVDR has applied since May 26, 2022, but there is a tiered system extending the grace period for many devices (depending on their risk classification) before they have to be fully compliant with the regulation.</w:t>
      </w:r>
    </w:p>
    <w:p>
      <w:pPr>
        <w:spacing w:after="0" w:line="147"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regulation of companion diagnostics in the EU is subject to further requirements since the IVDR became applicable as it introduced a new classification system for companion diagnostics. Companion diagnostics will have to undergo a conformity assessment by a notified body. Before it can issue an EU certificate, the notified body must seek a scientific opinion from the EMA on the suitability of the companion diagnostic to the medicinal product concerned if the medicinal product falls exclusively within the scope of the centralized procedure for the authorization of medicines, or the medicinal product is already authorized through the centralized procedure, or a marketing authorization (“MA”) application for the medicinal product has been submitted through the centralized procedure. For other substances, the notified body can seek the opinion from a national competent authority or the EMA.</w:t>
      </w:r>
    </w:p>
    <w:p>
      <w:pPr>
        <w:spacing w:after="0" w:line="15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These modifications may make it more difficult and costly for us to obtain regulatory clearances, approvals or certifications for our companion diagnostics or to manufacture, market or distribute our products after clearance, approval or certification is obtained.</w:t>
      </w:r>
    </w:p>
    <w:p>
      <w:pPr>
        <w:spacing w:after="0" w:line="137" w:lineRule="exact"/>
        <w:rPr>
          <w:sz w:val="20"/>
          <w:szCs w:val="20"/>
          <w:color w:val="auto"/>
        </w:rPr>
      </w:pPr>
    </w:p>
    <w:p>
      <w:pPr>
        <w:ind w:left="60" w:right="79"/>
        <w:spacing w:after="0" w:line="202" w:lineRule="auto"/>
        <w:rPr>
          <w:sz w:val="20"/>
          <w:szCs w:val="20"/>
          <w:color w:val="auto"/>
        </w:rPr>
      </w:pPr>
      <w:r>
        <w:rPr>
          <w:rFonts w:ascii="Times New Roman" w:cs="Times New Roman" w:eastAsia="Times New Roman" w:hAnsi="Times New Roman"/>
          <w:sz w:val="18"/>
          <w:szCs w:val="18"/>
          <w:b w:val="1"/>
          <w:bCs w:val="1"/>
          <w:i w:val="1"/>
          <w:iCs w:val="1"/>
          <w:color w:val="auto"/>
        </w:rPr>
        <w:t>Although the FDA has approved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the acute treatment of agitation associated with schizophrenia or bipolar I or II disorder, we will still face extensive and ongoing regulatory requirements and obligations for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for any product candidates for which we obtain approval.</w:t>
      </w:r>
    </w:p>
    <w:p>
      <w:pPr>
        <w:spacing w:after="0" w:line="150" w:lineRule="exact"/>
        <w:rPr>
          <w:sz w:val="20"/>
          <w:szCs w:val="20"/>
          <w:color w:val="auto"/>
        </w:rPr>
      </w:pPr>
    </w:p>
    <w:p>
      <w:pPr>
        <w:ind w:left="60" w:right="59" w:firstLine="324"/>
        <w:spacing w:after="0" w:line="231" w:lineRule="auto"/>
        <w:rPr>
          <w:sz w:val="20"/>
          <w:szCs w:val="20"/>
          <w:color w:val="auto"/>
        </w:rPr>
      </w:pPr>
      <w:r>
        <w:rPr>
          <w:rFonts w:ascii="Times New Roman" w:cs="Times New Roman" w:eastAsia="Times New Roman" w:hAnsi="Times New Roman"/>
          <w:sz w:val="18"/>
          <w:szCs w:val="18"/>
          <w:color w:val="auto"/>
        </w:rPr>
        <w:t>Any regulatory approvals that we may receive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of our product candidates will require the submission of reports to regulatory authorities and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certain warnings and precautions regarding hypotension, orthostatic hypotension, bradycardia, somnolence, and QT interval prolongation. The FDA may also require a REMS to approve a product candidate, which could entail requirements for a medication guide, physician training and communication plans or additional elements to ensure safe use, such as restricted distribution methods, patient registries and other risk minimization tools.</w:t>
      </w:r>
    </w:p>
    <w:p>
      <w:pPr>
        <w:spacing w:after="0" w:line="157" w:lineRule="exact"/>
        <w:rPr>
          <w:sz w:val="20"/>
          <w:szCs w:val="20"/>
          <w:color w:val="auto"/>
        </w:rPr>
      </w:pPr>
    </w:p>
    <w:p>
      <w:pPr>
        <w:ind w:left="60" w:right="519" w:firstLine="324"/>
        <w:spacing w:after="0" w:line="242" w:lineRule="auto"/>
        <w:rPr>
          <w:sz w:val="20"/>
          <w:szCs w:val="20"/>
          <w:color w:val="auto"/>
        </w:rPr>
      </w:pPr>
      <w:r>
        <w:rPr>
          <w:rFonts w:ascii="Times New Roman" w:cs="Times New Roman" w:eastAsia="Times New Roman" w:hAnsi="Times New Roman"/>
          <w:sz w:val="17"/>
          <w:szCs w:val="17"/>
          <w:color w:val="auto"/>
        </w:rPr>
        <w:t>In addition, the manufacturing processes, labeling, packaging, distribution, AE reporting, storage, advertising, promotion, import, export and recordkeeping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are and will remain subject to extensive and ongoing regulatory requirements. These requirements include submissions of safety and other post-marketing information and reports, registration, and on-going compliance with cGMPs, and GCPs for any clinical trials that we conduct post-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AEs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w:t>
      </w:r>
    </w:p>
    <w:p>
      <w:pPr>
        <w:spacing w:after="0" w:line="160" w:lineRule="exact"/>
        <w:rPr>
          <w:sz w:val="20"/>
          <w:szCs w:val="20"/>
          <w:color w:val="auto"/>
        </w:rPr>
      </w:pPr>
    </w:p>
    <w:p>
      <w:pPr>
        <w:ind w:left="60" w:right="859" w:firstLine="324"/>
        <w:spacing w:after="0" w:line="312" w:lineRule="auto"/>
        <w:rPr>
          <w:sz w:val="20"/>
          <w:szCs w:val="20"/>
          <w:color w:val="auto"/>
        </w:rPr>
      </w:pPr>
      <w:r>
        <w:rPr>
          <w:rFonts w:ascii="Times New Roman" w:cs="Times New Roman" w:eastAsia="Times New Roman" w:hAnsi="Times New Roman"/>
          <w:sz w:val="17"/>
          <w:szCs w:val="17"/>
          <w:color w:val="auto"/>
        </w:rPr>
        <w:t>In addition, discovery of previously unknown AEs or other problems with our products, manufacturers or manufacturing processes or failure to comply with regulatory requirements, may yield various results, including:</w:t>
      </w:r>
    </w:p>
    <w:p>
      <w:pPr>
        <w:spacing w:after="0" w:line="99"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such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Further, the policies of the FDA and other regulatory authorities may change, and additional government regulations may be enacted that could impose extensive and ongoing regulatory requirements and obligations on any product candidate for which we obtain marketing approval. We also cannot predict the likelihood, nature or extent of government regulation that may arise from future legislation or administrative or executive action, either in the U.S. or abroad.</w:t>
      </w:r>
    </w:p>
    <w:p>
      <w:pPr>
        <w:spacing w:after="0" w:line="149"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left="60" w:right="199" w:firstLine="324"/>
        <w:spacing w:after="0" w:line="238" w:lineRule="auto"/>
        <w:rPr>
          <w:sz w:val="20"/>
          <w:szCs w:val="20"/>
          <w:color w:val="auto"/>
        </w:rPr>
      </w:pPr>
      <w:r>
        <w:rPr>
          <w:rFonts w:ascii="Times New Roman" w:cs="Times New Roman" w:eastAsia="Times New Roman" w:hAnsi="Times New Roman"/>
          <w:sz w:val="18"/>
          <w:szCs w:val="18"/>
          <w:color w:val="auto"/>
        </w:rPr>
        <w:t>The FDA and other regulatory authorities strictly regulate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or any other regulatory authority may grant is limited to those specific diseases and indications for which a product is deemed to be safe and effective. For example, the FDA-approved label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currently limited to the acute treatment of agitation associated with schizophrenia or bipolar I or II disorder in adults to be self-administrated by patients under the supervision of a health care provider.</w:t>
      </w:r>
    </w:p>
    <w:p>
      <w:pPr>
        <w:spacing w:after="0" w:line="15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the products is narrowly limited to those indications that are specifically approved by the FDA. These “off-label” uses are common across medical specialties and may constitute an appropriate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59"/>
        <w:spacing w:after="0" w:line="235" w:lineRule="auto"/>
        <w:rPr>
          <w:sz w:val="20"/>
          <w:szCs w:val="20"/>
          <w:color w:val="auto"/>
        </w:rPr>
      </w:pPr>
      <w:r>
        <w:rPr>
          <w:rFonts w:ascii="Times New Roman" w:cs="Times New Roman" w:eastAsia="Times New Roman" w:hAnsi="Times New Roman"/>
          <w:sz w:val="18"/>
          <w:szCs w:val="18"/>
          <w:color w:val="auto"/>
        </w:rPr>
        <w:t>treatment for some patients in varied circumstances. For example, other formulations of Dex, the active ingredient in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have been approved for uses beyond those authorized in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approved labeling, such as for use in sedation of surgical patients, and we are continuing to develop BXCL501 for potential use in patients with dementia, MDD, Alzheimer’s disease and other indications. We do not market or promote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these uses.</w:t>
      </w:r>
    </w:p>
    <w:p>
      <w:pPr>
        <w:spacing w:after="0" w:line="62" w:lineRule="exact"/>
        <w:rPr>
          <w:sz w:val="20"/>
          <w:szCs w:val="20"/>
          <w:color w:val="auto"/>
        </w:rPr>
      </w:pPr>
    </w:p>
    <w:p>
      <w:pPr>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Regulatory authorities in the U.S. generally do not regulate the behavior of physicians in their choice of treatments. Regulatory authorities do, however, restrict communications by pharmaceutical companies on off-label use. If we are found to have promoted our products for any off-label uses, the U.S. federal government (and other foreign governments) could levy civil, criminal and/or administrative penalties, and seek fines against us. The FDA, or other regulatory authorities, could also require that we enter into a consent decree or a corporate integrity agreement, or seek a permanent injunction against us under which specified promotional conduct is monitored, changed or curtailed. If we cannot successfully manage the promotion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our product candidates, if approved, we could become subject to significant liability, which would materially adversely affect our business and financial condition.</w:t>
      </w:r>
    </w:p>
    <w:p>
      <w:pPr>
        <w:spacing w:after="0" w:line="159" w:lineRule="exact"/>
        <w:rPr>
          <w:sz w:val="20"/>
          <w:szCs w:val="20"/>
          <w:color w:val="auto"/>
        </w:rPr>
      </w:pPr>
    </w:p>
    <w:p>
      <w:pPr>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staffing reductions could prevent new or modified products from being developed, approved or commercialized in a timely manner or at all, which could negatively impact our business.</w:t>
      </w:r>
    </w:p>
    <w:p>
      <w:pPr>
        <w:spacing w:after="0" w:line="134"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of some of these aforementioned issues.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corresponding staff changes, may also slow the time necessary for new drug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63" w:lineRule="exact"/>
        <w:rPr>
          <w:sz w:val="20"/>
          <w:szCs w:val="20"/>
          <w:color w:val="auto"/>
        </w:rPr>
      </w:pPr>
    </w:p>
    <w:p>
      <w:pPr>
        <w:ind w:left="60" w:right="119" w:firstLine="324"/>
        <w:spacing w:after="0" w:line="268" w:lineRule="auto"/>
        <w:rPr>
          <w:sz w:val="20"/>
          <w:szCs w:val="20"/>
          <w:color w:val="auto"/>
        </w:rPr>
      </w:pPr>
      <w:r>
        <w:rPr>
          <w:rFonts w:ascii="Times New Roman" w:cs="Times New Roman" w:eastAsia="Times New Roman" w:hAnsi="Times New Roman"/>
          <w:sz w:val="17"/>
          <w:szCs w:val="17"/>
          <w:color w:val="auto"/>
        </w:rPr>
        <w:t>Additionally, recent actions by the United States federal government have caused concern in the industry that this may occur. For example, beginning on February 13, 2025, the Department of Health and Human Services began firing a large number of its probationary employees, a category that includes new federal employees and 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There are also reports that the United States federal government intends to request Congress to</w:t>
      </w:r>
    </w:p>
    <w:p>
      <w:pPr>
        <w:ind w:left="60" w:right="119"/>
        <w:spacing w:after="0" w:line="260" w:lineRule="auto"/>
        <w:rPr>
          <w:sz w:val="20"/>
          <w:szCs w:val="20"/>
          <w:color w:val="auto"/>
        </w:rPr>
      </w:pPr>
      <w:r>
        <w:rPr>
          <w:rFonts w:ascii="Times New Roman" w:cs="Times New Roman" w:eastAsia="Times New Roman" w:hAnsi="Times New Roman"/>
          <w:sz w:val="18"/>
          <w:szCs w:val="18"/>
          <w:color w:val="auto"/>
        </w:rPr>
        <w:t>reduce FDA funding in upcoming budgets. Such funding cuts may also delay the development and approval of our product candidates.</w:t>
      </w:r>
    </w:p>
    <w:p>
      <w:pPr>
        <w:spacing w:after="0" w:line="137"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conduct certain of or portions of our clinical trials for our product candidates outside of the U.S. and the FDA may not accept data from such trials, in which case our development plans will be delayed, which could materially harm our business.</w:t>
      </w:r>
    </w:p>
    <w:p>
      <w:pPr>
        <w:spacing w:after="0" w:line="134"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choose to conduct one or more of our clinical trials or a portion of our clinical trials for our product candidates outside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7"/>
          <w:szCs w:val="17"/>
          <w:color w:val="auto"/>
        </w:rPr>
        <w:t>study data are not intended to serve as the sole basis for approval, if the clinical trial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could result in current or future product candidates that we may develop not receiving approval for commercialization in the applicable jurisdiction.</w:t>
      </w:r>
    </w:p>
    <w:p>
      <w:pPr>
        <w:spacing w:after="0" w:line="142"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extensive regulations outside the U.S. and may not obtain marketing approvals for products in Europe and other jurisdictions.</w:t>
      </w:r>
    </w:p>
    <w:p>
      <w:pPr>
        <w:spacing w:after="0" w:line="110" w:lineRule="exact"/>
        <w:rPr>
          <w:sz w:val="20"/>
          <w:szCs w:val="20"/>
          <w:color w:val="auto"/>
        </w:rPr>
      </w:pPr>
    </w:p>
    <w:p>
      <w:pPr>
        <w:ind w:left="60" w:right="79" w:firstLine="324"/>
        <w:spacing w:after="0" w:line="239" w:lineRule="auto"/>
        <w:rPr>
          <w:sz w:val="20"/>
          <w:szCs w:val="20"/>
          <w:color w:val="auto"/>
        </w:rPr>
      </w:pPr>
      <w:r>
        <w:rPr>
          <w:rFonts w:ascii="Times New Roman" w:cs="Times New Roman" w:eastAsia="Times New Roman" w:hAnsi="Times New Roman"/>
          <w:sz w:val="18"/>
          <w:szCs w:val="18"/>
          <w:color w:val="auto"/>
        </w:rPr>
        <w:t>In addition to regulations in the U.S., should we or our collaborators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for BXCL501, BXCL502, BXCL701, BXCL702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53"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We expect to pursue marketing approvals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may pursue marketing approvals for BXCL501, BXCL502, BXCL701, BXCL702 and our other product candidates in Europe and other jurisdictions outside the U.S. with collaborative partners. The time and process required to obtain regulatory approvals and reimbursement in Europe and other jurisdictions may be different from those in the U.S. Also, regulatory approval in one jurisdiction does not ensure approvals in any other jurisdiction; however, negative regulatory decisions in any jurisdiction may have a negative impact on the regulatory process in other jurisdictions.</w:t>
      </w:r>
    </w:p>
    <w:p>
      <w:pPr>
        <w:spacing w:after="0" w:line="176"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Following a national referendum and enactment of legislation by the government of the United Kingdom (“UK”), the UK formally withdrew from the EU on January 31, 2020 and ratified a trade and cooperation agreement governing its future relationship (commonly referred to as “Brexit”). The agreement, which was applied provisionally from January 1, 2021 and entered into force on May 1, 2021, addresses trade, economic arrangements, law enforcement, judicial cooperation and a governance framework including procedures for dispute resolution, among other things. Because the agreement merely sets forth a framework in many respects and requires complex additional bilateral negotiations between the UK and the EU as both parties continue to work on the rules for implementation, significant political and economic uncertainty remains about how the precise terms of the relationship between the parties will differ from the terms before withdrawal.</w:t>
      </w:r>
    </w:p>
    <w:p>
      <w:pPr>
        <w:spacing w:after="0" w:line="148"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Since January 1, 2021, the UK operates under a distinct regulatory regime to the EU. EU pharmaceutical laws only apply in respect of the UK to Northern Ireland (as set out in the Protocol on Ireland/Northern Ireland). EU laws which have been transposed into UK law through secondary legislation continue to be applicable as “retained EU law”. While the UK has indicated a general intention that new laws regarding the development, manufacture and commercialization of medicinal products in the UK will align closely with EU law, there are limited detailed proposals for future regulation of medicinal products. The trade and cooperation agreement includes specific provisions concerning medicinal products, which include the mutual recognition of cGMP, inspections of manufacturing facilities for medicinal products and cGMP documents issued (such mutual recognition can be rejected by either party in certain circumstances) but does not foresee wholesale mutual recognition of UK and EU pharmaceutical regulations. For example, it is not clear to what extent the UK will adopt legislation aligned with, or similar to, the EU CTR which became applicable on January 31, 2022 and which significantly reforms the assessment and supervision processes for clinical trials throughout the EU. 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determine the extent to which the UK clinical trials framework aligns with or diverges from the EU CTR. A decision by the UK not to closely align its regulations with the new approach that will be adopted in the EU may have an effect on the cost of conducting clinical trials in the UK as opposed to other countries.</w:t>
      </w:r>
    </w:p>
    <w:p>
      <w:pPr>
        <w:spacing w:after="0" w:line="14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Therefore, there remains political and economic uncertainty regarding to what extent the regulation of medicinal products will differ between the UK and the EU in the future. Any divergences will increase the cost and complexity of running our business, including with respect to the conduct of clinical trials. Brexit also materially impacted the regulatory regime with respect to the approval of our product candidates. Great Britain is no longer covered by the EU’s procedures for the grant of MAs (Northern Ireland is covered by the centralized authorization procedure and can be covered under the decentralized or mutual recognition procedures). As of January 1, 2021, all existing centralized MAs were automatically converted into UK MAs effective in Great Britain and issued with a UK MA number on January 1, 2021 (unless MA holders opted out of this scheme). A separate MA is now required to market drugs in Great Britain. It is currently unclear whether the regulator in the UK, the MHRA, is sufficiently prepared to handle the increased volume of MA applications that it is likely to receive. Any delay in obtaining, or an inability to obtain, any regulatory approvals, as a result of Brexit or otherwise, would prevent us from commercializing our product candidates in Great Britain and restrict our ability to generate revenue and achieve and sustain profitability. If any of these outcomes occur, we may be forced to restrict or delay efforts to seek regulatory approval in Great Britain for our product candidates, which could significantly and materially harm our business. Any of these factors could have a significant adverse effect on our business, financial condition, results of operations and prospects.</w:t>
      </w:r>
    </w:p>
    <w:p>
      <w:pPr>
        <w:spacing w:after="0" w:line="152" w:lineRule="exact"/>
        <w:rPr>
          <w:sz w:val="20"/>
          <w:szCs w:val="20"/>
          <w:color w:val="auto"/>
        </w:rPr>
      </w:pPr>
    </w:p>
    <w:p>
      <w:pPr>
        <w:jc w:val="both"/>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found in violation of federal, state or foreign health care “fraud and abuse” laws, we may be required to pay significant fines and penalties, including, without limitation, debarment, suspension or exclusion from participation in federal, state or similar health care programs, which may adversely affect our business, financial condition and results of operations.</w:t>
      </w:r>
    </w:p>
    <w:p>
      <w:pPr>
        <w:spacing w:after="0" w:line="140"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In the U.S., we are subject to various federal and state health care “fraud and abuse” laws, including anti- kickback laws, false claims laws and other laws intended to reduce fraud and abuse in federal and state health care programs, which could affect us, and our ability to successfully commercialize our products in the U.S. We may have to comply with similar laws and regulations outside the U.S. These laws include:</w:t>
      </w:r>
    </w:p>
    <w:p>
      <w:pPr>
        <w:spacing w:after="0" w:line="153" w:lineRule="exact"/>
        <w:rPr>
          <w:sz w:val="20"/>
          <w:szCs w:val="20"/>
          <w:color w:val="auto"/>
        </w:rPr>
      </w:pPr>
    </w:p>
    <w:p>
      <w:pPr>
        <w:ind w:left="720" w:right="79" w:hanging="319"/>
        <w:spacing w:after="0" w:line="25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A person or entity does not need to have actual knowledge of this statute or specific intent to violate it to have committed a violation;</w:t>
      </w:r>
    </w:p>
    <w:p>
      <w:pPr>
        <w:spacing w:after="0" w:line="146"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In addition, the government may assert that a claim, including items or services resulting from a violation of the federal Anti-Kickback Statute, constitutes a false or fraudulent claim for purposes of the false claims laws. Further, private individuals have the ability to bring actions on behalf of the government under the federal False Claims Act;</w:t>
      </w:r>
    </w:p>
    <w:p>
      <w:pPr>
        <w:spacing w:after="0" w:line="147"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prohibits persons or entities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Similar to the federal Anti- Kickback Statute, a person or entity does not need to have actual knowledge of these statutes or specific intent to violate them to have committed a violation;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59" w:hanging="319"/>
        <w:spacing w:after="0" w:line="261"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52" w:lineRule="exact"/>
        <w:rPr>
          <w:rFonts w:ascii="Times New Roman" w:cs="Times New Roman" w:eastAsia="Times New Roman" w:hAnsi="Times New Roman"/>
          <w:sz w:val="18"/>
          <w:szCs w:val="18"/>
          <w:color w:val="auto"/>
        </w:rPr>
      </w:pPr>
    </w:p>
    <w:p>
      <w:pPr>
        <w:ind w:left="720" w:right="53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21" w:lineRule="exact"/>
        <w:rPr>
          <w:rFonts w:ascii="Times New Roman" w:cs="Times New Roman" w:eastAsia="Times New Roman" w:hAnsi="Times New Roman"/>
          <w:sz w:val="18"/>
          <w:szCs w:val="18"/>
          <w:color w:val="auto"/>
        </w:rPr>
      </w:pPr>
    </w:p>
    <w:p>
      <w:pPr>
        <w:ind w:left="720" w:right="139" w:hanging="319"/>
        <w:spacing w:after="0" w:line="255"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sunshine requirements under the Patient Protection and Affordable Care Act (“ACA”), which requires certain manufacturers of drugs, devices, biologics, and medical supplies to report annually to the Centers for Medicare &amp; Medicaid Services (“CMS”) information related to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anesthesiologist assistants, and certified nurse midwives), and teaching hospitals, and ownership and investment interests held by physicians and their immediate family members;</w:t>
      </w:r>
    </w:p>
    <w:p>
      <w:pPr>
        <w:spacing w:after="0" w:line="148" w:lineRule="exact"/>
        <w:rPr>
          <w:rFonts w:ascii="Times New Roman" w:cs="Times New Roman" w:eastAsia="Times New Roman" w:hAnsi="Times New Roman"/>
          <w:sz w:val="18"/>
          <w:szCs w:val="18"/>
          <w:color w:val="auto"/>
        </w:rPr>
      </w:pPr>
    </w:p>
    <w:p>
      <w:pPr>
        <w:ind w:left="720" w:right="139" w:hanging="319"/>
        <w:spacing w:after="0" w:line="255"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 care providers and other potential referral sources; and state laws that require drug manufacturers to report information related to payments and other transfers of value to physicians and other health care providers or marketing expenditures and pricing information; and</w:t>
      </w:r>
    </w:p>
    <w:p>
      <w:pPr>
        <w:spacing w:after="0" w:line="161" w:lineRule="exact"/>
        <w:rPr>
          <w:rFonts w:ascii="Times New Roman" w:cs="Times New Roman" w:eastAsia="Times New Roman" w:hAnsi="Times New Roman"/>
          <w:sz w:val="18"/>
          <w:szCs w:val="18"/>
          <w:color w:val="auto"/>
        </w:rPr>
      </w:pPr>
    </w:p>
    <w:p>
      <w:pPr>
        <w:ind w:left="720" w:right="61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 care providers.</w:t>
      </w:r>
    </w:p>
    <w:p>
      <w:pPr>
        <w:spacing w:after="0" w:line="121"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or foreign health care programs, additional reporting obligations and oversight if we become subject to a corporate integrity agreement or other agreement to resolve allegations of non-compliance with these laws, any of which could adversely affect our ability to market our products and adversely impact our financial results.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sufficient clinical trial liability insurance.</w:t>
      </w:r>
    </w:p>
    <w:p>
      <w:pPr>
        <w:spacing w:after="0" w:line="202" w:lineRule="exact"/>
        <w:rPr>
          <w:sz w:val="20"/>
          <w:szCs w:val="20"/>
          <w:color w:val="auto"/>
        </w:rPr>
      </w:pPr>
    </w:p>
    <w:p>
      <w:pPr>
        <w:ind w:left="60" w:right="119" w:firstLine="324"/>
        <w:spacing w:after="0" w:line="243" w:lineRule="auto"/>
        <w:rPr>
          <w:sz w:val="20"/>
          <w:szCs w:val="20"/>
          <w:color w:val="auto"/>
        </w:rPr>
      </w:pPr>
      <w:r>
        <w:rPr>
          <w:rFonts w:ascii="Times New Roman" w:cs="Times New Roman" w:eastAsia="Times New Roman" w:hAnsi="Times New Roman"/>
          <w:sz w:val="18"/>
          <w:szCs w:val="18"/>
          <w:color w:val="auto"/>
        </w:rPr>
        <w:t>Our inability to retain sufficient clinical trial liability insurance at an acceptable cost to protect against potential liability claims could prevent or inhibit our ability to conduct clinical trials for product candidates we develop.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exceeds the limits of our insurance coverage. We have supplemented our clinical trial coverage with product liability coverage in connection with the commercial launch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expect that we would similarly supplement our coverage for any of our other product candidates that may receive regulatory approval, but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9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do not gain market acceptance or if we fail to accurately forecast demand or manage our inventories, our business will suffer because we might not be able to fund future operations.</w:t>
      </w:r>
    </w:p>
    <w:p>
      <w:pPr>
        <w:spacing w:after="0" w:line="11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may affect the market acceptance of our products or any other products or product candidates we develop or acquire, including, among others:</w:t>
      </w:r>
    </w:p>
    <w:p>
      <w:pPr>
        <w:spacing w:after="0" w:line="121"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relative to other products for the same or similar treatments;</w:t>
      </w:r>
    </w:p>
    <w:p>
      <w:pPr>
        <w:spacing w:after="0" w:line="198"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physicians and other members of the health care community of the effectiveness, utility and safety of our products for their indicated applications and treatments;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sales and marketing efforts; and</w:t>
      </w:r>
    </w:p>
    <w:p>
      <w:pPr>
        <w:spacing w:after="0" w:line="184"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including our strategic refocus to hospital/IDNs as part of the Reprioritization.</w:t>
      </w:r>
    </w:p>
    <w:p>
      <w:pPr>
        <w:spacing w:after="0" w:line="135"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27" w:lineRule="exact"/>
        <w:rPr>
          <w:sz w:val="20"/>
          <w:szCs w:val="20"/>
          <w:color w:val="auto"/>
        </w:rPr>
      </w:pPr>
    </w:p>
    <w:p>
      <w:pPr>
        <w:ind w:left="60" w:right="79" w:firstLine="324"/>
        <w:spacing w:after="0" w:line="217" w:lineRule="auto"/>
        <w:rPr>
          <w:sz w:val="20"/>
          <w:szCs w:val="20"/>
          <w:color w:val="auto"/>
        </w:rPr>
      </w:pPr>
      <w:r>
        <w:rPr>
          <w:rFonts w:ascii="Times New Roman" w:cs="Times New Roman" w:eastAsia="Times New Roman" w:hAnsi="Times New Roman"/>
          <w:sz w:val="18"/>
          <w:szCs w:val="18"/>
          <w:color w:val="auto"/>
        </w:rPr>
        <w:t>We plan to continue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sublingual film for the acute treatment of agitation associated with schizophrenia or bipolar I or II disorder, to be self-administered by patients under the supervision of a healthcare provider, which is our only approved product to date. However, in connection with the Reprioritization, we significantly reduced the resources devoted to commercialization of IGALMI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it is possible that will have adverse consequences on the revenue that we are able to generate from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Revenues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year ended December 31, 2024 were $2.3 million. If our commercial products do not gain market acceptance, we may not be able to fund future operations, including developing, testing and obtaining regulatory approval for an sNDA for other BXCL501 indications, including in the at-home setting for the acute treatment of agitation (non-daily) associated with dementia due to probable Alzheimer’s disease, or for other product candidates that it may develop. Our results of operations could be materially harmed if we are unable to successfully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any currently or additionally approved indications or any future product candidates that we may have approved.</w:t>
      </w:r>
    </w:p>
    <w:p>
      <w:pPr>
        <w:spacing w:after="0" w:line="168" w:lineRule="exact"/>
        <w:rPr>
          <w:sz w:val="20"/>
          <w:szCs w:val="20"/>
          <w:color w:val="auto"/>
        </w:rPr>
      </w:pPr>
    </w:p>
    <w:p>
      <w:pPr>
        <w:ind w:left="60" w:right="79" w:firstLine="324"/>
        <w:spacing w:after="0" w:line="238" w:lineRule="auto"/>
        <w:rPr>
          <w:sz w:val="20"/>
          <w:szCs w:val="20"/>
          <w:color w:val="auto"/>
        </w:rPr>
      </w:pPr>
      <w:r>
        <w:rPr>
          <w:rFonts w:ascii="Times New Roman" w:cs="Times New Roman" w:eastAsia="Times New Roman" w:hAnsi="Times New Roman"/>
          <w:sz w:val="17"/>
          <w:szCs w:val="17"/>
          <w:color w:val="auto"/>
        </w:rPr>
        <w:t>Our results of operations could be materially harmed if we are unable to accurately forecast customer demand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manage our inventory. To ensure adequate inventory supply, we must forecast inventory needs and place orders with our suppliers based on our estimates of future demand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Our ability to accurately forecast demand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could be negatively affected by many factors, including our failure to accurately manage our expansion strategy, product introductions by competitors, an increase or decrease in customer demand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our third-party contract manufacturer may not be able to deliver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or our third-party manufacturers may not be able to allocate sufficient capacity in order to meet our increased requirements, which could have an adverse effect on our ability to meet customer demand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our results of operations.</w:t>
      </w:r>
    </w:p>
    <w:p>
      <w:pPr>
        <w:spacing w:after="0" w:line="65"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estimated number of episodes of agitation and our corresponding estimated total addressable market are subject to inherent challenges and uncertainties. If we have overestimated the number of episodes or the size of our total addressable market for our current and potential future products or product candidates, or if any approval that we obtain is based on a narrower definition of the patient population, our revenue and ability to achieve profitability may be harmed.</w:t>
      </w:r>
    </w:p>
    <w:p>
      <w:pPr>
        <w:spacing w:after="0" w:line="224"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We have based our potential market opportunity on a number of internal and third-party estimates and resources, including, without limitation, management’s estimates and research, as well as industry and general publications and research, surveys and studies conducted by third parties, which may be incorrect. Our estimated potential market opportunity is based on estimates of episodes of agitation across our indications, and these estimated episodes of agitation are also based on internal and third-party estimates and market resources using data self-reported by patients. The conditions supporting our assumptions or estimates and the market data supporting these assumptions and estimates may change at any time or otherwise be inaccurate, thereby reducing the predictive accuracy of these underlying factors. Our total addressable market will ultimately depend upon, among other things, the number of actual treatable episodes, the diagnosis criteria included in the final label for each of our product candidates, if approved for sale for these indications, acceptance by the medical community and patient access, drug pricing and reimbursement. The number of patients and treatable episodes in the United States and other major markets and elsewhere may turn out to be materially lower than expected, the number of treatable episodes may be significantly fewer than total episodes experienced, patients may not be otherwise amenable to treatment with our product candidates or new patients may become increasingly difficult to identify or gain access to, all of which would harm our results of operations and our business. For example, our estimates of the monthly average episodes for patients diagnosed with bipolar disorder and patients diagnosed with schizophrenia and, therefore, our estimated total addressable market are based on third-party market surveys which differ from an observational study in the EU of inhaled loxapine for the treatment of agitation in patients with schizophrenia or bipolar disorder conducted which found that only 40% of enrolled patients reported agitation episodes in the six-month study period. If third-party or internally generated data prove to be inaccurate or we make errors in our assumptions based on that data, our total addressable market may be meaningfully smaller than we have estimated, our future growth opportunities and sales growth may be impaired, any of which could have a material adverse effect on our business, financial condition and results of operations.</w:t>
      </w:r>
    </w:p>
    <w:p>
      <w:pPr>
        <w:spacing w:after="0" w:line="161" w:lineRule="exact"/>
        <w:rPr>
          <w:sz w:val="20"/>
          <w:szCs w:val="20"/>
          <w:color w:val="auto"/>
        </w:rPr>
      </w:pPr>
    </w:p>
    <w:p>
      <w:pPr>
        <w:ind w:left="60" w:right="1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obtained Orphan Drug Designation for BXCL701 for the treatment of pancreatic cancer, melanoma, acute myeloid leukemia and soft tissue sarcoma and we may seek Orphan Drug Designation for other indications or product candidates, and we may be unable to maintain the benefits associated with Orphan Drug Designation, including the potential for market exclusivity, and may not receive Orphan Drug Designation for other indications or for our other product candidates.</w:t>
      </w:r>
    </w:p>
    <w:p>
      <w:pPr>
        <w:spacing w:after="0" w:line="15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U.S. and EU, may designate drugs intended for relatively small patient populations as orphan drugs. Under the Orphan Drug Act, the FDA may designate a drug as an orphan drug if it is a drug intended to treat a rare disease or condition, which is generally defined as a patient population of fewer than 200,000 individuals in the U.S., or a patient population greater than 200,000 individuals in the U.S. where there is no reasonable expectation that the cost of developing the drug will be recovered from sales in the U.S. In the EU, orphan drug designation is granted by the European Commission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w:t>
      </w:r>
    </w:p>
    <w:p>
      <w:pPr>
        <w:spacing w:after="0" w:line="147"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the U.S.,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orphan drug exclusivity. Orphan drug exclusivity in the U.S. provides that the FDA may not approve any other applications, including a full NDA, to market the same drug for the same disease or condition for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seven years. In limited circumstances, the applicable exclusivity period is 10 years in the EU. The EU exclusivity period can be reduced to six years if, at the end of the fifth year, it is established that a drug no longer meets the criteria for orphan drug designation or if the drug is sufficiently profitable so that market exclusivity is no longer justified.</w:t>
      </w:r>
    </w:p>
    <w:p>
      <w:pPr>
        <w:spacing w:after="0" w:line="14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January 2021, the FDA granted Orphan Drug Designation to BXCL701 for the treatment of soft tissue sarcoma. In September 2019, the FDA granted Orphan Drug Designation to BXCL701 for the treatment of acute myeloid leukemia. Prior to 2019, the FDA granted Orphan Drug Designation to BXCL701 for the treatment of pancreatic cancer and melanoma. We may seek Orphan Drug Designations for BXCL701 in other diseases or conditions or for other product candidates. There can be no assurances that we will be able to obtain such designations.</w:t>
      </w:r>
    </w:p>
    <w:p>
      <w:pPr>
        <w:spacing w:after="0" w:line="143"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disease or condition before we do. If that were to happen, our applications for that disease or condition may not be approved until the competing company’s period of exclusivity expires. In addition, exclusive marketing rights in the U.S. and abroad may be limited if we seek approval for an indication broader than the orphan-designated disease or condition or may be lost if the FDA or foreign regulatory authorities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ingredients may be approved for the same disease or condition. Even after an orphan drug is approved, the FDA or foreign regulatory authorities can subsequently approve the same drug with the same active ingredient for the same condition if the FDA or foreign regulatory authorities conclude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or regulatory review time of a drug, nor gives the drug any advantage in the regulatory review or approval process and does not prevent competitors from obtaining approval of the same product candidate as ours for indications other than those in which we have been granted orphan drug designation.</w:t>
      </w:r>
    </w:p>
    <w:p>
      <w:pPr>
        <w:spacing w:after="0" w:line="145" w:lineRule="exact"/>
        <w:rPr>
          <w:sz w:val="20"/>
          <w:szCs w:val="20"/>
          <w:color w:val="auto"/>
        </w:rPr>
      </w:pPr>
    </w:p>
    <w:p>
      <w:pPr>
        <w:ind w:left="60" w:right="619"/>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satisfactory sales and marketing capabilities, we may not succeed in commercializing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or any product candidate for which we may obtain regulatory approval.</w:t>
      </w:r>
    </w:p>
    <w:p>
      <w:pPr>
        <w:spacing w:after="0" w:line="18" w:lineRule="exact"/>
        <w:rPr>
          <w:sz w:val="20"/>
          <w:szCs w:val="20"/>
          <w:color w:val="auto"/>
        </w:rPr>
      </w:pPr>
    </w:p>
    <w:p>
      <w:pPr>
        <w:ind w:left="60" w:right="59" w:firstLine="324"/>
        <w:spacing w:after="0"/>
        <w:rPr>
          <w:sz w:val="20"/>
          <w:szCs w:val="20"/>
          <w:color w:val="auto"/>
        </w:rPr>
      </w:pPr>
      <w:r>
        <w:rPr>
          <w:rFonts w:ascii="Times New Roman" w:cs="Times New Roman" w:eastAsia="Times New Roman" w:hAnsi="Times New Roman"/>
          <w:sz w:val="18"/>
          <w:szCs w:val="18"/>
          <w:color w:val="auto"/>
        </w:rPr>
        <w:t>We have limited experience in marketing and selling drug products. We have not entered into arrangements for the sale and marketing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BXCL502, BXCL701, BXCL702 or any other product candidate. Typically, pharmaceutical companies would employ groups of sales representatives and associated sales and marketing staff numbering in the hundreds to thousands of individuals to call on the large number of physicians and hospitals. Following our Reprioritization, we may need to rebuild a commercial sales and marketing team if we seek to modify our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initiate commercial sales for any product candidate in the future, which will likely require significant cost. We may seek to collaborate with a third-party to market our drugs or may seek to market and sell our drugs by ourselves. If we seek to collaborate with a third-party, we cannot be sure that a collaborative agreement can be reached on terms acceptable to us. We may also need to hire additional personnel skilled in marketing and sales for our direct marketing and selling efforts. We cannot be sure that we will be able to acquire, or establish third-party relationships to provide, any or all of these marketing and sales capabilities. The maintenance and expansion of our direct sales force or establishment of a contract sales force, or a combination thereof, as applicable, to market our products is expensive and time-consuming and could delay any product launch. In addition, reputational harm from the Reprioritization may adversely impact our efforts to hire personnel skilled in marketing and sales. Further, we can give no assurances that we will be able to maintain a direct and/or contract sales force for any period of time or that our sales efforts will be sufficient to grow our revenues or that our sales efforts will ever lead to profits. A direct sales force has in the past subjected and may in the future subject us to higher fixed costs than those of companies that market competing products through independent third parties, due to the costs that we bear associated with employee benefits, training, and managing sales personnel. As a result, we could be at a competitive disadvantage. Additionally, these fixed costs may slow our ability to reduce costs if needed, which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w:t>
      </w:r>
    </w:p>
    <w:p>
      <w:pPr>
        <w:spacing w:after="0" w:line="202" w:lineRule="exact"/>
        <w:rPr>
          <w:sz w:val="20"/>
          <w:szCs w:val="20"/>
          <w:color w:val="auto"/>
        </w:rPr>
      </w:pPr>
    </w:p>
    <w:p>
      <w:pPr>
        <w:ind w:left="60" w:right="299" w:firstLine="324"/>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U.S., the EU and other jurisdictions.</w:t>
      </w:r>
    </w:p>
    <w:p>
      <w:pPr>
        <w:spacing w:after="0" w:line="148" w:lineRule="exact"/>
        <w:rPr>
          <w:sz w:val="20"/>
          <w:szCs w:val="20"/>
          <w:color w:val="auto"/>
        </w:rPr>
      </w:pPr>
    </w:p>
    <w:p>
      <w:pPr>
        <w:ind w:left="60" w:right="239" w:firstLine="324"/>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48" w:lineRule="exact"/>
        <w:rPr>
          <w:sz w:val="20"/>
          <w:szCs w:val="20"/>
          <w:color w:val="auto"/>
        </w:rPr>
      </w:pPr>
    </w:p>
    <w:p>
      <w:pPr>
        <w:ind w:left="60" w:right="279" w:firstLine="324"/>
        <w:spacing w:after="0" w:line="261" w:lineRule="auto"/>
        <w:rPr>
          <w:sz w:val="20"/>
          <w:szCs w:val="20"/>
          <w:color w:val="auto"/>
        </w:rPr>
      </w:pPr>
      <w:r>
        <w:rPr>
          <w:rFonts w:ascii="Times New Roman" w:cs="Times New Roman" w:eastAsia="Times New Roman" w:hAnsi="Times New Roman"/>
          <w:sz w:val="18"/>
          <w:szCs w:val="18"/>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53"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47"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products and product candidates, if any, that we commercialize. The inability to compete with existing or subsequently introduced drugs would harm our business, financial condition and results of operations.</w:t>
      </w:r>
    </w:p>
    <w:p>
      <w:pPr>
        <w:spacing w:after="0" w:line="123" w:lineRule="exact"/>
        <w:rPr>
          <w:sz w:val="20"/>
          <w:szCs w:val="20"/>
          <w:color w:val="auto"/>
        </w:rPr>
      </w:pPr>
    </w:p>
    <w:p>
      <w:pPr>
        <w:ind w:left="60" w:right="139"/>
        <w:spacing w:after="0" w:line="229" w:lineRule="auto"/>
        <w:rPr>
          <w:sz w:val="20"/>
          <w:szCs w:val="20"/>
          <w:color w:val="auto"/>
        </w:rPr>
      </w:pPr>
      <w:r>
        <w:rPr>
          <w:rFonts w:ascii="Times New Roman" w:cs="Times New Roman" w:eastAsia="Times New Roman" w:hAnsi="Times New Roman"/>
          <w:sz w:val="17"/>
          <w:szCs w:val="17"/>
          <w:b w:val="1"/>
          <w:bCs w:val="1"/>
          <w:i w:val="1"/>
          <w:iCs w:val="1"/>
          <w:color w:val="auto"/>
        </w:rPr>
        <w:t>Although we obtained FDA approval for IGALMI</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7"/>
          <w:szCs w:val="17"/>
          <w:b w:val="1"/>
          <w:bCs w:val="1"/>
          <w:i w:val="1"/>
          <w:iCs w:val="1"/>
          <w:color w:val="auto"/>
        </w:rPr>
        <w:t>, our products and product candidates may not be accepted by physicians or the medical community in general, and there may be insufficient insurance coverage and reimbursement.</w:t>
      </w:r>
    </w:p>
    <w:p>
      <w:pPr>
        <w:spacing w:after="0" w:line="164" w:lineRule="exact"/>
        <w:rPr>
          <w:sz w:val="20"/>
          <w:szCs w:val="20"/>
          <w:color w:val="auto"/>
        </w:rPr>
      </w:pPr>
    </w:p>
    <w:p>
      <w:pPr>
        <w:ind w:left="60" w:right="259" w:firstLine="324"/>
        <w:spacing w:after="0" w:line="226" w:lineRule="auto"/>
        <w:rPr>
          <w:sz w:val="20"/>
          <w:szCs w:val="20"/>
          <w:color w:val="auto"/>
        </w:rPr>
      </w:pPr>
      <w:r>
        <w:rPr>
          <w:rFonts w:ascii="Times New Roman" w:cs="Times New Roman" w:eastAsia="Times New Roman" w:hAnsi="Times New Roman"/>
          <w:sz w:val="18"/>
          <w:szCs w:val="18"/>
          <w:color w:val="auto"/>
        </w:rPr>
        <w:t>There can be no assurance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or BXCL501, BXCL502, BXCL701, BXCL702 and our other product candidates or any other product candidate successfully developed by us, independently or with partners, if approved, will be accepted by physicians, hospitals and other health care facilities.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competes, and BXCL501, BXCL502, BXCL701, BXCL702 and any future product candidates we develop will compete, with a number of products manufactured and marketed by major pharmaceutical and biotechnology companies. The degree of market acceptance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drugs we develop depends on a number of factors, including:</w:t>
      </w:r>
    </w:p>
    <w:p>
      <w:pPr>
        <w:spacing w:after="0" w:line="50" w:lineRule="exact"/>
        <w:rPr>
          <w:sz w:val="20"/>
          <w:szCs w:val="20"/>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demonstration of the clinical efficacy and safety of our products and product candidates;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approval and commercial launch of our products and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products and product candidates are approved;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 and package insert requirements;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and disadvantages of our products and product candidates compared to existing therapies;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interest in and growth of the market for anti-cancer or anti-agitation drugs;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marketing, and distribution support;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pricing in absolute terms and relative to alternative treatments;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health care laws, regulations, and medical policies; and</w:t>
      </w:r>
    </w:p>
    <w:p>
      <w:pPr>
        <w:spacing w:after="0" w:line="184" w:lineRule="exact"/>
        <w:rPr>
          <w:rFonts w:ascii="Times New Roman" w:cs="Times New Roman" w:eastAsia="Times New Roman" w:hAnsi="Times New Roman"/>
          <w:sz w:val="18"/>
          <w:szCs w:val="18"/>
          <w:color w:val="auto"/>
        </w:rPr>
      </w:pPr>
    </w:p>
    <w:p>
      <w:pPr>
        <w:ind w:left="720" w:right="95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reimbursement in select jurisdictions, and future changes to coverage and reimbursement policies of government and third-party payors.</w:t>
      </w:r>
    </w:p>
    <w:p>
      <w:pPr>
        <w:spacing w:after="0" w:line="127" w:lineRule="exact"/>
        <w:rPr>
          <w:sz w:val="20"/>
          <w:szCs w:val="20"/>
          <w:color w:val="auto"/>
        </w:rPr>
      </w:pPr>
    </w:p>
    <w:p>
      <w:pPr>
        <w:ind w:left="60" w:right="159" w:firstLine="324"/>
        <w:spacing w:after="0" w:line="217"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any product candidate for which we obtain regulatory approval. In the U.S. and other countries,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for commercial sale will depend in part on the availability of coverage and reimbursement from third-party payors. Third-party payors include government health administrative authorities, such as Medicaid and Medicare, managed care providers, private health insurers and other organizations.</w:t>
      </w:r>
    </w:p>
    <w:p>
      <w:pPr>
        <w:spacing w:after="0" w:line="161" w:lineRule="exact"/>
        <w:rPr>
          <w:sz w:val="20"/>
          <w:szCs w:val="20"/>
          <w:color w:val="auto"/>
        </w:rPr>
      </w:pPr>
    </w:p>
    <w:p>
      <w:pPr>
        <w:ind w:left="60" w:right="99" w:firstLine="324"/>
        <w:spacing w:after="0" w:line="231"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It will be time consuming and expensive for us to go through the process of seeking coverage and reimbursement from Medicare and private payors.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products for which we receive regulatory approval may not be considered cost-effective, and coverage and reimbursement may not be available or sufficient to allow us to sell our proposed products on a profitable basis. Further federal, state and foreign government proposals and health care reforms are likely which could limit the prices that can be charged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and the product candidates that we develop and may further limit our commercial opportunities. Our results of operations could be materially adversely affected by proposed health care reforms, by the Inflation Reduction Act and other drug pricing legislation in the U.S., by the possible effect of such current or future legislation on amounts that private insurers will pay and by other health care reforms that may be enacted or adopted in the future.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hinder or prevent our product candidates’ commercial success.</w:t>
      </w:r>
    </w:p>
    <w:p>
      <w:pPr>
        <w:spacing w:after="0" w:line="202" w:lineRule="exact"/>
        <w:rPr>
          <w:sz w:val="20"/>
          <w:szCs w:val="20"/>
          <w:color w:val="auto"/>
        </w:rPr>
      </w:pP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The U.S. government and other governments have shown significant interest in pursuing health care reform. Any government-adopted reform measures could adversely impact the pricing of health care products and services in the U.S. or internationally and the amount of reimbursement available from governmental agencies or other third-party payors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the product candidates that we develop.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59"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New laws, regulations and judicial decisions, or new interpretations of existing laws, regulations and decisions, that relate to health 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U.S., new health care legislation or fiscal challenges faced by government health administration authorities. Specifically, in both the U.S. and some foreign jurisdictions, there have been a number of legislative and regulatory proposals to change the health care system in ways that could affect our ability to sell our products profitably.</w:t>
      </w:r>
    </w:p>
    <w:p>
      <w:pPr>
        <w:spacing w:after="0" w:line="151"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For example, in the U.S., the ACA, which was enacted in 2010, has substantially changed the way health care is financed by both government health plans and private insurers, and significantly impacts the pharmaceutical industry. For example, the ACA imposed a non-deductible excise tax on pharmaceutical manufacturers or importers that sell branded prescription drugs to government programs. In addition, as part of the ACA’s provisions closing a funding gap that existed in the Medicare Part D prescription drug program, manufacturers are required to provide a discount on branded prescription drugs for drugs provided to certain beneficiaries who fall within the “donut hole.” Similarly, the ACA increased the level of Medicaid rebates payable by manufacturers of brand-name drugs from 15.1% to 23.1% of the average manufacturer price and required collection of rebates for drugs paid by Medicaid managed care organizations. The ACA also included changes to the Public Health Service’s 340B drug pricing program (the “340B program”) including expansion of the list of eligible covered entities that may purchase drugs under the program.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spacing w:after="0" w:line="153"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ACA was enacted. These changes include the Budget Control Act of 2011, which resulted in aggregate reductions of Medicare payments to providers, which went into effect on April 1, 2013, and, due to subsequent legislative amendments to the statute, will remain in effect through 2032, unless additional Congressional action is taken. Furthermore, the American Taxpayer Relief Act of 2012, further reduced Medicare payments to several types of providers, including hospitals, and increased the statute of limitations period for the government to recover overpayments to providers from three to five years. More recently, on March 11, 2021, President Biden signed the American Rescue Plan Act of 2021 into law, which eliminates the statutory Medicaid drug rebate cap, beginning January 1, 2024.</w:t>
      </w:r>
    </w:p>
    <w:p>
      <w:pPr>
        <w:spacing w:after="0" w:line="151"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and our business cannot yet be fully determined, it is likely to be significant.</w:t>
      </w:r>
    </w:p>
    <w:p>
      <w:pPr>
        <w:spacing w:after="0" w:line="151"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The cost of prescription pharmaceuticals in the U.S. will likely continue to be the subject of considerable discussion. Members of Congress and the Biden Administration have indicated they will continue to pursue further legislative or administrative measures to control prescription drug costs. There have been several Congressional inquiries, as well as legislative and regulatory initiatives and executive orders designed to, among other things, bring more transparency to product pricing, review the relationship between pricing and manufacturer patient programs, and reform government program reimbursement methodologies for drug products.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61"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in the U.S.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 Furthermore, there has been increased interest by third-party payors and governmental authorities in reference pricing systems and publication of discounts and list prices.</w:t>
      </w:r>
    </w:p>
    <w:p>
      <w:pPr>
        <w:spacing w:after="0" w:line="14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U.S. and foreign governments will continue to consider changes to existing health care legislation. We cannot predict the reform initiatives that may be adopted in the future or whether initiatives that have been adopted will be repealed or modified. The continuing efforts of governments, insurance companies, managed care organizations and other payors of health care services to contain or reduce costs of health care may adversely affect the demand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other drug products for which we may obtain</w:t>
      </w:r>
    </w:p>
    <w:p>
      <w:pPr>
        <w:sectPr>
          <w:pgSz w:w="11900" w:h="16838" w:orient="portrait"/>
          <w:cols w:equalWidth="0" w:num="1">
            <w:col w:w="9019"/>
          </w:cols>
          <w:pgMar w:left="1440" w:top="513" w:right="1440"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regulatory approval, our ability to set a price that we believe is fair for our products, our ability to obtain adequate coverage and reimbursement approval for a product, our ability to generate revenues and achieve or maintain profitability, and the level of taxes that we are required to pay.</w:t>
      </w:r>
    </w:p>
    <w:p>
      <w:pPr>
        <w:spacing w:after="0" w:line="14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U.S. and EU, reimbursement and healthcare payment systems vary significantly by country, and many countries have instituted price ceilings on specific products and therapies.</w:t>
      </w:r>
    </w:p>
    <w:p>
      <w:pPr>
        <w:spacing w:after="0" w:line="147"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145" w:lineRule="exact"/>
        <w:rPr>
          <w:sz w:val="20"/>
          <w:szCs w:val="20"/>
          <w:color w:val="auto"/>
        </w:rPr>
      </w:pPr>
    </w:p>
    <w:p>
      <w:pPr>
        <w:ind w:left="6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80" w:lineRule="exact"/>
        <w:rPr>
          <w:sz w:val="20"/>
          <w:szCs w:val="20"/>
          <w:color w:val="auto"/>
        </w:rPr>
      </w:pPr>
    </w:p>
    <w:p>
      <w:pPr>
        <w:ind w:left="60" w:right="59" w:firstLine="324"/>
        <w:spacing w:after="0" w:line="244" w:lineRule="auto"/>
        <w:rPr>
          <w:sz w:val="20"/>
          <w:szCs w:val="20"/>
          <w:color w:val="auto"/>
        </w:rPr>
      </w:pPr>
      <w:r>
        <w:rPr>
          <w:rFonts w:ascii="Times New Roman" w:cs="Times New Roman" w:eastAsia="Times New Roman" w:hAnsi="Times New Roman"/>
          <w:sz w:val="18"/>
          <w:szCs w:val="18"/>
          <w:color w:val="auto"/>
        </w:rPr>
        <w:t>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As a condition of having federal funds being made available for covered outpatient drugs under Medicaid and Medicare Part B, a manufacturer must enroll in the MDRP. Under this program, we must pay a rebate to state Medicaid programs for each unit of our covered outpatient drug dispensed to a Medicaid beneficiary and paid for by a state Medicaid program. Medicaid drug rebates are based on pricing data that we must report on a monthly and quarterly basis to CMS. For the MDRP, this data includes the average manufacturer price (“AMP”) for each drug and, in the case of an innovator product, like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best price. If we become aware that our MDRP price reporting submission for a prior period was incorrect or has changed as a result of recalculation of the pricing data, we must resubmit the corrected data for up to three years after the data originally was due. Further, under the IRA, AMP figures we report will also be used to calculate a rebate on Medicare Part D utilization, triggered by price increases that outpace inflation.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outpatient drugs under Medicaid or,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if applicable, Medicare Part B. Failure to make necessary disclosures and/or to identify overpayments additionally could result in allegations against us under the Federal False Claims Act and other laws and regulations.</w:t>
      </w:r>
    </w:p>
    <w:p>
      <w:pPr>
        <w:spacing w:after="0" w:line="135"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and Medicare Part B, and we participate in the 340B program. The 340B program is administered by the Health Resources and Services Administration (“HRSA”) and requires us to charge statutorily defined covered entities no more than the 340B “ceiling price” for our covered outpatient drugs used in an outpatient setting. These 340B program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In addition, legislation may be introduced that, if passed, would further expand the 340B program, such as adding further covered entities or requiring participating manufacturers to agree to provide 340B program discounted pricing on drugs used in an inpatient setting.</w:t>
      </w:r>
    </w:p>
    <w:p>
      <w:pPr>
        <w:spacing w:after="0" w:line="151"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In order to be eligible to have drug products paid for with federal funds under Medicaid and Medicare Part B and purchased by certain federal agencies and grantees, we also must participate in the U.S. Department of Veterans Affairs (“VA”) Federal Supply Schedule (“FSS”) pricing program. Under the VA/FSS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48"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 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65"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manufacturers,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may be required to offer products under the 340B program. Civil monetary penalties can be applied if we are found to have knowingly submitted any false price or product information to the government, if we fail to submit required price data on a timely basis, or if we are found to have charged 340B program covered entities more than the statutorily mandated ceiling price. In the event that CMS were to terminate our Medicaid rebate agreement, pursuant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which we participate in the MDRP, no federal payments would be available under Medicaid or Medicare for our covered outpatient drugs. We cannot assure you that price data submissions we make will not be found to be incomplete or incorrect.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BioXcel LLC</w:t>
      </w:r>
    </w:p>
    <w:p>
      <w:pPr>
        <w:spacing w:after="0" w:line="18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BioXcel LLC has significant influence over the direction of our business, and the concentrated ownership of our common stock will prevent you and other stockholders from influencing significant decisions.</w:t>
      </w:r>
    </w:p>
    <w:p>
      <w:pPr>
        <w:spacing w:after="0" w:line="118" w:lineRule="exact"/>
        <w:rPr>
          <w:sz w:val="20"/>
          <w:szCs w:val="20"/>
          <w:color w:val="auto"/>
        </w:rPr>
      </w:pPr>
    </w:p>
    <w:p>
      <w:pPr>
        <w:ind w:left="60" w:right="79" w:firstLine="324"/>
        <w:spacing w:after="0" w:line="272" w:lineRule="auto"/>
        <w:rPr>
          <w:sz w:val="20"/>
          <w:szCs w:val="20"/>
          <w:color w:val="auto"/>
        </w:rPr>
      </w:pPr>
      <w:r>
        <w:rPr>
          <w:rFonts w:ascii="Times New Roman" w:cs="Times New Roman" w:eastAsia="Times New Roman" w:hAnsi="Times New Roman"/>
          <w:sz w:val="17"/>
          <w:szCs w:val="17"/>
          <w:color w:val="auto"/>
        </w:rPr>
        <w:t>As of December 31, 2024, BioXcel LLC owned approximately 15.5% of the economic interest and voting power of our outstanding common stock and BioXcel LLC is controlled by BioXcel Holdings, Inc. 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See “</w:t>
      </w:r>
      <w:r>
        <w:rPr>
          <w:rFonts w:ascii="Times New Roman" w:cs="Times New Roman" w:eastAsia="Times New Roman" w:hAnsi="Times New Roman"/>
          <w:sz w:val="17"/>
          <w:szCs w:val="17"/>
          <w:i w:val="1"/>
          <w:iCs w:val="1"/>
          <w:color w:val="auto"/>
        </w:rPr>
        <w:t>The management of and beneficial ownership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 BioXcel LLC by our executive officers and our directors may create, or may create the appearance of, conflicts of interest.</w:t>
      </w:r>
      <w:r>
        <w:rPr>
          <w:rFonts w:ascii="Times New Roman" w:cs="Times New Roman" w:eastAsia="Times New Roman" w:hAnsi="Times New Roman"/>
          <w:sz w:val="17"/>
          <w:szCs w:val="17"/>
          <w:color w:val="auto"/>
        </w:rPr>
        <w:t>” below. Even though BioXcel LLC controls less than a majority of the voting power of our outstanding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it may influence the outcome of such corporate actions so long as it owns a significant portion of our common stock.</w:t>
      </w:r>
    </w:p>
    <w:p>
      <w:pPr>
        <w:spacing w:after="0" w:line="141" w:lineRule="exact"/>
        <w:rPr>
          <w:sz w:val="20"/>
          <w:szCs w:val="20"/>
          <w:color w:val="auto"/>
        </w:rPr>
      </w:pPr>
    </w:p>
    <w:p>
      <w:pPr>
        <w:jc w:val="both"/>
        <w:ind w:left="60" w:right="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Approval of commercial terms between us and BioXcel LLC does not preclude the possibility of stockholder litigation, including but not limited to derivative litigation nominally against BioXcel LLC and against its directors and officers and also against us and our directors and officers.</w:t>
      </w:r>
    </w:p>
    <w:p>
      <w:pPr>
        <w:spacing w:after="0" w:line="134" w:lineRule="exact"/>
        <w:rPr>
          <w:sz w:val="20"/>
          <w:szCs w:val="20"/>
          <w:color w:val="auto"/>
        </w:rPr>
      </w:pPr>
    </w:p>
    <w:p>
      <w:pPr>
        <w:jc w:val="both"/>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commercial terms of the Separation and Shared Services Agreement (as amended and/or restated and in effect as of the date hereof, the “Services Agreement”), and the Amended and Restated Asset Contribution Agreement (as amended and/or restated and in effect as of the date hereof, the “Contribution Agreement”), that we entered into with BioXcel LLC have not been negotiated by persons consisting solely of disinterested directors.</w:t>
      </w:r>
    </w:p>
    <w:p>
      <w:pPr>
        <w:spacing w:after="0" w:line="139"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that any equity or debt holder of BioXcel LLC or the Company will not claim in a lawsuit that such terms in fact are not in the best interests of BioXcel LLC or the Company and its applicable equity holders, that the directors and officers of BioXcel LLC or the Company breached their fiduciary duties in connection with such agreements and that any disclosures by the Company to its stockholders regarding these agreements and the relationship between BioXcel LLC and us did not satisfy applicable requirements. In any such instance, we and our directors and officers may also be named as defendants and we would have to defend ourselves and our directors and officers. While we would seek indemnification from BioXcel LLC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continue to depend on BioXcel LLC to provide us with certain services for our business.</w:t>
      </w:r>
    </w:p>
    <w:p>
      <w:pPr>
        <w:spacing w:after="0" w:line="18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We rely, in part, on BioXcel LLC and access to its EvolverAI, to complement our in-house, uniquely integrated AI-to-drug-development capability. EvolverAI is a research and development engine created and owned by BioXcel LLC, to identify, research and develop potential product candidates in neuroscience and immuno-oncology. We negotiated the Services Agreement with BioXcel LLC pursuant to which BioXcel LLC agreed to perform certain intellectual property prosecution and management and research and development activities for us utilizing its EvolverAI.</w:t>
      </w:r>
    </w:p>
    <w:p>
      <w:pPr>
        <w:spacing w:after="0" w:line="143"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Under the Services Agreement, we had an option, exercisable until December 31, 2024, to enter into a separate collaborative services agreement with BioXcel LLC pursuant to which BioXcel LLC shall perform product identification and related services for us utilizing its EvolverAI. We agreed to pay BioXcel LLC $18,000 per month from March 13, 2023, to December 31, 2024 in exchange for this option.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 million in the aggregate and not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payable prior to proof of concept in humans and (ii) commercialization milestone payments shall be based on reaching annual net sales levels, be limited to 3% of the applicable net sales level, and not exceed $30 million in the aggregate. We did not exercise this option, which expired on December 31, 2024.</w:t>
      </w:r>
    </w:p>
    <w:p>
      <w:pPr>
        <w:spacing w:after="0" w:line="14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addition, at the time of our initial public offering (“IPO”), BioXcel LLC granted us (i) a first right to negotiate exclusive rights to any additional product candidates in the fields of neuroscience and immuno-oncology that BioXcel LLC may identify on its own and not in connection with BioXcel LLC’s provision of services to us under the Services Agreement and (ii) an exclusivity agreement in the neuroscience and immuno-oncology fields whereby BioXcel LLC agreed not develop drugs, or engage in preclinical discovery for the purpose of developing drugs, in the neuroscience and immuno-oncology fields for or on behalf of a third party, utilizing EvolverAI or otherwise. This first right to negotiate and exclusivity period expired on March 12, 2023, and there is no assurance that we will extend the terms of the agreement. We are continuing to assess our ongoing business needs.</w:t>
      </w:r>
    </w:p>
    <w:p>
      <w:pPr>
        <w:spacing w:after="0" w:line="151" w:lineRule="exact"/>
        <w:rPr>
          <w:sz w:val="20"/>
          <w:szCs w:val="20"/>
          <w:color w:val="auto"/>
        </w:rPr>
      </w:pPr>
    </w:p>
    <w:p>
      <w:pPr>
        <w:ind w:left="60" w:right="59" w:firstLine="324"/>
        <w:spacing w:after="0" w:line="277" w:lineRule="auto"/>
        <w:rPr>
          <w:sz w:val="20"/>
          <w:szCs w:val="20"/>
          <w:color w:val="auto"/>
        </w:rPr>
      </w:pPr>
      <w:r>
        <w:rPr>
          <w:rFonts w:ascii="Times New Roman" w:cs="Times New Roman" w:eastAsia="Times New Roman" w:hAnsi="Times New Roman"/>
          <w:sz w:val="17"/>
          <w:szCs w:val="17"/>
          <w:color w:val="auto"/>
        </w:rPr>
        <w:t>On September 19, 2023, the Company, Krishnan Nandabalan, Ph.D., InveniAI LLC (“Inveni”) and Invea Therapeutics, Inc. (“Invea”) and the other parties thereto entered into a non-compete agreement pursuant to which Dr. Nandabalan, Inveni and Invea agreed not to compete with the Company and its controlled affiliates in the fields of neuroscience and immuno-oncology for a period of five years from September 19, 2023 and not to solicit employees of the Company or its controlled affiliates for a period of two years from September 19, 2023. Inveni and Invea are subsidiaries of BioXcel LLC.</w:t>
      </w:r>
    </w:p>
    <w:p>
      <w:pPr>
        <w:spacing w:after="0" w:line="127" w:lineRule="exact"/>
        <w:rPr>
          <w:sz w:val="20"/>
          <w:szCs w:val="20"/>
          <w:color w:val="auto"/>
        </w:rPr>
      </w:pPr>
    </w:p>
    <w:p>
      <w:pPr>
        <w:ind w:left="60" w:right="79" w:firstLine="324"/>
        <w:spacing w:after="0" w:line="269" w:lineRule="auto"/>
        <w:rPr>
          <w:sz w:val="20"/>
          <w:szCs w:val="20"/>
          <w:color w:val="auto"/>
        </w:rPr>
      </w:pPr>
      <w:r>
        <w:rPr>
          <w:rFonts w:ascii="Times New Roman" w:cs="Times New Roman" w:eastAsia="Times New Roman" w:hAnsi="Times New Roman"/>
          <w:sz w:val="17"/>
          <w:szCs w:val="17"/>
          <w:color w:val="auto"/>
        </w:rPr>
        <w:t>If our rights under the Services Agreement were to become limited or if we are otherwise precluded from conducting research and development using EvolverAI, or if BioXcel LLC, Inveni or Invea do not fulfill their obligations under the agreements, such development could materially adversely affect our future operating results, financial condition, and prospects. Furthermore, certain individuals conducting services on our behalf are not our employees, and we cannot control whether they devote sufficient time, skill and resources to our ongoing development programs. We also cannot ensure that BioXcel LLC retains sufficient resources or personnel or otherwise to conduct its operations. BioXcel LLC may also have relationships with other commercial entities, including our competitors, for whom they may also be conducting research and development activities, which could impede their ability to devote appropriate time to our research and development programs. BioXcel LLC is not currently restricted from using EvolverAI to perform drug discovery services for our direct competitors, and if we do not extend the exclusivity period in the neuroscience and immuno-oncology fields, this could harm our competitive position and adversely affect our future operating results and financial condition.</w:t>
      </w:r>
    </w:p>
    <w:p>
      <w:pPr>
        <w:spacing w:after="0" w:line="151"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management of and beneficial ownership in BioXcel LLC may create, or may create the appearance of, conflicts of interest.</w:t>
      </w:r>
    </w:p>
    <w:p>
      <w:pPr>
        <w:spacing w:after="0" w:line="118" w:lineRule="exact"/>
        <w:rPr>
          <w:sz w:val="20"/>
          <w:szCs w:val="20"/>
          <w:color w:val="auto"/>
        </w:rPr>
      </w:pPr>
    </w:p>
    <w:p>
      <w:pPr>
        <w:ind w:left="60" w:right="179" w:firstLine="324"/>
        <w:spacing w:after="0" w:line="270" w:lineRule="auto"/>
        <w:rPr>
          <w:sz w:val="20"/>
          <w:szCs w:val="20"/>
          <w:color w:val="auto"/>
        </w:rPr>
      </w:pPr>
      <w:r>
        <w:rPr>
          <w:rFonts w:ascii="Times New Roman" w:cs="Times New Roman" w:eastAsia="Times New Roman" w:hAnsi="Times New Roman"/>
          <w:sz w:val="17"/>
          <w:szCs w:val="17"/>
          <w:color w:val="auto"/>
        </w:rPr>
        <w:t>Our Chief Executive Officer and member of our board of directors, Vimal Mehta, Ph.D., is the Chief Executive Officer, President, Treasurer and Secretary and a member of the board of managers of BioXcel LLC and Chief Executive Officer, President, Treasurer and Secretary and the sole member of the board of directors of BioXcel Holdings, Inc. Additionally, as of December 31, 2024, Dr. Mehta, through his beneficial ownership of BioXcel LLC, beneficially owned approximately 15.5% of the Company. The management and ownership of BioXcel LLC by Dr. Mehta may create the appearance of conflicts of interest when Dr. Mehta is faced with decisions that could have different implications for BioXcel LLC than the decisions have for us, including decisions that relate to our Services Agreement and Contribution Agreement, as well as potential agreements relating to future product candidates and AI-related services or collaborations. Any perceived conflicts of interest resulting from investors questioning the independence of our management or the integrity of corporate governance procedures may materially affect our stock price and expose us to litigation risk.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disputes that arise between us and BioXcel LLC with respect to our past and ongoing relationships could harm our business operations.</w:t>
      </w:r>
    </w:p>
    <w:p>
      <w:pPr>
        <w:spacing w:after="0" w:line="132" w:lineRule="exact"/>
        <w:rPr>
          <w:sz w:val="20"/>
          <w:szCs w:val="20"/>
          <w:color w:val="auto"/>
        </w:rPr>
      </w:pPr>
    </w:p>
    <w:p>
      <w:pPr>
        <w:ind w:left="60" w:right="239" w:firstLine="324"/>
        <w:spacing w:after="0" w:line="282" w:lineRule="auto"/>
        <w:rPr>
          <w:sz w:val="20"/>
          <w:szCs w:val="20"/>
          <w:color w:val="auto"/>
        </w:rPr>
      </w:pPr>
      <w:r>
        <w:rPr>
          <w:rFonts w:ascii="Times New Roman" w:cs="Times New Roman" w:eastAsia="Times New Roman" w:hAnsi="Times New Roman"/>
          <w:sz w:val="18"/>
          <w:szCs w:val="18"/>
          <w:color w:val="auto"/>
        </w:rPr>
        <w:t>Disputes may arise between BioXcel LLC and us in a number of areas relating to our past and ongoing relationships, including:</w:t>
      </w:r>
    </w:p>
    <w:p>
      <w:pPr>
        <w:spacing w:after="0" w:line="121" w:lineRule="exact"/>
        <w:rPr>
          <w:sz w:val="20"/>
          <w:szCs w:val="20"/>
          <w:color w:val="auto"/>
        </w:rPr>
      </w:pPr>
    </w:p>
    <w:p>
      <w:pPr>
        <w:ind w:left="720" w:right="3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technology and business matters, including failure to make required technology transfers and failure to comply with contractual provisions applicable to BioXcel LLC and us;</w:t>
      </w:r>
    </w:p>
    <w:p>
      <w:pPr>
        <w:spacing w:after="0" w:line="121"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tax, employee benefit, indemnification and other matters arising from the separation of BTI from BioXcel LLC;</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recruiting;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distributions by BioXcel LLC of all or any portion of its ownership interest in us;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BioXcel LLC has agreed to provide us;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both BioXcel LLC and us.</w:t>
      </w:r>
    </w:p>
    <w:p>
      <w:pPr>
        <w:spacing w:after="0" w:line="19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Services Agreement with BioXcel LLC related to the separation of our business operations from those of BioXcel LLC that contains certain limitations on BioXcel LLC’s ability to control various aspects of our business and operations, notwithstanding BioXcel LLC’s substantial ownership position. This agreement may be amended upon agreement between us and BioXcel LLC.</w:t>
      </w:r>
    </w:p>
    <w:p>
      <w:pPr>
        <w:spacing w:after="0" w:line="135" w:lineRule="exact"/>
        <w:rPr>
          <w:sz w:val="20"/>
          <w:szCs w:val="20"/>
          <w:color w:val="auto"/>
        </w:rPr>
      </w:pPr>
    </w:p>
    <w:p>
      <w:pPr>
        <w:jc w:val="both"/>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BioXcel LLC may experience challenges with the acquisition, development, enhancement, or deployment of technology necessary for EvolverAI. We may face similar challenges with other AI platforms that we utilize, including our own in-house proprietary platform.</w:t>
      </w:r>
    </w:p>
    <w:p>
      <w:pPr>
        <w:spacing w:after="0" w:line="134"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BioXcel LLC operates in businesses that require sophisticated computer systems and software for data collection, data processing, cloud-based platforms, analytics, statistical projections and forecasting, mobile computing, social media analytics and other applications and technologies. BioXcel LLC seeks to address its technology risks by increasing its reliance on the use of innovations by cross-industry technology leaders and adapt these for their pharmaceutical, biotechnology,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their clients in forms that are easy to use while simultaneously providing clear answers to complex questions. We also utilize our own in-house AI platform.</w:t>
      </w:r>
    </w:p>
    <w:p>
      <w:pPr>
        <w:spacing w:after="0" w:line="161"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There can be no guarantee that we or BioXcel LLC will be able to develop, acquire or integrate new technologies, that these new technologies will meet our and BioXcel LLC’s needs or achieve our expected goals, or that we will be able to do so as quickly or cost-effectively as our competitors. Significant technological change could render BioXcel LLC’s EvolverAI or other AI platforms that we utilize obsolete. BioXcel LLC’s and our continued success will depend on the ability to adapt to changing technologies, manage and process ever-increasing amounts of data and information and improve the performance, features and reliability of these services in response to changing client and industry demands. If EvolverAI or other AI and machine learning models that we use are incorrectly designed, do not operate properly, the data we use to train them is incomplete, inadequate or biased in some way, or if we do not have sufficient rights to use the data on which our AI and machine learning models rely, the performance of our products, services and businesses, as well as our reputation, could suffer or we could incur liability through the violation of laws, third-party privacy rights or contracts to which we are a party. BioXcel LLC or we may experience difficulties that could delay or prevent the successful design, development, testing, and introduction of advanced versions of EvolverAI, limiting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85" w:lineRule="exact"/>
        <w:rPr>
          <w:sz w:val="20"/>
          <w:szCs w:val="20"/>
          <w:color w:val="auto"/>
        </w:rPr>
      </w:pPr>
    </w:p>
    <w:p>
      <w:pPr>
        <w:ind w:left="60" w:right="9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third parties for the manufacture of our clinical supplies of our product candidates and our commercial supplies of IGALMI</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and we intend to rely on third parties to produce commercial supplies of any other approved product candidate. Therefore, our development of our products could be stopped or delayed, and our commercialization of any future product could be stopped, delayed or made less profitable if third-party manufacturers fail to obtain approval of the FDA or comparable regulatory authorities or fail to provide us with drug product in sufficient quantities or at acceptable prices.</w:t>
      </w:r>
    </w:p>
    <w:p>
      <w:pPr>
        <w:spacing w:after="0" w:line="158" w:lineRule="exact"/>
        <w:rPr>
          <w:sz w:val="20"/>
          <w:szCs w:val="20"/>
          <w:color w:val="auto"/>
        </w:rPr>
      </w:pPr>
    </w:p>
    <w:p>
      <w:pPr>
        <w:ind w:left="60" w:right="159" w:firstLine="324"/>
        <w:spacing w:after="0" w:line="242" w:lineRule="auto"/>
        <w:rPr>
          <w:sz w:val="20"/>
          <w:szCs w:val="20"/>
          <w:color w:val="auto"/>
        </w:rPr>
      </w:pPr>
      <w:r>
        <w:rPr>
          <w:rFonts w:ascii="Times New Roman" w:cs="Times New Roman" w:eastAsia="Times New Roman" w:hAnsi="Times New Roman"/>
          <w:sz w:val="18"/>
          <w:szCs w:val="18"/>
          <w:color w:val="auto"/>
        </w:rPr>
        <w:t>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If ARx is unable or ceases to produce our supply of Dex in sufficient quantities as and when needed or if the ARx agreement becomes too costly, our business would be harmed because there can be no assurance that we will be able to identify or enter into agreements with alternative suppliers on a timely basis on acceptable terms, if at all. An interruption in our ability to sell our products to customers could occur if we encounter delays or difficulties in securing Dex, or if the quantity or quality supplied does not meet our specifications, or if we cannot then obtain an acceptable substitute. If any of these events occur, our business and operating results could be harmed. Our specified minimum annual payment could adversely affect our cash flows in the future, such as in times when we have sufficient inventory and would otherwise be able to use our cash for other purposes.</w:t>
      </w:r>
    </w:p>
    <w:p>
      <w:pPr>
        <w:spacing w:after="0" w:line="176"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to produce an adequate supply of compounds to meet future requirements for clinical trials and commercialization of our products or to produce our products in accordance with cGMP prescribed by the FDA or similar foreign requirements. Drug manufacturing facilities are subject to inspection before the FDA or foreign regulatory authorities will issue an approval to market a new drug product, and ARx, the Patheon pharma services division of Thermo Fisher Scientific Inc., and any other manufacturers that we may use must adhere to the cGMP or similar foreign regulations prescribed by the FDA or foreign regulatory authorities.</w:t>
      </w:r>
    </w:p>
    <w:p>
      <w:pPr>
        <w:spacing w:after="0" w:line="149"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As such, these third-party manufacturers will be required to comply with cGMPs, and other applicable laws and regulations. We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48"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We, ARx, the Patheon pharma services division of Thermo Fisher Scientific Inc., and/or our other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we, ARx, the Patheon pharma services division of Thermo Fisher Scientific Inc., or our other third-party manufacturers were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61" w:lineRule="exact"/>
        <w:rPr>
          <w:sz w:val="20"/>
          <w:szCs w:val="20"/>
          <w:color w:val="auto"/>
        </w:rPr>
      </w:pPr>
    </w:p>
    <w:p>
      <w:pPr>
        <w:ind w:left="60" w:right="2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on whom we rely, including ARx, may be unable to successfully scale-up manufacturing of our product and product candidates in sufficient quality and quantity, which would delay or prevent us from developing our product candidates and commercializing any approved products.</w:t>
      </w:r>
    </w:p>
    <w:p>
      <w:pPr>
        <w:spacing w:after="0" w:line="134"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and commercialize any approved product candidates, we, or our manufacturers, including ARx, and the Patheon pharma services division of Thermo Fisher Scientific Inc., will need to manufacture them in large quantities. We, or our manufacturers, may be unable to successfully increase the manufacturing capacity for any of our approved products or product candidates in a timely or cost-effective manner, or at all. In addition, quality issues may arise during scale-up activities. If we, or any of our manufacturers, are unable to successfully scale up the manufacture of our approved products or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approved products, or to do so on commercially reasonable terms, we may not be able to develop and commercialize our approved products or product candidates successfully.</w:t>
      </w:r>
    </w:p>
    <w:p>
      <w:pPr>
        <w:spacing w:after="0" w:line="147"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find third-party collaborators to assist or share in the costs of product development could materially harm our business, financial condition, and results of operations.</w:t>
      </w:r>
    </w:p>
    <w:p>
      <w:pPr>
        <w:spacing w:after="0" w:line="132"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Our strategy for the development and commercialization of our proprietary products and product candidates may include the formation of collaborative arrangements with third parties. Collaborators have significant discretion in determining the efforts and resources they apply and may not perform their obligations as expected. Potential third-party collaborators include biopharmaceutical, pharmaceutical and biotechnology companies, academic institutions and other entities. Third-party collaborators may assist us in:</w:t>
      </w:r>
    </w:p>
    <w:p>
      <w:pPr>
        <w:spacing w:after="0" w:line="143" w:lineRule="exact"/>
        <w:rPr>
          <w:sz w:val="20"/>
          <w:szCs w:val="20"/>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research, preclinical development, clinical trials and manufacturing;</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and</w:t>
      </w:r>
    </w:p>
    <w:p>
      <w:pPr>
        <w:spacing w:after="0" w:line="19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product candidates.</w:t>
      </w:r>
    </w:p>
    <w:p>
      <w:pPr>
        <w:spacing w:after="0" w:line="100" w:lineRule="exact"/>
        <w:rPr>
          <w:sz w:val="20"/>
          <w:szCs w:val="20"/>
          <w:color w:val="auto"/>
        </w:rPr>
      </w:pPr>
    </w:p>
    <w:p>
      <w:pPr>
        <w:jc w:val="both"/>
        <w:ind w:left="60" w:right="319" w:firstLine="324"/>
        <w:spacing w:after="0" w:line="281" w:lineRule="auto"/>
        <w:rPr>
          <w:sz w:val="20"/>
          <w:szCs w:val="20"/>
          <w:color w:val="auto"/>
        </w:rPr>
      </w:pPr>
      <w:r>
        <w:rPr>
          <w:rFonts w:ascii="Times New Roman" w:cs="Times New Roman" w:eastAsia="Times New Roman" w:hAnsi="Times New Roman"/>
          <w:sz w:val="17"/>
          <w:szCs w:val="17"/>
          <w:color w:val="auto"/>
        </w:rPr>
        <w:t>If we are not able to establish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collaborations could materially harm our business, financial condition and results of operations.</w:t>
      </w:r>
    </w:p>
    <w:p>
      <w:pPr>
        <w:spacing w:after="0" w:line="124"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8" w:lineRule="exact"/>
        <w:rPr>
          <w:sz w:val="20"/>
          <w:szCs w:val="20"/>
          <w:color w:val="auto"/>
        </w:rPr>
      </w:pPr>
    </w:p>
    <w:p>
      <w:pPr>
        <w:jc w:val="both"/>
        <w:ind w:left="60" w:right="139" w:firstLine="324"/>
        <w:spacing w:after="0" w:line="272" w:lineRule="auto"/>
        <w:rPr>
          <w:sz w:val="20"/>
          <w:szCs w:val="20"/>
          <w:color w:val="auto"/>
        </w:rPr>
      </w:pPr>
      <w:r>
        <w:rPr>
          <w:rFonts w:ascii="Times New Roman" w:cs="Times New Roman" w:eastAsia="Times New Roman" w:hAnsi="Times New Roman"/>
          <w:sz w:val="17"/>
          <w:szCs w:val="17"/>
          <w:color w:val="auto"/>
        </w:rPr>
        <w:t>We have relied upon and plan to continue to rely upon third-party medical institutions, clinical investigators, contract laboratories and other third-party CROs to monitor and manage data for our ongoing preclinical and clinical programs. We rely on these parties for execution of our preclinical and clinical trials, and control only certain aspects of their activities.</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GCPs, which are regulations and guidelines enforced by the FDA, the competent authorities of the European Economic Area (“EEA”) countries and comparable foreign regulatory authorities for all of our products in clinical development.</w:t>
      </w:r>
    </w:p>
    <w:p>
      <w:pPr>
        <w:spacing w:after="0" w:line="146"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Regulatory authorities enforce these GCPs through periodic inspections of trial sponsors, principal investigators and trial sites. If regulatory authorities determine that we or any of our CROs failed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and similar foreign regulations. Any failure, whether by us or our CROs, to comply with these regulations may require us to repeat clinical trials, which would delay the regulatory approval process.</w:t>
      </w:r>
    </w:p>
    <w:p>
      <w:pPr>
        <w:spacing w:after="0" w:line="151" w:lineRule="exact"/>
        <w:rPr>
          <w:sz w:val="20"/>
          <w:szCs w:val="20"/>
          <w:color w:val="auto"/>
        </w:rPr>
      </w:pPr>
    </w:p>
    <w:p>
      <w:pPr>
        <w:ind w:left="60" w:right="119" w:firstLine="324"/>
        <w:spacing w:after="0" w:line="267" w:lineRule="auto"/>
        <w:rPr>
          <w:sz w:val="20"/>
          <w:szCs w:val="20"/>
          <w:color w:val="auto"/>
        </w:rPr>
      </w:pPr>
      <w:r>
        <w:rPr>
          <w:rFonts w:ascii="Times New Roman" w:cs="Times New Roman" w:eastAsia="Times New Roman" w:hAnsi="Times New Roman"/>
          <w:sz w:val="17"/>
          <w:szCs w:val="17"/>
          <w:color w:val="auto"/>
        </w:rPr>
        <w:t>In addition, if any of our relationships with our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For example, investigator misconduct during our TRANQUILITY II trial evaluating BXCL501 in patients with probable Alzheimer’s disease could require us to conduct additional clinical trials before we are able to seek or obtain approval for BXCL501 for use in this patient population, as described more fully in the risk factor above entitled: “</w:t>
      </w:r>
      <w:r>
        <w:rPr>
          <w:rFonts w:ascii="Times New Roman" w:cs="Times New Roman" w:eastAsia="Times New Roman" w:hAnsi="Times New Roman"/>
          <w:sz w:val="17"/>
          <w:szCs w:val="17"/>
          <w:i w:val="1"/>
          <w:iCs w:val="1"/>
          <w:color w:val="auto"/>
        </w:rPr>
        <w:t>Developments relating to our TRANQUILITY</w:t>
      </w:r>
    </w:p>
    <w:p>
      <w:pPr>
        <w:spacing w:after="0" w:line="2" w:lineRule="exact"/>
        <w:rPr>
          <w:sz w:val="20"/>
          <w:szCs w:val="20"/>
          <w:color w:val="auto"/>
        </w:rPr>
      </w:pPr>
    </w:p>
    <w:p>
      <w:pPr>
        <w:ind w:left="60" w:right="159" w:hanging="10"/>
        <w:spacing w:after="0" w:line="253" w:lineRule="auto"/>
        <w:tabs>
          <w:tab w:leader="none" w:pos="225"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Phase 3 trial may impact the timing of our development plans for, and prospects for seeking or obtaining regulatory approval of, BXCL501 for the acute treatment of agitation (non-daily) associated with dementia in patients with probable Alzheimer’s disease</w:t>
      </w:r>
      <w:r>
        <w:rPr>
          <w:rFonts w:ascii="Times New Roman" w:cs="Times New Roman" w:eastAsia="Times New Roman" w:hAnsi="Times New Roman"/>
          <w:sz w:val="18"/>
          <w:szCs w:val="18"/>
          <w:color w:val="auto"/>
        </w:rPr>
        <w:t>.” As a result, our results of operations and the commercial prospects for our product candidates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harmed, our costs could increase and our ability to generate revenues could be delayed.</w:t>
      </w:r>
    </w:p>
    <w:p>
      <w:pPr>
        <w:spacing w:after="0" w:line="16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GCP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98"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political or economic events and conditions could adversely affect our business, financial condition or results of operations.</w:t>
      </w:r>
    </w:p>
    <w:p>
      <w:pPr>
        <w:spacing w:after="0" w:line="11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In addition,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or recession and a continued increase in inflation rates or interest rates could result in a variety of risks to our business, and our ability to raise additional capital when needed on acceptable terms, if at all. There can be no assurance that further deterioration in credit and financial markets and confidence in economic conditions will not occur. A weak or declining economy could also strain our suppliers, possibly resulting in supply disruption, or cause our customers to delay making payments for our services. Increased inflation rates and related increases in interest rates can adversely affect us by increasing our costs, including labor and employee benefit costs. In addition, events such as pandemics, epidemics, or outbreaks of an infectious disease may materially and adversely impact our business if we or any of the third parties with whom we engage were to experience shutdowns or other business disruptions. Furthermore, geopolitical conflicts and war, such as the current military conflict between Russia and Ukraine and the war between Israel and Hamas, and other conflicts in the Middle East, could disrupt or otherwise adversely impact our operations and those of third parties upon which we rely. Related sanctions, export controls or other actions have and may in the future be initiated by nations including the U.S., the EU or Russia (e.g., potential cyberattacks, disruption of energy flows, etc.), which could adversely affect our business and/or our supply chain, our CROs, CMOs and other third parties with which we conduct business. Any of the foregoing could harm our business and we cannot anticipate all of the ways in which the current economic climate and financial market conditions could adversely impact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attract and retain qualified personnel, including consultants.</w:t>
      </w:r>
    </w:p>
    <w:p>
      <w:pPr>
        <w:spacing w:after="0" w:line="202"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are dependent on the principal members of our management and scientific teams. Our success and the execution of our operating strategy, to the extent we continue operations, depend largely on the continued service of our employees. In addition to our employees, we have access to certain of BioXcel LLC’s employees and resources through the various agreements we have with BioXcel LLC. We have expanded our management team to include an operational ramp-up of additional technical staff required to achieve our business objectives. We will need to retain such employees, and may need to continue to expand our managerial, commercial, operational, technical, and scientific, financial, and other resources to manage our operations and clinical trials, continue our research and development activities, and any approved product candidates. Our management and scientific personnel, systems and facilities currently in place may not be adequate to support our future growth.</w:t>
      </w:r>
    </w:p>
    <w:p>
      <w:pPr>
        <w:spacing w:after="0" w:line="14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may utilize the services of third-party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Because we rely on numerous consultants to outsource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recruit and retain qualified personnel, we may be unable to successfully implement the tasks necessary to further develop and commercialize our product candidate and, accordingly, may not achieve our research, development and commercialization goals.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3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including Vimal Mehta, our Chief Executive Officer, President and a member of our Board, as well as the other principal members of our management, scientific, clinical teams and commercial readiness teams. We do not maintain “key person” insurance for any of these executive officers or any of our other key employees. We also rely on our leadership team in the areas of research and development, marketing, services and selling,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4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To continue to execute our business strategy, we also must attract and retain highly skilled personnel. We might not be successful in maintaining our unique culture and continuing to attract and retain qualified personnel. We have, from time to time, had difficulty hiring and retaining highly skilled personnel with appropriate qualifications, including as a result of the Reprioritization and related consequences for our reputation. We may experience such difficulties in the future, and any further restructuring or related reduction in force could exacerbate such difficulties. The pool of qualified personnel with experience working within the biopharmaceutical and biotechnology market is limited overall. In addition, many of the companies with which we compete for experienced personnel have greater resources than we have.</w:t>
      </w:r>
    </w:p>
    <w:p>
      <w:pPr>
        <w:spacing w:after="0" w:line="148" w:lineRule="exact"/>
        <w:rPr>
          <w:sz w:val="20"/>
          <w:szCs w:val="20"/>
          <w:color w:val="auto"/>
        </w:rPr>
      </w:pPr>
    </w:p>
    <w:p>
      <w:pPr>
        <w:ind w:left="60" w:right="239" w:firstLine="324"/>
        <w:spacing w:after="0" w:line="254" w:lineRule="auto"/>
        <w:rPr>
          <w:sz w:val="20"/>
          <w:szCs w:val="20"/>
          <w:color w:val="auto"/>
        </w:rPr>
      </w:pPr>
      <w:r>
        <w:rPr>
          <w:rFonts w:ascii="Times New Roman" w:cs="Times New Roman" w:eastAsia="Times New Roman" w:hAnsi="Times New Roman"/>
          <w:sz w:val="18"/>
          <w:szCs w:val="18"/>
          <w:color w:val="auto"/>
        </w:rPr>
        <w:t>Furthermore, prior workforce reductions and any future similar cost-saving initiatives may make it difficult for us to maintain valuable aspects of our culture, retain institutional knowledge and expertise,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retaining and motivating existing employees or attracting well-qualified employees in the future, our business, financial condition and results of operations could be materially and adversely affected.</w:t>
      </w:r>
    </w:p>
    <w:p>
      <w:pPr>
        <w:spacing w:after="0" w:line="161"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addition, in making employment decisions, particularly in the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the fair value of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44"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1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3"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39" w:lineRule="exact"/>
        <w:rPr>
          <w:sz w:val="20"/>
          <w:szCs w:val="20"/>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integrate or benefit from acquired technologies or services in a profitable manner;</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accounting systems, operations and personnel of the acquired business;</w:t>
      </w:r>
    </w:p>
    <w:p>
      <w:pPr>
        <w:spacing w:after="0" w:line="19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products and hosting infrastructure of the acquired business;</w:t>
      </w:r>
    </w:p>
    <w:p>
      <w:pPr>
        <w:spacing w:after="0" w:line="121" w:lineRule="exact"/>
        <w:rPr>
          <w:rFonts w:ascii="Times New Roman" w:cs="Times New Roman" w:eastAsia="Times New Roman" w:hAnsi="Times New Roman"/>
          <w:sz w:val="18"/>
          <w:szCs w:val="18"/>
          <w:color w:val="auto"/>
        </w:rPr>
      </w:pPr>
    </w:p>
    <w:p>
      <w:pPr>
        <w:ind w:left="720" w:right="539" w:hanging="319"/>
        <w:spacing w:after="0" w:line="312" w:lineRule="auto"/>
        <w:tabs>
          <w:tab w:leader="none" w:pos="7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converting the customers of the acquired business onto our platform and contract terms, including disparities in the revenue, licensing, support or professional services model of the acquired company;</w:t>
      </w:r>
    </w:p>
    <w:p>
      <w:pPr>
        <w:spacing w:after="0" w:line="99"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98"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185"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3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45"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1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 care fraud and abuse laws and regulations, or to report financial information or data accurately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during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w:t>
      </w:r>
    </w:p>
    <w:p>
      <w:pPr>
        <w:spacing w:after="0" w:line="14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future operations, revenues, and financial conditions, and may increase our costs and expenses.</w:t>
      </w:r>
    </w:p>
    <w:p>
      <w:pPr>
        <w:spacing w:after="0" w:line="132"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 made disasters. Several of our employees conduct business outside of our headquarters and leased or owned facilities. These locations may be subject to additional security and other risk factors due to the limited control of our employees. If such an event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49" w:lineRule="exact"/>
        <w:rPr>
          <w:sz w:val="20"/>
          <w:szCs w:val="20"/>
          <w:color w:val="auto"/>
        </w:rPr>
      </w:pPr>
    </w:p>
    <w:p>
      <w:pPr>
        <w:ind w:left="60" w:right="99" w:firstLine="324"/>
        <w:spacing w:after="0" w:line="237" w:lineRule="auto"/>
        <w:rPr>
          <w:sz w:val="20"/>
          <w:szCs w:val="20"/>
          <w:color w:val="auto"/>
        </w:rPr>
      </w:pPr>
      <w:r>
        <w:rPr>
          <w:rFonts w:ascii="Times New Roman" w:cs="Times New Roman" w:eastAsia="Times New Roman" w:hAnsi="Times New Roman"/>
          <w:sz w:val="18"/>
          <w:szCs w:val="18"/>
          <w:color w:val="auto"/>
        </w:rPr>
        <w:t>Likewise, we will rely on third parties, including ARx, to manufacture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our product candidates and to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58"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Data breaches or cyber-attacks could disrupt our business operations and information technology systems or those of third parties on which we rely, adversely impact our financial results, or result in the loss or exposure of confidential or sensitive product candidate, clinical trial, employee, or Company information.</w:t>
      </w:r>
    </w:p>
    <w:p>
      <w:pPr>
        <w:spacing w:after="0" w:line="134"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including our mobile and web-based applications, our e-commerce platform and our enterprise software. In the ordinary course of our business, we collect, store and transmit large amounts of confidential information, including intellectual property, proprietary business information,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16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third parties on which we rely have been and may in the future be attacked or breached by individuals or organizations intending to obtain our Confidential Information; harm or disrupt our business operations; or otherwise misappropriate information or Company funds. A security compromise of our information technology systems or business operations, or those of third parties on which we rely, could occur through a variety of methods such as from cyber-attacks and cyber-intrusions over the Internet, misconfigurations, “bugs” or other vulnerabilities, malware, computer viruses, email spoofing, attachments to e-mails, persons inside or outside our organization or persons with access to systems inside our organization. The risk of such intrusions, threats to data and information technology systems and breaches has generally increased as the number, intensity and sophistication of attempted attacks and intrusions from around the world have increased.</w:t>
      </w:r>
    </w:p>
    <w:p>
      <w:pPr>
        <w:spacing w:after="0" w:line="148" w:lineRule="exact"/>
        <w:rPr>
          <w:sz w:val="20"/>
          <w:szCs w:val="20"/>
          <w:color w:val="auto"/>
        </w:rPr>
      </w:pPr>
    </w:p>
    <w:p>
      <w:pPr>
        <w:ind w:left="60" w:right="79" w:firstLine="324"/>
        <w:spacing w:after="0" w:line="271" w:lineRule="auto"/>
        <w:rPr>
          <w:sz w:val="20"/>
          <w:szCs w:val="20"/>
          <w:color w:val="auto"/>
        </w:rPr>
      </w:pPr>
      <w:r>
        <w:rPr>
          <w:rFonts w:ascii="Times New Roman" w:cs="Times New Roman" w:eastAsia="Times New Roman" w:hAnsi="Times New Roman"/>
          <w:sz w:val="17"/>
          <w:szCs w:val="17"/>
          <w:color w:val="auto"/>
        </w:rPr>
        <w:t>While we maintain some of our own critical information technology systems, we also depend on third parties to provide important information technology services relating to several key business functions. Our measures to prevent, detect and mitigate these threats, including password protection, firewalls, backup servers, threat monitoring and periodic penetration testing, may not be successful in preventing a data breach or limiting the effects of a breach.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33"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Furthermore, the security measures employed by third-party service providers may prove to be ineffective at preventing breaches of their systems. Any attack that results in disruptions to our operations, or the unauthorized release or loss of Confidential Information, could have a material adverse effect on our business reputation, increase our costs and expose us to material legal claims and liability (such as class actions) and result in regulatory investigations and enforcement actions, fines and penalties, negative reputational impacts that cause us to lose existing or future customers, and/or significant incident response, system restoration or remediation and future compliance costs. If the unauthorized release or loss of Confidential Information were to occur, our operations and financial results and our share price could be adversely affected. Although we maintain insurance for our business, the coverage under our policies may not be adequate to compensate us for all losses that may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2" w:lineRule="exact"/>
        <w:rPr>
          <w:sz w:val="20"/>
          <w:szCs w:val="20"/>
          <w:color w:val="auto"/>
        </w:rPr>
      </w:pPr>
    </w:p>
    <w:p>
      <w:pPr>
        <w:jc w:val="both"/>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w:t>
      </w:r>
    </w:p>
    <w:p>
      <w:pPr>
        <w:spacing w:after="0" w:line="135"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If we are determined to act as a covered entity or business associate under HIPAA and be directly regulated under HIPAA, any person acting on our behalf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54"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If we are subject to or affected by HIPAA, the CCPA, or other domestic privacy and data protection laws, any liability from failure to comply with the requirements of these laws could adversely affect our financial condition.</w:t>
      </w:r>
    </w:p>
    <w:p>
      <w:pPr>
        <w:spacing w:after="0" w:line="165" w:lineRule="exact"/>
        <w:rPr>
          <w:sz w:val="20"/>
          <w:szCs w:val="20"/>
          <w:color w:val="auto"/>
        </w:rPr>
      </w:pPr>
    </w:p>
    <w:p>
      <w:pPr>
        <w:ind w:left="60" w:right="139" w:firstLine="324"/>
        <w:spacing w:after="0" w:line="252" w:lineRule="auto"/>
        <w:rPr>
          <w:sz w:val="20"/>
          <w:szCs w:val="20"/>
          <w:color w:val="auto"/>
        </w:rPr>
      </w:pPr>
      <w:r>
        <w:rPr>
          <w:rFonts w:ascii="Times New Roman" w:cs="Times New Roman" w:eastAsia="Times New Roman" w:hAnsi="Times New Roman"/>
          <w:sz w:val="18"/>
          <w:szCs w:val="18"/>
          <w:color w:val="auto"/>
        </w:rPr>
        <w:t>In Europe, the General Data Protection Regulation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51"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Further, since January 1, 2021, companies have had to comply with the GDPR and also the UK GDPR, which, together with the amended UK Data Protection Act 2018, retains the GDPR in UK national law. The UK GDPR mirrors the fines under the GDPR (i.e., fines up to the greater of £17.5 million or 4% of global turnover). On October 12,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UK Extension to the DPF came into effect (as approved by the UK Government), as a data transfer mechanism from the UK to U.S. entities self-certified under the DPF.</w:t>
      </w:r>
    </w:p>
    <w:p>
      <w:pPr>
        <w:spacing w:after="0" w:line="135" w:lineRule="exact"/>
        <w:rPr>
          <w:sz w:val="20"/>
          <w:szCs w:val="20"/>
          <w:color w:val="auto"/>
        </w:rPr>
      </w:pPr>
    </w:p>
    <w:p>
      <w:pPr>
        <w:ind w:left="60" w:right="159" w:firstLine="324"/>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4"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of and evolving expectations for environmental, social and governance (“ESG”) initiatives may impose additional costs or otherwise adversely impact our business.</w:t>
      </w:r>
    </w:p>
    <w:p>
      <w:pPr>
        <w:spacing w:after="0" w:line="11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There has been an increased focus from investors, capital providers, shareholder advocacy groups, other market participants, customers, and other stakeholder groups regarding companies’ ESG initiatives. 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Additionally, some investors may use third-party or proprietary ESG ratings to guide their investment strategies and, in some cases, may choose not to invest in us if they believe our ESG practices are inadequate. The criteria by which companies’ ESG practices are assessed are evolving, which could result in greater expectations of us and cause us to undertake costly initiatives to satisfy such new criteria. Alternatively, if we elect not to or are unable to satisfy new criteria or do not meet the criteria, some investors may conclude that our policies with respect to ESG are inadequate and choose not to invest in us.</w:t>
      </w:r>
    </w:p>
    <w:p>
      <w:pPr>
        <w:spacing w:after="0" w:line="167" w:lineRule="exact"/>
        <w:rPr>
          <w:sz w:val="20"/>
          <w:szCs w:val="20"/>
          <w:color w:val="auto"/>
        </w:rPr>
      </w:pPr>
    </w:p>
    <w:p>
      <w:pPr>
        <w:ind w:left="60" w:right="159" w:firstLine="324"/>
        <w:spacing w:after="0" w:line="256" w:lineRule="auto"/>
        <w:rPr>
          <w:sz w:val="20"/>
          <w:szCs w:val="20"/>
          <w:color w:val="auto"/>
        </w:rPr>
      </w:pPr>
      <w:r>
        <w:rPr>
          <w:rFonts w:ascii="Times New Roman" w:cs="Times New Roman" w:eastAsia="Times New Roman" w:hAnsi="Times New Roman"/>
          <w:sz w:val="18"/>
          <w:szCs w:val="18"/>
          <w:color w:val="auto"/>
        </w:rPr>
        <w:t>If our ESG practices do not meet evolving investor or other stakeholder expectations and our standards, reputation, ability to attract or retain employees and desirability as an investment or business partner could be negatively impacted. Similarly, our failure or perceived failure to adequately pursue or fulfill any ESG goals and objectives or to satisfy various reporting standards, if any, could expose us to additional regulatory, social or other scrutiny, the imposition of unexpected costs, or damage to our reputation, which in turn could have a material adverse effect on our business and could cause the market value of our common stock to decline.</w:t>
      </w:r>
    </w:p>
    <w:p>
      <w:pPr>
        <w:spacing w:after="0" w:line="143"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successfully acquire, develop and market additional product candidates or approved drug products could impair our ability to grow.</w:t>
      </w:r>
    </w:p>
    <w:p>
      <w:pPr>
        <w:spacing w:after="0" w:line="118"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part of our growth strategy, we may evaluate, acquire, license, develop and/or market third-party products or product candidates and technologies. Our internal research capabilities are limited and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185" w:lineRule="exact"/>
        <w:rPr>
          <w:sz w:val="20"/>
          <w:szCs w:val="20"/>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and technical personnel’s time and attention to develop acquired products or technologies;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84"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34"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85"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56"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tax credits to offset future taxable income and income tax liabilities may be limited.</w:t>
      </w:r>
    </w:p>
    <w:p>
      <w:pPr>
        <w:spacing w:after="0" w:line="11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At December 31, 2024 the Company had approximately $432.6 million of gross federal and $443.5 million of gross state net operating loss carry-forwards. Tax Cuts and Jobs Act (“TCJA”) in 2017 amended the net operating losses carryforward rules. Net operating losses generated after December 31, 2017, may be carried forward indefinitely, subject to certain limitations on their use. Net operating losses generated prior to 2018 may be carried forward for twenty years. If not utilized, these net operating losses will expire by 2037. State net operating losses have varying carryforward and applicable expiration periods. $430.0 million of the federal net operating losses were incurred after December 31, 2017, and will be carried forward indefinitely; the balance of the federal net operating losses are subject to expiration no later than 2037. The utilization of such net operating loss carry-forwards and realization of tax benefits in future years depends predominantly upon having taxable income. The Company has approximately $16.0 million of federal orphan drug credits and research and development credits which will begin to expire in 2037 if not utilized. The Company also has approximately $1.5 million of state research and development credits which will begin to expire in 2040 if not utilized.</w:t>
      </w:r>
    </w:p>
    <w:p>
      <w:pPr>
        <w:spacing w:after="0" w:line="151"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Code, our federal net operating losses and tax credit carryforwards, such as research/development credits and orphan drug credits, may become subject to an annual limitation in the event of certain cumulative changes in the ownership interest of significant stockholders (or groups of stockholders) in excess of 50% over a rolling three-year period. Similar state provisions may also exist. These ownership changes may limit the amount of the net operating losses and tax credit carryforwards that can be utilized annually to offset future taxable income and income tax, respectively.</w:t>
      </w:r>
    </w:p>
    <w:p>
      <w:pPr>
        <w:spacing w:after="0" w:line="160"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federal or state income tax provisions taken on their income tax returns. The Company has analyzed its tax positions and has concluded that as of December 31, 2024, there were no uncertain tax positions. The Company's U.S. federal and state net operating losses have occurred since its inception in 2017 and as such, tax years subject to potential tax examination could apply from that date because the utilization of net operating losses from prior years opens the relevant tax year to audit by The U.S. Internal Revenue Service (“IRS”) and/or state taxing authorities. The Company did not have any unrecognized tax benefits and has not accrued any interest or penalties for the 12 months ended December 31, 2024 and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98"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34"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commercial success will depend in part on obtaining, maintaining enforcing and defending our patents, trademarks, trade secrets and other intellectual property rights and proprietary technology for our current and future approved products and product candidates, the processes used to manufacture them and the methods for using them, as well as successfully defending these patents against third-party challenges. We are the owner of record of certain patents and patent applications pending in the U.S. and in certain foreign jurisdictions. Patents issued from non-provisional applications, which are typically filed from provisional patent applications or from PCT applications that enter the national phase. Neither provisional patent applications nor PCT applications issue directly as patents. We own PCT patent applications relating to our platform technologies covering methods of use and applications of the platform technologies.</w:t>
      </w:r>
    </w:p>
    <w:p>
      <w:pPr>
        <w:spacing w:after="0" w:line="151"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cannot be certain that any future patents will issue with claims that cover our product candidates. Our ability to stop third parties from making, using, selling, offering to sell or importing our product candidates is dependent upon the extent to which we have rights under valid and enforceable patents, trademarks, trade secrets and other intellectual property rights and proprietary technology that cover these activities.</w:t>
      </w:r>
    </w:p>
    <w:p>
      <w:pPr>
        <w:spacing w:after="0" w:line="153" w:lineRule="exact"/>
        <w:rPr>
          <w:sz w:val="20"/>
          <w:szCs w:val="20"/>
          <w:color w:val="auto"/>
        </w:rPr>
      </w:pPr>
    </w:p>
    <w:p>
      <w:pPr>
        <w:ind w:left="60" w:right="159" w:firstLine="324"/>
        <w:spacing w:after="0" w:line="269" w:lineRule="auto"/>
        <w:rPr>
          <w:sz w:val="20"/>
          <w:szCs w:val="20"/>
          <w:color w:val="auto"/>
        </w:rPr>
      </w:pPr>
      <w:r>
        <w:rPr>
          <w:rFonts w:ascii="Times New Roman" w:cs="Times New Roman" w:eastAsia="Times New Roman" w:hAnsi="Times New Roman"/>
          <w:sz w:val="17"/>
          <w:szCs w:val="17"/>
          <w:color w:val="auto"/>
        </w:rPr>
        <w:t>The patent positions of biotechnology and pharmaceutical companies can be highly uncertain and involve complex legal and factual questions that have been the subject of much litigation in recent years and for which important legal principles remain unresolved. Therefore, the scope of any patent claims that we have or may obtain cannot be predicted with certainty. No consistent policy regarding the breadth of claims allowed in pharmaceutical patents has emerged to date in the U.S. or in foreign jurisdictions outside of the U.S. Changes in either the patent laws or interpretations of patent laws in the U.S. and other countries may diminish the value of our intellectual property. Accordingly, we cannot predict which of our patent applications will issue, the breadth of claims that may be enforced in the patents that may be issued from the applications we currently, or may in the future, own or license from third parties,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Further, if any patents we obtain or license are deemed invalid and unenforceable, our ability to commercialize or license our technology could be adversely affected.</w:t>
      </w:r>
    </w:p>
    <w:p>
      <w:pPr>
        <w:spacing w:after="0" w:line="13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43" w:lineRule="exact"/>
        <w:rPr>
          <w:sz w:val="20"/>
          <w:szCs w:val="20"/>
          <w:color w:val="auto"/>
        </w:rPr>
      </w:pPr>
    </w:p>
    <w:p>
      <w:pPr>
        <w:ind w:left="60" w:right="159" w:firstLine="324"/>
        <w:spacing w:after="0" w:line="312"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3" w:lineRule="exact"/>
        <w:rPr>
          <w:sz w:val="20"/>
          <w:szCs w:val="20"/>
          <w:color w:val="auto"/>
        </w:rPr>
      </w:pPr>
    </w:p>
    <w:p>
      <w:pPr>
        <w:ind w:left="720" w:right="99" w:hanging="319"/>
        <w:spacing w:after="0" w:line="266"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independently develop, make and commercialize compounds that are similar to, or are alternatives or duplicates of any of our product candidates, but that are not covered by the claims of our patents or are not infringing, misappropriating, or otherwise violating our other intellectual property rights;</w:t>
      </w:r>
    </w:p>
    <w:p>
      <w:pPr>
        <w:spacing w:after="0" w:line="135" w:lineRule="exact"/>
        <w:rPr>
          <w:rFonts w:ascii="Times New Roman" w:cs="Times New Roman" w:eastAsia="Times New Roman" w:hAnsi="Times New Roman"/>
          <w:sz w:val="18"/>
          <w:szCs w:val="18"/>
          <w:color w:val="auto"/>
        </w:rPr>
      </w:pPr>
    </w:p>
    <w:p>
      <w:pPr>
        <w:ind w:left="720" w:right="81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issued patents or pending patent applications that we license or may own in the future;</w:t>
      </w:r>
    </w:p>
    <w:p>
      <w:pPr>
        <w:spacing w:after="0" w:line="121"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collaborators, might not have been the first to file patent applications covering certain of our or their inventions;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patent applications or those that we may own in the future may not result in issued patents;</w:t>
      </w:r>
    </w:p>
    <w:p>
      <w:pPr>
        <w:spacing w:after="0" w:line="198" w:lineRule="exact"/>
        <w:rPr>
          <w:rFonts w:ascii="Times New Roman" w:cs="Times New Roman" w:eastAsia="Times New Roman" w:hAnsi="Times New Roman"/>
          <w:sz w:val="18"/>
          <w:szCs w:val="18"/>
          <w:color w:val="auto"/>
        </w:rPr>
      </w:pPr>
    </w:p>
    <w:p>
      <w:pPr>
        <w:ind w:left="720" w:right="69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when issued may not cover our products or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w:t>
      </w:r>
    </w:p>
    <w:p>
      <w:pPr>
        <w:spacing w:after="0" w:line="184" w:lineRule="exact"/>
        <w:rPr>
          <w:rFonts w:ascii="Times New Roman" w:cs="Times New Roman" w:eastAsia="Times New Roman" w:hAnsi="Times New Roman"/>
          <w:sz w:val="18"/>
          <w:szCs w:val="18"/>
          <w:color w:val="auto"/>
        </w:rPr>
      </w:pPr>
    </w:p>
    <w:p>
      <w:pPr>
        <w:ind w:left="720" w:right="45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manufacture and commercialize competitive products or product candidates for sale in our major commercial markets;</w:t>
      </w:r>
    </w:p>
    <w:p>
      <w:pPr>
        <w:spacing w:after="0" w:line="14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84"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for some of our proprietary technology or product candidates to maintain certain trade secrets or know-how, and a third party may subsequently file a patent covering such trade secrets or know-how;</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granted patents may be held invalid or unenforceable as a result of legal challenges by third parties;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8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117"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4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In addition, the USPTO and various foreign governmental patent agencies require compliance with various procedural, document submission,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4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34"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We may be required to enter into intellectual property license agreements that are important to our business. These license agreements may impose various diligence, payment, and other obligations on us. For example, we may enter into exclusive license agreements with universities, research institutions, or peer industry third parties pursuant to which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disputes may arise regarding intellectual property subject to a license agreement, including:</w:t>
      </w:r>
    </w:p>
    <w:p>
      <w:pPr>
        <w:spacing w:after="0" w:line="198"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obligations;</w:t>
      </w:r>
    </w:p>
    <w:p>
      <w:pPr>
        <w:spacing w:after="0" w:line="198"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third-party expresses interest in an area under a license that we are not pursuing, under the terms of certain of our license agreements, we may be required to sublicense rights in that area to a third-party, and that sublicense could harm our business; and</w:t>
      </w:r>
    </w:p>
    <w:p>
      <w:pPr>
        <w:spacing w:after="0" w:line="135" w:lineRule="exact"/>
        <w:rPr>
          <w:rFonts w:ascii="Times New Roman" w:cs="Times New Roman" w:eastAsia="Times New Roman" w:hAnsi="Times New Roman"/>
          <w:sz w:val="18"/>
          <w:szCs w:val="18"/>
          <w:color w:val="auto"/>
        </w:rPr>
      </w:pPr>
    </w:p>
    <w:p>
      <w:pPr>
        <w:ind w:left="720" w:right="15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w:t>
      </w:r>
    </w:p>
    <w:p>
      <w:pPr>
        <w:spacing w:after="0" w:line="121" w:lineRule="exact"/>
        <w:rPr>
          <w:sz w:val="20"/>
          <w:szCs w:val="20"/>
          <w:color w:val="auto"/>
        </w:rPr>
      </w:pPr>
    </w:p>
    <w:p>
      <w:pPr>
        <w:ind w:left="60" w:right="419" w:firstLine="324"/>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approved products or product candidates.</w:t>
      </w:r>
    </w:p>
    <w:p>
      <w:pPr>
        <w:spacing w:after="0" w:line="149" w:lineRule="exact"/>
        <w:rPr>
          <w:sz w:val="20"/>
          <w:szCs w:val="20"/>
          <w:color w:val="auto"/>
        </w:rPr>
      </w:pPr>
    </w:p>
    <w:p>
      <w:pPr>
        <w:jc w:val="both"/>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89"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We or our licensors may be subject to claims that third parties have an interest in our patents, trade secrets, or other intellectual property that we regard as our own or our licensor’s, based on claims that the relevant agreements with employees or consultants obligating them to assign their intellectual property rights to us or our licensor are ineffective or in conflict with prior or competing contractual obligations to assign inventions and intellectual property rights to another employer, to a former employer, or to another person or entity. We may also be subject to claims that our former employees, contractors or collaborators, or other third parties have an ownership interest in our current or future patents, patent applications, or other intellectual property rights, including as an inventor or co-inventor. For example, we or our licensors may have inventorship disputes arise from conflicting obligations of employees, consultants or others who are involved in developing our product candidates.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w:t>
      </w:r>
    </w:p>
    <w:p>
      <w:pPr>
        <w:spacing w:after="0" w:line="170"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We are not aware of any threatened or pending claims related to these matters, but in the future litigation may be necessary to defend against these and other claims challenging inventorship or our or our licensors’ ownership of our owned or in-licensed patents, trade secrets, or other intellectual property, and it may be necessary or we may desire to obtain a license to a third party’s intellectual property rights to settle any such claim; however, there can be no assurance that we would be able to obtain such license on commercially reasonable terms, if at all. If we or our licensors fail in defending any such claims, in addition to paying monetary damages or a settlement payment, we may lose valuable intellectual property rights, such as exclusive ownership of, or right to use, intellectual property that is important to our product candidates.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product candidates could have a material adverse effect on our business, financial condition, results of operations, and competitive position, and may prevent us from developing, manufacturing and/or commercializing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products or technologies. In addition, we may lose valuable intellectual property rights or personnel. Even if we are successful in defending against such claims, litigation could result in substantial costs and be a distraction to management and other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Any of the foregoing could have a material adverse effect on our business, financial condition, results of operations and prospects.</w:t>
      </w:r>
    </w:p>
    <w:p>
      <w:pPr>
        <w:spacing w:after="0" w:line="158"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18"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Our product candidates have been or will be submitted to the FDA for approval under Section 505(b)(2) of the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Hatch-Waxman Act apply. In accordance with the Hatch-Waxman Act, such NDAs may be required to include paragraph IV certifications, that certify that any patents listed in the FDA’s Orange Book, with respect to any product referenced in the 505(b)(2) application, are invalid, unenforceable or will not be infringed by the manufacture, use or sale of the product that is the subject of the 505(b)(2) NDA.</w:t>
      </w:r>
    </w:p>
    <w:p>
      <w:pPr>
        <w:spacing w:after="0" w:line="154"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certification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61" w:lineRule="exact"/>
        <w:rPr>
          <w:sz w:val="20"/>
          <w:szCs w:val="20"/>
          <w:color w:val="auto"/>
        </w:rPr>
      </w:pPr>
    </w:p>
    <w:p>
      <w:pPr>
        <w:ind w:left="60" w:right="199"/>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BXCL501, BXCL502, BXCL701, BXCL702 or any future product candidates is not adequate or if we are not able to successfully enforce our intellectual property rights, the commercial value of our products or product candidates may be adversely affected and we may not be able to compete effectively in our market.</w:t>
      </w:r>
    </w:p>
    <w:p>
      <w:pPr>
        <w:spacing w:after="0" w:line="15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property rights depends on our ability to detect infringement. It may be difficult to detect infringers who do not advertise the components or methods that are used in connection with their products or technologies. Moreover, it may 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product candidates.</w:t>
      </w:r>
    </w:p>
    <w:p>
      <w:pPr>
        <w:spacing w:after="0" w:line="160"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choose to commence a proceeding or litigation to prevent another party from infringing our patents, that party could counterclaim that our patents are invalid or should not be enforced against them.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There is a risk that the examiner or court will decide that our patents are invalid or unenforceable, in whole or in part, and that we do not have the right to stop the other party from using the related inventions. There is also the risk that, even if the validity of our patents is upheld, the examiner or court may construe the patent’s claims or other intellectual property narrowly or refuse to stop the other party from using the technology at issue on the grounds that such other party’s activities do not infringe our rights to such patents. In addition, the U.S. Supreme Court has recently modified some tests used by the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If a defendant were to prevail on its legal assertion of invalidity and/or unenforceability against our intellectual property related to a product or a product candidate, we could lose at least part, and perhaps all, of the patent protection on such product or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are successful in any litigation, we may incur significant expense in connection with such proceedings, and the amount of any monetary damages may be inadequate to compensate us for damage as a result of the infringement and the proceedings. Further,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58"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Further,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and/or third party claims seeking to invalidate our patents, which would be costly, time consuming and, if successfully asserted against us, may prevent or delay our product development efforts and stop us from commercializing or increase the costs of commercializing our product candidates.</w:t>
      </w:r>
    </w:p>
    <w:p>
      <w:pPr>
        <w:spacing w:after="0" w:line="153"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develop, manufacture or commercialize our products and product candidates without infringing, misappropriating or otherwise violating the intellectual property rights of third parties. There is considerable patent and other intellectual property litigation in the pharmaceutical and biotechnology industries, and companies in the industry have used intellectual property litigation to gain a competitive advantage. We may become party to, or threatened with, adversarial proceedings or litigation regarding intellectual property rights with respect to our products, or the manufacture or use of our product candidates. In addition to infringement claims against us, third parties may also raise similar claims before administrative bodies in the United States or abroad. Such mechanisms include interference proceedings, post grant review, inter partes review, and derivation proceedings before the USPTO and similar proceedings in foreign jurisdictions. If third parties prepare and file patent applications in the United States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49" w:lineRule="exact"/>
        <w:rPr>
          <w:sz w:val="20"/>
          <w:szCs w:val="20"/>
          <w:color w:val="auto"/>
        </w:rPr>
      </w:pPr>
    </w:p>
    <w:p>
      <w:pPr>
        <w:ind w:left="60" w:right="119" w:firstLine="324"/>
        <w:spacing w:after="0" w:line="268" w:lineRule="auto"/>
        <w:rPr>
          <w:sz w:val="20"/>
          <w:szCs w:val="20"/>
          <w:color w:val="auto"/>
        </w:rPr>
      </w:pPr>
      <w:r>
        <w:rPr>
          <w:rFonts w:ascii="Times New Roman" w:cs="Times New Roman" w:eastAsia="Times New Roman" w:hAnsi="Times New Roman"/>
          <w:sz w:val="17"/>
          <w:szCs w:val="17"/>
          <w:color w:val="auto"/>
        </w:rPr>
        <w:t>The legal threshold for initiating litigation or contested proceedings is low, so that even lawsuits or proceedings with a low probability of success might be initiated and require significant resources to defend. The costs of these lawsuits could affect our results of operations and divert the attention of managerial and scientific personnel. Some of these third parties may be better capitalized and have more resources than us. There is a risk that a court would decide that we are infringing the third-party’s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We also could be ordered to pay substantial damages, including treble damages and attorney’s fees if we are found to be willfully infringing a third party’s patents or other intellectual property rights.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w:t>
      </w:r>
    </w:p>
    <w:p>
      <w:pPr>
        <w:spacing w:after="0" w:line="139"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substantial monetary damages, encounter significant delays in bringing our product candidates to market and be precluded from manufacturing or selling our product candidates.</w:t>
      </w:r>
    </w:p>
    <w:p>
      <w:pPr>
        <w:spacing w:after="0" w:line="135"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We cannot be certain that others have not filed patent applications for technology covered by our pending applications, or that we were the first to invent the technology, because:</w:t>
      </w:r>
    </w:p>
    <w:p>
      <w:pPr>
        <w:spacing w:after="0" w:line="121"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patent applications in the U.S. may be maintained in secrecy until the patents are issued;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 the U.S. are typically not published until 18 months after the priority date;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publications in the scientific literature often lag behind actual discoveries.</w:t>
      </w:r>
    </w:p>
    <w:p>
      <w:pPr>
        <w:spacing w:after="0" w:line="18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 priority to any applications filed prior to the priority dates of our applications, we may have to participate in an interference proceeding declared by the USPTO to determine priority of invention in the U.S.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48"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89" w:lineRule="exact"/>
        <w:rPr>
          <w:sz w:val="20"/>
          <w:szCs w:val="20"/>
          <w:color w:val="auto"/>
        </w:rPr>
      </w:pPr>
    </w:p>
    <w:p>
      <w:pPr>
        <w:ind w:left="60" w:right="19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48"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2"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 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32"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Our trademarks could be challenged, invalidated, infringed, and circumvented by third parties, and our trademarks could also be diluted, declared generic or found to be infringing on other marks. If any of the foregoing occurs, we could be forced to re-brand our products or technologies,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on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operating results and prospects.</w:t>
      </w:r>
    </w:p>
    <w:p>
      <w:pPr>
        <w:spacing w:after="0" w:line="141" w:lineRule="exact"/>
        <w:rPr>
          <w:sz w:val="20"/>
          <w:szCs w:val="20"/>
          <w:color w:val="auto"/>
        </w:rPr>
      </w:pPr>
    </w:p>
    <w:p>
      <w:pPr>
        <w:ind w:left="60" w:right="99" w:firstLine="324"/>
        <w:spacing w:after="0" w:line="246" w:lineRule="auto"/>
        <w:rPr>
          <w:sz w:val="20"/>
          <w:szCs w:val="20"/>
          <w:color w:val="auto"/>
        </w:rPr>
      </w:pPr>
      <w:r>
        <w:rPr>
          <w:rFonts w:ascii="Times New Roman" w:cs="Times New Roman" w:eastAsia="Times New Roman" w:hAnsi="Times New Roman"/>
          <w:sz w:val="18"/>
          <w:szCs w:val="18"/>
          <w:color w:val="auto"/>
        </w:rPr>
        <w:t>We rely on our trademarks, trade names and brand names, such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our logo, to distinguish our company and our products from our competitors and the products of our competitors, and have registered or applied to register many of these trademarks in the United States and certain countries outside the United States, however, we have not yet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w:t>
      </w:r>
    </w:p>
    <w:p>
      <w:pPr>
        <w:spacing w:after="0" w:line="150"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3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intellectual property rights, including protection of copyright, trade secrets, know-how and/or other proprietary information to protect our proprietary technologies, especially where we do not believe patent protection is appropriate or obtainable. However, trade secrets are difficult to protect, and some courts are less willing or unwilling to protect trade secrets. To maintain the confidentiality of our trade secrets and proprietary information, we rely in part on confidentiality agreements with our employees, consultants, outside scientific collaborators, sponsored researchers and other advisors to protect our trade secrets and other proprietary information. However, we cannot guarantee that we have entered into such agreements with each party that may have or have had access to our trade secrets or proprietary technology and processes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effectively prevent disclosure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0" w:lineRule="auto"/>
        <w:rPr>
          <w:sz w:val="20"/>
          <w:szCs w:val="20"/>
          <w:color w:val="auto"/>
        </w:rPr>
      </w:pPr>
      <w:r>
        <w:rPr>
          <w:rFonts w:ascii="Times New Roman" w:cs="Times New Roman" w:eastAsia="Times New Roman" w:hAnsi="Times New Roman"/>
          <w:sz w:val="17"/>
          <w:szCs w:val="17"/>
          <w:color w:val="auto"/>
        </w:rPr>
        <w:t>confidential information and may not provide an adequate remedy in the event of unauthorized disclosure of confidential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5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by maintaining physical security of our premises and electronic security of our information technology systems. Such security measures may not, for example, in the case of misappropriation of a trade secret by an employee, consultant or other third party with authorized access, provide adequate protection for our proprietary information. Our security measures may not prevent an employee, consultant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While we use commonly accepted security measures,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w:t>
      </w:r>
    </w:p>
    <w:p>
      <w:pPr>
        <w:spacing w:after="0" w:line="153" w:lineRule="exact"/>
        <w:rPr>
          <w:sz w:val="20"/>
          <w:szCs w:val="20"/>
          <w:color w:val="auto"/>
        </w:rPr>
      </w:pPr>
    </w:p>
    <w:p>
      <w:pPr>
        <w:ind w:left="60" w:right="159" w:firstLine="324"/>
        <w:spacing w:after="0" w:line="252" w:lineRule="auto"/>
        <w:rPr>
          <w:sz w:val="20"/>
          <w:szCs w:val="20"/>
          <w:color w:val="auto"/>
        </w:rPr>
      </w:pPr>
      <w:r>
        <w:rPr>
          <w:rFonts w:ascii="Times New Roman" w:cs="Times New Roman" w:eastAsia="Times New Roman" w:hAnsi="Times New Roman"/>
          <w:sz w:val="18"/>
          <w:szCs w:val="18"/>
          <w:color w:val="auto"/>
        </w:rPr>
        <w:t>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150"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misappropriated the intellectual property rights, including know-how or trade secrets of a third party.</w:t>
      </w:r>
    </w:p>
    <w:p>
      <w:pPr>
        <w:spacing w:after="0" w:line="132"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As is common in the biotechnology and pharmaceutical industries, we employ individuals who were previously employed at other biotechnology or pharmaceutical companies, including our competitors or potential competitors. Some of these employees, consultants and contractors may have executed proprietary rights, non-disclosure and non-competition agreements in connection with such previous employment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engagement. Although we try to ensure that our employees, consultants and independent contractors do not use the intellectual property rights, proprietary information, know-how, or trade secrets of others in their work for us, and do not perform work for us that is in conflict with their obligations to another employer or any other entity, we may be subject to claims that we or our employees, consultants or independent contractors have, inadvertently or otherwise misappropriated the intellectual property, including know-how, trade secrets or other proprietary information of their former employers or clients. To the extent that our employees, consultants or contractors use intellectual property rights or proprietary information owned by others in their work for us, disputes may arise as to the rights in any related or resulting know-how and inventions. Litigation may be necessary to defend against these claims. If we fail in defending any such claims, in addition to paying monetary damages, we could lose valuable intellectual property rights or personnel, which could adversely impact our business. There is no guarantee of success in defending these claims, and even if we are successful, litigation could result in substantial costs and be a distraction to management.</w:t>
      </w:r>
    </w:p>
    <w:p>
      <w:pPr>
        <w:spacing w:after="0" w:line="161"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18"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w:t>
      </w:r>
    </w:p>
    <w:p>
      <w:pPr>
        <w:spacing w:after="0" w:line="139"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4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drug re-innovation approach involves the filing of patent applications covering new methods of use and/or new formulations of previously known, studied and/or marketed drugs. Although the protection afforded by our patent and patent applications may be significant with respect to BXCL501, BXCL502, BXCL701 and BXCL702,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adversely affected.</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LLC. If we do not prevail in enforcing our intellectual property rights in this type of litigation, we may be subject to:</w:t>
      </w:r>
    </w:p>
    <w:p>
      <w:pPr>
        <w:spacing w:after="0" w:line="139"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monetary damages related to the legal expenses of the third party;</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additional competition that may have a significant adverse effect on our product pricing, market share, business operations, financial condition, and the commercial viability of our products; and</w:t>
      </w:r>
    </w:p>
    <w:p>
      <w:pPr>
        <w:spacing w:after="0" w:line="121" w:lineRule="exact"/>
        <w:rPr>
          <w:rFonts w:ascii="Times New Roman" w:cs="Times New Roman" w:eastAsia="Times New Roman" w:hAnsi="Times New Roman"/>
          <w:sz w:val="18"/>
          <w:szCs w:val="18"/>
          <w:color w:val="auto"/>
        </w:rPr>
      </w:pPr>
    </w:p>
    <w:p>
      <w:pPr>
        <w:jc w:val="both"/>
        <w:ind w:left="720" w:right="199" w:hanging="319"/>
        <w:spacing w:after="0" w:line="266"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35"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A third-party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56" w:lineRule="exact"/>
        <w:rPr>
          <w:sz w:val="20"/>
          <w:szCs w:val="20"/>
          <w:color w:val="auto"/>
        </w:rPr>
      </w:pPr>
    </w:p>
    <w:p>
      <w:pPr>
        <w:jc w:val="both"/>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Intellectual property rights and enforcement may be less extensive in jurisdictions outside of the U.S.; thus, we may not be able to protect our intellectual property and third parties may be able to market competitive products that may use some or all of our intellectual property.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Changes to patent law, including the Leahy-Smith America Invents Act of 2011 and the Patent Reform Act of 2009 and other future article of legislation, may substantially change the regulations and procedures surrounding patent applications, issuance of patents, and prosecution of patents. We can give no assurances that patents we own or license and can be successfully defended or will protect us against future intellectual property challenges, particularly as they pertain to changes in patent law and future patent law interpretations.</w:t>
      </w:r>
    </w:p>
    <w:p>
      <w:pPr>
        <w:spacing w:after="0" w:line="15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Europe, a new unitary patent system took effect on June 1, 2023, and may significantly impact European patents,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geopolitical dynamics, including Russia’s incursion into Ukraine, and the imposition of tariffs and responses to tariffs, may impact our ability to obtain and enforce patents in particular jurisdictions. If we are unable to obtain and enforce patents as needed in particular markets, our ability to exclude competitors in those markets may be reduced.</w:t>
      </w:r>
    </w:p>
    <w:p>
      <w:pPr>
        <w:spacing w:after="0" w:line="230" w:lineRule="exact"/>
        <w:rPr>
          <w:sz w:val="20"/>
          <w:szCs w:val="20"/>
          <w:color w:val="auto"/>
        </w:rPr>
      </w:pPr>
    </w:p>
    <w:p>
      <w:pPr>
        <w:ind w:left="60" w:right="519" w:firstLine="324"/>
        <w:spacing w:after="0" w:line="261" w:lineRule="auto"/>
        <w:rPr>
          <w:sz w:val="20"/>
          <w:szCs w:val="20"/>
          <w:color w:val="auto"/>
        </w:rPr>
      </w:pPr>
      <w:r>
        <w:rPr>
          <w:rFonts w:ascii="Times New Roman" w:cs="Times New Roman" w:eastAsia="Times New Roman" w:hAnsi="Times New Roman"/>
          <w:sz w:val="18"/>
          <w:szCs w:val="18"/>
          <w:color w:val="auto"/>
        </w:rPr>
        <w:t>In addition, enforcing and maintaining our intellectual property protection depends on compliance with various procedural, document submission, fee payment and other requirements imposed by the USPTO, courts and foreign government patent agencies, and our patent protection could be reduced or eliminated for non- compliance with these requirements.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substantially.</w:t>
      </w:r>
    </w:p>
    <w:p>
      <w:pPr>
        <w:spacing w:after="0" w:line="20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39"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our common stock by our stockholders, executives, and directors;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limitations in trading volumes of our shares of common stock;</w:t>
      </w:r>
    </w:p>
    <w:p>
      <w:pPr>
        <w:spacing w:after="0" w:line="198"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 and short sales of our stock, as well as trading phenomena such as the “short squeeze” and “short and distort” schemes;</w:t>
      </w:r>
    </w:p>
    <w:p>
      <w:pPr>
        <w:spacing w:after="0" w:line="121"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financings to conduct and complete research and development activities including, but not limited to, our clinical trials, and other business activities;</w:t>
      </w:r>
    </w:p>
    <w:p>
      <w:pPr>
        <w:spacing w:after="0" w:line="121" w:lineRule="exact"/>
        <w:rPr>
          <w:rFonts w:ascii="Times New Roman" w:cs="Times New Roman" w:eastAsia="Times New Roman" w:hAnsi="Times New Roman"/>
          <w:sz w:val="18"/>
          <w:szCs w:val="18"/>
          <w:color w:val="auto"/>
        </w:rPr>
      </w:pPr>
    </w:p>
    <w:p>
      <w:pPr>
        <w:ind w:left="720" w:right="779" w:hanging="319"/>
        <w:spacing w:after="0" w:line="282"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delays in the expected recognition of revenue due to lengthy and sometimes unpredictable sales timelines;</w:t>
      </w:r>
    </w:p>
    <w:p>
      <w:pPr>
        <w:spacing w:after="0" w:line="134" w:lineRule="exact"/>
        <w:rPr>
          <w:rFonts w:ascii="Times New Roman" w:cs="Times New Roman" w:eastAsia="Times New Roman" w:hAnsi="Times New Roman"/>
          <w:sz w:val="18"/>
          <w:szCs w:val="18"/>
          <w:color w:val="auto"/>
        </w:rPr>
      </w:pPr>
    </w:p>
    <w:p>
      <w:pPr>
        <w:jc w:val="both"/>
        <w:ind w:left="720" w:right="379" w:hanging="319"/>
        <w:spacing w:after="0" w:line="26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 and the timing and terms of customer renewals;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resources and the necessary personnel to conduct clinical trials on our desired schedule;</w:t>
      </w:r>
    </w:p>
    <w:p>
      <w:pPr>
        <w:spacing w:after="0" w:line="18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enrollment or results of our clinical trials for our product candidates or any future clinical trials we may conduct;</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development status of our product candidates;</w:t>
      </w:r>
    </w:p>
    <w:p>
      <w:pPr>
        <w:spacing w:after="0" w:line="198" w:lineRule="exact"/>
        <w:rPr>
          <w:rFonts w:ascii="Times New Roman" w:cs="Times New Roman" w:eastAsia="Times New Roman" w:hAnsi="Times New Roman"/>
          <w:sz w:val="18"/>
          <w:szCs w:val="18"/>
          <w:color w:val="auto"/>
        </w:rPr>
      </w:pPr>
    </w:p>
    <w:p>
      <w:pPr>
        <w:ind w:left="720" w:right="23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adverse developments or perceived adverse developments with respect to the FDA’s review of our preclinical and clinical trials;</w:t>
      </w:r>
    </w:p>
    <w:p>
      <w:pPr>
        <w:spacing w:after="0" w:line="12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submission for studies or product approvals or adverse regulatory decisions, including failure to receive regulatory approval for our product candidates;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safety concerns related to the use of our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meet external expectations or management guidance;</w:t>
      </w:r>
    </w:p>
    <w:p>
      <w:pPr>
        <w:spacing w:after="0" w:line="184"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or dividend policy, future issuances of securities, sales of large blocks of common stock by our stockholders;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events surrounding financing efforts, including debt and equity securities;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new markets or develop new products;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issues;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technologies and products or new technologies and products that may emerge;</w:t>
      </w:r>
    </w:p>
    <w:p>
      <w:pPr>
        <w:spacing w:after="0" w:line="184" w:lineRule="exact"/>
        <w:rPr>
          <w:rFonts w:ascii="Times New Roman" w:cs="Times New Roman" w:eastAsia="Times New Roman" w:hAnsi="Times New Roman"/>
          <w:sz w:val="18"/>
          <w:szCs w:val="18"/>
          <w:color w:val="auto"/>
        </w:rPr>
      </w:pPr>
    </w:p>
    <w:p>
      <w:pPr>
        <w:ind w:left="720" w:right="2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partnerships, collaborations, joint ventures, new products, capital commitments, or other events by us or our competitors;</w:t>
      </w:r>
    </w:p>
    <w:p>
      <w:pPr>
        <w:spacing w:after="0" w:line="121"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and market conditions in or any of the regions in which we conduct our business;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conditions or perceptions;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valuations of similar companies or groups of companies;</w:t>
      </w:r>
    </w:p>
    <w:p>
      <w:pPr>
        <w:spacing w:after="0" w:line="184"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research reports, recommendation and changes in recommendations, price targets, and withdrawals of coverage;</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and additions of key personnel;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litigations related to intellectual properties, proprietary rights, and contractual obligations;</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rules, regulations, or accounting practices and other dynamics; and</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may be out of our control.</w:t>
      </w:r>
    </w:p>
    <w:p>
      <w:pPr>
        <w:spacing w:after="0" w:line="185"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stock price to fall and may expose us to lawsuits that, even if unsuccessful, could be costly to defend and a distraction to management.</w:t>
      </w:r>
    </w:p>
    <w:p>
      <w:pPr>
        <w:spacing w:after="0" w:line="131" w:lineRule="exact"/>
        <w:rPr>
          <w:sz w:val="20"/>
          <w:szCs w:val="20"/>
          <w:color w:val="auto"/>
        </w:rPr>
      </w:pPr>
    </w:p>
    <w:p>
      <w:pPr>
        <w:ind w:left="60" w:right="3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including common stock that may be sold following exercise of outstanding warrants, would result in additional dilution of the percentage ownership of our stockholders and could adversely impact the share price of our common stock.</w:t>
      </w:r>
    </w:p>
    <w:p>
      <w:pPr>
        <w:spacing w:after="0" w:line="134"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including, without limitation, funding our trials and studies, marketing and commercializing our products and funding our operations. Accordingly, we have sold, and in the future may sell, common stock, convertible securities or other equity securities in one or more transactions at prices and in a manner we determine from time to time. To the extent we raise additional capital by issuing additional shares of common stock or securities convertible or exchangeable for our common stock, our stockholders may experience substantial dilution, and new investors could gain rights superior to our existing stockholders.</w:t>
      </w:r>
    </w:p>
    <w:p>
      <w:pPr>
        <w:spacing w:after="0" w:line="147"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March 2024, we issued and sold in a registered direct offering 190,913 shares of our common stock, accompanying warrants to purchase up to 538,728 shares of our common stock and pre-funded warrants to purchase up to 347,814 shares of our common stock. In November 2024, we issued and sold in a registered direct offering 350,000 shares of our common stock, accompanying warrants to purchase up to 912,500 shares of our common stock and pre-funded warrants to purchase up to 562,500 shares of our common stock, (see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in this Annual Report on Form 10-K for additional information). In addition, we issued additional warrants to purchase up to 312,506 shares of common stock in connection with the Fifth Amendment of our Credit Agreement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this Annual Report on Form 10-K for additional information). In March 2025, we issued and sold in a registered direct offering 188,383 shares of common stock, pre-funded warrants to purchase up to 3,811,617 shares of our common stock, accompanying warrants to purchase up to 4 million shares, and option warrants to purchase an additional 4 million shares and 4 million warrants. The number of shares of common stock underlying our outstanding warrants is significant in relation to our outstanding common stock (145% as of March 21, 2025), which could have a negative effect on the market price of our common stock and make it more difficult for us to raise funds through future equity offerings. In the event these warrants are exercised, our stockholders will experience additional dilution. To the extent outstanding stock options or warrants are exercised, there would be further dilution to our existing stockholders, which could impact the price of our common stock.</w:t>
      </w:r>
    </w:p>
    <w:p>
      <w:pPr>
        <w:spacing w:after="0" w:line="164"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our shares of common stock so any returns will be limited to the value of our shares.</w:t>
      </w:r>
    </w:p>
    <w:p>
      <w:pPr>
        <w:spacing w:after="0" w:line="118"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13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 financial condition and results of operations.</w:t>
      </w:r>
    </w:p>
    <w:p>
      <w:pPr>
        <w:spacing w:after="0" w:line="148"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w:t>
      </w:r>
    </w:p>
    <w:p>
      <w:pPr>
        <w:spacing w:after="0" w:line="148" w:lineRule="exact"/>
        <w:rPr>
          <w:sz w:val="20"/>
          <w:szCs w:val="20"/>
          <w:color w:val="auto"/>
        </w:rPr>
      </w:pPr>
    </w:p>
    <w:p>
      <w:pPr>
        <w:ind w:left="60" w:right="379" w:firstLine="324"/>
        <w:spacing w:after="0" w:line="281" w:lineRule="auto"/>
        <w:rPr>
          <w:sz w:val="20"/>
          <w:szCs w:val="20"/>
          <w:color w:val="auto"/>
        </w:rPr>
      </w:pPr>
      <w:r>
        <w:rPr>
          <w:rFonts w:ascii="Times New Roman" w:cs="Times New Roman" w:eastAsia="Times New Roman" w:hAnsi="Times New Roman"/>
          <w:sz w:val="17"/>
          <w:szCs w:val="17"/>
          <w:color w:val="auto"/>
        </w:rPr>
        <w:t>Notwithstanding Sections 3(a)(1)(A) and (C) of the 1940 Act, we are a research and development company and comply with the safe harbor requirements of Rule 3a-8 of the 1940 Act. We intend to conduct our operations so that we will not be deemed an investment company. However, if we were to be deemed an investment company, restrictions imposed by the 1940 Act, including limitations on our capital structure and our ability to transact with affiliates, could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82" w:lineRule="auto"/>
        <w:rPr>
          <w:sz w:val="20"/>
          <w:szCs w:val="20"/>
          <w:color w:val="auto"/>
        </w:rPr>
      </w:pPr>
      <w:r>
        <w:rPr>
          <w:rFonts w:ascii="Times New Roman" w:cs="Times New Roman" w:eastAsia="Times New Roman" w:hAnsi="Times New Roman"/>
          <w:sz w:val="18"/>
          <w:szCs w:val="18"/>
          <w:color w:val="auto"/>
        </w:rPr>
        <w:t>make it impractical for us to continue our business as contemplated and could have a material adverse effect on our business, financial condition and results of operations.</w:t>
      </w:r>
    </w:p>
    <w:p>
      <w:pPr>
        <w:spacing w:after="0" w:line="131"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are able to avail ourselves of reduced disclosure requirements applicable to smaller reporting companies, which could make our common stock less attractive to investors.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we determine that either</w:t>
      </w:r>
    </w:p>
    <w:p>
      <w:pPr>
        <w:spacing w:after="0" w:line="27" w:lineRule="exact"/>
        <w:rPr>
          <w:sz w:val="20"/>
          <w:szCs w:val="20"/>
          <w:color w:val="auto"/>
        </w:rPr>
      </w:pPr>
    </w:p>
    <w:p>
      <w:pPr>
        <w:ind w:left="60" w:right="179" w:hanging="10"/>
        <w:spacing w:after="0" w:line="251" w:lineRule="auto"/>
        <w:tabs>
          <w:tab w:leader="none" w:pos="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revenues are at least $100 million and our voting and non-voting common stock held by non-affiliates is at least $250 million measured on the last business day of our most recent second fiscal quarter, or (2) our voting and non-voting common stock held by non-affiliates is at least $700 million measured on the last business day of our most recent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 In addition, as a non-accelerated filer, we are exempt from the auditor attestation requirements of Section 404 of the Sarbanes-Oxley Act.</w:t>
      </w:r>
    </w:p>
    <w:p>
      <w:pPr>
        <w:spacing w:after="0" w:line="153"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49"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 subject to legal proceedings, claims and investigations in or outside the ordinary course of business. Such proceedings, claims and investigations could be costly and time-consuming to defend and could result in unfavorable outcomes, which may have a material adverse effect on our business, operating results and financial condition, and negatively affect the price of our common stock.</w:t>
      </w:r>
    </w:p>
    <w:p>
      <w:pPr>
        <w:spacing w:after="0" w:line="140"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are, and may in the future become, subject to various legal proceedings, claims and investigations that arise in or outside the ordinary course of business. For example, 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BioXcel Therapeutics, Inc. et al</w:t>
      </w:r>
      <w:r>
        <w:rPr>
          <w:rFonts w:ascii="Times New Roman" w:cs="Times New Roman" w:eastAsia="Times New Roman" w:hAnsi="Times New Roman"/>
          <w:sz w:val="18"/>
          <w:szCs w:val="18"/>
          <w:color w:val="auto"/>
        </w:rPr>
        <w:t>. On October 4, 2023, pursuant to the Private Securities Litigation Reform Act,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two co-Lead Plaintiffs. The co-Lead Plaintiffs filed an amended complaint on December 5, 2023, alleging violations of Sections 10(b) and 20A of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 treatment of certain Alzheimer’s-related agitation. The Company moved to dismiss the second amended complaint on September 6, 2024. On February 24, 2025, while the Company’s motion to dismiss remained pending, Plaintiffs moved for leave to further amend their complaint. The Company filed an opposition to the motion on March 17, 2025. Plaintiffs’ reply is due April 7, 2025.</w:t>
      </w:r>
    </w:p>
    <w:p>
      <w:pPr>
        <w:spacing w:after="0" w:line="157"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61" w:lineRule="exact"/>
        <w:rPr>
          <w:sz w:val="20"/>
          <w:szCs w:val="20"/>
          <w:color w:val="auto"/>
        </w:rPr>
      </w:pPr>
    </w:p>
    <w:p>
      <w:pPr>
        <w:ind w:left="60" w:right="279" w:firstLine="324"/>
        <w:spacing w:after="0" w:line="281" w:lineRule="auto"/>
        <w:rPr>
          <w:sz w:val="20"/>
          <w:szCs w:val="20"/>
          <w:color w:val="auto"/>
        </w:rPr>
      </w:pPr>
      <w:r>
        <w:rPr>
          <w:rFonts w:ascii="Times New Roman" w:cs="Times New Roman" w:eastAsia="Times New Roman" w:hAnsi="Times New Roman"/>
          <w:sz w:val="17"/>
          <w:szCs w:val="17"/>
          <w:color w:val="auto"/>
        </w:rPr>
        <w:t xml:space="preserve">On January 11, 2024, Plaintiff Jeremy Smith filed a stockholder derivative complaint in the United States District Court for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7"/>
          <w:szCs w:val="17"/>
          <w:i w:val="1"/>
          <w:iCs w:val="1"/>
          <w:color w:val="auto"/>
        </w:rPr>
        <w:t>Smith v.</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1:24-cv-00041. Following the initial action, Plaintiff Janice Korff filed a stockholder derivative complaint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District of Delaware raising similar claims as Smith (1:24-cv-130), including business torts and violations of the Exchange Act.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xml:space="preserve"> 1:24-cv-00041 (D. Del.). The consolidated action is currently stayed.</w:t>
      </w:r>
    </w:p>
    <w:p>
      <w:pPr>
        <w:spacing w:after="0" w:line="155"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The Company is also cooperating with a formal investigation of the Company and certain of its officers and directors by the SEC, relating to the Company’s public disclosures, including about product sales and the receipt of a Form 483 by an investigator at one of the Company’s clinical trial sites in the TRANQUILITY II study, and trading in the securities of the Company. The Company has produced documents, and current and former officers and employees of the Company have testified before the SEC. The above-captioned proceedings, as well as any investigation or proceeding that may be instituted by the SEC may result in substantial costs or liabilities, as well as a diversion of management’s attention and resources, which could harm our business, result in a decline in the market price of our common stock and impact our financing efforts.</w:t>
      </w:r>
    </w:p>
    <w:p>
      <w:pPr>
        <w:spacing w:after="0" w:line="151"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potential costs and liabilities associated with legal proceedings, claims and investigations involving us or members of our leadership team is uncertain, and the results of such legal proceedings, claims and investigations cannot be predicted with certainty. Lawsuits and other administrative or legal proceedings that may arise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common stock. In addition, such lawsuits may make it more difficult to finance our operations.</w:t>
      </w:r>
    </w:p>
    <w:p>
      <w:pPr>
        <w:spacing w:after="0" w:line="154" w:lineRule="exact"/>
        <w:rPr>
          <w:sz w:val="20"/>
          <w:szCs w:val="20"/>
          <w:color w:val="auto"/>
        </w:rPr>
      </w:pPr>
    </w:p>
    <w:p>
      <w:pPr>
        <w:ind w:left="60" w:right="379" w:firstLine="324"/>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companies with publicly traded stock or who obtain funding through the stock market often experience significant stock price volatility, based on events beyond their control, including outcomes of clinical trials, actions of regulators and product approvals. Such further litigation, may result in substantial costs and a diversion of management’s attention and resources, which could harm our business and result in a decline in the market price of our common stock.</w:t>
      </w:r>
    </w:p>
    <w:p>
      <w:pPr>
        <w:spacing w:after="0" w:line="152"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our bylaws, and Delaware law may have anti-takeover effects that could discourage, delay, or prevent a change in control, which may cause our stock price to decline.</w:t>
      </w:r>
    </w:p>
    <w:p>
      <w:pPr>
        <w:spacing w:after="0" w:line="11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our amended and restated bylaws and Delaware law could make it more difficult for a third party to acquire us, even if closing such a transaction would be beneficial to our stockholders. We are authorized to issue up to 10 million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54" w:lineRule="exact"/>
        <w:rPr>
          <w:sz w:val="20"/>
          <w:szCs w:val="20"/>
          <w:color w:val="auto"/>
        </w:rPr>
      </w:pPr>
    </w:p>
    <w:p>
      <w:pPr>
        <w:ind w:left="60" w:right="439" w:firstLine="324"/>
        <w:spacing w:after="0" w:line="289" w:lineRule="auto"/>
        <w:rPr>
          <w:sz w:val="20"/>
          <w:szCs w:val="20"/>
          <w:color w:val="auto"/>
        </w:rPr>
      </w:pPr>
      <w:r>
        <w:rPr>
          <w:rFonts w:ascii="Times New Roman" w:cs="Times New Roman" w:eastAsia="Times New Roman" w:hAnsi="Times New Roman"/>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may also prevent or frustrate attempts by our stockholders to replace or remove our management. In particular, the certificate of incorporation and bylaws and Delaware law, as applicable, among other things:</w:t>
      </w:r>
    </w:p>
    <w:p>
      <w:pPr>
        <w:spacing w:after="0" w:line="135"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board of directors with the ability to alter the bylaws without stockholder approval;</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limitations on the removal of directors;</w:t>
      </w:r>
    </w:p>
    <w:p>
      <w:pPr>
        <w:spacing w:after="0" w:line="18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34"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of directors may be filled by a majority of directors in office, although less than a quorum.</w:t>
      </w:r>
    </w:p>
    <w:p>
      <w:pPr>
        <w:spacing w:after="0" w:line="117"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reporting obligations of being a public company in the U.S. are expensive and time-consuming, and our management is required to devote substantial time to compliance matters.</w:t>
      </w:r>
    </w:p>
    <w:p>
      <w:pPr>
        <w:spacing w:after="0" w:line="118" w:lineRule="exact"/>
        <w:rPr>
          <w:sz w:val="20"/>
          <w:szCs w:val="20"/>
          <w:color w:val="auto"/>
        </w:rPr>
      </w:pPr>
    </w:p>
    <w:p>
      <w:pPr>
        <w:ind w:left="60" w:right="99" w:firstLine="324"/>
        <w:spacing w:after="0" w:line="252" w:lineRule="auto"/>
        <w:rPr>
          <w:sz w:val="20"/>
          <w:szCs w:val="20"/>
          <w:color w:val="auto"/>
        </w:rPr>
      </w:pPr>
      <w:r>
        <w:rPr>
          <w:rFonts w:ascii="Times New Roman" w:cs="Times New Roman" w:eastAsia="Times New Roman" w:hAnsi="Times New Roman"/>
          <w:sz w:val="18"/>
          <w:szCs w:val="18"/>
          <w:color w:val="auto"/>
        </w:rPr>
        <w:t>As a publicly traded company we have incurred and will continue to incur significant legal, accounting and other expenses. The obligations of being a public company in the U.S.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the Dodd-Frank Wall Street Reform and Consumer Protection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reforms made possible by the JOBS Act, the reporting requirements, rules, and regulations will make some activities more time-consuming and costly, particularly as we are no longer an “emerging growth company.” In addition, we expect these and similar rules and regulations to make it more difficult and more expensive for us to obtain director and officer liability insurance and we may be required to incur substantial costs to maintain such insurance. Our continued compliance with applicable requirements and to keep pace with new regulations requires management and other personnel to devote a substantial amount of their time, otherwise we may fall out of compliance and risk becoming subject to litigation or being delisted, among other potential problems.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18" w:lineRule="exact"/>
        <w:rPr>
          <w:sz w:val="20"/>
          <w:szCs w:val="20"/>
          <w:color w:val="auto"/>
        </w:rPr>
      </w:pPr>
    </w:p>
    <w:p>
      <w:pPr>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which has occurred in the past,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41"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rules under the Sarbanes-Oxley Act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34"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We have discovered material weaknesses in the past. If future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5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exposure to additional income tax liabilities could have a material impact on our business, results of operations, financial condition and cash flows.</w:t>
      </w:r>
    </w:p>
    <w:p>
      <w:pPr>
        <w:spacing w:after="0" w:line="15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adversely affect our business, financial condition, results of operations, and prospects. For example, the TCJA, the Coronavirus Aid, Relief and Economic Security Act, and the Inflation Reduction Act (the “IRA”) made many significant changes to the U.S. tax laws. Beginning in 2022, the TCJA requires taxpayers to capitalize and amortize certain research and development expenditures over five years if incurred in the U.S. and 15 years if incurred in foreign jurisdictions, rather than deducting them currently. Although there have been legislative proposals to repeal or defer the research and development expenditure capitalization requirement to later years, there can be no assurance that the provision will be repealed or otherwise modified. As another example, the IRA includes provisions that will impact the U.S. federal income taxation of certain corporations, including imposing a minimum tax on the book income of certain large corporations and a 1% excise tax on the value of certain corporate stock repurchases by publicly traded companies that would be imposed on the company repurchasing such stock. Regulatory or accounting guidance with respect to existing or future tax laws could materially affect our tax obligations and effective tax rate. It is uncertain if, and to what extent, various states will conform to current federal law or any newly enacted federal tax legislation.</w:t>
      </w:r>
    </w:p>
    <w:p>
      <w:pPr>
        <w:spacing w:after="0" w:line="193"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indirect taxes in various jurisdictions could materially adversely affect our business, financial condition, results of operations, and prospects.</w:t>
      </w:r>
    </w:p>
    <w:p>
      <w:pPr>
        <w:spacing w:after="0" w:line="15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We currently collect and remit applicable indirect taxes in jurisdictions where we, through our employees or economic activity, have a presence and where we have determined, based on applicable legal precedents, that our activities are taxable. We do not currently collect and remit indirect taxes, including state and local excise, utility user, and ad valorem taxes, fees, and surcharges in jurisdictions where we believe we do not have sufficient “nexus.” Tax authorities may challenge our position that we do not have sufficient nexus in a taxing jurisdiction or that our activities are not taxable in such jurisdiction and may decide to audit our business and operations with respect to indirect taxes, which could result in significant tax liabilities (including related penalties and interest) for us or our customers, which could materially adversely affect our business, financial condition, results of operations, and prospects.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02"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35" w:lineRule="exact"/>
        <w:rPr>
          <w:sz w:val="20"/>
          <w:szCs w:val="20"/>
          <w:color w:val="auto"/>
        </w:rPr>
      </w:pPr>
    </w:p>
    <w:p>
      <w:pPr>
        <w:ind w:left="60" w:right="379" w:firstLine="324"/>
        <w:spacing w:after="0" w:line="312" w:lineRule="auto"/>
        <w:rPr>
          <w:sz w:val="20"/>
          <w:szCs w:val="20"/>
          <w:color w:val="auto"/>
        </w:rPr>
      </w:pPr>
      <w:r>
        <w:rPr>
          <w:rFonts w:ascii="Times New Roman" w:cs="Times New Roman" w:eastAsia="Times New Roman" w:hAnsi="Times New Roman"/>
          <w:sz w:val="17"/>
          <w:szCs w:val="17"/>
          <w:color w:val="auto"/>
        </w:rPr>
        <w:t>We designed and assessed our program based on the National Institute of Standards and Technology Cybersecurity Framework. This does not imply that we meet any particular technical standards, specifications, or requirements, only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that we used the National Institute of Standards and Technology Cybersecurity Framework as a guide to help us identify, assess, and manage cybersecurity risks relevant to our business.</w:t>
      </w:r>
    </w:p>
    <w:p>
      <w:pPr>
        <w:spacing w:after="0" w:line="13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85" w:lineRule="exact"/>
        <w:rPr>
          <w:sz w:val="20"/>
          <w:szCs w:val="20"/>
          <w:color w:val="auto"/>
        </w:rPr>
      </w:pPr>
    </w:p>
    <w:p>
      <w:pPr>
        <w:ind w:left="60" w:right="659" w:firstLine="314"/>
        <w:spacing w:after="0" w:line="282" w:lineRule="auto"/>
        <w:tabs>
          <w:tab w:leader="none" w:pos="7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environment;</w:t>
      </w:r>
    </w:p>
    <w:p>
      <w:pPr>
        <w:spacing w:after="0" w:line="134" w:lineRule="exact"/>
        <w:rPr>
          <w:rFonts w:ascii="Times New Roman" w:cs="Times New Roman" w:eastAsia="Times New Roman" w:hAnsi="Times New Roman"/>
          <w:sz w:val="18"/>
          <w:szCs w:val="18"/>
          <w:color w:val="auto"/>
        </w:rPr>
      </w:pPr>
    </w:p>
    <w:p>
      <w:pPr>
        <w:ind w:left="60" w:right="359" w:firstLine="314"/>
        <w:spacing w:after="0" w:line="282" w:lineRule="auto"/>
        <w:tabs>
          <w:tab w:leader="none" w:pos="7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team responsible for managing (1) our cybersecurity risk assessment processes, (2) our security controls, and (3) our response to cybersecurity incidents;</w:t>
      </w:r>
    </w:p>
    <w:p>
      <w:pPr>
        <w:spacing w:after="0" w:line="121" w:lineRule="exact"/>
        <w:rPr>
          <w:rFonts w:ascii="Times New Roman" w:cs="Times New Roman" w:eastAsia="Times New Roman" w:hAnsi="Times New Roman"/>
          <w:sz w:val="18"/>
          <w:szCs w:val="18"/>
          <w:color w:val="auto"/>
        </w:rPr>
      </w:pPr>
    </w:p>
    <w:p>
      <w:pPr>
        <w:ind w:left="60" w:right="479" w:firstLine="314"/>
        <w:spacing w:after="0" w:line="282" w:lineRule="auto"/>
        <w:tabs>
          <w:tab w:leader="none" w:pos="70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21"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w:t>
      </w:r>
    </w:p>
    <w:p>
      <w:pPr>
        <w:spacing w:after="0" w:line="185"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There can be no assurance that our cybersecurity risk management program and processes, including our policies, controls or procedures, will be fully implemented, complied with or effective in protecting our systems and information.</w:t>
      </w:r>
    </w:p>
    <w:p>
      <w:pPr>
        <w:spacing w:after="0" w:line="11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Factors— Business interruptions could adversely affect future operations, revenues, and financial conditions, and may increase our costs and expenses.”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149"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as necessary, regarding any material cybersecurity incidents, as well as any incidents with lesser impact potential.</w:t>
      </w:r>
    </w:p>
    <w:p>
      <w:pPr>
        <w:spacing w:after="0" w:line="135" w:lineRule="exact"/>
        <w:rPr>
          <w:sz w:val="20"/>
          <w:szCs w:val="20"/>
          <w:color w:val="auto"/>
        </w:rPr>
      </w:pPr>
    </w:p>
    <w:p>
      <w:pPr>
        <w:ind w:left="60" w:right="239" w:firstLine="324"/>
        <w:spacing w:after="0" w:line="261"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the internal Security Incident Management Team or external experts as part of the Board’s continuing education on topics that impact public companies.</w:t>
      </w:r>
    </w:p>
    <w:p>
      <w:pPr>
        <w:spacing w:after="0" w:line="13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Our Security Incident Management Team, which includes our Chief Financial Officer, the Executive Director of Information Technology, Chief Legal Officer and the Quality Assurance Director, has approximately 30 combined years of risk management experience and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Security Incident Management Team’s experience includes prior work experience in cybersecurity; financial management and controls, data quality assurance and liability and risk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555 Long Wharf Drive in New Haven, Connecticut. The Company occupies 18,285 square feet of space. The leases for this space expire in February 2026 and we have a renewal option for one additional five-year term. We believe that our existing facilities are suitable and adequate to meet our current needs.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For information about our legal proceedings, see Note 18 to our audited financial statements included elsewhere in this Annual Report on Form 10-K which information is incorporated herein by reference.</w:t>
      </w:r>
    </w:p>
    <w:p>
      <w:pPr>
        <w:spacing w:after="0" w:line="14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in February 2024, we became aware that the SEC had initiated a formal investigation involving the Company and certain of its directors and officers. This formal investigation relates to the Company’s public disclosures, including about product sales and the receipt of a Form 483 by an investigator at one of the Company’s clinical trial sites in the TRANQUILITY II study, and trading in the securities of the Company. We are cooperating fully with the investigation including producing documents, and current and former officers and employees of the Company have testified before the SEC. We cannot predict or determine whether any proceeding may be instituted by the SEC in connection with its investigation or the outcome of any proceeding that may be instituted, or the effects any such proceeding could have on the Company’s business or financing efforts.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under the symbol “BTAI.”</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8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March 21, 2025, there were 13 stockholders of record of our common stock. The actual number of holders of our common stock is greater than this number of record holders, and includes stockholders who are beneficial owners, but whose shares are held in street name by brokers or held by other nominees.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and we do not anticipate paying any cash dividends on our common stock in the foreseeable future. We intend to retain all available funds and any future earnings to fund the development and expansion of our business. Any future determination to pay dividends will be at the discretion of our board of directors and will depend upon a number of factors, including our results of operations,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financial condition, future prospects, contractual restrictions, restrictions imposed by applicable law and other factors that our board of directors deems relevant.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89"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11. of Part III of this Annual Report on Form 10-K.</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Unregistered Sales of Securities</w:t>
      </w:r>
    </w:p>
    <w:p>
      <w:pPr>
        <w:spacing w:after="0" w:line="20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by the Company during the three months ended December 31, 2024, that was not previously disclosed on a Current Report on Form 8-K or Quarterly Report on Form 10-Q.</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appearing elsewhere in this report. In addition to historical information, this discussion and analysis contains forward-looking statements that involve risks, uncertainties and assumptions.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All dollar amounts in the below Management’s Discussion and Analysis of Financial Condition and Results of Operations are presented in U.S. dollars, and all dollar and share amounts are presented in thousands, unless otherwise noted or the context otherwise provides.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to develop transformative medicines in neuroscience and, through the Company’s wholly owned subsidiary, OnkosXcel Therapeutics LLC (“OnkosXcel”),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 Our approach leverages existing approved drugs and/or clinically evaluated product candidates together with big data and proprietary machine learning algorithms to identify new therapeutic indications. We believe this differentiated approach has the potential to reduce the expense and time associated with drug development in diseases with substantial unmet medical needs.</w:t>
      </w:r>
    </w:p>
    <w:p>
      <w:pPr>
        <w:spacing w:after="0" w:line="161" w:lineRule="exact"/>
        <w:rPr>
          <w:sz w:val="20"/>
          <w:szCs w:val="20"/>
          <w:color w:val="auto"/>
        </w:rPr>
      </w:pPr>
    </w:p>
    <w:p>
      <w:pPr>
        <w:ind w:left="60" w:right="79" w:firstLine="324"/>
        <w:spacing w:after="0" w:line="236" w:lineRule="auto"/>
        <w:rPr>
          <w:sz w:val="20"/>
          <w:szCs w:val="20"/>
          <w:color w:val="auto"/>
        </w:rPr>
      </w:pPr>
      <w:r>
        <w:rPr>
          <w:rFonts w:ascii="Times New Roman" w:cs="Times New Roman" w:eastAsia="Times New Roman" w:hAnsi="Times New Roman"/>
          <w:sz w:val="18"/>
          <w:szCs w:val="18"/>
          <w:color w:val="auto"/>
        </w:rPr>
        <w:t>Our most advanced neuroscience candidate is BXCL501. In indications other than those approved by the United States (“U.S.”) Food and Drug Administration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film formulation of dexmedetomidine (or “Dex”) in development for the treatment of agitation associated with psychiatric and neurological disorders. Our most advanced immuno-oncology asset, BXCL701, is an investigational oral innate immune activator being developed by OnkosXcel Therapeutics as a potential therapy for the treatment of aggressive forms of prostate cancer, pancreatic cancer, and other solid and liquid tumors.</w:t>
      </w:r>
    </w:p>
    <w:p>
      <w:pPr>
        <w:spacing w:after="0" w:line="192" w:lineRule="exact"/>
        <w:rPr>
          <w:sz w:val="20"/>
          <w:szCs w:val="20"/>
          <w:color w:val="auto"/>
        </w:rPr>
      </w:pPr>
    </w:p>
    <w:p>
      <w:pPr>
        <w:jc w:val="both"/>
        <w:ind w:left="60" w:right="239" w:firstLine="324"/>
        <w:spacing w:after="0" w:line="193" w:lineRule="auto"/>
        <w:rPr>
          <w:sz w:val="20"/>
          <w:szCs w:val="20"/>
          <w:color w:val="auto"/>
        </w:rPr>
      </w:pPr>
      <w:r>
        <w:rPr>
          <w:rFonts w:ascii="Times New Roman" w:cs="Times New Roman" w:eastAsia="Times New Roman" w:hAnsi="Times New Roman"/>
          <w:sz w:val="18"/>
          <w:szCs w:val="18"/>
          <w:color w:val="auto"/>
        </w:rPr>
        <w:t>On April 6, 2022, we announced that the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we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commercially available in doses of 120 and 180 micrograms.</w:t>
      </w:r>
    </w:p>
    <w:p>
      <w:pPr>
        <w:spacing w:after="0" w:line="200" w:lineRule="exact"/>
        <w:rPr>
          <w:sz w:val="20"/>
          <w:szCs w:val="20"/>
          <w:color w:val="auto"/>
        </w:rPr>
      </w:pPr>
    </w:p>
    <w:p>
      <w:pPr>
        <w:ind w:left="60" w:right="319" w:firstLine="324"/>
        <w:spacing w:after="0" w:line="256" w:lineRule="auto"/>
        <w:rPr>
          <w:sz w:val="20"/>
          <w:szCs w:val="20"/>
          <w:color w:val="auto"/>
        </w:rPr>
      </w:pPr>
      <w:r>
        <w:rPr>
          <w:rFonts w:ascii="Times New Roman" w:cs="Times New Roman" w:eastAsia="Times New Roman" w:hAnsi="Times New Roman"/>
          <w:sz w:val="18"/>
          <w:szCs w:val="18"/>
          <w:color w:val="auto"/>
        </w:rPr>
        <w:t>We are continuing to develop BXCL501 for the acute treatment of agitation associated with bipolar disorders or schizophrenia in the at-home setting and for the acute treatment of agitation (non-daily) associated with dementia due to probable Alzheimer’s disease in the at-home setting and in care facilities. As described further below, we have recently deprioritized the development of BXCL501 for certain indications, including development of BXCL501 as a potential adjunctive treatment for major depressive disorder (“MDD”), as well as our BXCL701 program except as noted in Part, Item 1, “Business” under the heading “Immuno-Oncology.”</w:t>
      </w:r>
    </w:p>
    <w:p>
      <w:pPr>
        <w:spacing w:after="0" w:line="187" w:lineRule="exact"/>
        <w:rPr>
          <w:sz w:val="20"/>
          <w:szCs w:val="20"/>
          <w:color w:val="auto"/>
        </w:rPr>
      </w:pPr>
    </w:p>
    <w:p>
      <w:pPr>
        <w:jc w:val="both"/>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In our SERENITY program, we are evaluating BXCL501 for use in the at-home setting for agitation associated with bipolar disorders or schizophrenia. We completed Part 1 of the SERENITY III trial and announced topline results on May 25, 2023.</w:t>
      </w:r>
    </w:p>
    <w:p>
      <w:pPr>
        <w:spacing w:after="0" w:line="1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We reviewed our SERENITY III program with the FDA in Type C meetings on November 8, 2023 and March 6, 2024. Based on the feedback received from the FDA to date, we are moving forward to evaluate at-home use of the 120 mcg dose of BXCL501, with safety as the primary objective and efficacy measures as exploratory endpoints to support continued efficacy in the at-home setting as recommended by the FDA in the November 8, 2023 meeting, for the acute treatment of agitation in bipolar disorders or schizophrenia. We also plan to initiate a clinical study designed to enroll approximately 30 patient-informant dyads to evaluate the correlation between patient-and informant-reported efficacy measurement and the PEC scale, conducted by trained clinician raters as previously recommended by the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September 5, 2024, we announced the initiation of patient enrollment in our SERENITY At-Home trial. The pivotal Phase 3 trial is designed to evaluate the safety of BXCL501 in the at home setting. On March 27, 2025, we announced that 24 clinical trial sites had been opened and 127 patients had been enrolled, representing 63% of the total required enrollment. Topline data results, which are expected in the second half of 2025, are intended to support a supplemental new drug application (sNDA) submission to potentially expand the label of IGALMI® (dexmedetomidine) sublingual film. See further discussion in </w:t>
      </w:r>
      <w:r>
        <w:rPr>
          <w:rFonts w:ascii="Times New Roman" w:cs="Times New Roman" w:eastAsia="Times New Roman" w:hAnsi="Times New Roman"/>
          <w:sz w:val="18"/>
          <w:szCs w:val="18"/>
          <w:i w:val="1"/>
          <w:iCs w:val="1"/>
          <w:color w:val="auto"/>
        </w:rPr>
        <w:t>“Our Neuroscience Clinical Programs”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159" w:firstLine="324"/>
        <w:spacing w:after="0" w:line="272" w:lineRule="auto"/>
        <w:rPr>
          <w:sz w:val="20"/>
          <w:szCs w:val="20"/>
          <w:color w:val="auto"/>
        </w:rPr>
      </w:pPr>
      <w:r>
        <w:rPr>
          <w:rFonts w:ascii="Times New Roman" w:cs="Times New Roman" w:eastAsia="Times New Roman" w:hAnsi="Times New Roman"/>
          <w:sz w:val="17"/>
          <w:szCs w:val="17"/>
          <w:color w:val="auto"/>
        </w:rPr>
        <w:t>For our TRANQUILITY program, we have conducted clinical studies evaluating BXCL501 for the acute treatment of agitation associated with mild to moderate dementia in patients with probable Alzheimer’s disease, who reside in assisted living facilities (“ALFs”) and residential care settings and who required minimal assistance with activities of daily living. On June 29, 2023, we announced positive topline data from our TRANQUILITY II trial, as well as information regarding certain investigator misconduct and noncompliance at a clinical trial site. Since that time, we have taken steps to further investigate and evaluate the conduct of the TRANQUILITY II trial at this clinical site. Based on these steps to date, we believe that there have been no further instances of misconduct or fraud or other findings that adversely impact the data integrity or reliability of the eligibility, safety, and efficacy data obtained at the clinical trial site in question.</w:t>
      </w:r>
    </w:p>
    <w:p>
      <w:pPr>
        <w:spacing w:after="0" w:line="172" w:lineRule="exact"/>
        <w:rPr>
          <w:sz w:val="20"/>
          <w:szCs w:val="20"/>
          <w:color w:val="auto"/>
        </w:rPr>
      </w:pPr>
    </w:p>
    <w:p>
      <w:pPr>
        <w:jc w:val="both"/>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On March 3, 2025 we announced that the U.S. Food and Drug Administration (FDA) concluded that the inspection of a single site in its TRANQUILITY II Phase 3 trial was closed under 21 C.F.R.20.64(d)(3) and released the Establishment Inspection Report. The FDA designated “Voluntary Action Indicated” for the site.</w:t>
      </w:r>
    </w:p>
    <w:p>
      <w:pPr>
        <w:spacing w:after="0" w:line="176" w:lineRule="exact"/>
        <w:rPr>
          <w:sz w:val="20"/>
          <w:szCs w:val="20"/>
          <w:color w:val="auto"/>
        </w:rPr>
      </w:pPr>
    </w:p>
    <w:p>
      <w:pPr>
        <w:ind w:left="60" w:right="99" w:firstLine="324"/>
        <w:spacing w:after="0" w:line="258" w:lineRule="auto"/>
        <w:rPr>
          <w:sz w:val="20"/>
          <w:szCs w:val="20"/>
          <w:color w:val="auto"/>
        </w:rPr>
      </w:pPr>
      <w:r>
        <w:rPr>
          <w:rFonts w:ascii="Times New Roman" w:cs="Times New Roman" w:eastAsia="Times New Roman" w:hAnsi="Times New Roman"/>
          <w:sz w:val="18"/>
          <w:szCs w:val="18"/>
          <w:color w:val="auto"/>
        </w:rPr>
        <w:t>We had previously been conducting the TRANQUILITY III clinical trial, which was designed to evaluate the potential for BXCL501 to treat acute agitation in patients with moderate to severe dementia associated with probable Alzheimer’s disease living in nursing homes and who require moderate to full assistance with activities of daily living. We paused enrollment in TRANQUILITY III due to the much higher-than-expected background frequency of episodes of agitation experienced by the first several patients enrolled in the study.</w:t>
      </w:r>
    </w:p>
    <w:p>
      <w:pPr>
        <w:spacing w:after="0" w:line="183"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held Type B/Breakthrough Therapy Designation meetings with the FDA on October 11, 2023 and on February 20, 2024 to obtain additional feedback on our plans for further development of BXCL501 for the treatment of agitation associated with dementia in patients with probable Alzheimer’s disease. We are currently planning to generate additional Phase 3 efficacy and safety data, in a variety of relevant care-facility settings and across severity of dementia using the Positive and Negative Syndrome Scale-Excitatory Component (“PEC”) as the primary efficacy measure. In addition, we plan to discuss the details of the requirement for long-term safety data at a future meeting with the FDA.</w:t>
      </w:r>
    </w:p>
    <w:p>
      <w:pPr>
        <w:spacing w:after="0" w:line="187"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September 5, 2024, we submitted to the FDA the proposed protocol for our TRANQUILITY In-Care Phase 3 trial designed to evaluate the efficacy and safety of a 60 mcg dose of BXCL501 for agitation associated with Alzheimer’s dementia. On November 12, 2024, we announced that we had received feedback from the FDA on the proposed protocol. See further discussion in </w:t>
      </w:r>
      <w:r>
        <w:rPr>
          <w:rFonts w:ascii="Times New Roman" w:cs="Times New Roman" w:eastAsia="Times New Roman" w:hAnsi="Times New Roman"/>
          <w:sz w:val="18"/>
          <w:szCs w:val="18"/>
          <w:i w:val="1"/>
          <w:iCs w:val="1"/>
          <w:color w:val="auto"/>
        </w:rPr>
        <w:t>“Our Neuroscience Clinical Programs”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October 15, 2024, we announced a U.S. Department of Defense grant to the University of North Carolina to fund a study of BXCL501 (Sublingual Dexmedetomidine) for treating Acute Stress Disorder (ASD). See further discussion in </w:t>
      </w:r>
      <w:r>
        <w:rPr>
          <w:rFonts w:ascii="Times New Roman" w:cs="Times New Roman" w:eastAsia="Times New Roman" w:hAnsi="Times New Roman"/>
          <w:sz w:val="18"/>
          <w:szCs w:val="18"/>
          <w:i w:val="1"/>
          <w:iCs w:val="1"/>
          <w:color w:val="auto"/>
        </w:rPr>
        <w:t>“Additional Neuroscience Opportunities”</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b w:val="1"/>
          <w:bCs w:val="1"/>
          <w:color w:val="auto"/>
        </w:rPr>
        <w:t xml:space="preserve"> Commercialization Strategy</w:t>
      </w:r>
    </w:p>
    <w:p>
      <w:pPr>
        <w:spacing w:after="0" w:line="226" w:lineRule="exact"/>
        <w:rPr>
          <w:sz w:val="20"/>
          <w:szCs w:val="20"/>
          <w:color w:val="auto"/>
        </w:rPr>
      </w:pPr>
    </w:p>
    <w:p>
      <w:pPr>
        <w:ind w:left="60" w:right="139" w:firstLine="324"/>
        <w:spacing w:after="0" w:line="222" w:lineRule="auto"/>
        <w:rPr>
          <w:sz w:val="20"/>
          <w:szCs w:val="20"/>
          <w:color w:val="auto"/>
        </w:rPr>
      </w:pPr>
      <w:r>
        <w:rPr>
          <w:rFonts w:ascii="Times New Roman" w:cs="Times New Roman" w:eastAsia="Times New Roman" w:hAnsi="Times New Roman"/>
          <w:sz w:val="18"/>
          <w:szCs w:val="18"/>
          <w:color w:val="auto"/>
        </w:rPr>
        <w:t>We continue to support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hospital setting with minimal commercial support. On August 14, 2023, the Company announced it had implemented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 reduction of in-hospital commercialization expenses, a suspension of programs no longer deemed core to the Company’s business, and a shift to focus on the development of BXCL501 for use in the at-home and care facilities in the treatment of acute agitation in schizophrenia and bipolar disorders, and in the treatment of acute agitation (non-daily) associated with dementia due to probable Alzheimer’s disease (collectively, the “Reprioritization”).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324"/>
        <w:spacing w:after="0" w:line="265" w:lineRule="auto"/>
        <w:rPr>
          <w:sz w:val="20"/>
          <w:szCs w:val="20"/>
          <w:color w:val="auto"/>
        </w:rPr>
      </w:pPr>
      <w:r>
        <w:rPr>
          <w:rFonts w:ascii="Times New Roman" w:cs="Times New Roman" w:eastAsia="Times New Roman" w:hAnsi="Times New Roman"/>
          <w:sz w:val="18"/>
          <w:szCs w:val="18"/>
          <w:color w:val="auto"/>
        </w:rPr>
        <w:t>Following the Reprioritization, a small Corporate Account Director (“CAD”) team supported current customers and targeted Integrated Delivery Networks (“IDNs”) with educational support and contracting opportunities, while our trade operation supported customers with drug supply. The goal of this approach was to help maintain current business and potentially broaden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utilization through volume contracting.</w:t>
      </w:r>
    </w:p>
    <w:p>
      <w:pPr>
        <w:spacing w:after="0" w:line="64" w:lineRule="exact"/>
        <w:rPr>
          <w:sz w:val="20"/>
          <w:szCs w:val="20"/>
          <w:color w:val="auto"/>
        </w:rPr>
      </w:pPr>
    </w:p>
    <w:p>
      <w:pPr>
        <w:ind w:left="60" w:right="159" w:firstLine="324"/>
        <w:spacing w:after="0" w:line="226" w:lineRule="auto"/>
        <w:rPr>
          <w:sz w:val="20"/>
          <w:szCs w:val="20"/>
          <w:color w:val="auto"/>
        </w:rPr>
      </w:pPr>
      <w:r>
        <w:rPr>
          <w:rFonts w:ascii="Times New Roman" w:cs="Times New Roman" w:eastAsia="Times New Roman" w:hAnsi="Times New Roman"/>
          <w:sz w:val="17"/>
          <w:szCs w:val="17"/>
          <w:color w:val="auto"/>
        </w:rPr>
        <w:t>As part of the Clinical Prioritization in September 2024, further workforce reductions were made, including 9 additional marketing and sales employees. The Clinical Prioritization staff reductions may have future impacts on net revenue. Despite our reduction in commercial resources, net revenues from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product sales of $2,266 for the year ended December 31, 2024 were up 64% over net revenues from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product sales of $1,380 for the year ended December 31, 2023. We believe this positive growth reflects increasing market acceptance and interest in our product.</w:t>
      </w:r>
    </w:p>
    <w:p>
      <w:pPr>
        <w:spacing w:after="0" w:line="194" w:lineRule="exact"/>
        <w:rPr>
          <w:sz w:val="20"/>
          <w:szCs w:val="20"/>
          <w:color w:val="auto"/>
        </w:rPr>
      </w:pPr>
    </w:p>
    <w:p>
      <w:pPr>
        <w:ind w:left="60" w:right="319" w:firstLine="324"/>
        <w:spacing w:after="0" w:line="201" w:lineRule="auto"/>
        <w:rPr>
          <w:sz w:val="20"/>
          <w:szCs w:val="20"/>
          <w:color w:val="auto"/>
        </w:rPr>
      </w:pPr>
      <w:r>
        <w:rPr>
          <w:rFonts w:ascii="Times New Roman" w:cs="Times New Roman" w:eastAsia="Times New Roman" w:hAnsi="Times New Roman"/>
          <w:sz w:val="18"/>
          <w:szCs w:val="18"/>
          <w:color w:val="auto"/>
        </w:rPr>
        <w:t>We are currently seeking potential commercial partners. Our continued commercialization efforts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designed to build the foundation to launch additional potential follow-on indications, if any. If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would be approved outside the U.S., we would consider launching the product through collaborations with third parties.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Nasdaq Delisting Notice</w:t>
      </w:r>
    </w:p>
    <w:p>
      <w:pPr>
        <w:spacing w:after="0" w:line="256" w:lineRule="exact"/>
        <w:rPr>
          <w:sz w:val="20"/>
          <w:szCs w:val="20"/>
          <w:color w:val="auto"/>
        </w:rPr>
      </w:pPr>
    </w:p>
    <w:p>
      <w:pPr>
        <w:ind w:left="60" w:right="119" w:firstLine="324"/>
        <w:spacing w:after="0" w:line="272" w:lineRule="auto"/>
        <w:rPr>
          <w:sz w:val="20"/>
          <w:szCs w:val="20"/>
          <w:color w:val="auto"/>
        </w:rPr>
      </w:pPr>
      <w:r>
        <w:rPr>
          <w:rFonts w:ascii="Times New Roman" w:cs="Times New Roman" w:eastAsia="Times New Roman" w:hAnsi="Times New Roman"/>
          <w:sz w:val="17"/>
          <w:szCs w:val="17"/>
          <w:color w:val="auto"/>
        </w:rPr>
        <w:t>As previously reported, on September 20, 2024, we received a letter from Nasdaq Staff notifying us that for the 30 consecutive business days prior to the date of the letter, the Company’s market value of listed securities closed below the minimum $35 million requirement for continued listing on The Nasdaq Capital Market under Nasdaq Listing Rule 5550(b)</w:t>
      </w:r>
    </w:p>
    <w:p>
      <w:pPr>
        <w:spacing w:after="0" w:line="2" w:lineRule="exact"/>
        <w:rPr>
          <w:sz w:val="20"/>
          <w:szCs w:val="20"/>
          <w:color w:val="auto"/>
        </w:rPr>
      </w:pPr>
    </w:p>
    <w:p>
      <w:pPr>
        <w:ind w:left="60" w:right="359"/>
        <w:spacing w:after="0" w:line="260" w:lineRule="auto"/>
        <w:rPr>
          <w:sz w:val="20"/>
          <w:szCs w:val="20"/>
          <w:color w:val="auto"/>
        </w:rPr>
      </w:pPr>
      <w:r>
        <w:rPr>
          <w:rFonts w:ascii="Times New Roman" w:cs="Times New Roman" w:eastAsia="Times New Roman" w:hAnsi="Times New Roman"/>
          <w:sz w:val="18"/>
          <w:szCs w:val="18"/>
          <w:color w:val="auto"/>
        </w:rPr>
        <w:t>(2). In accordance with Nasdaq Listing Rule 5810(c)(3)(C), the Company was granted a period of 180 calendar days, or until March 19, 2025, to regain compliance.</w:t>
      </w:r>
    </w:p>
    <w:p>
      <w:pPr>
        <w:spacing w:after="0" w:line="141"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As anticipated, on March 20, 2025, the Company received another letter from the Staff stating that, as a result of the Company’s continued non-compliance with the MVLS Requirement, its securities would be delisted from Nasdaq unless the Company appeals the Staff’s delisting determination by requesting a hearing before the Nasdaq Panel. The Company made timely request for a hearing before the Panel to appeal the Staff’s determination. The Company’s common stock will remain listed and eligible for trading on Nasdaq at least pending the ultimate conclusion of the hearing process; however, there can be no assurance that the Company will ultimately regain compliance and remain listed on Nasdaq.</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Fifth Amendment to Credit Agreement</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November 21, 2024, we entered into the Fifth Amendment to our Credit Agreement (the “Fifth Amendment”), pursuant to which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w:t>
      </w:r>
    </w:p>
    <w:p>
      <w:pPr>
        <w:spacing w:after="0" w:line="3" w:lineRule="exact"/>
        <w:rPr>
          <w:sz w:val="20"/>
          <w:szCs w:val="20"/>
          <w:color w:val="auto"/>
        </w:rPr>
      </w:pPr>
    </w:p>
    <w:p>
      <w:pPr>
        <w:jc w:val="both"/>
        <w:ind w:left="60" w:right="59" w:hanging="10"/>
        <w:spacing w:after="0" w:line="253" w:lineRule="auto"/>
        <w:tabs>
          <w:tab w:leader="none" w:pos="36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89"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The Fifth Amendment included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will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 The Company met the requirements of Raise 1,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xml:space="preserve">. The Company met the requirements of Raise 2, discussed in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 until March 30, 2025. On March 31, 2025, the minimum liquidity amount will increase to $10,000, and on September 30, 2025, the minimum liquidity amount will further increase to $15,000.</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paid a one-time amortization payment of $2,500 principal amount, together with accrued and unpaid interest and a portion of the prepayment fee and other fees payable in December 2024.</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Fifth Amendment also modified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 w:cs="Times New Roman" w:eastAsia="Times New Roman" w:hAnsi="Times New Roman"/>
          <w:sz w:val="18"/>
          <w:szCs w:val="18"/>
          <w:color w:val="202020"/>
        </w:rPr>
        <w:t>ending December 31, 2024, March 31, 2025, and June 30, 2025, t</w:t>
      </w:r>
      <w:r>
        <w:rPr>
          <w:rFonts w:ascii="Times New Roman" w:cs="Times New Roman" w:eastAsia="Times New Roman" w:hAnsi="Times New Roman"/>
          <w:sz w:val="18"/>
          <w:szCs w:val="18"/>
          <w:color w:val="auto"/>
        </w:rPr>
        <w:t>he Company has the ability to make interest payments of up to 10% per annum “in-kind” by capitalizing and adding such interest to the outstanding principal amount of the loans under the Credit Agreement</w:t>
      </w:r>
      <w:r>
        <w:rPr>
          <w:rFonts w:ascii="Times New Roman" w:cs="Times New Roman" w:eastAsia="Times New Roman" w:hAnsi="Times New Roman"/>
          <w:sz w:val="18"/>
          <w:szCs w:val="18"/>
          <w:color w:val="202020"/>
        </w:rPr>
        <w:t>.</w:t>
      </w:r>
      <w:r>
        <w:rPr>
          <w:rFonts w:ascii="Times New Roman" w:cs="Times New Roman" w:eastAsia="Times New Roman" w:hAnsi="Times New Roman"/>
          <w:sz w:val="18"/>
          <w:szCs w:val="18"/>
          <w:color w:val="auto"/>
        </w:rPr>
        <w:t xml:space="preserve"> In addition, pursuant to the Fifth Amendment, the Company will be required to make quarterly amortization payments equal to 5.0% of the principal amount of funded loans, together with applicable prepayment fees, beginning on March 31, 2026.</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202020"/>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02020"/>
        </w:rPr>
        <w:t>The Fifth Amendment amended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02020"/>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2020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to its employees or executives during the fiscal years 2024 and 2025 without OFA’s consent or increasing the cash compensation for fiscal year 2025 for certain senior officers of the Company from their compensation for fiscal year 2024.</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02020"/>
        </w:rPr>
        <w:t>Company Warrants and Registration Rights Agreement</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202020"/>
        </w:rPr>
        <w:t>In connection with the closing of the Fifth Amendment, the Company agreed to, substantially concurrently with the closing of Raise 1, grant new warrants to the Lenders to purchase an aggregate of 313 shares of common stock on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202020"/>
        </w:rPr>
        <w:t>closing date of the Fifth Amendment, at an exercise price of $0.16 per share (the “New Warrants”). The New Warrants will expire on the seventh anniversary of their issuance.</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2020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Sixth Amendment to Credit Agreement</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02020"/>
        </w:rPr>
        <w:t>On March 4, 2025, we entered into the Sixth Amendment to our Credit Agreement (the “Sixth Amendment”), pursuant to which the Lenders agreed to, among other things, delay the date on which we are required to engage an investment banker (which date has been subsequently extended to April 30,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Neuroscience Clinical Programs</w:t>
      </w:r>
    </w:p>
    <w:p>
      <w:pPr>
        <w:spacing w:after="0" w:line="22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status of our major clinical development programs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-22225</wp:posOffset>
            </wp:positionV>
            <wp:extent cx="5554980" cy="2803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54980" cy="280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pipeline candidates, see Part I, Item 1, “Business” in this Annual Report on Form 10-K.</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879" w:firstLine="324"/>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Generally Accepted Accounting Principles (“GAAP”).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181" w:lineRule="exact"/>
        <w:rPr>
          <w:sz w:val="20"/>
          <w:szCs w:val="20"/>
          <w:color w:val="auto"/>
        </w:rPr>
      </w:pPr>
    </w:p>
    <w:p>
      <w:pPr>
        <w:jc w:val="both"/>
        <w:ind w:left="60" w:right="359" w:firstLine="324"/>
        <w:spacing w:after="0" w:line="226" w:lineRule="auto"/>
        <w:rPr>
          <w:sz w:val="20"/>
          <w:szCs w:val="20"/>
          <w:color w:val="auto"/>
        </w:rPr>
      </w:pPr>
      <w:r>
        <w:rPr>
          <w:rFonts w:ascii="Times New Roman" w:cs="Times New Roman" w:eastAsia="Times New Roman" w:hAnsi="Times New Roman"/>
          <w:sz w:val="18"/>
          <w:szCs w:val="18"/>
          <w:color w:val="auto"/>
        </w:rPr>
        <w:t>Revenue relates to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reflect limited market access since commercial launch in July 2022. The revenues are net of rebates, chargebacks, discounts, and other adjustments. During the fourth quarter of 2022, we began contracting directly with intermediaries such as GPOs.</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8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primarily relates to the costs of producing, packaging, and delivering our product to customers as well as costs related to excess or obsolete inventory.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reflect costs associated with the identification of our preclinical and clinical product candidates. Expenditures primarily consist of salary, benefits and non-cash stock-based compensation for our research and development personnel, costs incurred under agreements with contract research organizations and sites that conduct our non-clinical studies and clinical trials, costs of outside consultants engaged in research and development activities, travel expenses, the cost of acquiring, developing and manufacturing preclinical and clinical trial materials and lab supplies, and depreciation and other expenses. Payments to BioXcel LLC are also included in research and development expenses. Costs associated with third parties that provide non-clinical services such as toxicology, pharmacology, research and discovery, biomarker studies and similar services are included in the professional fees category of research and development expenses.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research and development costs by program for the years ended December 31, 2024 and 2023 were as follows:</w:t>
      </w:r>
    </w:p>
    <w:p>
      <w:pPr>
        <w:spacing w:after="0" w:line="36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costs</w:t>
            </w:r>
          </w:p>
        </w:tc>
        <w:tc>
          <w:tcPr>
            <w:tcW w:w="1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BXCL501</w:t>
            </w:r>
          </w:p>
        </w:tc>
        <w:tc>
          <w:tcPr>
            <w:tcW w:w="176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46,661</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BXCL701</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direct external costs</w:t>
            </w:r>
          </w:p>
        </w:tc>
        <w:tc>
          <w:tcPr>
            <w:tcW w:w="14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personnel costs</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22,675</w:t>
            </w:r>
          </w:p>
        </w:tc>
        <w:tc>
          <w:tcPr>
            <w:tcW w:w="0" w:type="dxa"/>
            <w:vAlign w:val="bottom"/>
          </w:tcPr>
          <w:p>
            <w:pPr>
              <w:spacing w:after="0"/>
              <w:rPr>
                <w:sz w:val="1"/>
                <w:szCs w:val="1"/>
                <w:color w:val="auto"/>
              </w:rPr>
            </w:pPr>
          </w:p>
        </w:tc>
      </w:tr>
      <w:tr>
        <w:trPr>
          <w:trHeight w:val="210"/>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direct costs</w:t>
            </w:r>
          </w:p>
        </w:tc>
        <w:tc>
          <w:tcPr>
            <w:tcW w:w="14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Indirect costs and overhead</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0" w:type="dxa"/>
            <w:vAlign w:val="bottom"/>
          </w:tcPr>
          <w:p>
            <w:pPr>
              <w:spacing w:after="0"/>
              <w:rPr>
                <w:sz w:val="1"/>
                <w:szCs w:val="1"/>
                <w:color w:val="auto"/>
              </w:rPr>
            </w:pPr>
          </w:p>
        </w:tc>
      </w:tr>
      <w:tr>
        <w:trPr>
          <w:trHeight w:val="209"/>
        </w:trPr>
        <w:tc>
          <w:tcPr>
            <w:tcW w:w="4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benefits and non-cash stock-based compensation for our sales, executive and administrative personnel. Selling, general and administrative expenses also include legal expenses to pursue patent protection of our intellectual property and other corporate matters, professional fees for audit and tax services and insurance charges. We may also incur increased costs to comply with corporate governance, internal controls, investor relations and disclosures and similar requirements applicable to public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30" w:lineRule="auto"/>
        <w:rPr>
          <w:sz w:val="20"/>
          <w:szCs w:val="20"/>
          <w:color w:val="auto"/>
        </w:rPr>
      </w:pPr>
      <w:r>
        <w:rPr>
          <w:rFonts w:ascii="Times New Roman" w:cs="Times New Roman" w:eastAsia="Times New Roman" w:hAnsi="Times New Roman"/>
          <w:sz w:val="18"/>
          <w:szCs w:val="18"/>
          <w:color w:val="auto"/>
        </w:rPr>
        <w:t>As a result of our restructuring activities completed during 2024, we expect that our selling, general and administrative expenses will decline due to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restructured commercialization plan and reduced personnel costs. However, we may also experience increased selling, general and administrative expenses due to higher fees for outside consultants, attorneys, and accountants.</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2023 Strategic Reprioritization</w:t>
      </w:r>
    </w:p>
    <w:p>
      <w:pPr>
        <w:spacing w:after="0" w:line="229" w:lineRule="exact"/>
        <w:rPr>
          <w:sz w:val="20"/>
          <w:szCs w:val="20"/>
          <w:color w:val="auto"/>
        </w:rPr>
      </w:pPr>
    </w:p>
    <w:p>
      <w:pPr>
        <w:ind w:left="60" w:right="219" w:firstLine="324"/>
        <w:spacing w:after="0" w:line="241" w:lineRule="auto"/>
        <w:rPr>
          <w:sz w:val="20"/>
          <w:szCs w:val="20"/>
          <w:color w:val="auto"/>
        </w:rPr>
      </w:pPr>
      <w:r>
        <w:rPr>
          <w:rFonts w:ascii="Times New Roman" w:cs="Times New Roman" w:eastAsia="Times New Roman" w:hAnsi="Times New Roman"/>
          <w:sz w:val="18"/>
          <w:szCs w:val="18"/>
          <w:color w:val="auto"/>
        </w:rPr>
        <w:t>On August 8, 2023, our Board of Directors approved a broad-based strategic reprioritization (the “Reprioritization”). We determined to take actions to reduce certain operational and workforce expenses no longer deemed core to ongoing operations to extend its cash runway and drive innovation and growth in high-potential clinical development and value-creating opportunities. These actions included a shift in commercial strategy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institutional setting as described, a reduction of in-hospital commercialization expenses, a de-prioritization of programs no longer determined to be core to ongoing operations, and a prioritization on at-home treatment setting opportunities for BXCL501, all as described in Part I, Item 1, “Business”. As part of this strategy, our Board of Directors approved a reduction of approximately 60% of our workforce. Annualized operating expenses were expected to be reduced by approximately $80,000. The Reprioritization was substantially completed by the end of 2023.</w:t>
      </w:r>
    </w:p>
    <w:p>
      <w:pPr>
        <w:spacing w:after="0" w:line="197" w:lineRule="exact"/>
        <w:rPr>
          <w:sz w:val="20"/>
          <w:szCs w:val="20"/>
          <w:color w:val="auto"/>
        </w:rPr>
      </w:pPr>
    </w:p>
    <w:p>
      <w:pPr>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Reprioritization, the Company recorded restructuring costs of $4,163 in the year ended December 31, 2023. These costs consisted of severance and benefit costs of $4,063 and contract termination costs of $100. The Company paid $3,998 of severance and benefit costs and $100 of contract termination costs during the year ended December 31, 2023. Remaining costs were paid during the first quarter of 2024.</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2024 Clinical Prioritization</w:t>
      </w:r>
    </w:p>
    <w:p>
      <w:pPr>
        <w:spacing w:after="0" w:line="227" w:lineRule="exact"/>
        <w:rPr>
          <w:sz w:val="20"/>
          <w:szCs w:val="20"/>
          <w:color w:val="auto"/>
        </w:rPr>
      </w:pPr>
    </w:p>
    <w:p>
      <w:pPr>
        <w:ind w:left="60" w:right="299"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4,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 period ended June 30, 2024.</w:t>
      </w:r>
    </w:p>
    <w:p>
      <w:pPr>
        <w:spacing w:after="0" w:line="184" w:lineRule="exact"/>
        <w:rPr>
          <w:sz w:val="20"/>
          <w:szCs w:val="20"/>
          <w:color w:val="auto"/>
        </w:rPr>
      </w:pPr>
    </w:p>
    <w:p>
      <w:pPr>
        <w:ind w:left="60" w:right="99" w:firstLine="324"/>
        <w:spacing w:after="0" w:line="269" w:lineRule="auto"/>
        <w:rPr>
          <w:sz w:val="20"/>
          <w:szCs w:val="20"/>
          <w:color w:val="auto"/>
        </w:rPr>
      </w:pPr>
      <w:r>
        <w:rPr>
          <w:rFonts w:ascii="Times New Roman" w:cs="Times New Roman" w:eastAsia="Times New Roman" w:hAnsi="Times New Roman"/>
          <w:sz w:val="17"/>
          <w:szCs w:val="17"/>
          <w:color w:val="auto"/>
        </w:rPr>
        <w:t>On September 17, 2024, the Company approved a plan for an additional reduction in its workforce by 15 employees (including all but one marketing and sales employee), or approximately 28% of the Company’s headcount (the “Clinical Prioritization”), in order to extend its cash runway and prioritize investment on the clinical development of its lead neuroscience asset, BXCL501. The Company incurred aggregate charges in connection with the Clinical Prioritization of $1,586 which relate primarily to severance and benefits costs. Accordingly, the Company recorded a restructuring charge of $1,553 in the third quarter 2024, and $33 in the fourth quarter. The Company completed the Clinical Prioritization in October 2024, and paid $983 of the related costs during the fourth quarter of 2024. The remaining costs of approximately $603, is included in Accrued Expenses on the Consolidated Balance at December 31, 2024, and is expected to be paid in the first quarter of 2025. As a result of these actions, operating costs of $69,511 for the year ended December 31, 2024 decreased by approximately $103,651 compared to operating costs of $173,162 for the year ended December 31, 2023. Net cash used in operating activities of $72,027 for the year ended December 31, 2024 decreased by approximately $82,979, compared to Net cash used in operating activities of $155,006 for the year ended December 31, 2023. These achievements demonstrate the Company’s operational capability and commitment to be focused on limited objectives in the near term.</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primarily consists of interest costs associated with the Credit Agreement the Company entered into in April 2022, changes in fair value of derivative financial instruments, and interest income earned on cash and cash equivalents that were comprised primarily of money market funds. Interest expense may increase in the future if we meet required milestones, and we are able to draw down additional funds under the Credit Agreement.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0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is set forth in Note 3, Summary of Significant Accounting Policies to the consolidated financial statements included in this Annual Report on Form 10-K.</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81" w:lineRule="exact"/>
        <w:rPr>
          <w:sz w:val="20"/>
          <w:szCs w:val="20"/>
          <w:color w:val="auto"/>
        </w:rPr>
      </w:pPr>
    </w:p>
    <w:p>
      <w:pPr>
        <w:ind w:left="60" w:right="79" w:firstLine="324"/>
        <w:spacing w:after="0" w:line="203" w:lineRule="auto"/>
        <w:rPr>
          <w:sz w:val="20"/>
          <w:szCs w:val="20"/>
          <w:color w:val="auto"/>
        </w:rPr>
      </w:pPr>
      <w:r>
        <w:rPr>
          <w:rFonts w:ascii="Times New Roman" w:cs="Times New Roman" w:eastAsia="Times New Roman" w:hAnsi="Times New Roman"/>
          <w:sz w:val="18"/>
          <w:szCs w:val="18"/>
          <w:color w:val="auto"/>
        </w:rPr>
        <w:t>Commercial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launched in July 2022. Product revenue, net for the years ended December 31, 2024 and 2023 was $2,266 and $1,380, respectively, comprised of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reflecting an increase of 64%. As part of the Company’s Reprioritization in August 2023, the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commercial team shifted focus to a hospital/contracting strategy with a corporate account director team to work with large Integrated Delivery Networks and drive sales utilizing a top-down approach. As part of the Clinical Prioritization in September 2024, further workforce reductions were made. We are currently seeking potential commercial partners. Our continued commercialization efforts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designed to build the foundation to launch additional potential follow-on indications, if any.</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02" w:lineRule="exact"/>
        <w:rPr>
          <w:sz w:val="20"/>
          <w:szCs w:val="20"/>
          <w:color w:val="auto"/>
        </w:rPr>
      </w:pPr>
    </w:p>
    <w:p>
      <w:pPr>
        <w:ind w:left="60" w:right="99" w:firstLine="324"/>
        <w:spacing w:after="0" w:line="227" w:lineRule="auto"/>
        <w:rPr>
          <w:sz w:val="20"/>
          <w:szCs w:val="20"/>
          <w:color w:val="auto"/>
        </w:rPr>
      </w:pPr>
      <w:r>
        <w:rPr>
          <w:rFonts w:ascii="Times New Roman" w:cs="Times New Roman" w:eastAsia="Times New Roman" w:hAnsi="Times New Roman"/>
          <w:sz w:val="18"/>
          <w:szCs w:val="18"/>
          <w:color w:val="auto"/>
        </w:rPr>
        <w:t>Cost of goods sold for the years ended December 31, 2024 and 2023 were $2,143 and $1,260, respectively, which primarily related to the costs to produce, package and deliver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customers, as well as costs related to excess or obsolete inventory. We entered into a commercial supply agreement with ARx, LLC (“ARx”) pursuant to which ARx has agreed to exclusively manufacture and supply us with all of our worldwide demand of film formulation of Dex to be used for the commercial supply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for ongoing clinical trials of our product candidate BXCL501, subject to certain alternative supply provisions. The increase in Cost of goods sold for the year ended December 31, 2024 is primarily the result of increased sales and a $474 increase in the reserve for excess and obsolete inventory, compared to the prior year.</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2023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(4,073)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expense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(6,760)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324"/>
        <w:spacing w:after="0" w:line="282" w:lineRule="auto"/>
        <w:rPr>
          <w:sz w:val="20"/>
          <w:szCs w:val="20"/>
          <w:color w:val="auto"/>
        </w:rPr>
      </w:pPr>
      <w:r>
        <w:rPr>
          <w:rFonts w:ascii="Times New Roman" w:cs="Times New Roman" w:eastAsia="Times New Roman" w:hAnsi="Times New Roman"/>
          <w:sz w:val="18"/>
          <w:szCs w:val="18"/>
          <w:color w:val="auto"/>
        </w:rPr>
        <w:t>The decrease of $53,891 for the year ended December 31, 2024, compared to the year ended December 31, 2023 is primarily attributable to the following:</w:t>
      </w:r>
    </w:p>
    <w:p>
      <w:pPr>
        <w:spacing w:after="0" w:line="121" w:lineRule="exact"/>
        <w:rPr>
          <w:sz w:val="20"/>
          <w:szCs w:val="20"/>
          <w:color w:val="auto"/>
        </w:rPr>
      </w:pPr>
    </w:p>
    <w:p>
      <w:pPr>
        <w:ind w:left="720" w:right="439" w:hanging="319"/>
        <w:spacing w:after="0" w:line="258"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clinical trials expense was a result of reduced costs associated with the wind down of the SERENITY III study to evaluate BXCL501 for at home use for the acute treatment of agitation related to schizophrenia and bipolar disorders. In addition, the TRANQUILITY II study of BXCL501 for the potential treatment of agitation in patients with Alzheimer’s disease was completed in 2023, and the reduction of these costs were partially offset by the September 2024 launch of SERENITY-At Home trial.</w:t>
      </w:r>
    </w:p>
    <w:p>
      <w:pPr>
        <w:spacing w:after="0" w:line="14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and related costs related to the Clinical Prioritization.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82"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Chemical, manufacturing and controls (“CMC”) costs due to lower CMC costs related to decreased clinical trial activities.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non-cash stock-based compensation due to higher award forfeitures in 2024.</w:t>
      </w:r>
    </w:p>
    <w:p>
      <w:pPr>
        <w:spacing w:after="0" w:line="177" w:lineRule="exact"/>
        <w:rPr>
          <w:sz w:val="20"/>
          <w:szCs w:val="20"/>
          <w:color w:val="auto"/>
        </w:rPr>
      </w:pPr>
    </w:p>
    <w:p>
      <w:pPr>
        <w:ind w:left="60" w:right="359" w:firstLine="324"/>
        <w:spacing w:after="0" w:line="217" w:lineRule="auto"/>
        <w:rPr>
          <w:sz w:val="20"/>
          <w:szCs w:val="20"/>
          <w:color w:val="auto"/>
        </w:rPr>
      </w:pPr>
      <w:r>
        <w:rPr>
          <w:rFonts w:ascii="Times New Roman" w:cs="Times New Roman" w:eastAsia="Times New Roman" w:hAnsi="Times New Roman"/>
          <w:sz w:val="18"/>
          <w:szCs w:val="18"/>
          <w:color w:val="auto"/>
        </w:rPr>
        <w:t>Following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’s approval by the FDA, we capitalize costs related to commercial production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inventory and expense those CMC costs related to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 expenses for the years ended December 31, 2024 and 2023 were as follows: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(19,315)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(8,386)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(48,921)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decrease of $48,921 for the year ended December 31, 2024, relative to the year ended December 31, 2023 is primarily attributable to:</w:t>
      </w:r>
    </w:p>
    <w:p>
      <w:pPr>
        <w:spacing w:after="0" w:line="121" w:lineRule="exact"/>
        <w:rPr>
          <w:sz w:val="20"/>
          <w:szCs w:val="20"/>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personnel costs due to the Clinical Prioritization, reducing 9 full-time employees.</w:t>
      </w:r>
    </w:p>
    <w:p>
      <w:pPr>
        <w:spacing w:after="0" w:line="198"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professional fees, primarily related to lower legal costs in 2024 compared to 2023 for the investigation of our TRANQUILITY II study, and reductions in consulting and recruiting fees in 2024.</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other expenses as a result of lower headcount.</w:t>
      </w:r>
    </w:p>
    <w:p>
      <w:pPr>
        <w:spacing w:after="0" w:line="184" w:lineRule="exact"/>
        <w:rPr>
          <w:rFonts w:ascii="Times New Roman" w:cs="Times New Roman" w:eastAsia="Times New Roman" w:hAnsi="Times New Roman"/>
          <w:sz w:val="18"/>
          <w:szCs w:val="18"/>
          <w:color w:val="auto"/>
        </w:rPr>
      </w:pPr>
    </w:p>
    <w:p>
      <w:pPr>
        <w:ind w:left="720" w:right="65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non-cash stock-based compensation costs due to increased award forfeitures in 2024 and lower headcount.</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commercial and marketing research costs.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89" w:lineRule="exact"/>
        <w:rPr>
          <w:sz w:val="20"/>
          <w:szCs w:val="20"/>
          <w:color w:val="auto"/>
        </w:rPr>
      </w:pPr>
    </w:p>
    <w:p>
      <w:pPr>
        <w:ind w:left="60" w:right="599" w:firstLine="324"/>
        <w:spacing w:after="0" w:line="266" w:lineRule="auto"/>
        <w:rPr>
          <w:sz w:val="20"/>
          <w:szCs w:val="20"/>
          <w:color w:val="auto"/>
        </w:rPr>
      </w:pPr>
      <w:r>
        <w:rPr>
          <w:rFonts w:ascii="Times New Roman" w:cs="Times New Roman" w:eastAsia="Times New Roman" w:hAnsi="Times New Roman"/>
          <w:sz w:val="18"/>
          <w:szCs w:val="18"/>
          <w:color w:val="auto"/>
        </w:rPr>
        <w:t>Restructuring costs were $2,441 and $4,163 for the years ended December 31, 2024 and 2023, respectively. See “Components of Our Results of Operations - Restructuring Costs” above for a discussion of the Company’s Reprioritization and restructuring activities.</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Interest expense increased to $15,129 for the year ended December 31, 2024 compared to $13,314 for the year ended December 31, 2023, due to an increase in interest rates compared to the prior year and higher average debt balances during the year due to borrowings under the Credit Agreement. The expense was partially offset by interest income earned on cash and cash equivalents that were held primarily in short-term money market funds. Interest income decreased to $2,602 for the year ended December 31, 2024 compared to $5,649 for the year ended December 31, 2023, due to lower average cash balances during the year. Other (income) expense, net is primarily associated with changes in fair value of derivative financial instruments for the period, which relate to instruments associated with the Credit Agreement.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02" w:lineRule="exact"/>
        <w:rPr>
          <w:sz w:val="20"/>
          <w:szCs w:val="20"/>
          <w:color w:val="auto"/>
        </w:rPr>
      </w:pPr>
    </w:p>
    <w:p>
      <w:pPr>
        <w:jc w:val="both"/>
        <w:ind w:left="60" w:right="199" w:firstLine="324"/>
        <w:spacing w:after="0" w:line="281" w:lineRule="auto"/>
        <w:rPr>
          <w:sz w:val="20"/>
          <w:szCs w:val="20"/>
          <w:color w:val="auto"/>
        </w:rPr>
      </w:pPr>
      <w:r>
        <w:rPr>
          <w:rFonts w:ascii="Times New Roman" w:cs="Times New Roman" w:eastAsia="Times New Roman" w:hAnsi="Times New Roman"/>
          <w:sz w:val="17"/>
          <w:szCs w:val="17"/>
          <w:color w:val="auto"/>
        </w:rPr>
        <w:t>Inflation generally affects us by increasing our labor costs and clinical trial costs. We do not believe that inflation has had a material effect on our results of operations during the periods presented. For a discussion of inflationary risks to our future revenues under the Inflation Reduction Act, see “</w:t>
      </w:r>
      <w:r>
        <w:rPr>
          <w:rFonts w:ascii="Times New Roman" w:cs="Times New Roman" w:eastAsia="Times New Roman" w:hAnsi="Times New Roman"/>
          <w:sz w:val="17"/>
          <w:szCs w:val="17"/>
          <w:i w:val="1"/>
          <w:iCs w:val="1"/>
          <w:color w:val="auto"/>
        </w:rPr>
        <w:t>Health care reform measures could hinder or prevent our product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candidates</w:t>
      </w:r>
      <w:r>
        <w:rPr>
          <w:rFonts w:ascii="Times New Roman" w:cs="Times New Roman" w:eastAsia="Times New Roman" w:hAnsi="Times New Roman"/>
          <w:sz w:val="17"/>
          <w:szCs w:val="17"/>
          <w:color w:val="auto"/>
        </w:rPr>
        <w:t>’ commercial success.” in Part I, Item 1A., “Risk Factors” elsewhere in this Annual Report on Form 10-K.</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2" w:lineRule="exact"/>
        <w:rPr>
          <w:sz w:val="20"/>
          <w:szCs w:val="20"/>
          <w:color w:val="auto"/>
        </w:rPr>
      </w:pPr>
    </w:p>
    <w:p>
      <w:pPr>
        <w:jc w:val="both"/>
        <w:ind w:left="60" w:right="79" w:firstLine="324"/>
        <w:spacing w:after="0" w:line="257" w:lineRule="auto"/>
        <w:rPr>
          <w:sz w:val="20"/>
          <w:szCs w:val="20"/>
          <w:color w:val="auto"/>
        </w:rPr>
      </w:pPr>
      <w:r>
        <w:rPr>
          <w:rFonts w:ascii="Times New Roman" w:cs="Times New Roman" w:eastAsia="Times New Roman" w:hAnsi="Times New Roman"/>
          <w:sz w:val="18"/>
          <w:szCs w:val="18"/>
          <w:color w:val="auto"/>
        </w:rPr>
        <w:t>On February 10, 2025, the Company effected a 1-for-16 reverse stock split of its issued and outstanding common stock (the “Reverse Stock Split”). As a result of the Reverse Stock Split, each 16 shares of common stock issued and outstanding immediately prior to February 10, 2025 were automatically converted into 1 share of common stock.</w:t>
      </w:r>
    </w:p>
    <w:p>
      <w:pPr>
        <w:spacing w:after="0" w:line="1"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stock split.</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$29,854, working capital of $15,161 and stockholders’ deficit of $93,101. Net cash used in operating activities was $72,027 and $155,006 for the years ended December 31, 2024 and 2023, respectively. We incurred losses of approximately $59,599 and $179,053 for the years ended December 31, 2024 and 2023, respectively. We will need to generate significant product revenues to achieve profitability. Our history of significant losses, negative cash flows from operations, potential near-term increased covenant-driven amortization payments or full repayment obligations under our Credit Agreement, the regulatory event of default triggers under the Credit Agreement, other funding requirement covenants under the Credit Agreement, limited liquidity resources currently on hand, and dependence on our ability to obtain additional financing to fund our operations after the current resources are exhausted, about which there can be no certainty, have resulted in management’s assessment that there is substantial doubt about our ability to continue as a going concern for a period of at least 12 months from the issuance date of the financial statements included in this Annual Report on Form 10-K.</w:t>
      </w:r>
    </w:p>
    <w:p>
      <w:pPr>
        <w:spacing w:after="0" w:line="165"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43" w:lineRule="exact"/>
        <w:rPr>
          <w:sz w:val="20"/>
          <w:szCs w:val="20"/>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Credit Agreement;</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198"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184" w:lineRule="exact"/>
        <w:rPr>
          <w:rFonts w:ascii="Times New Roman" w:cs="Times New Roman" w:eastAsia="Times New Roman" w:hAnsi="Times New Roman"/>
          <w:sz w:val="18"/>
          <w:szCs w:val="18"/>
          <w:color w:val="auto"/>
        </w:rPr>
      </w:pPr>
    </w:p>
    <w:p>
      <w:pPr>
        <w:ind w:left="1340" w:hanging="642"/>
        <w:spacing w:after="0"/>
        <w:tabs>
          <w:tab w:leader="none" w:pos="1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85"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To date, we have continued research and development activities while managing our cash position. However, we require additional funding to continue as a going concern. There are no assurances that we will be successful in obtaining an adequate level of financing as and when needed to finance our operations on terms acceptable to us or at all, particularly when there is market uncertainty or an economic downturn or if other events make investment in our securities less appealing. If we are unable to secure adequate additional funding as and when needed on acceptable or commercially reasonable terms, we may have to significantly delay, scale back or discontinue the development and commercialization of one or more product candidates. In addition, there are various macro-economic trends affecting the financing markets whose impact on our liquidity and future funding requirements are uncertain as of the filing date of this Annual Report on Form 10-K. We will need substantial additional funding, and if we are unable to raise capital when needed, we could be compelled to pursue alternative options, including, without limitation, implementing further workforce reductions, reducing or ceasing product development programs and advancement of our clinical trials and product candidates, selling our assets or seeking other strategic alternatives. See “Risks Related to Financial Position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 xml:space="preserve">Need for Additional Capital </w:t>
      </w:r>
      <w:r>
        <w:rPr>
          <w:rFonts w:ascii="Times New Roman" w:cs="Times New Roman" w:eastAsia="Times New Roman" w:hAnsi="Times New Roman"/>
          <w:sz w:val="18"/>
          <w:szCs w:val="18"/>
          <w:i w:val="1"/>
          <w:iCs w:val="1"/>
          <w:color w:val="auto"/>
        </w:rPr>
        <w:t>— We will need substantial additional funding, and if we are unable to raise capital 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needed, we could be forced to delay, reduce or eliminate our product development programs or commercialization efforts or otherwise seek strategic alternatives.</w:t>
      </w:r>
      <w:r>
        <w:rPr>
          <w:rFonts w:ascii="Times New Roman" w:cs="Times New Roman" w:eastAsia="Times New Roman" w:hAnsi="Times New Roman"/>
          <w:sz w:val="18"/>
          <w:szCs w:val="18"/>
          <w:color w:val="auto"/>
        </w:rPr>
        <w:t>” in Part I. Item 1A., “Risk Factors” elsewhere in this Annual Report on Form 10-K.</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89" w:lineRule="exact"/>
        <w:rPr>
          <w:sz w:val="20"/>
          <w:szCs w:val="20"/>
          <w:color w:val="auto"/>
        </w:rPr>
      </w:pPr>
    </w:p>
    <w:p>
      <w:pPr>
        <w:ind w:left="60" w:right="79" w:firstLine="324"/>
        <w:spacing w:after="0" w:line="238" w:lineRule="auto"/>
        <w:rPr>
          <w:sz w:val="20"/>
          <w:szCs w:val="20"/>
          <w:color w:val="auto"/>
        </w:rPr>
      </w:pPr>
      <w:r>
        <w:rPr>
          <w:rFonts w:ascii="Times New Roman" w:cs="Times New Roman" w:eastAsia="Times New Roman" w:hAnsi="Times New Roman"/>
          <w:sz w:val="18"/>
          <w:szCs w:val="18"/>
          <w:color w:val="auto"/>
        </w:rPr>
        <w:t>We have primarily focused our efforts on raising capital and building the products in our pipeline, and, although we generate revenue from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do not expect to generate positive cash flows from operations in the near term. Since our inception, our operations have been financed primarily from proceeds from the sale of equity securities, including our initial public offering, private placements of our common stock, registered offerings of our common stock, an Open Market Sale Agreement (as amended, supplemented and/or restated from time to time, the “Sale Agreement”) with Jefferies LLC (“Jefferies”), and borrowings under our Credit Agreement (as described below). We have not yet established an ongoing source of revenue sufficient to cover our operating costs and will need to do so in future periods.</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Agreements</w:t>
      </w:r>
    </w:p>
    <w:p>
      <w:pPr>
        <w:spacing w:after="0" w:line="202" w:lineRule="exact"/>
        <w:rPr>
          <w:sz w:val="20"/>
          <w:szCs w:val="20"/>
          <w:color w:val="auto"/>
        </w:rPr>
      </w:pPr>
    </w:p>
    <w:p>
      <w:pPr>
        <w:ind w:left="60" w:right="79" w:firstLine="324"/>
        <w:spacing w:after="0" w:line="241" w:lineRule="auto"/>
        <w:rPr>
          <w:sz w:val="20"/>
          <w:szCs w:val="20"/>
          <w:color w:val="auto"/>
        </w:rPr>
      </w:pPr>
      <w:r>
        <w:rPr>
          <w:rFonts w:ascii="Times New Roman" w:cs="Times New Roman" w:eastAsia="Times New Roman" w:hAnsi="Times New Roman"/>
          <w:sz w:val="18"/>
          <w:szCs w:val="18"/>
          <w:color w:val="auto"/>
        </w:rPr>
        <w:t>On April 19, 2022, we entered into two financing agreements: the Credit Agreement and the RIFA. Pursuant to the Credit Agreement, the Lenders originally agreed to provide up to $135,000 in senior secured term loans to us. On April 28, 2022, we borrowed the first $70,000 tranche of loans under the Credit Agreement. Pursuant to the RIFA, the Purchasers agreed to provide us with up to $120,000 in financing for our near-term commercial activities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development and commercialization of BXCL501 and other general corporate purposes. On July 8, 2022, we drew down the first tranche of $30,000 under the RIFA. In connection with the Credit Agreement, we granted to the Lenders (i) warrants to purchase up to 17 shares of our common stock (the “Closing Date Warrants”), (ii) rights to purchase up to $5,000 of our common stock and (iii) warrants to purchase up to 175 individual ownership units (i.e., not in thousands) in OnkosXcel (the “OnkosXcel Warrants”).</w:t>
      </w:r>
    </w:p>
    <w:p>
      <w:pPr>
        <w:spacing w:after="0" w:line="157" w:lineRule="exact"/>
        <w:rPr>
          <w:sz w:val="20"/>
          <w:szCs w:val="20"/>
          <w:color w:val="auto"/>
        </w:rPr>
      </w:pPr>
    </w:p>
    <w:p>
      <w:pPr>
        <w:ind w:left="60" w:right="119" w:firstLine="324"/>
        <w:spacing w:after="0" w:line="270" w:lineRule="auto"/>
        <w:rPr>
          <w:sz w:val="20"/>
          <w:szCs w:val="20"/>
          <w:color w:val="auto"/>
        </w:rPr>
      </w:pPr>
      <w:r>
        <w:rPr>
          <w:rFonts w:ascii="Times New Roman" w:cs="Times New Roman" w:eastAsia="Times New Roman" w:hAnsi="Times New Roman"/>
          <w:sz w:val="17"/>
          <w:szCs w:val="17"/>
          <w:color w:val="auto"/>
        </w:rPr>
        <w:t>On November 13, 2023, we, the Lenders and OFA entered into a Waiver and First Amendment to Credit Agreement and Guaranty (the “First Amendment”) that provided for, among other things, a waiver and a modification to the covenant in the Credit Agreement regarding investments in OnkosXcel, pursuant to which we were permitted to invest up to a maximum of $30,000 at any time outstanding in OnkosXcel, increased from the $25,000 at any time outstanding. The First Amendment waived any defaults or events of default arising under the Credit Agreement due to a breach prior to the date of the First Amendment of the OnkosXcel investment covenant, or a breach of our obligation to notify OFA of such default, including our investment in an amount in excess of what was previously permitted under the OnkosXcel investment covenant. In connection with the First Amendment, we paid to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136" w:lineRule="exact"/>
        <w:rPr>
          <w:sz w:val="20"/>
          <w:szCs w:val="20"/>
          <w:color w:val="auto"/>
        </w:rPr>
      </w:pPr>
    </w:p>
    <w:p>
      <w:pPr>
        <w:ind w:left="60" w:right="119" w:firstLine="324"/>
        <w:spacing w:after="0" w:line="277" w:lineRule="auto"/>
        <w:rPr>
          <w:sz w:val="20"/>
          <w:szCs w:val="20"/>
          <w:color w:val="auto"/>
        </w:rPr>
      </w:pPr>
      <w:r>
        <w:rPr>
          <w:rFonts w:ascii="Times New Roman" w:cs="Times New Roman" w:eastAsia="Times New Roman" w:hAnsi="Times New Roman"/>
          <w:sz w:val="17"/>
          <w:szCs w:val="17"/>
          <w:color w:val="auto"/>
        </w:rPr>
        <w:t>On December 5, 2023, we entered into the Second Amendment to Credit Agreement and Guaranty and Termination of Revenue Interest Financing Agreement (the “Second Amendment”) with the Lenders and OFA, as administrative agent. The Second Amendment terminated the RIFA and converted the financing previously provided to us thereunder to term loans under the Credit Agreement. In addition, the Second Amendment replaced the Credit Agreement’s existing “Tranche B” and “Tranche C” term loan opportunities with three new tranches aggregating up to $100,000 in potential funding:</w:t>
      </w:r>
    </w:p>
    <w:p>
      <w:pPr>
        <w:spacing w:after="0" w:line="141" w:lineRule="exact"/>
        <w:rPr>
          <w:sz w:val="20"/>
          <w:szCs w:val="20"/>
          <w:color w:val="auto"/>
        </w:rPr>
      </w:pPr>
    </w:p>
    <w:p>
      <w:pPr>
        <w:ind w:left="1040" w:right="119" w:hanging="315"/>
        <w:spacing w:after="0" w:line="256" w:lineRule="auto"/>
        <w:tabs>
          <w:tab w:leader="none" w:pos="10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$20,000 “Tranche B” term loan available upon satisfaction of the following conditions on or before December 31, 2024: (i) us raising an aggregate of at least $40,000 after the date of the First Amendment from (a) equity proceeds or (b) a bona fide contract with a governmental authority to use BXCL501 for opioid withdrawal, (ii) initiation of a new clinical trial in the TRANQUILITY program based on our meeting with the FDA held on October 11, 2023, and (iii) the total pro forma indebtedness outstanding under the Credit Agreement as a percentage of our trailing 30-day market capitalization being less than 30%;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54"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$30,000 “Tranche C” term loan available upon satisfaction of the following conditions on or before December 31, 2025: (i) either (a) receipt of approval from the FDA of an sNDA in respect of the use of BXCL501 for the acute treatment of agitation associated with dementia or (b) the receipt of approval from the FDA of an sNDA in respect of the use of BXCL501 for (x) the acute treatment of agitation associated with schizophrenia in adults and (y) the acute treatment of agitation associated with bipolar I or II disorder in adults, in each case, in the community/at home setting without the requirement for administration under the supervision of a healthcare provider, and (ii) the total pro forma indebtedness outstanding under the Credit Agreement as a percentage of our trailing 30-day market capitalization being less than 30%; and</w:t>
      </w:r>
    </w:p>
    <w:p>
      <w:pPr>
        <w:spacing w:after="0" w:line="164" w:lineRule="exact"/>
        <w:rPr>
          <w:rFonts w:ascii="Times New Roman" w:cs="Times New Roman" w:eastAsia="Times New Roman" w:hAnsi="Times New Roman"/>
          <w:sz w:val="18"/>
          <w:szCs w:val="18"/>
          <w:color w:val="auto"/>
        </w:rPr>
      </w:pPr>
    </w:p>
    <w:p>
      <w:pPr>
        <w:ind w:left="1040" w:right="259" w:hanging="315"/>
        <w:spacing w:after="0" w:line="258" w:lineRule="auto"/>
        <w:tabs>
          <w:tab w:leader="none" w:pos="10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$50,000 “Tranche D” term loan available upon satisfaction of the following conditions on or before December 31, 2025: (i) the conditions precedent to the borrowing of Tranche C (as described in the preceding bullet point) have been satisfied, and (ii) our total net revenue attributable to sales of BXCL501 (for the avoidance of doubt, including any revenues attributable to use of BXCL501 for opioid withdrawal) for the trailing twelve consecutive month period exceeding a specified amount.</w:t>
      </w:r>
    </w:p>
    <w:p>
      <w:pPr>
        <w:spacing w:after="0" w:line="143" w:lineRule="exact"/>
        <w:rPr>
          <w:sz w:val="20"/>
          <w:szCs w:val="20"/>
          <w:color w:val="auto"/>
        </w:rPr>
      </w:pPr>
    </w:p>
    <w:p>
      <w:pPr>
        <w:ind w:left="60" w:right="99" w:firstLine="324"/>
        <w:spacing w:after="0" w:line="266" w:lineRule="auto"/>
        <w:rPr>
          <w:sz w:val="20"/>
          <w:szCs w:val="20"/>
          <w:color w:val="auto"/>
        </w:rPr>
      </w:pPr>
      <w:r>
        <w:rPr>
          <w:rFonts w:ascii="Times New Roman" w:cs="Times New Roman" w:eastAsia="Times New Roman" w:hAnsi="Times New Roman"/>
          <w:sz w:val="18"/>
          <w:szCs w:val="18"/>
          <w:color w:val="auto"/>
        </w:rPr>
        <w:t>The Second Amendment also modified the interest rate of the loans provided under the Credit Agreement to be a floating rate per annum equal to the secured overnight financing rate (“SOFR”) (subject to a SOFR floor of 2.5% and a cap of 5.5%) plus 7.5%.</w:t>
      </w:r>
    </w:p>
    <w:p>
      <w:pPr>
        <w:spacing w:after="0" w:line="135" w:lineRule="exact"/>
        <w:rPr>
          <w:sz w:val="20"/>
          <w:szCs w:val="20"/>
          <w:color w:val="auto"/>
        </w:rPr>
      </w:pPr>
    </w:p>
    <w:p>
      <w:pPr>
        <w:ind w:left="60" w:right="159" w:firstLine="324"/>
        <w:spacing w:after="0" w:line="277" w:lineRule="auto"/>
        <w:rPr>
          <w:sz w:val="20"/>
          <w:szCs w:val="20"/>
          <w:color w:val="auto"/>
        </w:rPr>
      </w:pPr>
      <w:r>
        <w:rPr>
          <w:rFonts w:ascii="Times New Roman" w:cs="Times New Roman" w:eastAsia="Times New Roman" w:hAnsi="Times New Roman"/>
          <w:sz w:val="17"/>
          <w:szCs w:val="17"/>
          <w:color w:val="auto"/>
        </w:rPr>
        <w:t>Following the Second Amendment, we were required to comply with certain covenants under the Credit Agreement, including a financial covenant that requires we maintain a minimum cash liquidity amount of $15,000 (or higher upon certain events) and a modified minimum revenue requirement measured on a quarterly basis based on the revenue attributable to BXCL501 for the six consecutive month period ending on the last day of the relevant quarter (the “Revenue Covenant”), subject to cure payments of not less than $1,000 if we failed to meet the minimum revenue requirement.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connection with the closing of the Second Amendment, we amended and restated the Closing Date Warrants granted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Lenders on April 19, 2022 to purchase up to 17 shares of the Company’s common stock at an exercise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$320.64 per share. Pursuant to the amendment and restatement of the Closing Date Warrants, dated December 5, 2023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“Amended and Restated Closing Date Warrants”), the exercise price of the Closing Date Warrants was reduced to $58.3232</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per share, which represented the arithmetic average of the volume-weighted average price of the Company’s common stock</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the Nasdaq Capital Market during the 30 trading days preceding the Second Amendment Effective Date. In addition,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granted new warrants to the Lenders to purchase up to 4 shares of the Company’s common stock (the “2023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 Shares”) at an exercise price of $58.3232 per share (the “2023 Warrants”). The Amended and Restated Closing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Warrants and the 2023 Warrants will expire on April 19, 2029 and may be net exercised at the holder’s election.</w:t>
      </w:r>
    </w:p>
    <w:p>
      <w:pPr>
        <w:spacing w:after="0" w:line="166"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“Third Amendment Effective Date”), we entered into the Third Amendment to Credit Agreement and Guaranty (the “Third Amendment”), pursuant to which the Lenders agreed to waive the covenant that we shall not receive a report and opinion from our independent auditors that contains a “going concern” or like qualification or exception or emphasis of matter of going concern footnote with respect to our financial statements for the fiscal year ended December 31, 2023 and, as a result, such event shall not be an event of default. As a condition to the effectiveness of the Third Amendment, among other things, we shall have received at least $40,000 in gross proceeds from a registered public sale of the Company’s common stock, warrants and/or pre-funded warrants on or before February 20, 2024. We did not meet this condition and therefore the Third Amendment did not become effective.</w:t>
      </w:r>
    </w:p>
    <w:p>
      <w:pPr>
        <w:spacing w:after="0" w:line="151"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On March 20, 2024, we entered into the Fourth Amendment to the Credit Agreement (“the Fourth Amendment”), pursuant to which the Lenders waived the Credit Agreement’s covenant that the report and opinion the Company received from its independent registered public accounting firm with respect to the financial statements for the year ending December 31, 2023 not contain a “going concern” or similar qualification.</w:t>
      </w:r>
    </w:p>
    <w:p>
      <w:pPr>
        <w:spacing w:after="0" w:line="153"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Fourth Amendment included covenants that we receive, (i) after the effective date of the Fourth Amendment and on or before April 15, 2024, at least $25,000 in gross proceeds from the issuance of our common stock, warrants and/or pre-funded warrants, and/or in non-refundable cash consideration from partnering transactions entered into after the effective date of the Fourth Amendment (so long as such partnering transactions would not require us or any of our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subsidiaries to make any cash investments in connection with the partnering transactions and no such cash investments are made), and (ii) after the effective date of the Fourth Amendment and on or before November 30, 2024, at least $50,000 (for the avoidance of doubt, inclusive of amounts previously counted toward the preceding clause (i)) in gross proceeds from the issuance of our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of the Fourth Amendment. Failure to perform this covenant would constitute (A) a default under the Credit Agreement and (B) an event of default under the Credit Agreement, subject to a cure period, in the case of clause (i) of the preceding sentence, until May 15, 2024 (for the avoidance of doubt, failure to perform clause (ii) would constitute an immediate event of default under the Credit Agreement without any cure or grace period).</w:t>
      </w:r>
    </w:p>
    <w:p>
      <w:pPr>
        <w:spacing w:after="0" w:line="167"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addition, the Fourth Amendment provided that if we had not, after the Effective Date and on or before September 30, 2024, received at least $40,000 in gross proceeds from the issuance of our common stock, warrants and/or pre-funded warrants, and/or cash and/or non-cash consideration (measured at fair market value, as determined by the Administrative Agent in its sole discretion) from partnering transactions entered into after the effective date of the Fourth Amendment, the “Minimum Liquidity Amount” (as defined in the Credit Agreement) that we are required to maintain at all times will increase to $25,000 from $15,000, unless and until we had received, after the effective date of the Fourth Amendment and on or before November 30, 2024, at least $50,000 in gross proceeds from the issuance of our common stock, warrants and/or pre-funded warrants, and/or in cash and/or non-cash consideration (measured at fair market value, as determined by the Administrative Agent in its sole discretion) from partnering transactions entered into after the effective date of the Fourth Amendment.</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Fourth Amendment, on the effective date of the Fourth Amendment, we granted new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Lenders to purchase up to 6 shares of our common stock (the “2024 Warrant Shares”) at an exercise price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$49.1568 per share (the “2024 Warrants”), which represents a 10% premium over the arithmetic average of the volume-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price of our common stock on the Nasdaq Capital Market during the 30 trading days preceding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Effective Date. The 2024 Warrants will expire on April 19, 2029 and may be net exercised at the holder’s election.</w:t>
      </w:r>
    </w:p>
    <w:p>
      <w:pPr>
        <w:spacing w:after="0" w:line="16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Fifth Amendment included a new capital raising covenant requiring that the Company receive (A) after the effective date of the Fifth Amendment and on or prior to November 27,2024,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 Lenders agreed to modify the Credit Agreement’s minimum liquidity covenant to require minimum cash liquidity of $7,500 (instead of $25,000) from and after the closing of Raise 1 until March 30, 2025. On March 31, 2025, the minimum liquidity amount will increase to $10,000 and on September 30, 2025, the minimum liquidity amount will further increase to $15,000.</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made the required one-time amortization payment of $2,500 principal amount, together with accrued and unpaid interest and a portion of the prepayment fee and other fees payable by December 31, 2024.</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Fifth Amendment also modified the interest rate of the loans provided under the Credit Agreement from a floating rate of Term SOFR plus 7.50% per annum, to a fixed rate of 13% per annum, retroactive to and effective as of September 30, 2024. For the quarterly payment dates </w:t>
      </w:r>
      <w:r>
        <w:rPr>
          <w:rFonts w:ascii="Times New Roman" w:cs="Times New Roman" w:eastAsia="Times New Roman" w:hAnsi="Times New Roman"/>
          <w:sz w:val="18"/>
          <w:szCs w:val="18"/>
          <w:color w:val="202020"/>
        </w:rPr>
        <w:t>ending December 31, 2024, March 31, 2025, and June 30, 2025, t</w:t>
      </w:r>
      <w:r>
        <w:rPr>
          <w:rFonts w:ascii="Times New Roman" w:cs="Times New Roman" w:eastAsia="Times New Roman" w:hAnsi="Times New Roman"/>
          <w:sz w:val="18"/>
          <w:szCs w:val="18"/>
          <w:color w:val="auto"/>
        </w:rPr>
        <w:t>he Company will have the ability to make interest payments of up to 10% per annum “in-kind” by capitalizing and adding such interest to the outstanding principal amount of the loans under the Credit Agreement</w:t>
      </w:r>
      <w:r>
        <w:rPr>
          <w:rFonts w:ascii="Times New Roman" w:cs="Times New Roman" w:eastAsia="Times New Roman" w:hAnsi="Times New Roman"/>
          <w:sz w:val="18"/>
          <w:szCs w:val="18"/>
          <w:color w:val="202020"/>
        </w:rPr>
        <w:t>.</w:t>
      </w:r>
      <w:r>
        <w:rPr>
          <w:rFonts w:ascii="Times New Roman" w:cs="Times New Roman" w:eastAsia="Times New Roman" w:hAnsi="Times New Roman"/>
          <w:sz w:val="18"/>
          <w:szCs w:val="18"/>
          <w:color w:val="auto"/>
        </w:rPr>
        <w:t xml:space="preserve"> In addition, pursuant to the Fifth Amendment, the Company will be required to make quarterly amortization payments equal to 5.0% of the principal amount of funded loans, together with applicable prepayment fees, beginning on March 31, 2026.</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202020"/>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202020"/>
        </w:rPr>
        <w:t>The Fifth Amendment amended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202020"/>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 (including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202020"/>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its employees or executives during the fiscal years 2024 and 2025 without OFA’s consent or increasing the cash compensation for fiscal year 2025for certain senior officers of the Company from their compensation for fiscal year 2024.</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202020"/>
        </w:rPr>
        <w:t>As of December 31, 2024, we had aggregate principal indebtedness of $106,722 outstanding under the Credit Agreement.</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202020"/>
        </w:rPr>
        <w:t>Company Warrants and Registration Rights Agreement</w:t>
      </w:r>
    </w:p>
    <w:p>
      <w:pPr>
        <w:spacing w:after="0" w:line="229"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Also, in connection with the closing of the Fifth Amendment, the Company agreed to, substantially concurrently with the closing of Raise 1, grant new warrants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Lenders to purchase an aggregate of 313 shares of common stock, at an exercise price of $0.16 per share (the “New Warrants”). The New Warrants will expire on the seventh anniversary of their issuance.</w:t>
      </w:r>
    </w:p>
    <w:p>
      <w:pPr>
        <w:spacing w:after="0" w:line="13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202020"/>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202020"/>
        </w:rPr>
        <w:t>We entered into a registration rights agreement with the Lenders in connection with the original closing of the Credit Agreement, which has been amended and restated since in connection with each issuance of additional warrants to the Lenders, including most recently, in connection with the Fifth Amendment (as so amended and restated the “Amended and Restated Registration Rights Agreement”). Pursuant to the Amended and Restated Registration Rights Agreement, we have filed registration statements on Form S-3 to register the shares issuable upon exercise of the Original Warrants and the New Warrants for resale. The maximum shares of our common stock issuable under the Original Warrants and the New Warrants is 366.</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85"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and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notes to consolidated financial statements included elsewhere in this Annual Report on Form 10-K for additional information relating to the Credit Agreement and RIFA, including applicable interest rates, payment obligations and certain restrictive and financial covenants thereunder. As of December 31, 2024, we were in compliance with all restrictive and financial covenants under the Credit Agreement.</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In May 2021, we entered into the Sale Agreement with Jefferies pursuant to which we could offer and sell shares of our common stock, having an aggregate offering price of up to $100,000, from time to time, through an “at the market offering” program under which Jefferies will act as sale agent. On November 1, 2023, we entered into an amendment to the Sale Agreement with Jefferies to increase the size of the “at the market offering” program; pursuant to the Sale Agreement, as amended, we can offer and sell shares of our common stock having an aggregate offering price of up to $150,000 (excluding any shares of common stock already sold in the “at the market offering” program prior to the date of the amendment), from time to time, through an “at the market offering” program under which Jefferies will act as sale agent. During the year ended December 31, 2024, we sold 240 shares under the Sale Agreement for net proceeds of $7,451. During the year ended December 31, 2023, we sold 88 shares under the Sale Agreement for net proceeds of $26,221. We terminated the Sales Agreement with Jefferies on March 26,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(155,006)</w:t>
            </w:r>
          </w:p>
        </w:tc>
      </w:tr>
      <w:tr>
        <w:trPr>
          <w:trHeight w:val="216"/>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6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36,660</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r>
    </w:tbl>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$72,027 and was primarily attributable to our net loss of $59,599, a $20,180 increase in the change in fair value of our derivative liability, a $4,327 decrease in accounts payable, accrued expenses, due to related parties, and other current liabilities, and a $1,872 increase in prepaid expenses, other current assets and other assets, offset by $6,543 in payable in kind interest on our credit agreement and $6,156 in non-cash stock-based compensation.</w:t>
      </w:r>
    </w:p>
    <w:p>
      <w:pPr>
        <w:spacing w:after="0" w:line="143"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$155,006 and was primarily attributable to our net loss of $179,053 and a $3,219 decrease in accounts payable, accrued expenses, due to related parties, and other current liabilities, partially offset by a $2,888 decrease in prepaid expenses, other current assets and other assets, $18,614 in non-cash stock-based compensation, and a $4,369 increase in accrued and payable in kind interest.</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years ended December 31, 2024 and 2023, respectively was $0 and $20 and was primarily attributable to leasehold improvements in 2023.</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$36,660 and was primarily attributable to net proceeds of $39,214 from the sale of common stock under public offerings and the Sale Agreement with Jefferies, less a debt principal payment of $2,500.</w:t>
      </w:r>
    </w:p>
    <w:p>
      <w:pPr>
        <w:spacing w:after="0" w:line="135" w:lineRule="exact"/>
        <w:rPr>
          <w:sz w:val="20"/>
          <w:szCs w:val="20"/>
          <w:color w:val="auto"/>
        </w:rPr>
      </w:pPr>
    </w:p>
    <w:p>
      <w:pPr>
        <w:ind w:left="60" w:right="39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$26,522 and was primarily attributable to net proceeds of $26,221 from the sale of common stock under the Sale Agreement with Jefferies and net proceeds of $508 from the exercise of stock options.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02" w:lineRule="exact"/>
        <w:rPr>
          <w:sz w:val="20"/>
          <w:szCs w:val="20"/>
          <w:color w:val="auto"/>
        </w:rPr>
      </w:pPr>
    </w:p>
    <w:p>
      <w:pPr>
        <w:ind w:left="60" w:right="139" w:firstLine="324"/>
        <w:spacing w:after="0" w:line="247" w:lineRule="auto"/>
        <w:rPr>
          <w:sz w:val="20"/>
          <w:szCs w:val="20"/>
          <w:color w:val="auto"/>
        </w:rPr>
      </w:pPr>
      <w:r>
        <w:rPr>
          <w:rFonts w:ascii="Times New Roman" w:cs="Times New Roman" w:eastAsia="Times New Roman" w:hAnsi="Times New Roman"/>
          <w:sz w:val="17"/>
          <w:szCs w:val="17"/>
          <w:color w:val="auto"/>
        </w:rPr>
        <w:t>We expect to continue to incur significant and increasing operating losses at least for the next several years as we commercialize IGALMI</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color w:val="auto"/>
        </w:rPr>
        <w:t xml:space="preserve"> and as we expand our clinical trials of and seek marketing approval focused on BXCL501 while pursuing development of additional product candidates for BXCL502, BXCL701 and BXCL702. We expect to continue to incur net losses in the near term. Our net losses may fluctuate significantly from quarter-to-quarter and year-to-year, depending on the timing of our planned clinical trials and our expenditures on other research and development activities.</w:t>
      </w:r>
    </w:p>
    <w:p>
      <w:pPr>
        <w:spacing w:after="0" w:line="155" w:lineRule="exact"/>
        <w:rPr>
          <w:sz w:val="20"/>
          <w:szCs w:val="20"/>
          <w:color w:val="auto"/>
        </w:rPr>
      </w:pPr>
    </w:p>
    <w:p>
      <w:pPr>
        <w:jc w:val="both"/>
        <w:ind w:left="60" w:right="259" w:firstLine="324"/>
        <w:spacing w:after="0" w:line="281" w:lineRule="auto"/>
        <w:rPr>
          <w:sz w:val="20"/>
          <w:szCs w:val="20"/>
          <w:color w:val="auto"/>
        </w:rPr>
      </w:pPr>
      <w:r>
        <w:rPr>
          <w:rFonts w:ascii="Times New Roman" w:cs="Times New Roman" w:eastAsia="Times New Roman" w:hAnsi="Times New Roman"/>
          <w:sz w:val="17"/>
          <w:szCs w:val="17"/>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24" w:lineRule="exact"/>
        <w:rPr>
          <w:sz w:val="20"/>
          <w:szCs w:val="20"/>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our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research and development with our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license, develop and commercialize product candidates;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acquired technologies into a comprehensive regulatory and product development strategy;</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84" w:lineRule="exact"/>
        <w:rPr>
          <w:rFonts w:ascii="Times New Roman" w:cs="Times New Roman" w:eastAsia="Times New Roman" w:hAnsi="Times New Roman"/>
          <w:sz w:val="18"/>
          <w:szCs w:val="18"/>
          <w:color w:val="auto"/>
        </w:rPr>
      </w:pPr>
    </w:p>
    <w:p>
      <w:pPr>
        <w:ind w:left="720" w:right="29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scientific, clinical, quality control and administrative personnel and utilize professional services, including consultants, lawyers, and accountants;</w:t>
      </w:r>
    </w:p>
    <w:p>
      <w:pPr>
        <w:spacing w:after="0" w:line="134"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and commercial efforts;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84" w:lineRule="exact"/>
        <w:rPr>
          <w:rFonts w:ascii="Times New Roman" w:cs="Times New Roman" w:eastAsia="Times New Roman" w:hAnsi="Times New Roman"/>
          <w:sz w:val="18"/>
          <w:szCs w:val="18"/>
          <w:color w:val="auto"/>
        </w:rPr>
      </w:pPr>
    </w:p>
    <w:p>
      <w:pPr>
        <w:ind w:left="720" w:right="99" w:hanging="319"/>
        <w:spacing w:after="0" w:line="285"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develop a sales, marketing and distribution infrastructure and scale up external manufacturing capabilities to commercialize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any product candidates for which we may obtain regulatory approval; and</w:t>
      </w:r>
    </w:p>
    <w:p>
      <w:pPr>
        <w:spacing w:after="0" w:line="2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operate as a public company.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believe that our existing cash and cash equivalents as of December 31, 2024 will not be sufficient to enable us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 operating expenses and capital expenditure requirements for at least the next 12 months from the date of the issuance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the consolidated financial statements included in this Annual Report on Form 10-K, including funding our ongoing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and commercialization efforts. In particular, we believe that our cash and cash equivalents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$29,854 as of December 31, 2024 plus the approximately of $14,000 gross proceeds from our financing in March 2025 will</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 us to fund our operations and meet our liquidity requirements into the third quarter of 2025, assuming we are able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comply with the covenants under our Credit Agreement. We expect that we will need to obtain substantial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funding to fund our ongoing operations. To the extent that we raise additional capital through the sale of common stock,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convertible securities or other equity securities, the ownership interests of our existing stockholders may be materially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diluted, and the terms of these securities could include liquidation or other preferences that could adversely affect the rights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our existing stockholders. In addition, debt financing, if available, would result in increased fixed payment obligations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may involve agreements that include restrictive covenants that limit our ability to take specific actions, such 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incurring additional debt, making capital expenditures, or declaring dividends, which could adversely impact our ability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conduct our business. Our failure to raise capital as and when needed would have a negative impact on our financial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condition and our ability to pursue our business strategy. If we are unable to raise capital when needed or on attractive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terms, we could be forced to significantly delay, scale back or discontinue the development or commercialization of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 candidates, seek collaborators at an earlier stage than otherwise would be desirable or on terms that are less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favorable than might otherwise be available, and relinquish or license, potentially on unfavorable terms, our rights to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 candidates that we otherwise would seek to develop or commercialize ourselves. To date, we have continued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and development activities while managing our cash position. However, we can provide no assurance that will be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successful in obtaining additional necessary resources and, if we are unable to fund our operations, including our clinical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trials, we may need to focus on advancing fewer of our product candidates or otherwise consider strategic alternatives.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jc w:val="both"/>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In July 2024, the Company signed an amendment to its commercial supply agreement that requires minimum annual payments for the first five years of the agreement ending in 2026 that in aggregate total $10,000. The Company has met the minimum requirements for the first 3 years ending in 2024. The remaining minimum commitments for years 4 and 5 (2025 and 2026) is $2,000 each year.</w:t>
      </w:r>
    </w:p>
    <w:p>
      <w:pPr>
        <w:spacing w:after="0" w:line="13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In February 2022, we signed a distribution agreement with a third party to distribute product related to BXCL501 in the U.S. The distributor will be paid defined fees for its services under the agreement, which can be terminated by either party for cause. The distribution agreement can also be terminated by us without cause, subject to payment of agreed termination fees.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 xml:space="preserve">BTI leases office space for its corporate headquarters at 555 Long Wharf Drive, New Haven, Connecticut (the “HQ Lease”). The HQ Lease expires in February 2026. The Company has an option to renew the HQ Lease for one additional five-year term. Payments under the HQ Lease are fixed. The Company has approximately $456 of payments remaining under the HQ Lease. For additional details, see Note 13,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included in this Annual Report on Form 10-K for additional information relating to the Company’s leases.</w:t>
      </w:r>
    </w:p>
    <w:p>
      <w:pPr>
        <w:spacing w:after="0" w:line="156" w:lineRule="exact"/>
        <w:rPr>
          <w:sz w:val="20"/>
          <w:szCs w:val="20"/>
          <w:color w:val="auto"/>
        </w:rPr>
      </w:pPr>
    </w:p>
    <w:p>
      <w:pPr>
        <w:jc w:val="both"/>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addition, we are obligated to make quarterly interest payments under our Credit Agreement. For additional details, see Note 9, </w:t>
      </w:r>
      <w:r>
        <w:rPr>
          <w:rFonts w:ascii="Times New Roman" w:cs="Times New Roman" w:eastAsia="Times New Roman" w:hAnsi="Times New Roman"/>
          <w:sz w:val="18"/>
          <w:szCs w:val="18"/>
          <w:i w:val="1"/>
          <w:iCs w:val="1"/>
          <w:color w:val="auto"/>
        </w:rPr>
        <w:t>Debt and Credit Facilities</w:t>
      </w:r>
      <w:r>
        <w:rPr>
          <w:rFonts w:ascii="Times New Roman" w:cs="Times New Roman" w:eastAsia="Times New Roman" w:hAnsi="Times New Roman"/>
          <w:sz w:val="18"/>
          <w:szCs w:val="18"/>
          <w:color w:val="auto"/>
        </w:rPr>
        <w:t xml:space="preserve"> in the notes to consolidated financial statements included in this Annual Report on Form 10-K for additional information relating to the Company’s debt payment obligations.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left="60" w:right="99" w:firstLine="324"/>
        <w:spacing w:after="0" w:line="281" w:lineRule="auto"/>
        <w:rPr>
          <w:sz w:val="20"/>
          <w:szCs w:val="20"/>
          <w:color w:val="auto"/>
        </w:rPr>
      </w:pPr>
      <w:r>
        <w:rPr>
          <w:rFonts w:ascii="Times New Roman" w:cs="Times New Roman" w:eastAsia="Times New Roman" w:hAnsi="Times New Roman"/>
          <w:sz w:val="17"/>
          <w:szCs w:val="17"/>
          <w:color w:val="auto"/>
        </w:rPr>
        <w:t>The preparation of our consolidated financial statements in conformity with U.S. GAAP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consolidated financial statements.</w:t>
      </w:r>
    </w:p>
    <w:p>
      <w:pPr>
        <w:spacing w:after="0" w:line="13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and the regulatory environment. We periodically re-evaluate our estimates and assumptions with respect to these judgments and modify our approach when circumstances indicate that modifications are necessary.</w:t>
      </w:r>
    </w:p>
    <w:p>
      <w:pPr>
        <w:spacing w:after="0" w:line="143"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35" w:lineRule="exact"/>
        <w:rPr>
          <w:sz w:val="20"/>
          <w:szCs w:val="20"/>
          <w:color w:val="auto"/>
        </w:rPr>
      </w:pPr>
    </w:p>
    <w:p>
      <w:pPr>
        <w:ind w:left="60" w:right="239" w:firstLine="324"/>
        <w:spacing w:after="0" w:line="258" w:lineRule="auto"/>
        <w:rPr>
          <w:sz w:val="20"/>
          <w:szCs w:val="20"/>
          <w:color w:val="auto"/>
        </w:rPr>
      </w:pPr>
      <w:r>
        <w:rPr>
          <w:rFonts w:ascii="Times New Roman" w:cs="Times New Roman" w:eastAsia="Times New Roman" w:hAnsi="Times New Roman"/>
          <w:sz w:val="18"/>
          <w:szCs w:val="18"/>
          <w:color w:val="auto"/>
        </w:rPr>
        <w:t>We define critical accounting policies as those that are reflective of significant judgments and uncertainty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are noted below.</w:t>
      </w:r>
    </w:p>
    <w:p>
      <w:pPr>
        <w:spacing w:after="0" w:line="200" w:lineRule="exact"/>
        <w:rPr>
          <w:sz w:val="20"/>
          <w:szCs w:val="20"/>
          <w:color w:val="auto"/>
        </w:rPr>
      </w:pPr>
    </w:p>
    <w:p>
      <w:pPr>
        <w:spacing w:after="0" w:line="3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18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Company has granted stock options, restricted stock units and profit units to employees, directors, and consultants, as well as warrants to other third parties. For employee, director and consultant awards, the value of each grant is estimated on the date of grant using a Black-Scholes option-pricing model. The Black-Scholes pricing model incorporates the volatility of the price of BTI’s stock, the risk-free interest rate, the estimated life of the award, the closing market price of the Company’s stock and the exercise price of the award. Management bases the Company’s estimates of stock price volatility on the historical volatility of the Company’s common stock, as well as a peer group of comparable companies. However, these estimates are neither predictive nor indicative of the future performance of the Company’s stock. For purposes of the calculation, management assumed that no dividends would be paid during the life of the stock awards. The estimates utilized in the Black-Scholes calculation involve inherent uncertainties and the application of management judgment.</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the Company’s consolidated financial statements, BTI’s management is required to estimate prepaid and accrued expenses, including research and development expenses. This process involves reviewing open contracts, communicating with personnel to identify services that have been performed on behalf of the Company and estimating the level of service performed and the associated cost incurred for the service when BTI has not yet been invoiced or otherwise notified of the actual cost. The majority of the Company’s service providers invoice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BTI monthly for services performed or when contractual milestones are met. BTI management makes estimates of prepaid and/or accrued expenses, including research and development expenses, as of each reporting date in the Company’s consolidated financial statements based on facts and circumstances known to management at that time. BTI periodically confirms the accuracy of its estimates with the service providers and makes adjustments, if necessary. Examples of estimated accrued research and development expenses include fees paid to contract research organizations (“CROs”) in connection with clinical studies, amounts paid to contract manufacturing organizations, and fees paid to sites in connection with clinical trials.</w:t>
      </w:r>
    </w:p>
    <w:p>
      <w:pPr>
        <w:spacing w:after="0" w:line="16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bases its expenses related to clinical studies on management’s estimates of the services received and efforts expended pursuant to contracts with multiple CROs that conduct and manage clinical trial studies on our behalf. The financial terms of these agreements are subject to an initial negotiation, vary from contract to contract and may result in uneven payment flows. There may be instances in which payments made to vendors exceed the level of services provided and result in a prepayment of the clinical expense. Payments under some of these contracts depend on factors such as the successful enrollment of patients and the completion of clinical trial milestones. In accruing certain service fees, BTI management estimates the time period over which services will be performed, enrollment of patients, number of sites activated and the level of effort to be expended in each period. If the actual timing of the performance of services or the level of effort varies from management’s estimate, management will adjust the accrual or prepaid accordingly. Although the Company does not expect management’s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45" w:lineRule="exact"/>
        <w:rPr>
          <w:sz w:val="20"/>
          <w:szCs w:val="20"/>
          <w:color w:val="auto"/>
        </w:rPr>
      </w:pPr>
    </w:p>
    <w:p>
      <w:pPr>
        <w:ind w:left="60" w:right="3619"/>
        <w:spacing w:after="0" w:line="464" w:lineRule="auto"/>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 Foreign Exchange Risk</w:t>
      </w: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we had $29,854 of cash and cash equivalents. Our cash and cash equivalents are primarily held in U.S. Government money market funds. We do not participate in any foreign currency hedging activities and have limited exposure to other derivative financial instruments, primarily resulting from the terms and conditions of the Credit Agreement. We did not recognize any significant exchange rate losses during the years ended December 31, 2024 and 2023, respectively.</w:t>
      </w:r>
    </w:p>
    <w:p>
      <w:pPr>
        <w:spacing w:after="0" w:line="143" w:lineRule="exact"/>
        <w:rPr>
          <w:sz w:val="20"/>
          <w:szCs w:val="20"/>
          <w:color w:val="auto"/>
        </w:rPr>
      </w:pPr>
    </w:p>
    <w:p>
      <w:pPr>
        <w:ind w:left="60" w:right="219"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our cash and cash equivalents have significant risk of default or illiquidity. While we believe our cash and cash equivalents do not contain material market risk, we cannot provide absolute assurance that in the future our investments will not be subject to adverse changes in market value. In addition, we maintain significant amounts of cash at one or more financial institutions that exceed federally insured limits. In the event of a failure of any of the financial institutions where we maintain our cash and cash equivalents, there can be no assurance that we will be able to access uninsured funds in a timely manner or at all.</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loans under the Credit Agreement bear interest at a fixed rate of 13% payable quarterly. Consequently, we have material interest rate exposure due to our indebtedness if market rates drop in the future.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Market Risk</w:t>
      </w:r>
    </w:p>
    <w:p>
      <w:pPr>
        <w:spacing w:after="0" w:line="18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We currently do not have substantial product revenues and depend on funds raised through other sources. One source of funding includes future debt or equity offerings. Our ability to raise funds in this manner depends upon, among other things, capital market forces affecting our stock price, and on the state of the capital markets generally.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required pursuant to this item and the related report of our independent auditor are included in Item 15 of this report beginning on page F-1 and are incorporated under this Item by reference. Our independent auditor for the years ended December 31, 2024 and 2023 was Ernst &amp; Young LLP (PCAOB ID: 42), located in Stamford, Connecticut, USA.</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47"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Controls Over Financial Reporting</w:t>
      </w:r>
    </w:p>
    <w:p>
      <w:pPr>
        <w:spacing w:after="0" w:line="20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2024, our internal control over financial reporting was effective.</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on internal control over financial reporting as we are a “smaller reporting company” and “non-accelerated filer” as defined under SEC rules.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December 31, 2024, that have materially affected, or are reasonably likely to materially affect, our internal control over financial reporting.</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89" w:lineRule="exact"/>
        <w:rPr>
          <w:sz w:val="20"/>
          <w:szCs w:val="20"/>
          <w:color w:val="auto"/>
        </w:rPr>
      </w:pPr>
    </w:p>
    <w:p>
      <w:pPr>
        <w:ind w:left="60" w:right="99" w:firstLine="314"/>
        <w:spacing w:after="0" w:line="266" w:lineRule="auto"/>
        <w:tabs>
          <w:tab w:leader="none" w:pos="7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2024, Vimal Mehta, Chief Executive Officer, adopted a Rule 10b5-1 trading arrangement that is intended to satisfy the affirmative defense of Rule 10b5-1(c) for the sale of up to 2,184 shares of the Company’s common stock to cover taxes due in connection with the vesting of restricted stock units until December 31, 2025.</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314"/>
        <w:spacing w:after="0" w:line="289" w:lineRule="auto"/>
        <w:tabs>
          <w:tab w:leader="none" w:pos="70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14, 2024, Richard Steinhart, Chief Executive Officer, adopted a Rule 10b5-1 trading arrangement that is intended to satisfy the affirmative defense of Rule 10b5-1(c) for the sale of up to 1,563 shares of the Company’s common stock to cover taxes due in connection with the vesting of restricted stock units until December 31, 2025.</w:t>
      </w:r>
    </w:p>
    <w:p>
      <w:pPr>
        <w:spacing w:after="0" w:line="130" w:lineRule="exact"/>
        <w:rPr>
          <w:rFonts w:ascii="Times New Roman" w:cs="Times New Roman" w:eastAsia="Times New Roman" w:hAnsi="Times New Roman"/>
          <w:sz w:val="17"/>
          <w:szCs w:val="17"/>
          <w:color w:val="auto"/>
        </w:rPr>
      </w:pPr>
    </w:p>
    <w:p>
      <w:pPr>
        <w:ind w:left="60" w:right="139" w:firstLine="314"/>
        <w:spacing w:after="0" w:line="261" w:lineRule="auto"/>
        <w:tabs>
          <w:tab w:leader="none" w:pos="7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2024, Javier Rodriguez, Senior Vice President, Chief Legal Officer, adopted a Rule 10b5-1 trading arrangement that is intended to satisfy the affirmative defense of Rule 10b5-1(c) for the sale of up to 1,563 shares of the Company’s common stock to cover taxes due in connection with the vesting of restricted stock units until December 31, 2025.</w:t>
      </w:r>
    </w:p>
    <w:p>
      <w:pPr>
        <w:spacing w:after="0" w:line="139" w:lineRule="exact"/>
        <w:rPr>
          <w:rFonts w:ascii="Times New Roman" w:cs="Times New Roman" w:eastAsia="Times New Roman" w:hAnsi="Times New Roman"/>
          <w:sz w:val="18"/>
          <w:szCs w:val="18"/>
          <w:color w:val="auto"/>
        </w:rPr>
      </w:pPr>
    </w:p>
    <w:p>
      <w:pPr>
        <w:jc w:val="both"/>
        <w:ind w:left="60" w:right="159" w:firstLine="314"/>
        <w:spacing w:after="0" w:line="266" w:lineRule="auto"/>
        <w:tabs>
          <w:tab w:leader="none" w:pos="7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2024, Frank Yocca, Chief Scientific Officer, adopted a Rule 10b5-1 trading arrangement that is intended to satisfy the affirmative defense of Rule 10b5-1(c) for the sale of up to 1,563 shares of the Company’s common stock to cover taxes due in connection with the vesting of restricted stock units until December 31, 2025.</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Each of these plans were terminated effective March 17, 2025.</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Open Market Sales Agreement Termination</w:t>
      </w:r>
    </w:p>
    <w:p>
      <w:pPr>
        <w:spacing w:after="0" w:line="18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On March 26, 2025, we and Jefferies terminated that certain Open Market Sales Agreement, dated May 10, 2021, as amended on November 1, 2023.</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OUR DIRECTORS &amp; EXECUTIVE OFFICERS</w:t>
      </w:r>
    </w:p>
    <w:p>
      <w:pPr>
        <w:spacing w:after="0" w:line="229" w:lineRule="exact"/>
        <w:rPr>
          <w:sz w:val="20"/>
          <w:szCs w:val="20"/>
          <w:color w:val="auto"/>
        </w:rPr>
      </w:pPr>
    </w:p>
    <w:p>
      <w:pPr>
        <w:ind w:left="60" w:right="179" w:firstLine="324"/>
        <w:spacing w:after="0" w:line="329" w:lineRule="auto"/>
        <w:rPr>
          <w:sz w:val="20"/>
          <w:szCs w:val="20"/>
          <w:color w:val="auto"/>
        </w:rPr>
      </w:pPr>
      <w:r>
        <w:rPr>
          <w:rFonts w:ascii="Times New Roman" w:cs="Times New Roman" w:eastAsia="Times New Roman" w:hAnsi="Times New Roman"/>
          <w:sz w:val="18"/>
          <w:szCs w:val="18"/>
          <w:color w:val="auto"/>
        </w:rPr>
        <w:t>The following information with respect to our Board of Directors (the “Board”) and executive officers is presented as of March 28, 2025:</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Age</w:t>
            </w:r>
          </w:p>
        </w:tc>
        <w:tc>
          <w:tcPr>
            <w:tcW w:w="478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Position at BioXcel</w:t>
            </w: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Vimal Mehta, Ph.D.</w:t>
            </w:r>
          </w:p>
        </w:tc>
        <w:tc>
          <w:tcPr>
            <w:tcW w:w="142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64</w:t>
            </w: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President, and Director</w:t>
            </w: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Steinhart</w:t>
            </w:r>
          </w:p>
        </w:tc>
        <w:tc>
          <w:tcPr>
            <w:tcW w:w="142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67</w:t>
            </w: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Frank Yocca, Ph.D.</w:t>
            </w:r>
          </w:p>
        </w:tc>
        <w:tc>
          <w:tcPr>
            <w:tcW w:w="142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69</w:t>
            </w: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Scientific Officer</w:t>
            </w:r>
          </w:p>
        </w:tc>
      </w:tr>
      <w:tr>
        <w:trPr>
          <w:trHeight w:val="198"/>
        </w:trPr>
        <w:tc>
          <w:tcPr>
            <w:tcW w:w="27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Javier Rodriguez</w:t>
            </w:r>
          </w:p>
        </w:tc>
        <w:tc>
          <w:tcPr>
            <w:tcW w:w="1420" w:type="dxa"/>
            <w:vAlign w:val="bottom"/>
          </w:tcPr>
          <w:p>
            <w:pPr>
              <w:jc w:val="center"/>
              <w:ind w:left="592"/>
              <w:spacing w:after="0" w:line="198" w:lineRule="exact"/>
              <w:rPr>
                <w:sz w:val="20"/>
                <w:szCs w:val="20"/>
                <w:color w:val="auto"/>
              </w:rPr>
            </w:pPr>
            <w:r>
              <w:rPr>
                <w:rFonts w:ascii="Times New Roman" w:cs="Times New Roman" w:eastAsia="Times New Roman" w:hAnsi="Times New Roman"/>
                <w:sz w:val="18"/>
                <w:szCs w:val="18"/>
                <w:color w:val="auto"/>
                <w:w w:val="99"/>
              </w:rPr>
              <w:t>53</w:t>
            </w:r>
          </w:p>
        </w:tc>
        <w:tc>
          <w:tcPr>
            <w:tcW w:w="47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Senior Vice President, Chief Legal Officer and Corporate</w:t>
            </w:r>
          </w:p>
        </w:tc>
      </w:tr>
      <w:tr>
        <w:trPr>
          <w:trHeight w:val="234"/>
        </w:trPr>
        <w:tc>
          <w:tcPr>
            <w:tcW w:w="27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Secretary</w:t>
            </w: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Mueller, Ph.D.</w:t>
            </w:r>
          </w:p>
        </w:tc>
        <w:tc>
          <w:tcPr>
            <w:tcW w:w="142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68</w:t>
            </w: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Bray</w:t>
            </w:r>
          </w:p>
        </w:tc>
        <w:tc>
          <w:tcPr>
            <w:tcW w:w="142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71</w:t>
            </w: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Sandeep Laumas, M.D.</w:t>
            </w:r>
          </w:p>
        </w:tc>
        <w:tc>
          <w:tcPr>
            <w:tcW w:w="142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56</w:t>
            </w: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Miller</w:t>
            </w:r>
          </w:p>
        </w:tc>
        <w:tc>
          <w:tcPr>
            <w:tcW w:w="142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67</w:t>
            </w: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Votruba, M.D.</w:t>
            </w:r>
          </w:p>
        </w:tc>
        <w:tc>
          <w:tcPr>
            <w:tcW w:w="142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59</w:t>
            </w: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Mack</w:t>
            </w:r>
          </w:p>
        </w:tc>
        <w:tc>
          <w:tcPr>
            <w:tcW w:w="142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w w:val="99"/>
              </w:rPr>
              <w:t>54</w:t>
            </w:r>
          </w:p>
        </w:tc>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Rajiv Patni, M.D.</w:t>
            </w:r>
          </w:p>
        </w:tc>
        <w:tc>
          <w:tcPr>
            <w:tcW w:w="142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9"/>
              </w:rPr>
              <w:t>59</w:t>
            </w: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Experience and Background of Directors and Executive Officers</w:t>
      </w:r>
    </w:p>
    <w:p>
      <w:pPr>
        <w:spacing w:after="0" w:line="185"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Vimal Mehta, Ph.D. </w:t>
      </w:r>
      <w:r>
        <w:rPr>
          <w:rFonts w:ascii="Times New Roman" w:cs="Times New Roman" w:eastAsia="Times New Roman" w:hAnsi="Times New Roman"/>
          <w:sz w:val="18"/>
          <w:szCs w:val="18"/>
          <w:color w:val="auto"/>
        </w:rPr>
        <w:t>co-founded the Company and has served as a member of our Board since April 2017 and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and President since May 2017. Dr. Mehta also served as our Corporate Secretary from May 2017 to February 2021. He is also the co-founder of BioXcel Corporation (now BioXcel LLC) and, following its inception in 2005 until March 2023, served as its Chairman of the Board and Chief Executive Officer. Dr. Mehta holds a Ph.D. in Chemistry from the University of Delhi, India and completed a Post-Doctoral Fellowship in Chemistry at the University of Montpellier, France. During the length of his career, Dr. Mehta has garnered a deep understanding of the biopharma and healthcare ecosystem and has been actively involved in diverse global value generating initiatives encompassing corporate strategy and planning, global business development, and corporate fundraising. As our co-founder, he has helped shape our strategic and business trajectory which the Board believes qualifies him to serve as a director of our Company.</w:t>
      </w:r>
    </w:p>
    <w:p>
      <w:pPr>
        <w:spacing w:after="0" w:line="148"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I. Steinhart </w:t>
      </w:r>
      <w:r>
        <w:rPr>
          <w:rFonts w:ascii="Times New Roman" w:cs="Times New Roman" w:eastAsia="Times New Roman" w:hAnsi="Times New Roman"/>
          <w:sz w:val="18"/>
          <w:szCs w:val="18"/>
          <w:color w:val="auto"/>
        </w:rPr>
        <w:t>has served as our Senior Vice President and Chief Financial Officer since March 2018.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2017 to March 2018, Mr. Steinhart served as our Vice President and Chief Financial Officer. From October 2015 to June 2017, he was Vice President and CFO at Remedy Pharmaceuticals, Inc. From January 2014 to September 2015 Mr. Steinhart worked as a financial and strategic consultant to the biotechnology and medical device industries. From April 2006 through December 2013, Mr. Steinhart was employed by MELA Sciences, Inc., as their Vice President, Finance and Chief Financial Officer, Treasurer and Secretary from April 2006 to April 2012 and as Sr. Vice President, Finance and Chief Financial Officer from April 2012 to December 2013. From May 1992 until joining MELA Sciences, Mr. Steinhart was a Managing Director of Forest Street Capital/SAE Ventures, a boutique investment banking, venture capital, and management consulting firm focused on healthcare and technology companies. Prior to Forest Street Capital/SAE Ventures, he was Vice President and Chief Financial Officer of Emisphere Technologies, Inc. Mr. Steinhart’s other experience includes seven years at CW Group, Inc., a venture capital firm focused on medical technology and biopharmaceutical companies, where he was a General Partner and Chief Financial Officer. Mr. Steinhart is a member of the Board of Directors of Actinium Pharmaceuticals, Inc., a position he assumed in November 2013, and Atossa Genetics, Inc., where he began his service in March 2014. Mr. Steinhart serves as the Chairman of the Audit Committee at Actinium Pharmaceuticals, where he also sits on the Corporate Governance Committees. Mr. Steinhart serves as the Chairman of Atossa Genetics Audit Committee and is a member of its Audit Committee and Compensation Committee. He holds B.B.A. and M.B.A. degrees from Pace University and is a Certified Public Accountant (inactive).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Frank D. Yocca, Ph.D. </w:t>
      </w:r>
      <w:r>
        <w:rPr>
          <w:rFonts w:ascii="Times New Roman" w:cs="Times New Roman" w:eastAsia="Times New Roman" w:hAnsi="Times New Roman"/>
          <w:sz w:val="18"/>
          <w:szCs w:val="18"/>
          <w:color w:val="auto"/>
        </w:rPr>
        <w:t>has served as our Executive Vice President and Chief Scientific Officer since December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March 2018 to December 2023, he served as our Senior Vice President and Chief Medical Officer. From June 2017 to March 2018, Dr. Yocca served as our Vice President and Chief Scientific Officer. From April 2015 to April 2017, he was Senior Vice President, CNS R&amp;D of BioXcel. From 2005 to 2015, Dr. Yocca held multiple leadership roles at AstraZeneca plc, including Vice President, Strategy and Externalization, Neuroscience Virtual Innovative Medicine Unit (iMed) (2011-2015), Vice President and Head, Strategy Unit, CNS and Pain Innovative Medicine Unit (iMed) (2010 to 2011) and Vice President and Head, CNS Pain Discovery (2005 to 2010). Prior to this, he was Executive Director at the Bristol Myers Squibb Pharmaceutical Research Institute from 1984 to 2004 where he served concurrent leadership responsibilities within the Neuroscience Clinical Group for Early and Late Clinical Development Studies. Prior to this, Dr. Yocca served as Executive Director, Neuroscience Discovery from 1997 to 2003, where he was a collaborator in the development and implementation of corporate strategic plans and leader for the Neuroscience Biology Department in the discovery of psychiatry and Alzheimer’s clinical candidates. He was a core member of the Abilify Product Development and Commercialization Team from 1999 to 2002 and a core member of the Early and Late Discovery and Development Teams from 1984 to 2001. Dr. Yocca holds a B.S. in biochemistry from Manhattan College and an M.S. in pharmacology and a Ph.D. in neuropharmacology from St. John’s University.</w:t>
      </w:r>
    </w:p>
    <w:p>
      <w:pPr>
        <w:spacing w:after="0" w:line="156"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Javier Rodriguez </w:t>
      </w:r>
      <w:r>
        <w:rPr>
          <w:rFonts w:ascii="Times New Roman" w:cs="Times New Roman" w:eastAsia="Times New Roman" w:hAnsi="Times New Roman"/>
          <w:sz w:val="18"/>
          <w:szCs w:val="18"/>
          <w:color w:val="auto"/>
        </w:rPr>
        <w:t>has served as our Senior Vice President and Chief Legal Officer and Corporate Secretary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2021. Mr. Rodriguez has over 20 years of extensive strategic and legal experience within the biopharmaceutical industry and has broad leadership experience managing legal, compliance, corporate governance, intellectual property, data privacy, and government affairs professionals. Prior to joining BioXcel Therapeutics, he was Chief Legal Officer at Indivior PLC (LSE: INDV), a global pharmaceuticals company with operations in over 40 countries, from December 2014 to December 2020, where he oversaw all legal affairs, data privacy compliance, and corporate governance matters. Before taking on his role at Indivior, Mr. Rodriguez was General Counsel at Reckitt Benckiser Pharmaceuticals Inc. where he played a key leadership role in negotiating and successfully effectuating the demerger and spin-off of the organization in 2014, which included closing a $750 million secured term loan and $50 million revolving credit facility to fund on-going operations of the demerged entity. Earlier in his career, Mr. Rodriguez held roles of increasing responsibility at Reckitt Benckiser LLC, Bayer Healthcare Pharmaceuticals, Inc. and Berlex, Inc. He began his legal career in 2000 as a litigation associate at Thelen Reid &amp; Priest, LLP in New York City. He holds a B.S. in Civil Engineering from Rutgers University, a M.S.E. in Structural Engineering from the University of Michigan and a J.D. from the University of Pennsylvania.</w:t>
      </w:r>
    </w:p>
    <w:p>
      <w:pPr>
        <w:spacing w:after="0" w:line="14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Mueller, Ph.D. </w:t>
      </w:r>
      <w:r>
        <w:rPr>
          <w:rFonts w:ascii="Times New Roman" w:cs="Times New Roman" w:eastAsia="Times New Roman" w:hAnsi="Times New Roman"/>
          <w:sz w:val="18"/>
          <w:szCs w:val="18"/>
          <w:color w:val="auto"/>
        </w:rPr>
        <w:t>has served as a director of our Company since April 2017 and Chairman of the Board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2017. With over 30 years of global pharma and biotech experience, Dr. Mueller is currently the President of the Mueller Health Foundation, a private foundation tackling globally lethal infectious diseases such as tuberculosis by addressing latency and the ever-growing challenges of antimicrobial resistance. From 2014 to 2016, he was President of R&amp;D and Chief Scientific Officer of Axcella Health, a biotechnology company. From 2003 to 2014, Dr. Mueller served as Executive Vice President Global Research and Development &amp; Chief Scientific Officer for Vertex Pharmaceuticals, Incorporated, a biotechnology company. He was involved in the development of Incivek (2011), Kalydeco (2012), and Orkambi (2014). Prior to his tenure at Vertex, he served as Senior Vice President, Research and Development, for Boehringer Ingelheim Pharmaceuticals, Inc. overseeing global research programs (immunology, inflammation, cardiovascular diseases and gene therapy) and the development of all drug candidates of the company’s worldwide portfolio in North and South America, Canada and Japan, beginning in 1997. He was involved in the development of Spiriva, Combivent, Atrovent and Viramune. Dr. Mueller received both an undergraduate degree and a Ph.D. in Chemistry at the Albert Einstein University of Ulm, Germany, where he also holds a Professorship in Theoretical Organic Chemistry. He completed fellowships in Quantum Pharmacology at Oxford University and in Biophysics at Rochester University. He is a member of various scientific and political societies and currently serves on the Board of the US-India Chamber of Commerce Biotech. He also serves as chairman of the Scientific Advisory Board of BioXcel LLC and is an advisor to the University of Iowa Center for Bioanalysis and Bioprocessing. We believe that Dr. Mueller’s extensive experience in the life sciences industry as a scientist and executive qualifies him to serve as a director of our Company.</w:t>
      </w:r>
    </w:p>
    <w:p>
      <w:pPr>
        <w:spacing w:after="0" w:line="151" w:lineRule="exact"/>
        <w:rPr>
          <w:sz w:val="20"/>
          <w:szCs w:val="20"/>
          <w:color w:val="auto"/>
        </w:rPr>
      </w:pPr>
    </w:p>
    <w:p>
      <w:pPr>
        <w:ind w:left="60" w:right="59"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June Bray </w:t>
      </w:r>
      <w:r>
        <w:rPr>
          <w:rFonts w:ascii="Times New Roman" w:cs="Times New Roman" w:eastAsia="Times New Roman" w:hAnsi="Times New Roman"/>
          <w:sz w:val="18"/>
          <w:szCs w:val="18"/>
          <w:color w:val="auto"/>
        </w:rPr>
        <w:t>has served as a director of our Company since March 2021. She previously served as Senior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Regulatory Affairs and Medical Writing of Allergan, Inc., a pharmaceutical company, from 2008 to 2020, where she was in charge of global regulatory strategies for development projects and lifecycle management for all therapeutic areas. From 2006 to 2008, Ms. Bray was Vice President, Regulatory Affairs at Organon &amp; Co. (prior to its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72" w:lineRule="auto"/>
        <w:rPr>
          <w:sz w:val="20"/>
          <w:szCs w:val="20"/>
          <w:color w:val="auto"/>
        </w:rPr>
      </w:pPr>
      <w:r>
        <w:rPr>
          <w:rFonts w:ascii="Times New Roman" w:cs="Times New Roman" w:eastAsia="Times New Roman" w:hAnsi="Times New Roman"/>
          <w:sz w:val="17"/>
          <w:szCs w:val="17"/>
          <w:color w:val="auto"/>
        </w:rPr>
        <w:t>merger with Merck &amp; Co.), where she led departments responsible for regulatory activities for development and marketed products and, from 1980 to 2006, Ms. Bray served in various capacities at Berlex Laboratories, Inc., most recently as Vice President, Global Regulatory Affairs for Specialized Therapeutics/Oncology, a position she held from 2003 to 2006. Ms.</w:t>
      </w:r>
    </w:p>
    <w:p>
      <w:pPr>
        <w:spacing w:after="0" w:line="2"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Bray has served on the Board of Quince Therapeutics, Inc. since June 2022. Ms. Bray holds an M.B.A. from Fairleigh Dickinson University and a B.S. from the University of Rhode Island. We believe that Ms. Bray’s extensive experience in developing global regulatory strategies for product candidates qualifies her to serve as a director of our Company.</w:t>
      </w:r>
    </w:p>
    <w:p>
      <w:pPr>
        <w:spacing w:after="0" w:line="155" w:lineRule="exact"/>
        <w:rPr>
          <w:sz w:val="20"/>
          <w:szCs w:val="20"/>
          <w:color w:val="auto"/>
        </w:rPr>
      </w:pPr>
    </w:p>
    <w:p>
      <w:pPr>
        <w:ind w:left="60" w:right="119" w:firstLine="32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Sandeep Laumas, M.D. </w:t>
      </w:r>
      <w:r>
        <w:rPr>
          <w:rFonts w:ascii="Times New Roman" w:cs="Times New Roman" w:eastAsia="Times New Roman" w:hAnsi="Times New Roman"/>
          <w:sz w:val="17"/>
          <w:szCs w:val="17"/>
          <w:color w:val="auto"/>
        </w:rPr>
        <w:t>has served as a director of our Company since September 2017. Since June 2020, Dr. Laumas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has served as Chief Business Officer and Chief Financial Officer of Instil Bio Inc. He served as a Director of BioXcel Corporation from May 2013 to August 2017. Dr. Laumas served as a director of 9 Meters BioPharma, Inc. (formerly Innovate Biopharmaceuticals Inc.), a biopharma company, from January 2014 to June 2021, including serving as the Executive Chairman from 2014 to April 2020, and as its Chief Executive Officer from February 2019 to April 2020. Dr. Laumas has served as a director of Unicycive Therapeutics Inc. since January 2018. He began his career at Goldman Sachs</w:t>
      </w:r>
    </w:p>
    <w:p>
      <w:pPr>
        <w:spacing w:after="0" w:line="4" w:lineRule="exact"/>
        <w:rPr>
          <w:sz w:val="20"/>
          <w:szCs w:val="20"/>
          <w:color w:val="auto"/>
        </w:rPr>
      </w:pPr>
    </w:p>
    <w:p>
      <w:pPr>
        <w:ind w:left="60" w:right="59" w:hanging="10"/>
        <w:spacing w:after="0" w:line="251" w:lineRule="auto"/>
        <w:tabs>
          <w:tab w:leader="none" w:pos="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 New York in the Investment Banking Division. Dr. Laumas then joined Balyasny Asset Management in New York and later moved to North Sound Capital as a Managing Director responsible for global healthcare investments. He has been investing in healthcare via investment vehicles, Bearing Circle Capital. Dr. Laumas has served as a director of Parkway Holdings Ltd. (IHH Healthcare) and SRL Ltd. Dr. Laumas received his A.B. in Chemistry from Cornell University in 1990, M.D. from Albany Medical College in 1995 with a research gap year at the Dana-Farber Cancer Institute and completed his medical internship in 1996 from the Yale University School of Medicine. Dr. Laumas has a novel industry perspective, particularly in both public and private investments and financial transactions in the healthcare arena, which we believe qualifies him to serve as a director of our Company.</w:t>
      </w:r>
    </w:p>
    <w:p>
      <w:pPr>
        <w:spacing w:after="0" w:line="14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Miller </w:t>
      </w:r>
      <w:r>
        <w:rPr>
          <w:rFonts w:ascii="Times New Roman" w:cs="Times New Roman" w:eastAsia="Times New Roman" w:hAnsi="Times New Roman"/>
          <w:sz w:val="18"/>
          <w:szCs w:val="18"/>
          <w:color w:val="auto"/>
        </w:rPr>
        <w:t>has served as a director of our Company since June 2022. He has served as an advisor to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companies, including Concarlo Therapeutics since June 2022 and Rigel Pharmaceuticals, Inc. since January 2022. Prior to that, he served as Executive Vice President, Commercial of Jazz Pharmaceuticals plc from March 2014 to August 2020. Since May 2018, Mr. Miller has served on the Board of Puma Biotechnology Inc., where he also serves on the Compensation Committee. Mr. Miller received his B.S. from the University of San Francisco and his M.B.A. from San Francisco State University. The Board believes that Mr. Miller’s extensive experience at commercial pharmaceutical and public companies will provide valuable contributions to the Board.</w:t>
      </w:r>
    </w:p>
    <w:p>
      <w:pPr>
        <w:spacing w:after="0" w:line="183" w:lineRule="exact"/>
        <w:rPr>
          <w:sz w:val="20"/>
          <w:szCs w:val="20"/>
          <w:color w:val="auto"/>
        </w:rPr>
      </w:pPr>
    </w:p>
    <w:p>
      <w:pPr>
        <w:ind w:left="60" w:right="59" w:firstLine="324"/>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Michal Votruba, M.D., </w:t>
      </w:r>
      <w:r>
        <w:rPr>
          <w:rFonts w:ascii="Times New Roman" w:cs="Times New Roman" w:eastAsia="Times New Roman" w:hAnsi="Times New Roman"/>
          <w:sz w:val="17"/>
          <w:szCs w:val="17"/>
          <w:color w:val="auto"/>
        </w:rPr>
        <w:t>has served as a director of our Company since March 2019. Since 2013, Dr. Votruba has been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the Gradus/RSJ Life Sciences Fund, the largest dedicated fund in Central Europe with a portfolio of companies in Europe and the United States. Dr. Votruba served as a director of Mynd Analytics, Inc., a telebehavioral health services company, from July 2015 to 2019, and served as a director of Telemynd, Inc., successor to Mynd Analytics, since 2019. Since 2010, he has served as a member of the board of PrimeCell Therapeutics as the Director of Global Business Development overseeing the expansion of the largest regenerative medicine company operating in Central Europe. In 2009, the Czech Academy of Sciences solicited Dr. Votruba’s expertise for the first successful privatization project of the Institute of Experimental Medicine in Prague: the newly created protocol established a precedent for future privatization projects in the Czech Republic. Dr. Votruba earned his M.D. from the Medical Faculty of Charles University in Prague in 1989. Shortly thereafter, he emigrated from Czechoslovakia and developed his professional career in Canada and the USA. Since 2005, Dr. Votruba combined his theoretical and clinical experience in the field of Competitive Intelligence serving the global pharmaceutical industry for eight years as an industry analyst advising senior leaders of companies including Amgen, Novartis, Eli Lilly, Allergan, EMD, Serono and Sanofi. Dr. Votruba brings valuable expertise to the Board as a clinical psychiatrist and broad experience in the international marketing of innovative medical technologies.</w:t>
      </w:r>
    </w:p>
    <w:p>
      <w:pPr>
        <w:spacing w:after="0" w:line="132" w:lineRule="exact"/>
        <w:rPr>
          <w:sz w:val="20"/>
          <w:szCs w:val="20"/>
          <w:color w:val="auto"/>
        </w:rPr>
      </w:pPr>
    </w:p>
    <w:p>
      <w:pPr>
        <w:ind w:left="60" w:right="99"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Mack </w:t>
      </w:r>
      <w:r>
        <w:rPr>
          <w:rFonts w:ascii="Times New Roman" w:cs="Times New Roman" w:eastAsia="Times New Roman" w:hAnsi="Times New Roman"/>
          <w:sz w:val="18"/>
          <w:szCs w:val="18"/>
          <w:color w:val="auto"/>
        </w:rPr>
        <w:t>has more than 25 years of experience as a lawyer, director, and investor. He served as a director of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since November 2024. He has extensive experience in leading transactions as well as deep knowledge of complex restructuring and litigation. He has previously served (or serves) on the boards of TerraForm Global, Inc. (NSDQ: GLBL), Speedcast International Limited (ASX: SDA) and Intelsat S.A., among others. He started his career in Sydney as a lawyer with Mallesons Stephen Jaques and then worked for Linklaters LLP in London. In 2000, he moved to the US, where he worked at Simpson Thacher &amp; Bartlett, LLP followed by Perry Capital LLC. He has a BA and an LLB (Hons) from the University of Sydney. In connection with his appointment, Mr. Mack was also appointed to the Compensation Committee, effective with his commencement of service, as well as the newly formed Capital Raising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Committee. We believe that Mr. Mack is qualified to serve as a director of our Company because of his extensive experience working on strategic transactions.</w:t>
      </w:r>
    </w:p>
    <w:p>
      <w:pPr>
        <w:spacing w:after="0" w:line="131"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Rajiv Patni </w:t>
      </w:r>
      <w:r>
        <w:rPr>
          <w:rFonts w:ascii="Times New Roman" w:cs="Times New Roman" w:eastAsia="Times New Roman" w:hAnsi="Times New Roman"/>
          <w:sz w:val="18"/>
          <w:szCs w:val="18"/>
          <w:color w:val="auto"/>
        </w:rPr>
        <w:t>Since September 2024, Dr. Patni has served as the Chief Executive Officer of Judo Bio,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biopharmaceutical development company focused on pioneering oligonucleotide medicines delivered to the kidney. He previously served as Chief Research and Development Officer at Reata Pharmaceuticals, a commercial-stage company acquired by Biogen and he is currently serving as a board member of Quince Therapeutics, Inc. (Nasdaq: QNCX). Previously, Dr. Patni also served as Chief Medical Officer at several public, commercial-stage biopharmaceutical companies - Global Blood Therapeutics, Portola Pharmaceuticals, and Adamas Pharmaceuticals, until their acquisitions by larger companies. Earlier in his career, Dr. Patni held roles of increasing responsibility at Pfizer, Roche, and Actelion. Dr. Patni received his M.D. from the Icahn School of Medicine at Mount Sinai in New York City as part of an accelerated B.S./M.D. program. He completed an internal medicine residency and adult cardiology fellowship at the Albert Einstein College of Medicine, also in New York City, where he continued as an attending physician-scientist before joining the biopharmaceutical industry. We believe that Dr. Patni’s extensive experience in biopharmaceutical product development will provide valuable contributions to the Board.</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and Committee Information</w:t>
      </w:r>
    </w:p>
    <w:p>
      <w:pPr>
        <w:spacing w:after="0" w:line="189" w:lineRule="exact"/>
        <w:rPr>
          <w:sz w:val="20"/>
          <w:szCs w:val="20"/>
          <w:color w:val="auto"/>
        </w:rPr>
      </w:pPr>
    </w:p>
    <w:p>
      <w:pPr>
        <w:ind w:left="60" w:right="219" w:firstLine="324"/>
        <w:spacing w:after="0" w:line="266" w:lineRule="auto"/>
        <w:rPr>
          <w:sz w:val="20"/>
          <w:szCs w:val="20"/>
          <w:color w:val="auto"/>
        </w:rPr>
      </w:pPr>
      <w:r>
        <w:rPr>
          <w:rFonts w:ascii="Times New Roman" w:cs="Times New Roman" w:eastAsia="Times New Roman" w:hAnsi="Times New Roman"/>
          <w:sz w:val="18"/>
          <w:szCs w:val="18"/>
          <w:color w:val="auto"/>
        </w:rPr>
        <w:t>During fiscal 2024, our Board of Directors met 12 times, the audit committee met four times, the capital raise committee met four times, and the pricing committee met two times. In 2024, each of our incumbent directors attended at least 75% of the meetings of the Board and committees on which he or she then served as a member.</w:t>
      </w:r>
    </w:p>
    <w:p>
      <w:pPr>
        <w:spacing w:after="0" w:line="149" w:lineRule="exact"/>
        <w:rPr>
          <w:sz w:val="20"/>
          <w:szCs w:val="20"/>
          <w:color w:val="auto"/>
        </w:rPr>
      </w:pPr>
    </w:p>
    <w:p>
      <w:pPr>
        <w:ind w:left="60" w:right="339" w:firstLine="324"/>
        <w:spacing w:after="0" w:line="258" w:lineRule="auto"/>
        <w:rPr>
          <w:sz w:val="20"/>
          <w:szCs w:val="20"/>
          <w:color w:val="auto"/>
        </w:rPr>
      </w:pPr>
      <w:r>
        <w:rPr>
          <w:rFonts w:ascii="Times New Roman" w:cs="Times New Roman" w:eastAsia="Times New Roman" w:hAnsi="Times New Roman"/>
          <w:sz w:val="18"/>
          <w:szCs w:val="18"/>
          <w:color w:val="auto"/>
        </w:rPr>
        <w:t>Executive sessions, which are meetings of the non-management members of the Board, are regularly scheduled throughout the year. In addition, at least twice per year, the independent directors meet in a private session that excludes management and any non-independent directors. The Chair of the Board presides at each of these meetings and, in his absence, the non-management and independent directors in attendance, as applicable, determine which member will preside at such session.</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our Board with flexibility to combine or separate the positions of Chairperson of the Board and Chief Executive Officer in accordance with its determination that utilizing one or the other structure would be in the best interests of the Company and its stockholders. If the Chairperson of the Board is a member of management or does not otherwise qualify as independent, our Corporate Governance Guidelines provide for the appointment by the independent directors of a lead independent director (the “Lead Director”). The Lead Director’s responsibilities include, but are not limited to: presiding over all meetings of the Board at which the Chairperson of the Board is not present, including any executive sessions of the independent directors; approving Board meeting schedules and agendas; and acting as the liaison between the independent directors and the Chief Executive Officer and Chairperson of the Board. Our Corporate Governance Guidelines provide that, at such times as the Chairperson of the Board qualifies as independent, the Chairperson of the Board will serve as Lead Director.</w:t>
      </w:r>
    </w:p>
    <w:p>
      <w:pPr>
        <w:spacing w:after="0" w:line="167"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The positions of our Chair of the Board and our Chief Executive Officer are currently served by two separate persons. Dr. Mueller serves as Chairman of the Board, and Dr. Mehta serves as our Chief Executive Officer. In his capacity as the independent Board Chair, Dr. Mueller performs the functions of the Lead Director.</w:t>
      </w:r>
    </w:p>
    <w:p>
      <w:pPr>
        <w:spacing w:after="0" w:line="135"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Board believes that our current leadership structure of Chief Executive Officer and Chair of the Board being held by two separate individuals is in the best interests of the Company and its stockholders and strikes the appropriate balance between the Chief Executive Officer and President’s responsibility for the strategic direction, day-to day-leadership and performance of our Company and the Chair of the Board’s responsibility to guide overall strategic direction of our Company and provide oversight of our corporate governance and guidance to our Chief Executive Officer and President and to set the agenda for and preside over Board meetings. We recognize that different leadership structures may be appropriate for companies in different situations and believe that no one structure is suitable for all companies. Accordingly, the Board will continue to periodically review our leadership structure and make such changes in the future as it deems appropriate and in the best interests of the Company and its stockholders.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02" w:lineRule="exact"/>
        <w:rPr>
          <w:sz w:val="20"/>
          <w:szCs w:val="20"/>
          <w:color w:val="auto"/>
        </w:rPr>
      </w:pPr>
    </w:p>
    <w:p>
      <w:pPr>
        <w:ind w:left="60" w:right="19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Board has three standing committees: an audit committee, a compensation committee and a nominating and corporate governance committee, each of which has the composition and the responsibilities described below. In addition, from time to time, special committees may be established under the direction of our Board when necessary to address specific issues. Each of the audit committee, the compensation committee and the nominating and corporate governance committee operates under a written charter which are available in the “Governance - Governance Documents” section of the “Investors” page of our website located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2"/>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Bray</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Sandeep Laumas, M.D.</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Chair</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Mueller, Ph.D.</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Chair</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Miller</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Michal Votruba, M.D.</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Mack</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Rajiv Patni</w:t>
            </w:r>
          </w:p>
        </w:tc>
        <w:tc>
          <w:tcPr>
            <w:tcW w:w="15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85" w:lineRule="exact"/>
        <w:rPr>
          <w:sz w:val="20"/>
          <w:szCs w:val="20"/>
          <w:color w:val="auto"/>
        </w:rPr>
      </w:pPr>
    </w:p>
    <w:p>
      <w:pPr>
        <w:ind w:left="1040" w:right="73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34" w:lineRule="exact"/>
        <w:rPr>
          <w:rFonts w:ascii="Times New Roman" w:cs="Times New Roman" w:eastAsia="Times New Roman" w:hAnsi="Times New Roman"/>
          <w:sz w:val="18"/>
          <w:szCs w:val="18"/>
          <w:color w:val="auto"/>
        </w:rPr>
      </w:pPr>
    </w:p>
    <w:p>
      <w:pPr>
        <w:ind w:left="1040" w:right="19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such firm;</w:t>
      </w:r>
    </w:p>
    <w:p>
      <w:pPr>
        <w:spacing w:after="0" w:line="121" w:lineRule="exact"/>
        <w:rPr>
          <w:rFonts w:ascii="Times New Roman" w:cs="Times New Roman" w:eastAsia="Times New Roman" w:hAnsi="Times New Roman"/>
          <w:sz w:val="18"/>
          <w:szCs w:val="18"/>
          <w:color w:val="auto"/>
        </w:rPr>
      </w:pPr>
    </w:p>
    <w:p>
      <w:pPr>
        <w:ind w:left="1040" w:right="81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our annual and quarterly financial statements and related disclosures with management and our independent registered public accounting firm;</w:t>
      </w:r>
    </w:p>
    <w:p>
      <w:pPr>
        <w:spacing w:after="0" w:line="12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whether to recommend to the Board that the Company’s audited financial statements be included in the Company’s Annual Report on Form 10-K;</w:t>
      </w:r>
    </w:p>
    <w:p>
      <w:pPr>
        <w:spacing w:after="0" w:line="134"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our Board’s oversight of our internal control over financial reporting, disclosure controls and procedures and code of business conduct and ethics;</w:t>
      </w:r>
    </w:p>
    <w:p>
      <w:pPr>
        <w:spacing w:after="0" w:line="121"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assessment and risk management policies, and overseeing management of our financial risks, cybersecurity risks, information security risks, and, as necessary or advisable, such other material risks facing the Company;</w:t>
      </w:r>
    </w:p>
    <w:p>
      <w:pPr>
        <w:spacing w:after="0" w:line="135"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auditors, if any, independent registered public accounting firm and management;</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our investment policy;</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w:t>
      </w:r>
    </w:p>
    <w:p>
      <w:pPr>
        <w:spacing w:after="0" w:line="184" w:lineRule="exact"/>
        <w:rPr>
          <w:rFonts w:ascii="Times New Roman" w:cs="Times New Roman" w:eastAsia="Times New Roman" w:hAnsi="Times New Roman"/>
          <w:sz w:val="18"/>
          <w:szCs w:val="18"/>
          <w:color w:val="auto"/>
        </w:rPr>
      </w:pPr>
    </w:p>
    <w:p>
      <w:pPr>
        <w:ind w:left="1040" w:right="339" w:hanging="315"/>
        <w:spacing w:after="0" w:line="266"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non-audit services provided to us by our independent auditor (other than those provided pursuant to appropriate preapproval policies established by the committee or exempt from such requirement under SEC rules);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619" w:hanging="315"/>
        <w:spacing w:after="0" w:line="266"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3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The current members of our audit committee are Peter Mueller, Sandeep Laumas, Michael Miller and Michal Votruba, with Dr. Laumas serving as chair. All members of our audit committee meet the requirements for financial literacy under the applicable Nasdaq rules and regulations. Our Board has affirmatively determined that each member of our audit committee qualifies as “independent” under Nasdaq’s additional standards applicable to audit committee members and Rule 10A-3 of the Exchange Act applicable to audit committee members. In addition, our Board has determined that each of Dr. Laumas, Mr. Miller, Dr. Mueller, and Dr. Votruba qualifies as an “audit committee financial expert,” as such term is defined in Item 407(d)(5) of Regulation S-K.</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1040" w:right="239" w:hanging="315"/>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board of directors, the compensation of our Chief Executive Officer and our other executive officers;</w:t>
      </w:r>
    </w:p>
    <w:p>
      <w:pPr>
        <w:spacing w:after="0" w:line="134" w:lineRule="exact"/>
        <w:rPr>
          <w:rFonts w:ascii="Times New Roman" w:cs="Times New Roman" w:eastAsia="Times New Roman" w:hAnsi="Times New Roman"/>
          <w:sz w:val="18"/>
          <w:szCs w:val="18"/>
          <w:color w:val="auto"/>
        </w:rPr>
      </w:pPr>
    </w:p>
    <w:p>
      <w:pPr>
        <w:ind w:left="1040" w:right="719" w:hanging="315"/>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make recommendations to the Board regarding the Company’s incentive compensation plans and equity-based plans and arrangements;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incentive compensation and equity-based plans and arrangement;</w:t>
      </w:r>
    </w:p>
    <w:p>
      <w:pPr>
        <w:spacing w:after="0" w:line="184" w:lineRule="exact"/>
        <w:rPr>
          <w:rFonts w:ascii="Times New Roman" w:cs="Times New Roman" w:eastAsia="Times New Roman" w:hAnsi="Times New Roman"/>
          <w:sz w:val="18"/>
          <w:szCs w:val="18"/>
          <w:color w:val="auto"/>
        </w:rPr>
      </w:pPr>
    </w:p>
    <w:p>
      <w:pPr>
        <w:ind w:left="1040" w:right="639" w:hanging="315"/>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making recommendations to our board of directors with respect to director compensation;</w:t>
      </w:r>
    </w:p>
    <w:p>
      <w:pPr>
        <w:spacing w:after="0" w:line="134" w:lineRule="exact"/>
        <w:rPr>
          <w:rFonts w:ascii="Times New Roman" w:cs="Times New Roman" w:eastAsia="Times New Roman" w:hAnsi="Times New Roman"/>
          <w:sz w:val="18"/>
          <w:szCs w:val="18"/>
          <w:color w:val="auto"/>
        </w:rPr>
      </w:pPr>
    </w:p>
    <w:p>
      <w:pPr>
        <w:ind w:left="1040" w:right="319" w:hanging="315"/>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annually with management our “Compensation Discussion and Analysis,” to the extent required;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results of the most recent stockholder advisory vote on executive compensation, and reviewing and recommending to our board of directors for approval the frequency with which we should conduct such votes, to the extent required; and</w:t>
      </w:r>
    </w:p>
    <w:p>
      <w:pPr>
        <w:spacing w:after="0" w:line="148"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programs and policies as may be applicable, regarding talent management (including retention, development and training) and diversity and inclusion.</w:t>
      </w:r>
    </w:p>
    <w:p>
      <w:pPr>
        <w:spacing w:after="0" w:line="135"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current members of our compensation committee are Peter Mueller, Ph.D., David Mack and Sandeep Laumas, M.D., with Dr. Mueller serving as chair. Our Board has determined that each member of our compensation committee qualifies as “independent” under Nasdaq’s additional standards applicable to compensation committee members and is a “non-employee director” as defined in Section 16b-3 of the Exchange Act.</w:t>
      </w:r>
    </w:p>
    <w:p>
      <w:pPr>
        <w:spacing w:after="0" w:line="139" w:lineRule="exact"/>
        <w:rPr>
          <w:sz w:val="20"/>
          <w:szCs w:val="20"/>
          <w:color w:val="auto"/>
        </w:rPr>
      </w:pPr>
    </w:p>
    <w:p>
      <w:pPr>
        <w:ind w:left="60" w:right="119" w:firstLine="324"/>
        <w:spacing w:after="0" w:line="273" w:lineRule="auto"/>
        <w:rPr>
          <w:sz w:val="20"/>
          <w:szCs w:val="20"/>
          <w:color w:val="auto"/>
        </w:rPr>
      </w:pPr>
      <w:r>
        <w:rPr>
          <w:rFonts w:ascii="Times New Roman" w:cs="Times New Roman" w:eastAsia="Times New Roman" w:hAnsi="Times New Roman"/>
          <w:sz w:val="17"/>
          <w:szCs w:val="17"/>
          <w:color w:val="auto"/>
        </w:rPr>
        <w:t>The compensation committee generally considers the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Consultants</w:t>
      </w:r>
    </w:p>
    <w:p>
      <w:pPr>
        <w:spacing w:after="0" w:line="20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authority under its charter to retain outside consultants or advisors, as it deems necessary or advisable. In accordance with this authority, the compensation committee.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w:t>
      </w:r>
    </w:p>
    <w:p>
      <w:pPr>
        <w:spacing w:after="0" w:line="198" w:lineRule="exact"/>
        <w:rPr>
          <w:rFonts w:ascii="Times New Roman" w:cs="Times New Roman" w:eastAsia="Times New Roman" w:hAnsi="Times New Roman"/>
          <w:sz w:val="18"/>
          <w:szCs w:val="18"/>
          <w:color w:val="auto"/>
        </w:rPr>
      </w:pPr>
    </w:p>
    <w:p>
      <w:pPr>
        <w:ind w:left="720" w:right="339" w:hanging="319"/>
        <w:spacing w:after="0" w:line="282"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and to each committee of the Board;</w:t>
      </w:r>
    </w:p>
    <w:p>
      <w:pPr>
        <w:spacing w:after="0" w:line="121" w:lineRule="exact"/>
        <w:rPr>
          <w:rFonts w:ascii="Times New Roman" w:cs="Times New Roman" w:eastAsia="Times New Roman" w:hAnsi="Times New Roman"/>
          <w:sz w:val="18"/>
          <w:szCs w:val="18"/>
          <w:color w:val="auto"/>
        </w:rPr>
      </w:pPr>
    </w:p>
    <w:p>
      <w:pPr>
        <w:ind w:left="720" w:right="179" w:hanging="319"/>
        <w:spacing w:after="0" w:line="282"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guidelines, and reviewing and recommending to our board of directors proposed changes to our corporate governance guidelines from time to time;</w:t>
      </w:r>
    </w:p>
    <w:p>
      <w:pPr>
        <w:spacing w:after="0" w:line="121"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in connection with a director’s notification of a change in employment or other circumstances; and</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evaluation of our Board.</w:t>
      </w:r>
    </w:p>
    <w:p>
      <w:pPr>
        <w:spacing w:after="0" w:line="22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June Bray, Sandeep Laumas and Peter Mueller, with Peter Mueller serving as chair. Our Board has determined that each of Ms. Bray and Drs. Laumas and Mueller qualifies as “independent” under applicable Nasdaq rules applicable to nominating and corporate governance committee members.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8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 copy of our Code of Business Conduct and Ethics is available under the “Governance - Governance Documents” section of the Investors page of our website located at </w:t>
      </w:r>
      <w:r>
        <w:rPr>
          <w:rFonts w:ascii="Times New Roman" w:cs="Times New Roman" w:eastAsia="Times New Roman" w:hAnsi="Times New Roman"/>
          <w:sz w:val="18"/>
          <w:szCs w:val="18"/>
          <w:i w:val="1"/>
          <w:iCs w:val="1"/>
          <w:color w:val="auto"/>
        </w:rPr>
        <w:t>www.bioxceltherapeutics.com</w:t>
      </w:r>
      <w:r>
        <w:rPr>
          <w:rFonts w:ascii="Times New Roman" w:cs="Times New Roman" w:eastAsia="Times New Roman" w:hAnsi="Times New Roman"/>
          <w:sz w:val="18"/>
          <w:szCs w:val="18"/>
          <w:color w:val="auto"/>
        </w:rPr>
        <w:t>, or by writing to our Corporate Secretary at our offices at 555 Long Wharf Drive,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Haven, CT 06511. We intend to make any required disclosures regarding amendments to, or waivers of, provisions of our Code of Conduct on our website rather than by filing a Current Report on Form 8-K.</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89" w:lineRule="exact"/>
        <w:rPr>
          <w:sz w:val="20"/>
          <w:szCs w:val="20"/>
          <w:color w:val="auto"/>
        </w:rPr>
      </w:pPr>
    </w:p>
    <w:p>
      <w:pPr>
        <w:ind w:left="60" w:right="319" w:firstLine="324"/>
        <w:spacing w:after="0" w:line="261" w:lineRule="auto"/>
        <w:rPr>
          <w:sz w:val="20"/>
          <w:szCs w:val="20"/>
          <w:color w:val="auto"/>
        </w:rPr>
      </w:pPr>
      <w:r>
        <w:rPr>
          <w:rFonts w:ascii="Times New Roman" w:cs="Times New Roman" w:eastAsia="Times New Roman" w:hAnsi="Times New Roman"/>
          <w:sz w:val="18"/>
          <w:szCs w:val="18"/>
          <w:color w:val="auto"/>
        </w:rPr>
        <w:t>We maintain an Insider Trading Compliance Policy governing the purchase, sale, and other disposition of Company securities that is applicable to all of our directors, officers and employees. We believe our Insider Trading Compliance Policy and procedures are reasonably designed to promote compliance with insider trading laws. A copy of our Insider Trading Compliance Policy is filed hereto as Exhibit 19.1.</w:t>
      </w:r>
    </w:p>
    <w:p>
      <w:pPr>
        <w:spacing w:after="0" w:line="139" w:lineRule="exact"/>
        <w:rPr>
          <w:sz w:val="20"/>
          <w:szCs w:val="20"/>
          <w:color w:val="auto"/>
        </w:rPr>
      </w:pPr>
    </w:p>
    <w:p>
      <w:pPr>
        <w:ind w:left="60" w:right="159" w:firstLine="324"/>
        <w:spacing w:after="0" w:line="258" w:lineRule="auto"/>
        <w:rPr>
          <w:sz w:val="20"/>
          <w:szCs w:val="20"/>
          <w:color w:val="auto"/>
        </w:rPr>
      </w:pPr>
      <w:r>
        <w:rPr>
          <w:rFonts w:ascii="Times New Roman" w:cs="Times New Roman" w:eastAsia="Times New Roman" w:hAnsi="Times New Roman"/>
          <w:sz w:val="18"/>
          <w:szCs w:val="18"/>
          <w:color w:val="auto"/>
        </w:rPr>
        <w:t>The policy additionally prohibits our directors, officers and employees from purchasing financial instruments, such as prepaid variable forward contracts, equity swaps, collars, and exchange funds, or otherwise engaging in transactions that hedge or offset, or are designed to hedge or offset, any decrease in the market value of our equity securities. All such transactions involving our equity securities, whether such securities were granted as compensation or are otherwise held, directly or indirectly, are prohibited.</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Recovery Policy (Clawback Policy)</w:t>
      </w:r>
    </w:p>
    <w:p>
      <w:pPr>
        <w:spacing w:after="0" w:line="189" w:lineRule="exact"/>
        <w:rPr>
          <w:sz w:val="20"/>
          <w:szCs w:val="20"/>
          <w:color w:val="auto"/>
        </w:rPr>
      </w:pPr>
    </w:p>
    <w:p>
      <w:pPr>
        <w:ind w:left="60" w:right="199" w:firstLine="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2023, we adopted a </w:t>
      </w:r>
      <w:hyperlink r:id="rId168">
        <w:r>
          <w:rPr>
            <w:rFonts w:ascii="Times New Roman" w:cs="Times New Roman" w:eastAsia="Times New Roman" w:hAnsi="Times New Roman"/>
            <w:sz w:val="18"/>
            <w:szCs w:val="18"/>
            <w:u w:val="single" w:color="auto"/>
            <w:color w:val="0000EE"/>
          </w:rPr>
          <w:t>compensation</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recovery, or “clawback,” policy (the “Clawback Policy”) in accordance with the Nasdaq listing standards and Exchange Act Rule 10D-1. The Clawback Policy provides for the mandatory recovery (subject to limited exceptions) from current and former officers of incentive-based compensation that was erroneously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received during the three years preceding the date that the Company is required to prepare an accounting restatement. The Clawback Policy is overseen and administered by the Compensation Committee. The full text of the Clawback Policy was included as Exhibit 97 to our Annual Report on Form 10-K for the fiscal year ended December 31, 2023, which was filed with the SEC on March 22, 2024.</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Interested Persons’ Communications with the Board</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To help foster input and insight from the Company’s stockholders and other interested parties (collectively, “Interested Parties”), Interested Parties may communicate with, or otherwise make his or her concerns known directly to, the Chairperson of the Board, the lead director, if any, any chairperson of a Board committee, or the non-management or independent members of the Board, by addressing such communications to the intended recipient by name or position in care of: BioXcel Therapeutics, Inc., Attn: Chief Legal Officer, 555 Long Wharf Drive, New Haven, Connecticut 06511. The Chief Legal Officer will forward such communications to the appropriate party.</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ind w:left="60" w:right="499"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compensation arrangements of our named executive officers (“NEOs”). As a smaller reporting company, we are not required to include a Compensation Discussion and Analysis section and have elected to comply with the scaled disclosure requirements applicable to smaller reporting companies.</w:t>
      </w:r>
    </w:p>
    <w:p>
      <w:pPr>
        <w:spacing w:after="0" w:line="135" w:lineRule="exact"/>
        <w:rPr>
          <w:sz w:val="20"/>
          <w:szCs w:val="20"/>
          <w:color w:val="auto"/>
        </w:rPr>
      </w:pPr>
    </w:p>
    <w:p>
      <w:pPr>
        <w:ind w:left="60" w:right="159" w:firstLine="324"/>
        <w:spacing w:after="0" w:line="282" w:lineRule="auto"/>
        <w:rPr>
          <w:sz w:val="20"/>
          <w:szCs w:val="20"/>
          <w:color w:val="auto"/>
        </w:rPr>
      </w:pPr>
      <w:r>
        <w:rPr>
          <w:rFonts w:ascii="Times New Roman" w:cs="Times New Roman" w:eastAsia="Times New Roman" w:hAnsi="Times New Roman"/>
          <w:sz w:val="18"/>
          <w:szCs w:val="18"/>
          <w:color w:val="auto"/>
        </w:rPr>
        <w:t>Our NEOs include our principal executive officer and our two most highly compensated executive officers, other than our principal executive officer, for the fiscal year ended December 31, 2024. These NEOs and their positions are:</w:t>
      </w:r>
    </w:p>
    <w:p>
      <w:pPr>
        <w:spacing w:after="0" w:line="121" w:lineRule="exact"/>
        <w:rPr>
          <w:sz w:val="20"/>
          <w:szCs w:val="20"/>
          <w:color w:val="auto"/>
        </w:rPr>
      </w:pPr>
    </w:p>
    <w:p>
      <w:pPr>
        <w:ind w:left="1040" w:hanging="315"/>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Vimal Mehta, Ph.D., our Chief Executive Officer and President;</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Javier Rodriquez, our Senior Vice President, Chief Legal Officer and Secretary;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Steinhart, our Senior Vice President and Chief Financial Officer.</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NEOs for the years presented.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80" w:type="dxa"/>
            <w:vAlign w:val="bottom"/>
            <w:gridSpan w:val="2"/>
            <w:vMerge w:val="continue"/>
          </w:tcPr>
          <w:p>
            <w:pPr>
              <w:spacing w:after="0"/>
              <w:rPr>
                <w:sz w:val="12"/>
                <w:szCs w:val="12"/>
                <w:color w:val="auto"/>
              </w:rPr>
            </w:pPr>
          </w:p>
        </w:tc>
        <w:tc>
          <w:tcPr>
            <w:tcW w:w="9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4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Vimal Mehta, Ph.D.</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1,001,570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4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1,001,569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2,615,928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4,731,147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Javier Rodriguez</w:t>
            </w:r>
          </w:p>
        </w:tc>
        <w:tc>
          <w:tcPr>
            <w:tcW w:w="540" w:type="dxa"/>
            <w:vAlign w:val="bottom"/>
            <w:gridSpan w:val="3"/>
          </w:tcPr>
          <w:p>
            <w:pPr>
              <w:jc w:val="center"/>
              <w:ind w:left="50"/>
              <w:spacing w:after="0" w:line="195" w:lineRule="exact"/>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17"/>
                <w:szCs w:val="17"/>
                <w:color w:val="auto"/>
              </w:rPr>
            </w:pPr>
          </w:p>
        </w:tc>
        <w:tc>
          <w:tcPr>
            <w:tcW w:w="8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423,833</w:t>
            </w:r>
          </w:p>
        </w:tc>
        <w:tc>
          <w:tcPr>
            <w:tcW w:w="160" w:type="dxa"/>
            <w:vAlign w:val="bottom"/>
          </w:tcPr>
          <w:p>
            <w:pPr>
              <w:spacing w:after="0"/>
              <w:rPr>
                <w:sz w:val="17"/>
                <w:szCs w:val="17"/>
                <w:color w:val="auto"/>
              </w:rPr>
            </w:pPr>
          </w:p>
        </w:tc>
        <w:tc>
          <w:tcPr>
            <w:tcW w:w="8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181,755</w:t>
            </w:r>
          </w:p>
        </w:tc>
        <w:tc>
          <w:tcPr>
            <w:tcW w:w="140" w:type="dxa"/>
            <w:vAlign w:val="bottom"/>
          </w:tcPr>
          <w:p>
            <w:pPr>
              <w:spacing w:after="0"/>
              <w:rPr>
                <w:sz w:val="17"/>
                <w:szCs w:val="17"/>
                <w:color w:val="auto"/>
              </w:rPr>
            </w:pPr>
          </w:p>
        </w:tc>
        <w:tc>
          <w:tcPr>
            <w:tcW w:w="8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398,530</w:t>
            </w:r>
          </w:p>
        </w:tc>
        <w:tc>
          <w:tcPr>
            <w:tcW w:w="140" w:type="dxa"/>
            <w:vAlign w:val="bottom"/>
          </w:tcPr>
          <w:p>
            <w:pPr>
              <w:spacing w:after="0"/>
              <w:rPr>
                <w:sz w:val="17"/>
                <w:szCs w:val="17"/>
                <w:color w:val="auto"/>
              </w:rPr>
            </w:pPr>
          </w:p>
        </w:tc>
        <w:tc>
          <w:tcPr>
            <w:tcW w:w="1100" w:type="dxa"/>
            <w:vAlign w:val="bottom"/>
            <w:gridSpan w:val="2"/>
          </w:tcPr>
          <w:p>
            <w:pPr>
              <w:ind w:left="7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8,625</w:t>
            </w:r>
          </w:p>
        </w:tc>
        <w:tc>
          <w:tcPr>
            <w:tcW w:w="140" w:type="dxa"/>
            <w:vAlign w:val="bottom"/>
          </w:tcPr>
          <w:p>
            <w:pPr>
              <w:spacing w:after="0"/>
              <w:rPr>
                <w:sz w:val="17"/>
                <w:szCs w:val="17"/>
                <w:color w:val="auto"/>
              </w:rPr>
            </w:pPr>
          </w:p>
        </w:tc>
        <w:tc>
          <w:tcPr>
            <w:tcW w:w="9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1,012,552</w:t>
            </w: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Senior VP and Chief Legal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4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423,833</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191,588</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498,272</w:t>
            </w:r>
          </w:p>
        </w:tc>
        <w:tc>
          <w:tcPr>
            <w:tcW w:w="1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Richard Steinhart</w:t>
            </w:r>
          </w:p>
        </w:tc>
        <w:tc>
          <w:tcPr>
            <w:tcW w:w="540" w:type="dxa"/>
            <w:vAlign w:val="bottom"/>
            <w:gridSpan w:val="3"/>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409,872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SVP and Chief Commercial</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19" w:hanging="330"/>
        <w:spacing w:after="0" w:line="244" w:lineRule="auto"/>
        <w:tabs>
          <w:tab w:leader="none" w:pos="3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grant date fair value of performance-based units, restricted stock units and stock options granted to our NEOs as computed in accordance with Accounting Standards Codification 718, Compensation - Stock Compensation (ASC 718). For all performance-based units, the amounts were calculated based on the probable outcome of the performance condition as of the grant date. The following are the values of the performance-based units as of the grant date assuming attainment of the maximum level of performance: Dr. Mehta ($300,000), Mr. Rodriguez ($84,000) and Mr. Steinhart ($84,000). Note that the amounts reported in these columns reflect the accounting cost for these awards and do not correspond to the actual economic value that may be received by our NEOs from the awards. We provided information regarding the assumptions used to calculate the value of the restricted stock units and stock options in Note 12 to our financial statements included herein.</w:t>
      </w:r>
    </w:p>
    <w:p>
      <w:pPr>
        <w:spacing w:after="0" w:line="109" w:lineRule="exact"/>
        <w:rPr>
          <w:rFonts w:ascii="Times New Roman" w:cs="Times New Roman" w:eastAsia="Times New Roman" w:hAnsi="Times New Roman"/>
          <w:sz w:val="14"/>
          <w:szCs w:val="14"/>
          <w:color w:val="auto"/>
        </w:rPr>
      </w:pPr>
    </w:p>
    <w:p>
      <w:pPr>
        <w:ind w:left="380" w:right="119" w:hanging="330"/>
        <w:spacing w:after="0" w:line="261" w:lineRule="auto"/>
        <w:tabs>
          <w:tab w:leader="none" w:pos="3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for 2024 represent reimbursement for healthcare benefits ($7,800) and ($4,128) for Dr. Mehta and Mr. Steinhart, respectively, and 401(k) matching contributions of ($8,625) for each named executive officer other than Mr. Steinhart. No bonus was paid for the year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89"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Our NEOs receive a base salary to compensate them for services rendered to the Company. The base salary payable to each NEO is intended to provide a fixed component of compensation reflecting the executive’s skill set, experience, role and responsibilities. The base salaries of our NEOs are reviewed from time to time and adjusted when our Board or compensation committee determines an adjustment is appropriate. The compensation committee determined not to increase the salaries of the NEOs in 2024.</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2024 Equity Awards</w:t>
      </w:r>
    </w:p>
    <w:p>
      <w:pPr>
        <w:spacing w:after="0" w:line="202"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During 2024, we awarded stock options, time-based restricted stock units and performance-based restricted stock units (“PSUs”) to our NEOs as the long-term incentive component of our executive compensation program. We typically grant equity awards at such times as our Board determines appropriate. The following table sets forth the equity awards we granted to our NEOs during 2024:</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2024 Equity Awards Granted (#)</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60" w:type="dxa"/>
            <w:vAlign w:val="bottom"/>
            <w:gridSpan w:val="2"/>
            <w:vMerge w:val="continue"/>
          </w:tcPr>
          <w:p>
            <w:pPr>
              <w:spacing w:after="0"/>
              <w:rPr>
                <w:sz w:val="14"/>
                <w:szCs w:val="14"/>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4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PSUs</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Vimal Mehta, Ph.D.</w:t>
            </w:r>
          </w:p>
        </w:tc>
        <w:tc>
          <w:tcPr>
            <w:tcW w:w="5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Javier Rodriguez</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Steinhart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options were granted with exercise prices equal to the fair market value of our common stock on the date of grant. The stock options generally vest and becomes exercisable as to 50% of the total number of shares underlying the option on each of the first and second anniversaries of the date of grant and the remaining become fully vested on the second anniversary of the date of the grant, subject, in each case, to the holder’s continued service through the applicable vesting date. The time-based restricted stock units generally vest fully on the first anniversary of the date of the grant, subject, in each case, to the holder’s continued service through the applicable vesting date.</w:t>
      </w:r>
    </w:p>
    <w:p>
      <w:pPr>
        <w:spacing w:after="0" w:line="147"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PSUs granted to Dr. Mehta, Mr. Rodriquez and Mr. Steinhart are eligible to vest within thirty days of the first anniversary of the grant date the participants continued employment with the Company and based on the attainment of the following performance metrics, as determined by the Board: (i) a satisfactory completion of securing at least $25 million of additional funding for the Company (50% of the PSUs); (ii) successfully initiates trials for its Serenity and Tranquility programs and progress towards data readouts for such program trials (25% of the PSUs); (iii) significant progress towards achieving $5 million in IGALMI revenues (15% of the PSUs); and (iv) making progress towards securing a partnership deal (10% of the PSUs). The Board decided to grant PSUs during 2024 in order to further align the interests of Dr. Mehta, Mr. Rodriquez and Mr. Steinhart with the strategic clinical and operational objectives of the Company.</w:t>
      </w:r>
    </w:p>
    <w:p>
      <w:pPr>
        <w:spacing w:after="0" w:line="165"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Refer to the “Outstanding Equity Awards at Year End” table below for additional information regarding the equity awards granted to our NEOs during 2024.</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2024 Annual Bonuses</w:t>
      </w:r>
    </w:p>
    <w:p>
      <w:pPr>
        <w:spacing w:after="0" w:line="189"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We offer our NEOs the opportunity to earn discretionary annual cash bonuses to compensate them for attaining company and individual performance goals. Each NEO’s target bonus opportunity is expressed as a percentage of annual base salary. Pursuant to the Fifth Amendment to the Credit Agreement, we are restricted from paying cash bonuses to our employees or executives during the fiscal years 2024 and 2025 without OFA’s consent or increasing the cash compensation for fiscal year 2025 for certain senior officers of the Company from their compensation for fiscal year 2024.</w:t>
      </w:r>
    </w:p>
    <w:p>
      <w:pPr>
        <w:spacing w:after="0" w:line="156"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performance goals for annual bonuses are reviewed and approved annually by the compensation committee. For 2024, the annual bonus metrics established by the compensation committee were based on the achievement of certain company performance goals, as well as an assessment of individual performance. In early 2025 the Board determined that it would use its discretion to not award annual bonuses for 2024 performance to the NEOs.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202"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Our NEOs are eligible to participate in our employee benefit plans and programs, which generally include medical, dental and vision benefits, and life, short-term, and long-term disability insurance to the same extent as our other full-time employees generally, subject to the terms and eligibility requirements of those plans. During 2024, we reimbursed Dr. Mehta for his healthcare premium payments.</w:t>
      </w:r>
    </w:p>
    <w:p>
      <w:pPr>
        <w:spacing w:after="0" w:line="139"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maintain a 401(k) defined contribution plan (the “401(k) Plan”), for the benefit of our employees who satisfy certain eligibility requirements. Our NEOs are eligible to participate in the 401(k) Plan on the same terms as other full-time employees. In 2024, we matched employee contributions to the 401(k) Plan up to 50% of the first 5% of eligible compensation.</w:t>
      </w:r>
    </w:p>
    <w:p>
      <w:pPr>
        <w:spacing w:after="0" w:line="139"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The amounts paid pursuant to these arrangements are set forth in the Summary Compensation Table in the column entitled “All Other Compensation.”</w:t>
      </w:r>
    </w:p>
    <w:p>
      <w:pPr>
        <w:spacing w:after="0" w:line="135"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MNPI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 at Year End</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all outstanding equity awards held by each of the NEOs as of December 31, 2024.</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Payout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1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Unearned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7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 or</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Units of</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Units or</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Stock</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Rights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Rights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8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That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40" w:type="dxa"/>
            <w:vAlign w:val="bottom"/>
          </w:tcPr>
          <w:p>
            <w:pPr>
              <w:spacing w:after="0"/>
              <w:rPr>
                <w:sz w:val="12"/>
                <w:szCs w:val="12"/>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14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Commencement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14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4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Vested</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0" w:type="dxa"/>
            <w:vAlign w:val="bottom"/>
          </w:tcPr>
          <w:p>
            <w:pPr>
              <w:spacing w:after="0"/>
              <w:rPr>
                <w:sz w:val="1"/>
                <w:szCs w:val="1"/>
                <w:color w:val="auto"/>
              </w:rPr>
            </w:pPr>
          </w:p>
        </w:tc>
      </w:tr>
      <w:tr>
        <w:trPr>
          <w:trHeight w:val="165"/>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1140" w:type="dxa"/>
            <w:vAlign w:val="bottom"/>
            <w:gridSpan w:val="3"/>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640" w:type="dxa"/>
            <w:vAlign w:val="bottom"/>
            <w:gridSpan w:val="2"/>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5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Vimal Mehta, Ph.D.</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ind w:left="340"/>
              <w:spacing w:after="0" w:line="142" w:lineRule="exact"/>
              <w:rPr>
                <w:sz w:val="20"/>
                <w:szCs w:val="20"/>
                <w:color w:val="auto"/>
              </w:rPr>
            </w:pPr>
            <w:r>
              <w:rPr>
                <w:rFonts w:ascii="Times New Roman" w:cs="Times New Roman" w:eastAsia="Times New Roman" w:hAnsi="Times New Roman"/>
                <w:sz w:val="13"/>
                <w:szCs w:val="13"/>
                <w:color w:val="auto"/>
              </w:rPr>
              <w:t>08/23/2017</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18,376</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6.56</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08/23/2027</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05/23/2019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05/23/2029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05/26/2020</w:t>
            </w:r>
          </w:p>
        </w:tc>
        <w:tc>
          <w:tcPr>
            <w:tcW w:w="140" w:type="dxa"/>
            <w:vAlign w:val="bottom"/>
            <w:vMerge w:val="continue"/>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15,625</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735.84</w:t>
            </w:r>
          </w:p>
        </w:tc>
        <w:tc>
          <w:tcPr>
            <w:tcW w:w="8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05/26/2030</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03/25/2021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658.72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03/25/2031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03/14/2022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03/14/2032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03/14/2022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4,882</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03/15/2023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03/14/2033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03/15/2023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07/22/2024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6,250</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07/22/2034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07/22/2024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Javier Rodriquez</w:t>
            </w:r>
          </w:p>
        </w:tc>
        <w:tc>
          <w:tcPr>
            <w:tcW w:w="120" w:type="dxa"/>
            <w:vAlign w:val="bottom"/>
          </w:tcPr>
          <w:p>
            <w:pPr>
              <w:spacing w:after="0"/>
              <w:rPr>
                <w:sz w:val="11"/>
                <w:szCs w:val="11"/>
                <w:color w:val="auto"/>
              </w:rPr>
            </w:pPr>
          </w:p>
        </w:tc>
        <w:tc>
          <w:tcPr>
            <w:tcW w:w="1000" w:type="dxa"/>
            <w:vAlign w:val="bottom"/>
            <w:gridSpan w:val="2"/>
          </w:tcPr>
          <w:p>
            <w:pPr>
              <w:ind w:left="340"/>
              <w:spacing w:after="0" w:line="129" w:lineRule="exact"/>
              <w:rPr>
                <w:sz w:val="20"/>
                <w:szCs w:val="20"/>
                <w:color w:val="auto"/>
              </w:rPr>
            </w:pPr>
            <w:r>
              <w:rPr>
                <w:rFonts w:ascii="Times New Roman" w:cs="Times New Roman" w:eastAsia="Times New Roman" w:hAnsi="Times New Roman"/>
                <w:sz w:val="13"/>
                <w:szCs w:val="13"/>
                <w:color w:val="auto"/>
              </w:rPr>
              <w:t>02/22/2021</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1,917</w:t>
            </w:r>
          </w:p>
        </w:tc>
        <w:tc>
          <w:tcPr>
            <w:tcW w:w="14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84</w:t>
            </w:r>
          </w:p>
        </w:tc>
        <w:tc>
          <w:tcPr>
            <w:tcW w:w="14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878.40</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02/22/2031</w:t>
            </w:r>
          </w:p>
        </w:tc>
        <w:tc>
          <w:tcPr>
            <w:tcW w:w="14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08/16/2021 </w:t>
            </w:r>
            <w:r>
              <w:rPr>
                <w:rFonts w:ascii="Times New Roman" w:cs="Times New Roman" w:eastAsia="Times New Roman" w:hAnsi="Times New Roman"/>
                <w:sz w:val="17"/>
                <w:szCs w:val="17"/>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381.44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08/16/2031</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03/14/2022 </w:t>
            </w:r>
            <w:r>
              <w:rPr>
                <w:rFonts w:ascii="Times New Roman" w:cs="Times New Roman" w:eastAsia="Times New Roman" w:hAnsi="Times New Roman"/>
                <w:sz w:val="17"/>
                <w:szCs w:val="17"/>
                <w:color w:val="auto"/>
                <w:vertAlign w:val="superscript"/>
              </w:rPr>
              <w:t>(2)</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03/14/2032</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03/14/2022 </w:t>
            </w:r>
            <w:r>
              <w:rPr>
                <w:rFonts w:ascii="Times New Roman" w:cs="Times New Roman" w:eastAsia="Times New Roman" w:hAnsi="Times New Roman"/>
                <w:sz w:val="17"/>
                <w:szCs w:val="17"/>
                <w:color w:val="auto"/>
                <w:vertAlign w:val="superscript"/>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03/15/2023 </w:t>
            </w:r>
            <w:r>
              <w:rPr>
                <w:rFonts w:ascii="Times New Roman" w:cs="Times New Roman" w:eastAsia="Times New Roman" w:hAnsi="Times New Roman"/>
                <w:sz w:val="17"/>
                <w:szCs w:val="17"/>
                <w:color w:val="auto"/>
                <w:vertAlign w:val="superscript"/>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313.60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03/15/2033</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03/15/2023 </w:t>
            </w:r>
            <w:r>
              <w:rPr>
                <w:rFonts w:ascii="Times New Roman" w:cs="Times New Roman" w:eastAsia="Times New Roman" w:hAnsi="Times New Roman"/>
                <w:sz w:val="17"/>
                <w:szCs w:val="17"/>
                <w:color w:val="auto"/>
                <w:vertAlign w:val="superscript"/>
              </w:rPr>
              <w:t>(5)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07/22/2024 </w:t>
            </w:r>
            <w:r>
              <w:rPr>
                <w:rFonts w:ascii="Times New Roman" w:cs="Times New Roman" w:eastAsia="Times New Roman" w:hAnsi="Times New Roman"/>
                <w:sz w:val="17"/>
                <w:szCs w:val="17"/>
                <w:color w:val="auto"/>
                <w:vertAlign w:val="superscript"/>
              </w:rPr>
              <w:t>(7)</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07/22/2034</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07/22/2024 </w:t>
            </w:r>
            <w:r>
              <w:rPr>
                <w:rFonts w:ascii="Times New Roman" w:cs="Times New Roman" w:eastAsia="Times New Roman" w:hAnsi="Times New Roman"/>
                <w:sz w:val="17"/>
                <w:szCs w:val="17"/>
                <w:color w:val="auto"/>
                <w:vertAlign w:val="superscript"/>
              </w:rPr>
              <w:t>(8)</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gridSpan w:val="4"/>
          </w:tcPr>
          <w:p>
            <w:pPr>
              <w:ind w:left="460"/>
              <w:spacing w:after="0" w:line="168" w:lineRule="exact"/>
              <w:rPr>
                <w:sz w:val="20"/>
                <w:szCs w:val="20"/>
                <w:color w:val="auto"/>
              </w:rPr>
            </w:pPr>
            <w:r>
              <w:rPr>
                <w:rFonts w:ascii="Times New Roman" w:cs="Times New Roman" w:eastAsia="Times New Roman" w:hAnsi="Times New Roman"/>
                <w:sz w:val="13"/>
                <w:szCs w:val="13"/>
                <w:color w:val="auto"/>
              </w:rPr>
              <w:t xml:space="preserve">07/22/2024 </w:t>
            </w:r>
            <w:r>
              <w:rPr>
                <w:rFonts w:ascii="Times New Roman" w:cs="Times New Roman" w:eastAsia="Times New Roman" w:hAnsi="Times New Roman"/>
                <w:sz w:val="19"/>
                <w:szCs w:val="19"/>
                <w:color w:val="auto"/>
                <w:vertAlign w:val="superscript"/>
              </w:rPr>
              <w:t>(6)</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Richard Steinhart</w:t>
            </w:r>
          </w:p>
        </w:tc>
        <w:tc>
          <w:tcPr>
            <w:tcW w:w="1260" w:type="dxa"/>
            <w:vAlign w:val="bottom"/>
            <w:gridSpan w:val="4"/>
            <w:shd w:val="clear" w:color="auto" w:fill="CCEEFF"/>
          </w:tcPr>
          <w:p>
            <w:pPr>
              <w:ind w:left="460"/>
              <w:spacing w:after="0" w:line="149" w:lineRule="exact"/>
              <w:rPr>
                <w:sz w:val="20"/>
                <w:szCs w:val="20"/>
                <w:color w:val="auto"/>
              </w:rPr>
            </w:pPr>
            <w:r>
              <w:rPr>
                <w:rFonts w:ascii="Times New Roman" w:cs="Times New Roman" w:eastAsia="Times New Roman" w:hAnsi="Times New Roman"/>
                <w:sz w:val="12"/>
                <w:szCs w:val="12"/>
                <w:color w:val="auto"/>
              </w:rPr>
              <w:t xml:space="preserve">10/02/2017 </w:t>
            </w:r>
            <w:r>
              <w:rPr>
                <w:rFonts w:ascii="Times New Roman" w:cs="Times New Roman" w:eastAsia="Times New Roman" w:hAnsi="Times New Roman"/>
                <w:sz w:val="17"/>
                <w:szCs w:val="17"/>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10/02/2027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2"/>
                <w:szCs w:val="12"/>
                <w:color w:val="auto"/>
              </w:rPr>
              <w:t xml:space="preserve">03/12/2018 </w:t>
            </w:r>
            <w:r>
              <w:rPr>
                <w:rFonts w:ascii="Times New Roman" w:cs="Times New Roman" w:eastAsia="Times New Roman" w:hAnsi="Times New Roman"/>
                <w:sz w:val="17"/>
                <w:szCs w:val="17"/>
                <w:color w:val="auto"/>
                <w:vertAlign w:val="superscript"/>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03/12/2028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05/26/2020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3,438</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735.84</w:t>
            </w:r>
          </w:p>
        </w:tc>
        <w:tc>
          <w:tcPr>
            <w:tcW w:w="8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05/25/2030</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03/25/2021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658.72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03/25/2031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03/14/2022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03/14/2032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03/14/2022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03/15/2023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313.60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03/15/2033</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03/15/2023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07/22/2024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07/22/2034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07/22/2024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07/22/2024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99" w:hanging="330"/>
        <w:spacing w:after="0" w:line="233"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are based on the closing price of our common stock on December 31, 2024 of $5.9840 per share. For the restricted stock units in Employee Holdings, the amount shown is based on the fair market value of such awards as of December 31, 2024.</w:t>
      </w:r>
    </w:p>
    <w:p>
      <w:pPr>
        <w:ind w:left="380" w:hanging="330"/>
        <w:spacing w:after="0" w:line="221"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unvested portion of the option vests in substantially equal monthly installments until the fourth anniversary of the vesting commencement date.</w:t>
      </w:r>
    </w:p>
    <w:p>
      <w:pPr>
        <w:ind w:left="380" w:right="179" w:hanging="330"/>
        <w:spacing w:after="0" w:line="221"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25% of the shares on the first anniversary of the vesting commencement date and in substantially equal monthly installments thereafter until the fourth anniversary of the vesting commencement date.</w:t>
      </w:r>
    </w:p>
    <w:p>
      <w:pPr>
        <w:ind w:left="380" w:hanging="330"/>
        <w:spacing w:after="0" w:line="221"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in substantially equal quarterly installments until the fourth anniversary of the vesting commencement date</w:t>
      </w:r>
    </w:p>
    <w:p>
      <w:pPr>
        <w:ind w:left="380" w:right="219" w:hanging="330"/>
        <w:spacing w:after="0" w:line="221"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as to 25% of the shares on the first anniversary of the vesting commencement date and in substantially equal quarterly installments thereafter until the fourth anniversary of the vesting commencement date.</w:t>
      </w:r>
    </w:p>
    <w:p>
      <w:pPr>
        <w:ind w:left="380" w:right="219" w:hanging="330"/>
        <w:spacing w:after="0" w:line="221"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PSUs are eligible to vest on the first anniversary of the vesting commencement date based on the Board’s determination that certain Company performance metrics have been attained. See “</w:t>
      </w:r>
      <w:r>
        <w:rPr>
          <w:rFonts w:ascii="Times New Roman" w:cs="Times New Roman" w:eastAsia="Times New Roman" w:hAnsi="Times New Roman"/>
          <w:sz w:val="14"/>
          <w:szCs w:val="14"/>
          <w:i w:val="1"/>
          <w:iCs w:val="1"/>
          <w:color w:val="auto"/>
        </w:rPr>
        <w:t>Equity Compensation</w:t>
      </w:r>
      <w:r>
        <w:rPr>
          <w:rFonts w:ascii="Times New Roman" w:cs="Times New Roman" w:eastAsia="Times New Roman" w:hAnsi="Times New Roman"/>
          <w:sz w:val="14"/>
          <w:szCs w:val="14"/>
          <w:color w:val="auto"/>
        </w:rPr>
        <w:t>” above for a description of these metrics.</w:t>
      </w:r>
    </w:p>
    <w:p>
      <w:pPr>
        <w:ind w:left="380" w:hanging="330"/>
        <w:spacing w:after="0" w:line="221" w:lineRule="auto"/>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as to 50% of the shares on each of the first and second anniversaries of the grant date.</w:t>
      </w:r>
    </w:p>
    <w:p>
      <w:pPr>
        <w:ind w:left="380" w:hanging="330"/>
        <w:spacing w:after="0"/>
        <w:tabs>
          <w:tab w:leader="none" w:pos="3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vest on the first anniversary of the grant date.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Arrangements - 2024</w:t>
      </w:r>
    </w:p>
    <w:p>
      <w:pPr>
        <w:spacing w:after="0" w:line="202"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NEOs that set forth the terms and conditions of each executive’s employment with us. All descriptions of the employment agreements herein describe the agreements in effect as of December 31, 2024, and do not reflect subsequent amendments.</w:t>
      </w:r>
    </w:p>
    <w:p>
      <w:pPr>
        <w:spacing w:after="0" w:line="135" w:lineRule="exact"/>
        <w:rPr>
          <w:sz w:val="20"/>
          <w:szCs w:val="20"/>
          <w:color w:val="auto"/>
        </w:rPr>
      </w:pPr>
    </w:p>
    <w:p>
      <w:pPr>
        <w:ind w:left="60" w:right="259" w:firstLine="324"/>
        <w:spacing w:after="0" w:line="261" w:lineRule="auto"/>
        <w:rPr>
          <w:sz w:val="20"/>
          <w:szCs w:val="20"/>
          <w:color w:val="auto"/>
        </w:rPr>
      </w:pPr>
      <w:r>
        <w:rPr>
          <w:rFonts w:ascii="Times New Roman" w:cs="Times New Roman" w:eastAsia="Times New Roman" w:hAnsi="Times New Roman"/>
          <w:sz w:val="18"/>
          <w:szCs w:val="18"/>
          <w:color w:val="auto"/>
        </w:rPr>
        <w:t>Each employment agreement establishes an annual base salary and target bonus opportunity for each NEO. The amounts in effect during 2024 are described above under the headings “2024 Salaries” and “2024 Annual Bonuses.” The NEOs are eligible to participate in our employee benefit plans and programs for which the NEO is eligible, subject to the terms and conditions of such plans and programs.</w:t>
      </w:r>
    </w:p>
    <w:p>
      <w:pPr>
        <w:spacing w:after="0" w:line="139"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During 2024, in the event that an NEO was terminated by us without cause, or by the executive for good reason, subject to the NEO’s timely execution and non-revocation of a release of claims in our favor, the executive would have been eligible to receive (i) a pro-rated portion of the executive’s annual bonus for the year of termination; (ii) base salary continuation for 24 months for Dr. Mehta, 6 months for Mr. Rodriguez and Mr. Steinhart; and (iii) reimbursement for COBRA premium payments for the applicable severance period. In addition, Dr. Mehta would be entitled to vesting of 50% of any unvested equity awards held by him immediately prior to his termination. The Company must provide an NEO 30 days’ notice in the event we terminate such NEO without cause.</w:t>
      </w:r>
    </w:p>
    <w:p>
      <w:pPr>
        <w:spacing w:after="0" w:line="16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employment agreements also provide that, in the event an NEO’s employment is terminated by us without cause or by the NEO for good reason, in either case, within 6 months prior to or 12 months after a change in control, then, subject to the NEO’s timely execution and non-revocation of a release of claims in our favor, the NEO will be entitled to a lump sum payment equal to 6 months of base salary (or 24 months of base salary for Dr. Mehta), which payment is in addition to the severance payments and benefits described above.</w:t>
      </w:r>
    </w:p>
    <w:p>
      <w:pPr>
        <w:spacing w:after="0" w:line="143"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employment agreements generally define “cause” as, subject to certain notice and cure rights, the NEO’s (i) material breach or material default of the employment agreement or any other agreement between us and the NEO, or repeated failure to follow the direction of the Company or our Board, as applicable; (ii) gross negligence, willful misfeasance or breach of fiduciary duty to us or our affiliates; (iii) commission of an act or omission involving fraud, embezzlement, misappropriation or dishonesty in connection with NEO’s duties to us or our affiliates, or, for Mr. Rodriguez or Mr. Steinhart, that is otherwise likely to be materially injurious to the business or reputation of the Company or our affiliates; or (iv) conviction of, indictment for, or pleading guilty or nolo contendere to, any felony or other crime involving fraud or moral turpitude.</w:t>
      </w:r>
    </w:p>
    <w:p>
      <w:pPr>
        <w:spacing w:after="0" w:line="151"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employment agreements generally define “good reason” as, subject to certain notice and cure rights, the occurrence of any of the following (without the NEO’s express written consent): (i) a significant reduction of the NEO’s duties, position or responsibilities, or the removal of the NEO from such position, duties or responsibilities; (ii) for Dr. Mehta and Mr. Rodriguez only, the relocation of the NEO by more than 25 miles; or (iii) any action or inaction that constitutes a material breach by us or any of our successors of its obligations to the NEO under the employment agreement (or for Dr. Mehta, any other agreement between us and Dr. Mehta).</w:t>
      </w:r>
    </w:p>
    <w:p>
      <w:pPr>
        <w:spacing w:after="0" w:line="160"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The employment agreements also contain covenants prohibiting the NEOs from competing with us or soliciting our suppliers, employees or customers during employment and for a period of one year following termination.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02" w:lineRule="exact"/>
        <w:rPr>
          <w:sz w:val="20"/>
          <w:szCs w:val="20"/>
          <w:color w:val="auto"/>
        </w:rPr>
      </w:pPr>
    </w:p>
    <w:p>
      <w:pPr>
        <w:ind w:left="60" w:right="119" w:firstLine="324"/>
        <w:spacing w:after="0" w:line="252" w:lineRule="auto"/>
        <w:rPr>
          <w:sz w:val="20"/>
          <w:szCs w:val="20"/>
          <w:color w:val="auto"/>
        </w:rPr>
      </w:pPr>
      <w:r>
        <w:rPr>
          <w:rFonts w:ascii="Times New Roman" w:cs="Times New Roman" w:eastAsia="Times New Roman" w:hAnsi="Times New Roman"/>
          <w:sz w:val="18"/>
          <w:szCs w:val="18"/>
          <w:color w:val="auto"/>
        </w:rPr>
        <w:t>The non-employee members of our Board are eligible to receive compensation for their service on our Board. Under our director compensation program, during 2024 each non-employee director was eligible to receive an option to purchase 1,875 shares of common stock upon such director’s initial election or appointment to the Board. Additionally, each non-employee director who has been serving as a non-employee director for at least six months as of the date of any annual meeting of stockholders and will continue to serve as a non-employee director immediately following such meeting, was eligible to receive an option to purchase 1,062 shares of common stock on the date of such annual meeting. The options granted to our non-employee directors have an exercise price equal to the fair market value of our common stock on the date of grant and expire not later than ten years after the date of grant. The stock options granted upon a director’s initial election or appointment vest in three substantially equal annual installments following the date of grant. The stock options granted annually to directors vest in a single installment on the earlier of the day before the next annual meeting or the first anniversary of the date of grant. In addition, all unvested stock options vest in full upon the occurrence of a change in control. For the appointment of David Mack in 2024, we provided a separate grant of RSUs and a separate cash arrangement in lieu of the stock option award and cash payments typically granted to new directors, as described below in the “Director Compensation Table”.</w:t>
      </w:r>
    </w:p>
    <w:p>
      <w:pPr>
        <w:spacing w:after="0" w:line="157" w:lineRule="exact"/>
        <w:rPr>
          <w:sz w:val="20"/>
          <w:szCs w:val="20"/>
          <w:color w:val="auto"/>
        </w:rPr>
      </w:pPr>
    </w:p>
    <w:p>
      <w:pPr>
        <w:ind w:left="60" w:right="919" w:firstLine="324"/>
        <w:spacing w:after="0" w:line="282" w:lineRule="auto"/>
        <w:rPr>
          <w:sz w:val="20"/>
          <w:szCs w:val="20"/>
          <w:color w:val="auto"/>
        </w:rPr>
      </w:pPr>
      <w:r>
        <w:rPr>
          <w:rFonts w:ascii="Times New Roman" w:cs="Times New Roman" w:eastAsia="Times New Roman" w:hAnsi="Times New Roman"/>
          <w:sz w:val="18"/>
          <w:szCs w:val="18"/>
          <w:color w:val="auto"/>
        </w:rPr>
        <w:t>In addition, our non-employee directors were eligible to receive cash retainers for service on our Board and committees of our Board during 2024 as set forth in the table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0" w:type="dxa"/>
            <w:vAlign w:val="bottom"/>
          </w:tcPr>
          <w:p>
            <w:pPr>
              <w:spacing w:after="0"/>
              <w:rPr>
                <w:sz w:val="15"/>
                <w:szCs w:val="15"/>
                <w:color w:val="auto"/>
              </w:rPr>
            </w:pPr>
          </w:p>
        </w:tc>
        <w:tc>
          <w:tcPr>
            <w:tcW w:w="8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7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Board Fee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Board or Lead Independent Director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of Audit Committee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 of Compensation Committee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of Nominating and Corporate Governance Committee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 of Audit Committee (non-Chair)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 of Compensation Committee (non-Chair)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Member of Nominating and Corporate Governance Committee (non-Chair)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7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Director fees under the program are payable in arrears in four equal quarterly installments not later than the fifteenth day following the final day of each calendar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each payment will be prorated for any portion of a quarter that a director is not serving on our board.</w:t>
      </w:r>
    </w:p>
    <w:p>
      <w:pPr>
        <w:spacing w:after="0" w:line="135"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also reimburse all of our non-employee directors for all reasonable and customary business expenses in accordance with company policy.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20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2024 regarding the compensation awarded to, earned by or paid to our non-employee directors: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80" w:type="dxa"/>
            <w:vAlign w:val="bottom"/>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40" w:type="dxa"/>
            <w:vAlign w:val="bottom"/>
          </w:tcPr>
          <w:p>
            <w:pPr>
              <w:spacing w:after="0"/>
              <w:rPr>
                <w:sz w:val="13"/>
                <w:szCs w:val="13"/>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900" w:type="dxa"/>
            <w:vAlign w:val="bottom"/>
          </w:tcPr>
          <w:p>
            <w:pPr>
              <w:jc w:val="right"/>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6"/>
              <w:spacing w:after="0" w:line="17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Peter Mueller, Ph.D.</w:t>
            </w:r>
            <w:r>
              <w:rPr>
                <w:rFonts w:ascii="Times New Roman" w:cs="Times New Roman" w:eastAsia="Times New Roman" w:hAnsi="Times New Roman"/>
                <w:sz w:val="24"/>
                <w:szCs w:val="24"/>
                <w:color w:val="auto"/>
                <w:vertAlign w:val="superscript"/>
              </w:rPr>
              <w:t>(2)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Sandeep Laumas, M.D.</w:t>
            </w:r>
            <w:r>
              <w:rPr>
                <w:rFonts w:ascii="Times New Roman" w:cs="Times New Roman" w:eastAsia="Times New Roman" w:hAnsi="Times New Roman"/>
                <w:sz w:val="25"/>
                <w:szCs w:val="25"/>
                <w:color w:val="auto"/>
                <w:vertAlign w:val="superscript"/>
              </w:rPr>
              <w:t>(3)</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18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112,910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Michal Votruba, M.D.</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June Bray</w:t>
            </w:r>
            <w:r>
              <w:rPr>
                <w:rFonts w:ascii="Times New Roman" w:cs="Times New Roman" w:eastAsia="Times New Roman" w:hAnsi="Times New Roman"/>
                <w:sz w:val="25"/>
                <w:szCs w:val="25"/>
                <w:color w:val="auto"/>
                <w:vertAlign w:val="superscript"/>
              </w:rPr>
              <w:t>(5)</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Michael Miller</w:t>
            </w:r>
            <w:r>
              <w:rPr>
                <w:rFonts w:ascii="Times New Roman" w:cs="Times New Roman" w:eastAsia="Times New Roman" w:hAnsi="Times New Roman"/>
                <w:sz w:val="25"/>
                <w:szCs w:val="25"/>
                <w:color w:val="auto"/>
                <w:vertAlign w:val="superscript"/>
              </w:rPr>
              <w:t>(6)</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0" w:type="dxa"/>
            <w:vAlign w:val="bottom"/>
          </w:tcPr>
          <w:p>
            <w:pPr>
              <w:spacing w:after="0"/>
              <w:rPr>
                <w:sz w:val="1"/>
                <w:szCs w:val="1"/>
                <w:color w:val="auto"/>
              </w:rPr>
            </w:pPr>
          </w:p>
        </w:tc>
      </w:tr>
      <w:tr>
        <w:trPr>
          <w:trHeight w:val="42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Mack</w:t>
            </w:r>
            <w:r>
              <w:rPr>
                <w:rFonts w:ascii="Times New Roman" w:cs="Times New Roman" w:eastAsia="Times New Roman" w:hAnsi="Times New Roman"/>
                <w:sz w:val="26"/>
                <w:szCs w:val="26"/>
                <w:color w:val="auto"/>
                <w:vertAlign w:val="superscript"/>
              </w:rPr>
              <w:t>(7)</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(8)</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3"/>
                <w:szCs w:val="13"/>
                <w:color w:val="auto"/>
              </w:rPr>
              <w:t xml:space="preserve"> (7)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185,619</w:t>
            </w:r>
          </w:p>
        </w:tc>
        <w:tc>
          <w:tcPr>
            <w:tcW w:w="16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ind w:left="380" w:right="339" w:hanging="330"/>
        <w:spacing w:after="0" w:line="221" w:lineRule="auto"/>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grant date fair value of stock options granted to our non-employee directors as computed in accordance with ASC 718. Note that the amounts reported in this column reflect the accounting cost for these stock options and do not correspond to the actual economic value that may be received by the recipients from the options. We provide information regarding the assumptions used to calculate the value of the option awards in Note 12 to our financial statements included in our Annual Report on Form 10-K for the year ended December 31, 2024.</w:t>
      </w:r>
    </w:p>
    <w:p>
      <w:pPr>
        <w:spacing w:after="0" w:line="1" w:lineRule="exact"/>
        <w:rPr>
          <w:rFonts w:ascii="Times New Roman" w:cs="Times New Roman" w:eastAsia="Times New Roman" w:hAnsi="Times New Roman"/>
          <w:sz w:val="14"/>
          <w:szCs w:val="14"/>
          <w:color w:val="auto"/>
        </w:rPr>
      </w:pPr>
    </w:p>
    <w:p>
      <w:pPr>
        <w:ind w:left="380" w:right="79" w:hanging="330"/>
        <w:spacing w:after="0" w:line="221" w:lineRule="auto"/>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Dr. Mueller held options to purchase an aggregate of 16,667 shares of our common stock, of which 15,604 shares of common stock were exercisable.</w:t>
      </w:r>
    </w:p>
    <w:p>
      <w:pPr>
        <w:ind w:left="380" w:right="79" w:hanging="330"/>
        <w:spacing w:after="0" w:line="221" w:lineRule="auto"/>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Dr. Laumas held options to purchase an aggregate of 14,028 shares of our common stock, of which 12,965 shares of common stock were exercisable.</w:t>
      </w:r>
    </w:p>
    <w:p>
      <w:pPr>
        <w:ind w:left="380" w:right="79" w:hanging="330"/>
        <w:spacing w:after="0" w:line="221" w:lineRule="auto"/>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Dr. Votruba held options to purchase an aggregate of 6,265 shares of our common stock, of which 5,202 shares of common stock were exercisable.</w:t>
      </w:r>
    </w:p>
    <w:p>
      <w:pPr>
        <w:ind w:left="380" w:right="79" w:hanging="330"/>
        <w:spacing w:after="0" w:line="221" w:lineRule="auto"/>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Ms. Bray held options to purchase an aggregate of 5,013 shares of our common stock, of which 3,950 shares of common stock were exercisable.</w:t>
      </w:r>
    </w:p>
    <w:p>
      <w:pPr>
        <w:ind w:left="380" w:right="79" w:hanging="330"/>
        <w:spacing w:after="0" w:line="221" w:lineRule="auto"/>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Mr. Miller held options to purchase an aggregate of 4,001 shares of our common stock, of which 2,938 shares of common stock were exercisable.</w:t>
      </w:r>
    </w:p>
    <w:p>
      <w:pPr>
        <w:ind w:left="380" w:hanging="330"/>
        <w:spacing w:after="0" w:line="221" w:lineRule="auto"/>
        <w:tabs>
          <w:tab w:leader="none" w:pos="3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Mr. Mack held 16,932 unvested restricted stock units.</w:t>
      </w:r>
    </w:p>
    <w:p>
      <w:pPr>
        <w:ind w:left="360" w:hanging="310"/>
        <w:spacing w:after="0"/>
        <w:tabs>
          <w:tab w:leader="none" w:pos="36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Mr. Mack earned $30,000 in board fees for services provided since joining the Board in November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March 21,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 by:</w:t>
      </w:r>
    </w:p>
    <w:p>
      <w:pPr>
        <w:spacing w:after="0" w:line="207" w:lineRule="exact"/>
        <w:rPr>
          <w:sz w:val="20"/>
          <w:szCs w:val="20"/>
          <w:color w:val="auto"/>
        </w:rPr>
      </w:pPr>
    </w:p>
    <w:p>
      <w:pPr>
        <w:ind w:left="720" w:right="79" w:hanging="319"/>
        <w:spacing w:after="0" w:line="282"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for 2024;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85" w:lineRule="exact"/>
        <w:rPr>
          <w:sz w:val="20"/>
          <w:szCs w:val="20"/>
          <w:color w:val="auto"/>
        </w:rPr>
      </w:pPr>
    </w:p>
    <w:p>
      <w:pPr>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324"/>
        <w:spacing w:after="0" w:line="256"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5,468,038 shares of our common stock outstanding as of March 21, 2025. Shares of our common stock that a person has the right to acquire within 60 days of March 21, 2025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555 Long Wharf Drive, New Haven, CT 06511.</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Shares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80" w:type="dxa"/>
            <w:vAlign w:val="bottom"/>
            <w:gridSpan w:val="2"/>
            <w:vMerge w:val="continue"/>
          </w:tcPr>
          <w:p>
            <w:pPr>
              <w:spacing w:after="0"/>
              <w:rPr>
                <w:sz w:val="15"/>
                <w:szCs w:val="15"/>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Holders of more than 5%:</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BioXcel LLC</w:t>
            </w:r>
            <w:r>
              <w:rPr>
                <w:rFonts w:ascii="Times New Roman" w:cs="Times New Roman" w:eastAsia="Times New Roman" w:hAnsi="Times New Roman"/>
                <w:sz w:val="25"/>
                <w:szCs w:val="25"/>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480,343</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Armistice Capital Master Fund Ltd.</w:t>
            </w:r>
            <w:r>
              <w:rPr>
                <w:rFonts w:ascii="Times New Roman" w:cs="Times New Roman" w:eastAsia="Times New Roman" w:hAnsi="Times New Roman"/>
                <w:sz w:val="25"/>
                <w:szCs w:val="25"/>
                <w:color w:val="auto"/>
                <w:vertAlign w:val="superscript"/>
              </w:rPr>
              <w:t>(2)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1,385,083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Vimal Mehta, Ph.D.</w:t>
            </w:r>
            <w:r>
              <w:rPr>
                <w:rFonts w:ascii="Times New Roman" w:cs="Times New Roman" w:eastAsia="Times New Roman" w:hAnsi="Times New Roman"/>
                <w:sz w:val="25"/>
                <w:szCs w:val="25"/>
                <w:color w:val="auto"/>
                <w:vertAlign w:val="superscript"/>
              </w:rPr>
              <w:t>(1)(3)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573,619</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Javier Rodriguez</w:t>
            </w:r>
            <w:r>
              <w:rPr>
                <w:rFonts w:ascii="Times New Roman" w:cs="Times New Roman" w:eastAsia="Times New Roman" w:hAnsi="Times New Roman"/>
                <w:sz w:val="25"/>
                <w:szCs w:val="25"/>
                <w:color w:val="auto"/>
                <w:vertAlign w:val="superscript"/>
              </w:rPr>
              <w:t>(4)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Richard Steinhart</w:t>
            </w:r>
            <w:r>
              <w:rPr>
                <w:rFonts w:ascii="Times New Roman" w:cs="Times New Roman" w:eastAsia="Times New Roman" w:hAnsi="Times New Roman"/>
                <w:sz w:val="25"/>
                <w:szCs w:val="25"/>
                <w:color w:val="auto"/>
                <w:vertAlign w:val="superscript"/>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June Bray</w:t>
            </w:r>
            <w:r>
              <w:rPr>
                <w:rFonts w:ascii="Times New Roman" w:cs="Times New Roman" w:eastAsia="Times New Roman" w:hAnsi="Times New Roman"/>
                <w:sz w:val="25"/>
                <w:szCs w:val="25"/>
                <w:color w:val="auto"/>
                <w:vertAlign w:val="superscript"/>
              </w:rPr>
              <w:t>(6)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Sandeep Laumas, M.D.</w:t>
            </w:r>
            <w:r>
              <w:rPr>
                <w:rFonts w:ascii="Times New Roman" w:cs="Times New Roman" w:eastAsia="Times New Roman" w:hAnsi="Times New Roman"/>
                <w:sz w:val="25"/>
                <w:szCs w:val="25"/>
                <w:color w:val="auto"/>
                <w:vertAlign w:val="superscript"/>
              </w:rPr>
              <w:t>(7)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Michael Miller</w:t>
            </w:r>
            <w:r>
              <w:rPr>
                <w:rFonts w:ascii="Times New Roman" w:cs="Times New Roman" w:eastAsia="Times New Roman" w:hAnsi="Times New Roman"/>
                <w:sz w:val="25"/>
                <w:szCs w:val="25"/>
                <w:color w:val="auto"/>
                <w:vertAlign w:val="superscript"/>
              </w:rPr>
              <w:t>(8)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Peter Mueller, Ph.D.</w:t>
            </w:r>
            <w:r>
              <w:rPr>
                <w:rFonts w:ascii="Times New Roman" w:cs="Times New Roman" w:eastAsia="Times New Roman" w:hAnsi="Times New Roman"/>
                <w:sz w:val="25"/>
                <w:szCs w:val="25"/>
                <w:color w:val="auto"/>
                <w:vertAlign w:val="superscript"/>
              </w:rPr>
              <w:t>(9)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Michal Votruba, M.D.</w:t>
            </w:r>
            <w:r>
              <w:rPr>
                <w:rFonts w:ascii="Times New Roman" w:cs="Times New Roman" w:eastAsia="Times New Roman" w:hAnsi="Times New Roman"/>
                <w:sz w:val="25"/>
                <w:szCs w:val="25"/>
                <w:color w:val="auto"/>
                <w:vertAlign w:val="superscript"/>
              </w:rPr>
              <w:t>(10)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David Mack</w:t>
            </w:r>
            <w:r>
              <w:rPr>
                <w:rFonts w:ascii="Times New Roman" w:cs="Times New Roman" w:eastAsia="Times New Roman" w:hAnsi="Times New Roman"/>
                <w:sz w:val="25"/>
                <w:szCs w:val="25"/>
                <w:color w:val="auto"/>
                <w:vertAlign w:val="superscript"/>
              </w:rPr>
              <w:t>(11)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Rajiv Patni</w:t>
            </w:r>
            <w:r>
              <w:rPr>
                <w:rFonts w:ascii="Times New Roman" w:cs="Times New Roman" w:eastAsia="Times New Roman" w:hAnsi="Times New Roman"/>
                <w:sz w:val="25"/>
                <w:szCs w:val="25"/>
                <w:color w:val="auto"/>
                <w:vertAlign w:val="superscript"/>
              </w:rPr>
              <w:t>(12)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All executive officers and directors as a group </w:t>
            </w:r>
            <w:r>
              <w:rPr>
                <w:rFonts w:ascii="Times New Roman" w:cs="Times New Roman" w:eastAsia="Times New Roman" w:hAnsi="Times New Roman"/>
                <w:sz w:val="18"/>
                <w:szCs w:val="18"/>
                <w:color w:val="auto"/>
              </w:rPr>
              <w:t>(11 individuals)</w:t>
            </w:r>
            <w:r>
              <w:rPr>
                <w:rFonts w:ascii="Times New Roman" w:cs="Times New Roman" w:eastAsia="Times New Roman" w:hAnsi="Times New Roman"/>
                <w:sz w:val="26"/>
                <w:szCs w:val="26"/>
                <w:color w:val="auto"/>
                <w:vertAlign w:val="superscript"/>
              </w:rPr>
              <w:t>(13)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692,185</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-19050</wp:posOffset>
            </wp:positionV>
            <wp:extent cx="14141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Represents less than 1%.</w:t>
      </w:r>
    </w:p>
    <w:p>
      <w:pPr>
        <w:spacing w:after="0" w:line="4" w:lineRule="exact"/>
        <w:rPr>
          <w:sz w:val="20"/>
          <w:szCs w:val="20"/>
          <w:color w:val="auto"/>
        </w:rPr>
      </w:pPr>
    </w:p>
    <w:p>
      <w:pPr>
        <w:ind w:left="380" w:right="99"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13D filed with the SEC on June 6, 2024. BioXcel LLC and BioXcel Holdings, Inc. have shared voting power and shared dispositive power over 480,343 shares of our common stock. Dr. Mehta and affiliated trusts are significant stockholders of BioXcel Holdings, Inc. BioXcel LLC is majority owned and controlled by BioXcel Holdings, Inc. BioXcel LLC is a subsidiary of BioXcel Holdings, Inc. Mr. Mehta is an executive officer and the sole member of the board of directors of BioXcel Holdings, Inc. and an executive officer and one of two managers on the board of managers of BioXcel LLC and BioXcel Holdings, Inc. As such, each of Mr. Mehta and BioXcel Holdings, Inc. may be deemed to beneficially own the Common Stock held of record by BioXcel LLC. The address of BioXcel LLC and BioXcel Holdings, Inc. is 2614 Boston Post Road Suite 33B, Guilford, CT 06437.</w:t>
      </w:r>
    </w:p>
    <w:p>
      <w:pPr>
        <w:spacing w:after="0" w:line="1" w:lineRule="exact"/>
        <w:rPr>
          <w:rFonts w:ascii="Times New Roman" w:cs="Times New Roman" w:eastAsia="Times New Roman" w:hAnsi="Times New Roman"/>
          <w:sz w:val="14"/>
          <w:szCs w:val="14"/>
          <w:color w:val="auto"/>
        </w:rPr>
      </w:pPr>
    </w:p>
    <w:p>
      <w:pPr>
        <w:ind w:left="380" w:right="79"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known to us, Armistice Capital Master Fund Ltd. owns warrants to purchase 1,385,083 shares of our common stock that are exercisable within 60 days of March 21, 2025. The warrants to purchase shares of common stock are directly held by Armistice Capital Master Fund Ltd., a Cayman Islands exempted company (“Master Fund”), and may be deemed to be beneficially owned by: (i) Armistice Capital, LLC (“Armistice Capital”), as the investment manager of Master Fund; and (ii) Steven Boyd, as the Managing Member of Armistice Capital. Armistice Capital has sole voting and dispositive control of the shares reported herein. The address for the stockholder is 510 Madison Avenue, 7th Floor, New York, New York 10022. Warrants held by Armistice Capital are subject to a beneficial ownership limitation of 4.99% or 9.99%, which such limitation restricts the stockholder from exercising that portion of the warrants, as applicable, that would result in the stockholder and its affiliates owning, after exercise, a number of shares of common stock in excess of the beneficial ownership limitation.</w:t>
      </w:r>
    </w:p>
    <w:p>
      <w:pPr>
        <w:spacing w:after="0" w:line="2" w:lineRule="exact"/>
        <w:rPr>
          <w:rFonts w:ascii="Times New Roman" w:cs="Times New Roman" w:eastAsia="Times New Roman" w:hAnsi="Times New Roman"/>
          <w:sz w:val="14"/>
          <w:szCs w:val="14"/>
          <w:color w:val="auto"/>
        </w:rPr>
      </w:pPr>
    </w:p>
    <w:p>
      <w:pPr>
        <w:ind w:left="380" w:right="339"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Dr. Mehta: (i) 4,236 shares of common stock (of which 125 shares are owned jointly with Dr. Mehta’s spouse); (ii) options to purchase 89,050 shares of our common stock that can be exercised within 60 days of March 21, 2025; and (iii) 480,343 shares of common stock held by BioXcel LLC as to which Dr. Mehta may be deemed to have beneficial ownership as described under footnote (1) above.</w:t>
      </w:r>
    </w:p>
    <w:p>
      <w:pPr>
        <w:ind w:left="380" w:right="79"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Mr. Steinhart: (i) 1,373 shares of common stock and (ii) options to purchase 20,064 shares of our common stock that can be exercised within 60 days of March 21, 2025.</w:t>
      </w:r>
    </w:p>
    <w:p>
      <w:pPr>
        <w:ind w:left="380" w:right="639"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Mr. Rodriguez: (i) 1,591 shares of common stock and (ii) options to purchase 5,312 shares of our common stock that can be exercised within 60 days of March 21, 2025.</w:t>
      </w:r>
    </w:p>
    <w:p>
      <w:pPr>
        <w:ind w:left="380"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Ms. Bray: options to purchase 3,950 shares of our common stock that can be exercised within 60 days of March 21, 2025.</w:t>
      </w:r>
    </w:p>
    <w:p>
      <w:pPr>
        <w:ind w:left="380"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Dr. Laumas: options to purchase 12,965 shares of our common stock that can be exercised within 60 days of March 21, 2025.</w:t>
      </w:r>
    </w:p>
    <w:p>
      <w:pPr>
        <w:ind w:left="380"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Mr. Miller: options to purchase 2,312 shares of our common stock that can be exercised within 60 days of March 21, 2025.</w:t>
      </w:r>
    </w:p>
    <w:p>
      <w:pPr>
        <w:jc w:val="both"/>
        <w:ind w:left="380" w:right="139"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Dr. Mueller: (i) 7,487 shares of common stock held by Dr. Mueller (including shares of our common stock held by the Peter Mueller 2018 Irrevocable Family Trust, as to which Dr. Mueller serves as trustee); and (iii) options to purchase 15,604 shares of our common stock that can be exercised within 60 days of March 21, 2025.</w:t>
      </w:r>
    </w:p>
    <w:p>
      <w:pPr>
        <w:ind w:left="380" w:right="159"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Dr. Votruba: 11,523 shares of our common stock held by RSJ Investments SICAV a.s. (“RSJ/Gradus”) and over which Dr. Votruba, an asset manager at RSJ/Gradus, has voting and/or dispositive power. Also includes options to purchase 5,202 shares of our common stock that can be exercised within 60 days of March 21, 2025, which options Dr. Votruba was granted in respect of his service on our Board but as to which he assigned to RSJ/Gradus pursuant to the policies of RSJ/Gradus regarding stock ownership by employees.</w:t>
      </w:r>
    </w:p>
    <w:p>
      <w:pPr>
        <w:spacing w:after="0" w:line="1"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Mr. Mack: 3,386 restricted stock units that vest within 60 days of March 21, 2025.</w:t>
      </w:r>
    </w:p>
    <w:p>
      <w:pPr>
        <w:ind w:left="380" w:hanging="330"/>
        <w:spacing w:after="0"/>
        <w:tabs>
          <w:tab w:leader="none" w:pos="3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Mr. Patni: options to purchase 938 shares of our common stock that vest within 60 days of March 21, 2025.</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119" w:hanging="330"/>
        <w:spacing w:after="0" w:line="261" w:lineRule="auto"/>
        <w:tabs>
          <w:tab w:leader="none" w:pos="3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173,611 shares of our common stock that can be exercised within 60 days of March 21, 2025 and 3,386 RSUs that vest within 60 days of March 21, 2025.</w:t>
      </w: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02" w:lineRule="exact"/>
        <w:rPr>
          <w:sz w:val="20"/>
          <w:szCs w:val="20"/>
          <w:color w:val="auto"/>
        </w:rPr>
      </w:pPr>
    </w:p>
    <w:p>
      <w:pPr>
        <w:ind w:left="60" w:right="9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equity compensation plans in effect as of December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660" w:type="dxa"/>
            <w:vAlign w:val="bottom"/>
          </w:tcPr>
          <w:p>
            <w:pPr>
              <w:jc w:val="center"/>
              <w:spacing w:after="0" w:line="178" w:lineRule="exact"/>
              <w:rPr>
                <w:sz w:val="20"/>
                <w:szCs w:val="20"/>
                <w:color w:val="auto"/>
              </w:rPr>
            </w:pPr>
            <w:r>
              <w:rPr>
                <w:rFonts w:ascii="Times New Roman" w:cs="Times New Roman" w:eastAsia="Times New Roman" w:hAnsi="Times New Roman"/>
                <w:sz w:val="14"/>
                <w:szCs w:val="14"/>
                <w:b w:val="1"/>
                <w:bCs w:val="1"/>
                <w:color w:val="auto"/>
              </w:rPr>
              <w:t>reflected in column (a))</w:t>
            </w:r>
            <w:r>
              <w:rPr>
                <w:rFonts w:ascii="Times New Roman" w:cs="Times New Roman" w:eastAsia="Times New Roman" w:hAnsi="Times New Roman"/>
                <w:sz w:val="20"/>
                <w:szCs w:val="20"/>
                <w:b w:val="1"/>
                <w:bCs w:val="1"/>
                <w:color w:val="auto"/>
                <w:vertAlign w:val="superscript"/>
              </w:rPr>
              <w:t>(4)</w:t>
            </w:r>
          </w:p>
        </w:tc>
        <w:tc>
          <w:tcPr>
            <w:tcW w:w="0" w:type="dxa"/>
            <w:vAlign w:val="bottom"/>
          </w:tcPr>
          <w:p>
            <w:pPr>
              <w:spacing w:after="0"/>
              <w:rPr>
                <w:sz w:val="1"/>
                <w:szCs w:val="1"/>
                <w:color w:val="auto"/>
              </w:rPr>
            </w:pPr>
          </w:p>
        </w:tc>
      </w:tr>
      <w:tr>
        <w:trPr>
          <w:trHeight w:val="173"/>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83"/>
        </w:trPr>
        <w:tc>
          <w:tcPr>
            <w:tcW w:w="4140" w:type="dxa"/>
            <w:vAlign w:val="bottom"/>
            <w:tcBorders>
              <w:top w:val="single" w:sz="8" w:color="auto"/>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280" w:type="dxa"/>
            <w:vAlign w:val="bottom"/>
            <w:gridSpan w:val="3"/>
            <w:shd w:val="clear" w:color="auto" w:fill="CCEEFF"/>
          </w:tcPr>
          <w:p>
            <w:pPr>
              <w:spacing w:after="0" w:line="242"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6"/>
                <w:szCs w:val="26"/>
                <w:color w:val="auto"/>
                <w:vertAlign w:val="superscript"/>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407,477</w:t>
            </w:r>
          </w:p>
        </w:tc>
        <w:tc>
          <w:tcPr>
            <w:tcW w:w="2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28"/>
                <w:szCs w:val="28"/>
                <w:color w:val="auto"/>
                <w:vertAlign w:val="subscript"/>
              </w:rPr>
              <w:t>$</w:t>
            </w:r>
          </w:p>
        </w:tc>
        <w:tc>
          <w:tcPr>
            <w:tcW w:w="13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8"/>
                <w:szCs w:val="18"/>
                <w:color w:val="auto"/>
              </w:rPr>
              <w:t xml:space="preserve">265.36 </w:t>
            </w:r>
            <w:r>
              <w:rPr>
                <w:rFonts w:ascii="Times New Roman" w:cs="Times New Roman" w:eastAsia="Times New Roman" w:hAnsi="Times New Roman"/>
                <w:sz w:val="26"/>
                <w:szCs w:val="26"/>
                <w:color w:val="auto"/>
                <w:vertAlign w:val="superscript"/>
              </w:rPr>
              <w:t>(3)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117,044</w:t>
            </w:r>
          </w:p>
        </w:tc>
        <w:tc>
          <w:tcPr>
            <w:tcW w:w="0" w:type="dxa"/>
            <w:vAlign w:val="bottom"/>
          </w:tcPr>
          <w:p>
            <w:pPr>
              <w:spacing w:after="0"/>
              <w:rPr>
                <w:sz w:val="1"/>
                <w:szCs w:val="1"/>
                <w:color w:val="auto"/>
              </w:rPr>
            </w:pPr>
          </w:p>
        </w:tc>
      </w:tr>
      <w:tr>
        <w:trPr>
          <w:trHeight w:val="198"/>
        </w:trPr>
        <w:tc>
          <w:tcPr>
            <w:tcW w:w="42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holders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117,044</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19" w:hanging="330"/>
        <w:spacing w:after="0" w:line="233" w:lineRule="auto"/>
        <w:tabs>
          <w:tab w:leader="none" w:pos="3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BioXcel Therapeutics, Inc. 2017 Incentive Award Plan (the “2017 Plan”), the BioXcel Therapeutics, Inc. 2020 Incentive Award Plan (the “2020 Plan”) and the BioXcel Therapeutics, Inc. 2020 Employee Stock Purchase Plan (the “2020 ESPP”).</w:t>
      </w:r>
    </w:p>
    <w:p>
      <w:pPr>
        <w:ind w:left="380" w:right="359" w:hanging="330"/>
        <w:spacing w:after="0" w:line="221" w:lineRule="auto"/>
        <w:tabs>
          <w:tab w:leader="none" w:pos="3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119,781 outstanding options to purchase shares under the 2017 Plan, 69,506 performance-based units, 26,898 restricted stock units and 191,292 outstanding options to purchase shares under the 2020 Plan.</w:t>
      </w:r>
    </w:p>
    <w:p>
      <w:pPr>
        <w:jc w:val="both"/>
        <w:ind w:left="380" w:right="299" w:hanging="330"/>
        <w:spacing w:after="0" w:line="221" w:lineRule="auto"/>
        <w:tabs>
          <w:tab w:leader="none" w:pos="3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weighted-average exercise price of outstanding options under the 2017 Plan was $59.74 and the weighted-average exercise price of outstanding options under the 2020 Plan was $394.11. The weighted average exercise price of outstanding awards does not take into account the shares issuable upon vesting of outstanding performance-based units and restricted stock units which have no exercise price.</w:t>
      </w:r>
    </w:p>
    <w:p>
      <w:pPr>
        <w:ind w:left="380" w:right="79" w:hanging="330"/>
        <w:spacing w:after="0" w:line="224" w:lineRule="auto"/>
        <w:tabs>
          <w:tab w:leader="none" w:pos="3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41,748 shares available for future issuance under the 2020 Plan and 75,296 shares available for issuance under the 2020 ESPP. Following the effective date of the 2020 Plan, we ceased making grants under the 2017 Plan. To the extent outstanding awards under the 2017 Plan are forfeited or lapse unexercised, the shares of common stock subject to such awards will be available for issuance under the 2020 Plan. The 2020 Plan provides for an annual increase to the number of shares available for issuance thereunder on the first day of each calendar year beginning on January 1, 2021 and ending on and including January 1, 2030, by an amount equal to the lesser of (i) 4% of the aggregate number of shares of common stock outstanding on the final day of the immediately preceding calendar year and (ii) such smaller number of shares of common stock as determined by our board of directors (but no more than 625,000 shares may be issued upon the exercise of incentive stock options). The 2020 ESPP provides for an annual increase to the number of shares available for issuance thereunder on the first day of each calendar year beginning on January 1, 2021 and ending on and including January 1, 2030, by an amount equal to the lesser of (i) 1% of the aggregate number of shares of common stock outstanding on the final day of the immediately preceding calendar year and (ii) such smaller number of shares of common stock as is determined by our board of directors, provided that no more than 31,250 shares of our common stock may be issued under the component of the 2020 ESPP that is intended to qualified under Section 423 of the Code. As of the date of this proxy statement, we have not commenced offering periods under the 2020 ESPP.</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March 2024 Registered Direct Offering</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March 27, 2024, we completed a registered direct offering, which resulted in the issuance and sale of (i) 190,913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of our common stock, (ii) pre-funded warrants to purchase up to 347,814 shares of our common stock at an exercise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price of $0.016 per share and (iii) accompanying warrants to purchase up to 538,728 shares of our common stock at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exercise price of $51.20 per share. The combined offering price of the common stock and accompanying warrants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$46.416 per share and share underlying each accompanying warrant, and the combined offering price of the Armistice pre-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funded warrants and accompanying warrants was $46.40 per share underlying each pre-funded warrant and accompanying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 The Armistice pre-funded warrants and the accompanying warrants are exercisable at any time after the date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issuance, however, the accompanying warrants will expire on the fifth anniversary of the date of issuance. A holder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Armistice pre-funded warrants will not be entitled to exercise any portion of such Armistice pre-funded warrants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upon giving effect to such exercise, would cause (i) the aggregate number of shares of our common stock beneficially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owned by the holder (together with its affiliates) to exceed 9.99% of the number of shares of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Armistice Pre-Funded Warrants. A holder of Accompanying Warrants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a holder of Armistice Warrants to any other percentage not in excess of</w:t>
      </w:r>
    </w:p>
    <w:p>
      <w:pPr>
        <w:spacing w:after="0" w:line="4" w:lineRule="exact"/>
        <w:rPr>
          <w:sz w:val="20"/>
          <w:szCs w:val="20"/>
          <w:color w:val="auto"/>
        </w:rPr>
      </w:pPr>
    </w:p>
    <w:p>
      <w:pPr>
        <w:ind w:left="60" w:right="139"/>
        <w:spacing w:after="0" w:line="270" w:lineRule="auto"/>
        <w:rPr>
          <w:sz w:val="20"/>
          <w:szCs w:val="20"/>
          <w:color w:val="auto"/>
        </w:rPr>
      </w:pPr>
      <w:r>
        <w:rPr>
          <w:rFonts w:ascii="Times New Roman" w:cs="Times New Roman" w:eastAsia="Times New Roman" w:hAnsi="Times New Roman"/>
          <w:sz w:val="17"/>
          <w:szCs w:val="17"/>
          <w:color w:val="auto"/>
        </w:rPr>
        <w:t>19.99% upon at least 61 days’ prior notice from the holder to us. We received net proceeds of approximately $24.9 million from this offering, after deducting offering expenses. The following table sets forth the aggregate number of shares of our common stock and shares of common stock underlying the Armistice Warrants acquired in the offering by holders of more than 5% of our common stock, including entities that became holders of more than 5% of our common stock as a result of the registered direct offering. On November 21, 2024, the exercise price of warrants to purchase 538,728 shares of common stock issued in March 2024 Registered Direct Offering described here was reduced to $9.136 per share.</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Participants</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80" w:type="dxa"/>
            <w:vAlign w:val="bottom"/>
            <w:gridSpan w:val="2"/>
            <w:vMerge w:val="continue"/>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54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Holders of More than 5 %</w:t>
            </w:r>
            <w:r>
              <w:rPr>
                <w:rFonts w:ascii="Times New Roman" w:cs="Times New Roman" w:eastAsia="Times New Roman" w:hAnsi="Times New Roman"/>
                <w:sz w:val="24"/>
                <w:szCs w:val="24"/>
                <w:b w:val="1"/>
                <w:bCs w:val="1"/>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Armistice Capital Master Fund Ltd.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190,913</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347,814</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538,728</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24,999,999.01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380" w:right="279" w:hanging="330"/>
        <w:spacing w:after="0" w:line="261" w:lineRule="auto"/>
        <w:tabs>
          <w:tab w:leader="none" w:pos="3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certain of these stockholders and their equity holdings are provided in this Proxy Statement under the caption “Stock Ownership - Security Ownership of Certain Beneficial Owners and Management.”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November 2024 Offering</w:t>
      </w:r>
    </w:p>
    <w:p>
      <w:pPr>
        <w:spacing w:after="0" w:line="202" w:lineRule="exact"/>
        <w:rPr>
          <w:sz w:val="20"/>
          <w:szCs w:val="20"/>
          <w:color w:val="auto"/>
        </w:rPr>
      </w:pPr>
    </w:p>
    <w:p>
      <w:pPr>
        <w:ind w:left="60" w:right="79" w:firstLine="324"/>
        <w:spacing w:after="0" w:line="251" w:lineRule="auto"/>
        <w:rPr>
          <w:sz w:val="20"/>
          <w:szCs w:val="20"/>
          <w:color w:val="auto"/>
        </w:rPr>
      </w:pPr>
      <w:r>
        <w:rPr>
          <w:rFonts w:ascii="Times New Roman" w:cs="Times New Roman" w:eastAsia="Times New Roman" w:hAnsi="Times New Roman"/>
          <w:sz w:val="18"/>
          <w:szCs w:val="18"/>
          <w:color w:val="auto"/>
        </w:rPr>
        <w:t>On November 25, 2024, we completed an offering, which resulted in the issuance and sale to Armistice of (i) 283,854 shares of our common stock, (ii) pre-funded warrants to purchase up to 562,500 shares of our common stock at an exercise price of $0.016 per share and (iii) accompanying warrants to purchase up to 846,355 shares of our common stock at an exercise price of $7.68 per share. The combined offering price of the common stock and accompanying warrants was $7.68 per share and share underlying each accompanying warrant, and the combined offering price of the Armistice pre-funded warrants and accompanying warrants was $7.664 per share underlying each pre-funded warrant and accompanying warrant. The Armistice pre-funded warrants and the accompanying warrants are exercisable at any time after the date of issuance, however, the accompanying warrants will expire on the fifth anniversary of the date of issuance. A holder of Armistice pre-funded warrants will not be entitled to exercise any portion of such Armistice pre-funded warrants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Armistice pre-funded warrants. A holder of accompanying warrants will not be entitled to exercise any portion of such accompanying warrants which, upon giving effect to such exercise, would cause (i) the aggregate number of shares of our common stock beneficially owned by the holder (together with its affiliates) to exceed 4.99% of the number of shares of our common stock outstanding immediately after giving effect to the exercise, or (ii) the combined voting power of our securities beneficially owned by the holder (together with its affiliates) to exceed 4.99% of the combined voting power of all of our securities then outstanding immediately after giving effect to the exercise, as such percentage ownership is determined in accordance with the terms of the accompanying warrants. In each case, such percentages may be increased by a holder of Armistice Warrants to any other percentage not in excess of 19.99% upon at least 61 days’ prior notice from the holder to us.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BioXcel LLC</w:t>
      </w:r>
    </w:p>
    <w:p>
      <w:pPr>
        <w:spacing w:after="0" w:line="189"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BioXcel LLC owned approximately 8.8% of the shares of our outstanding common stock as of March 21, 2025. BioXcel LLC is the successor in interest to BioXcel Corporation, our former parent. BioXcel LLC is a subsidiary of, and majority owned and controlled by BioXcel Holdings, Inc. Vimal Mehta and affiliated trusts are significant stockholders of BioXcel Holdings, Inc. Dr. Mehta is also an executive officer and the sole member of the board of managers of BioXcel Holdings, Inc. and an executive officer and one of two managers of BioXcel LLC and BioXcel Holdings, Inc.</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Asset Contribution Agreement with BioXcel LLC</w:t>
      </w:r>
    </w:p>
    <w:p>
      <w:pPr>
        <w:spacing w:after="0" w:line="189"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We entered into an asset contribution agreement, effective June 30, 2017, with BioXcel LLC (formerly BioXcel Corporation), as amended and restated on November 7, 2017, pursuant to which BioXcel LLC contributed to us, and we acquired from BioXcel LLC, all of BioXcel LLC’s rights, title and interest in and to BXCL501, BXCL701, BXCL502 and BXCL702 (collectively, the “Candidates”) and all of the assets and liabilities associated with the Candidates, in consideration for (i) 592,500 shares of our common stock, (ii) $1 million upon completion of our initial public offering (“IPO”), (iii) $500,000 upon the later of the 12 month anniversary of our IPO and the first dosing of a patient in the bridging bioavailability/bioequivalence study for the BXCL501 program, (iv) $500,000 upon the later of the 12 month anniversary of our IPO and the first dosing of a patient in the Phase 2 Proof of Concept open label monotherapy or combination trial with Keytruda for the BXCL701 program and (v) a one-time payment of $5 million within 60 days after the achievement of $50 million in cumulative net sales of any product or combination of products resulting from the development and commercialization of any one of the Candidates or a product derived therefrom. There were no such payments during the years ended December 31, 2023 or 2024 pursuant to such provisions in the Contribution Agreement.</w:t>
      </w:r>
    </w:p>
    <w:p>
      <w:pPr>
        <w:spacing w:after="0" w:line="149"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In addition, pursuant to the Contribution Agreement, BioXcel LLC granted us a first right to negotiate exclusive rights to any additional product candidates in the fields of neuroscience and immuno-oncology (the “Option Field”) that BioXcel LLC may identify on its own, excluding the Candidates, and not in connection with BioXcel LLC’s provision of services to us under the Services Agreement as defined and described below. This first right to negotiate an exclusivity period expired on March 12, 2023.</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Separation and Shared Services Agreement</w:t>
      </w:r>
    </w:p>
    <w:p>
      <w:pPr>
        <w:spacing w:after="0" w:line="20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We entered into a separation and shared services agreement, dated June 30, 2017, or the Effective Date, with BioXcel LLC (formerly BioXcel Corporation), as amended and restated thereafter, pursuant to which services provided by BioXcel LLC through its subsidiaries in India and the United States will continue indefinitely, as agreed upon by the parties. These services are primarily for drug discovery, chemical, manufacturing and controls cost and general and administrative support. Service charges recorded under this agreement were $1.3 million for each of the years ended December 31, 2024 and 2023.</w:t>
      </w:r>
    </w:p>
    <w:p>
      <w:pPr>
        <w:spacing w:after="0" w:line="147" w:lineRule="exact"/>
        <w:rPr>
          <w:sz w:val="20"/>
          <w:szCs w:val="20"/>
          <w:color w:val="auto"/>
        </w:rPr>
      </w:pPr>
    </w:p>
    <w:p>
      <w:pPr>
        <w:ind w:left="60" w:right="139" w:firstLine="324"/>
        <w:spacing w:after="0" w:line="253" w:lineRule="auto"/>
        <w:rPr>
          <w:sz w:val="20"/>
          <w:szCs w:val="20"/>
          <w:color w:val="auto"/>
        </w:rPr>
      </w:pPr>
      <w:r>
        <w:rPr>
          <w:rFonts w:ascii="Times New Roman" w:cs="Times New Roman" w:eastAsia="Times New Roman" w:hAnsi="Times New Roman"/>
          <w:sz w:val="18"/>
          <w:szCs w:val="18"/>
          <w:color w:val="auto"/>
        </w:rPr>
        <w:t xml:space="preserve">Under the Services Agreement, the Company has an option, exercisable through December 31, 2024, to enter into a collaborative services agreement with BioXcel LLC pursuant to which BioXcel LLC shall perform product identification and related services for us utilizing EvolverAI. The Company agreed to pay BioXcel LLC $18,000 per month, prorated for any partial month, as applicable, for the period beginning March 13, 2023 and ending December 31, 2024 as consideration for the option. The parties are obligated to negotiate the collaborative services agreement in good faith and to incorporate reasonable market-based terms, including consideration for BioXcel LLC reflecting a low, single-digit royalty on net sales and reasonable development and commercialization milestone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w:t>
      </w:r>
    </w:p>
    <w:p>
      <w:pPr>
        <w:spacing w:after="0" w:line="1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InveniAI</w:t>
      </w:r>
    </w:p>
    <w:p>
      <w:pPr>
        <w:spacing w:after="0" w:line="202" w:lineRule="exact"/>
        <w:rPr>
          <w:sz w:val="20"/>
          <w:szCs w:val="20"/>
          <w:color w:val="auto"/>
        </w:rPr>
      </w:pPr>
    </w:p>
    <w:p>
      <w:pPr>
        <w:ind w:left="60" w:right="99" w:firstLine="324"/>
        <w:spacing w:after="0" w:line="277" w:lineRule="auto"/>
        <w:rPr>
          <w:sz w:val="20"/>
          <w:szCs w:val="20"/>
          <w:color w:val="auto"/>
        </w:rPr>
      </w:pPr>
      <w:r>
        <w:rPr>
          <w:rFonts w:ascii="Times New Roman" w:cs="Times New Roman" w:eastAsia="Times New Roman" w:hAnsi="Times New Roman"/>
          <w:sz w:val="17"/>
          <w:szCs w:val="17"/>
          <w:color w:val="auto"/>
        </w:rPr>
        <w:t>On September 19, 2023, we, Krishnan Nandabalan, Ph.D., a former member of our Board, InveniAI and Invea Therapeutics, Inc., a wholly-owned subsidiary of BioXcel LLC (“Invea”) and the other parties thereto entered into a non-compete agreement pursuant to which Dr. Nandabalan, InveniAI and Invea agreed not to compete with us and our controlled affiliates in the fields of neuroscience and immuno-oncology for a period of five years from September 19, 2023 and not to solicit employees of the Company or its controlled affiliates for a period of two years from September 19, 2023.</w: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18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each of our directors and executive officers against certain liabilities, costs and expenses, and have purchased directors’ and officers’ liability insurance.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Under our Corporate Governance Guidelines and Nasdaq rules, a director is independent if he or she does not have a material or other disqualifying relationship with us that could compromise his or her ability to exercise independent judgment in carrying out his or her responsibilities as a director. In addition, the director must meet the bright-line tests for independence set forth by the Nasdaq rules.</w:t>
      </w:r>
    </w:p>
    <w:p>
      <w:pPr>
        <w:spacing w:after="0" w:line="13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Ms. Bray, Mr. Miller, Mr. Mack or Drs. Laumas, Mueller, Patni or Votruba, representing seven of our eight current directors, has a relationship that would interfere with the exercise of independent judgment in carrying out the responsibilities of a director and that each of these directors qualifies as “independent” as that term is defined under the Nasdaq rules. In making these determinations, our Board considered the relationships that each non-employee director has with us and all other facts and circumstances our Board deemed relevant in determining their independence, including the director’s beneficial ownership of our common stock and the relationships of our non-employee directors with certain of our significant stockholders.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Audit Committee retained Ernst &amp; Young LLP to audit the Company’s consolidated financial statements for the years ended December 31, 2024 and December 31, 2023.</w:t>
      </w:r>
    </w:p>
    <w:p>
      <w:pPr>
        <w:spacing w:after="0" w:line="121"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table below sets forth the aggregate fees billed to us for services related to the fiscal year ended December 31, 2024 and 2023 by Ernst &amp; Young LLP.</w:t>
      </w:r>
    </w:p>
    <w:p>
      <w:pPr>
        <w:spacing w:after="0" w:line="12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24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2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903,500</w:t>
            </w:r>
          </w:p>
        </w:tc>
      </w:tr>
      <w:tr>
        <w:trPr>
          <w:trHeight w:val="216"/>
        </w:trPr>
        <w:tc>
          <w:tcPr>
            <w:tcW w:w="68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5"/>
                <w:szCs w:val="25"/>
                <w:color w:val="auto"/>
                <w:vertAlign w:val="superscript"/>
              </w:rPr>
              <w:t>(2)</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919,500</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r>
    </w:tbl>
    <w:p>
      <w:pPr>
        <w:spacing w:after="0" w:line="72" w:lineRule="exact"/>
        <w:rPr>
          <w:sz w:val="20"/>
          <w:szCs w:val="20"/>
          <w:color w:val="auto"/>
        </w:rPr>
      </w:pPr>
    </w:p>
    <w:p>
      <w:pPr>
        <w:ind w:left="380" w:right="119" w:hanging="330"/>
        <w:spacing w:after="0" w:line="226" w:lineRule="auto"/>
        <w:tabs>
          <w:tab w:leader="none" w:pos="3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consisted of audit services performed in connection with the audit of the Company’s consolidated financial statements, the reviews of the Company’s interim condensed consolidated financial statements, and related services that are normally provided in connection with registration statements. Included in the 2024 and 2023 audit fees are $155,000 and $105,000, respectively, billed in connection with our follow-on offerings. 2024 and 2023 audit fees also include fees related to the audit and review of the registration statements of the Company’s subsidiary, OnkosXcel Therapeutics LLC, of $0 and $65,000, respectively.</w:t>
      </w:r>
    </w:p>
    <w:p>
      <w:pPr>
        <w:ind w:left="380" w:hanging="330"/>
        <w:spacing w:after="0"/>
        <w:tabs>
          <w:tab w:leader="none" w:pos="3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consisted of out-of-pocket costs for the annual audit.</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02" w:lineRule="exact"/>
        <w:rPr>
          <w:sz w:val="20"/>
          <w:szCs w:val="20"/>
          <w:color w:val="auto"/>
        </w:rPr>
      </w:pPr>
    </w:p>
    <w:p>
      <w:pPr>
        <w:ind w:left="60" w:right="139" w:firstLine="324"/>
        <w:spacing w:after="0" w:line="256"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principal accountants. No non-audit services were performed by our independent registered public accounting firm during the years ended December 31, 2024 and 2023. Our audit committee pre-approves these services by category and service. Our audit committee has pre-approved all of the above-described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17"/>
          <w:szCs w:val="17"/>
          <w:color w:val="auto"/>
        </w:rPr>
        <w:t>The following documents are filed as part of this report:</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3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00042)</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2023</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14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0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2024 and 2023</w:t>
            </w:r>
          </w:p>
        </w:tc>
        <w:tc>
          <w:tcPr>
            <w:tcW w:w="300" w:type="dxa"/>
            <w:vAlign w:val="bottom"/>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83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196"/>
        </w:trPr>
        <w:tc>
          <w:tcPr>
            <w:tcW w:w="65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840" w:type="dxa"/>
            <w:vAlign w:val="bottom"/>
            <w:gridSpan w:val="2"/>
          </w:tcPr>
          <w:p>
            <w:pPr>
              <w:spacing w:after="0"/>
              <w:rPr>
                <w:sz w:val="17"/>
                <w:szCs w:val="17"/>
                <w:color w:val="auto"/>
              </w:rPr>
            </w:pPr>
          </w:p>
        </w:tc>
        <w:tc>
          <w:tcPr>
            <w:tcW w:w="56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185"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3360" w:type="dxa"/>
            <w:vAlign w:val="bottom"/>
            <w:gridSpan w:val="17"/>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7"/>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1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40" w:type="dxa"/>
            <w:vAlign w:val="bottom"/>
            <w:gridSpan w:val="14"/>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2680" w:type="dxa"/>
            <w:vAlign w:val="bottom"/>
            <w:tcBorders>
              <w:top w:val="single" w:sz="8" w:color="auto"/>
              <w:bottom w:val="single" w:sz="8" w:color="0000EE"/>
            </w:tcBorders>
            <w:gridSpan w:val="10"/>
          </w:tcPr>
          <w:p>
            <w:pPr>
              <w:spacing w:after="0" w:line="169"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Amended and Restated Certificate of</w:t>
              </w:r>
            </w:hyperlink>
          </w:p>
        </w:tc>
        <w:tc>
          <w:tcPr>
            <w:tcW w:w="520" w:type="dxa"/>
            <w:vAlign w:val="bottom"/>
            <w:tcBorders>
              <w:top w:val="single" w:sz="8" w:color="auto"/>
            </w:tcBorders>
            <w:gridSpan w:val="6"/>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08/10/2021</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Incorporation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3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Certificate of Amendment to the Amended</w:t>
              </w:r>
            </w:hyperlink>
          </w:p>
        </w:tc>
        <w:tc>
          <w:tcPr>
            <w:tcW w:w="260" w:type="dxa"/>
            <w:vAlign w:val="bottom"/>
            <w:gridSpan w:val="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06/12/2024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and Restated Certificate of Incorporation</w:t>
              </w:r>
            </w:hyperlink>
          </w:p>
        </w:tc>
        <w:tc>
          <w:tcPr>
            <w:tcW w:w="4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3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Certificate of Amendment to the Amended</w:t>
              </w:r>
            </w:hyperlink>
          </w:p>
        </w:tc>
        <w:tc>
          <w:tcPr>
            <w:tcW w:w="260" w:type="dxa"/>
            <w:vAlign w:val="bottom"/>
            <w:gridSpan w:val="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02/06/2025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and Restated Certificate of Incorporation</w:t>
              </w:r>
            </w:hyperlink>
          </w:p>
        </w:tc>
        <w:tc>
          <w:tcPr>
            <w:tcW w:w="4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24"/>
                <w:szCs w:val="24"/>
                <w:color w:val="auto"/>
              </w:rPr>
            </w:pPr>
          </w:p>
        </w:tc>
        <w:tc>
          <w:tcPr>
            <w:tcW w:w="3360" w:type="dxa"/>
            <w:vAlign w:val="bottom"/>
            <w:gridSpan w:val="17"/>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Amended and Restated Bylaws</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the Registrant’s Securities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Registered Under Section 12 of the</w:t>
            </w:r>
          </w:p>
        </w:tc>
        <w:tc>
          <w:tcPr>
            <w:tcW w:w="400" w:type="dxa"/>
            <w:vAlign w:val="bottom"/>
            <w:tcBorders>
              <w:top w:val="single" w:sz="8" w:color="0000EE"/>
            </w:tcBorders>
            <w:gridSpan w:val="5"/>
          </w:tcPr>
          <w:p>
            <w:pPr>
              <w:spacing w:after="0"/>
              <w:rPr>
                <w:sz w:val="17"/>
                <w:szCs w:val="17"/>
                <w:color w:val="auto"/>
              </w:rPr>
            </w:pPr>
          </w:p>
        </w:tc>
        <w:tc>
          <w:tcPr>
            <w:tcW w:w="4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3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Specimen Stock Certificate evidencing the</w:t>
              </w:r>
            </w:hyperlink>
          </w:p>
        </w:tc>
        <w:tc>
          <w:tcPr>
            <w:tcW w:w="280" w:type="dxa"/>
            <w:vAlign w:val="bottom"/>
            <w:gridSpan w:val="3"/>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02/26/2018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shares of common stock</w:t>
              </w:r>
            </w:hyperlink>
          </w:p>
        </w:tc>
        <w:tc>
          <w:tcPr>
            <w:tcW w:w="160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3360" w:type="dxa"/>
            <w:vAlign w:val="bottom"/>
            <w:gridSpan w:val="17"/>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Amended and Restated Warrant</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Agreement, dated December 5, 2023</w:t>
              </w:r>
            </w:hyperlink>
          </w:p>
        </w:tc>
        <w:tc>
          <w:tcPr>
            <w:tcW w:w="260" w:type="dxa"/>
            <w:vAlign w:val="bottom"/>
            <w:tcBorders>
              <w:top w:val="single" w:sz="8" w:color="0000EE"/>
            </w:tcBorders>
            <w:gridSpan w:val="3"/>
          </w:tcPr>
          <w:p>
            <w:pPr>
              <w:spacing w:after="0"/>
              <w:rPr>
                <w:sz w:val="17"/>
                <w:szCs w:val="17"/>
                <w:color w:val="auto"/>
              </w:rPr>
            </w:pPr>
          </w:p>
        </w:tc>
        <w:tc>
          <w:tcPr>
            <w:tcW w:w="4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2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Form of Warrant Agreement, dated</w:t>
              </w:r>
            </w:hyperlink>
          </w:p>
        </w:tc>
        <w:tc>
          <w:tcPr>
            <w:tcW w:w="820" w:type="dxa"/>
            <w:vAlign w:val="bottom"/>
            <w:gridSpan w:val="10"/>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12/06/2023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December 5, 2023</w:t>
              </w:r>
            </w:hyperlink>
          </w:p>
        </w:tc>
        <w:tc>
          <w:tcPr>
            <w:tcW w:w="202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33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Form of Amended and Restated Warrant</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Agreement, dated November 25, 2024</w:t>
            </w:r>
          </w:p>
        </w:tc>
        <w:tc>
          <w:tcPr>
            <w:tcW w:w="4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120" w:type="dxa"/>
            <w:vAlign w:val="bottom"/>
            <w:gridSpan w:val="10"/>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3360" w:type="dxa"/>
            <w:vAlign w:val="bottom"/>
            <w:gridSpan w:val="17"/>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Form of Pre-Funded Warrant, dated March</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25, 2024</w:t>
              </w:r>
            </w:hyperlink>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40" w:type="dxa"/>
            <w:vAlign w:val="bottom"/>
            <w:gridSpan w:val="2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40" w:type="dxa"/>
            <w:vAlign w:val="bottom"/>
            <w:gridSpan w:val="2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4"/>
                <w:szCs w:val="14"/>
                <w:color w:val="auto"/>
              </w:rPr>
            </w:pPr>
          </w:p>
        </w:tc>
        <w:tc>
          <w:tcPr>
            <w:tcW w:w="2860" w:type="dxa"/>
            <w:vAlign w:val="bottom"/>
            <w:tcBorders>
              <w:top w:val="single" w:sz="8" w:color="auto"/>
              <w:bottom w:val="single" w:sz="8" w:color="0000EE"/>
            </w:tcBorders>
            <w:gridSpan w:val="14"/>
          </w:tcPr>
          <w:p>
            <w:pPr>
              <w:spacing w:after="0" w:line="169"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Form of Accompanying Warrant, dated</w:t>
              </w:r>
            </w:hyperlink>
          </w:p>
        </w:tc>
        <w:tc>
          <w:tcPr>
            <w:tcW w:w="360" w:type="dxa"/>
            <w:vAlign w:val="bottom"/>
            <w:tcBorders>
              <w:top w:val="single" w:sz="8" w:color="auto"/>
            </w:tcBorders>
            <w:gridSpan w:val="12"/>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03/25/2024</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March 25, 2024</w:t>
              </w:r>
            </w:hyperlink>
          </w:p>
        </w:tc>
        <w:tc>
          <w:tcPr>
            <w:tcW w:w="220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24"/>
                <w:szCs w:val="24"/>
                <w:color w:val="auto"/>
              </w:rPr>
            </w:pPr>
          </w:p>
        </w:tc>
        <w:tc>
          <w:tcPr>
            <w:tcW w:w="30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Form of Fifth Amendment Warrant, dated</w:t>
              </w:r>
            </w:hyperlink>
          </w:p>
        </w:tc>
        <w:tc>
          <w:tcPr>
            <w:tcW w:w="320" w:type="dxa"/>
            <w:vAlign w:val="bottom"/>
            <w:gridSpan w:val="8"/>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November 21, 2024</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24"/>
                <w:szCs w:val="24"/>
                <w:color w:val="auto"/>
              </w:rPr>
            </w:pPr>
          </w:p>
        </w:tc>
        <w:tc>
          <w:tcPr>
            <w:tcW w:w="2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Form of Pre-Funded Warrant, dated</w:t>
              </w:r>
            </w:hyperlink>
          </w:p>
        </w:tc>
        <w:tc>
          <w:tcPr>
            <w:tcW w:w="780" w:type="dxa"/>
            <w:vAlign w:val="bottom"/>
            <w:gridSpan w:val="19"/>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11/25/2024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November 21, 2024</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4"/>
                <w:szCs w:val="24"/>
                <w:color w:val="auto"/>
              </w:rPr>
            </w:pPr>
          </w:p>
        </w:tc>
        <w:tc>
          <w:tcPr>
            <w:tcW w:w="3360" w:type="dxa"/>
            <w:vAlign w:val="bottom"/>
            <w:gridSpan w:val="27"/>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of Warrant, dated November 21, 2024</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11/25/2024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24"/>
                <w:szCs w:val="24"/>
                <w:color w:val="auto"/>
              </w:rPr>
            </w:pPr>
          </w:p>
        </w:tc>
        <w:tc>
          <w:tcPr>
            <w:tcW w:w="28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99">
              <w:r>
                <w:rPr>
                  <w:rFonts w:ascii="Times New Roman" w:cs="Times New Roman" w:eastAsia="Times New Roman" w:hAnsi="Times New Roman"/>
                  <w:sz w:val="18"/>
                  <w:szCs w:val="18"/>
                  <w:color w:val="0000EE"/>
                  <w:w w:val="99"/>
                </w:rPr>
                <w:t>Form of Amended and Restated Fourth</w:t>
              </w:r>
            </w:hyperlink>
          </w:p>
        </w:tc>
        <w:tc>
          <w:tcPr>
            <w:tcW w:w="520" w:type="dxa"/>
            <w:vAlign w:val="bottom"/>
            <w:gridSpan w:val="14"/>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01/10/2025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Amendment Warrant, dated November 25,</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284224</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99">
              <w:r>
                <w:rPr>
                  <w:rFonts w:ascii="Times New Roman" w:cs="Times New Roman" w:eastAsia="Times New Roman" w:hAnsi="Times New Roman"/>
                  <w:sz w:val="18"/>
                  <w:szCs w:val="18"/>
                  <w:color w:val="0000EE"/>
                  <w:w w:val="94"/>
                </w:rPr>
                <w:t>2024</w:t>
              </w:r>
            </w:hyperlink>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4"/>
                <w:szCs w:val="24"/>
                <w:color w:val="auto"/>
              </w:rPr>
            </w:pPr>
          </w:p>
        </w:tc>
        <w:tc>
          <w:tcPr>
            <w:tcW w:w="31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Second Amended and Restated Registration</w:t>
              </w:r>
            </w:hyperlink>
          </w:p>
        </w:tc>
        <w:tc>
          <w:tcPr>
            <w:tcW w:w="180" w:type="dxa"/>
            <w:vAlign w:val="bottom"/>
            <w:gridSpan w:val="3"/>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Rights Agreement, between the Company</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and the parties thereto, dated March 20,</w:t>
              </w:r>
            </w:hyperlink>
          </w:p>
        </w:tc>
        <w:tc>
          <w:tcPr>
            <w:tcW w:w="34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2024.</w:t>
              </w:r>
            </w:hyperlink>
          </w:p>
        </w:tc>
        <w:tc>
          <w:tcPr>
            <w:tcW w:w="7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4"/>
                <w:szCs w:val="24"/>
                <w:color w:val="auto"/>
              </w:rPr>
            </w:pPr>
          </w:p>
        </w:tc>
        <w:tc>
          <w:tcPr>
            <w:tcW w:w="27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Form of Third Amended and Restated</w:t>
              </w:r>
            </w:hyperlink>
          </w:p>
        </w:tc>
        <w:tc>
          <w:tcPr>
            <w:tcW w:w="600" w:type="dxa"/>
            <w:vAlign w:val="bottom"/>
            <w:gridSpan w:val="17"/>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Registration Rights Agreement, between the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Company and the parties thereto, dated</w:t>
              </w:r>
            </w:hyperlink>
          </w:p>
        </w:tc>
        <w:tc>
          <w:tcPr>
            <w:tcW w:w="1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November 25, 2024</w:t>
              </w:r>
            </w:hyperlink>
          </w:p>
        </w:tc>
        <w:tc>
          <w:tcPr>
            <w:tcW w:w="54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3360" w:type="dxa"/>
            <w:vAlign w:val="bottom"/>
            <w:gridSpan w:val="27"/>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Second Amended and Restated Separation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5"/>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03/09/2020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and Shared Services Agreement, dated</w:t>
              </w:r>
            </w:hyperlink>
          </w:p>
        </w:tc>
        <w:tc>
          <w:tcPr>
            <w:tcW w:w="260" w:type="dxa"/>
            <w:vAlign w:val="bottom"/>
            <w:tcBorders>
              <w:top w:val="single" w:sz="8" w:color="0000EE"/>
            </w:tcBorders>
            <w:gridSpan w:val="9"/>
          </w:tcPr>
          <w:p>
            <w:pPr>
              <w:spacing w:after="0"/>
              <w:rPr>
                <w:sz w:val="17"/>
                <w:szCs w:val="17"/>
                <w:color w:val="auto"/>
              </w:rPr>
            </w:pPr>
          </w:p>
        </w:tc>
        <w:tc>
          <w:tcPr>
            <w:tcW w:w="3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March 6, 2020,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Corporation and BioXcel 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3160" w:type="dxa"/>
            <w:vAlign w:val="bottom"/>
            <w:tcBorders>
              <w:top w:val="single" w:sz="8" w:color="0000EE"/>
            </w:tcBorders>
            <w:gridSpan w:val="23"/>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First Amendment to Second Amended and</w:t>
              </w:r>
            </w:hyperlink>
          </w:p>
        </w:tc>
        <w:tc>
          <w:tcPr>
            <w:tcW w:w="200" w:type="dxa"/>
            <w:vAlign w:val="bottom"/>
            <w:gridSpan w:val="4"/>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Restated Separation and Shared Services</w:t>
              </w:r>
            </w:hyperlink>
          </w:p>
        </w:tc>
        <w:tc>
          <w:tcPr>
            <w:tcW w:w="28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6"/>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Agreement, dated March 3, 2021, by and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between BioXcel LLC and BioXcel</w:t>
              </w:r>
            </w:hyperlink>
          </w:p>
        </w:tc>
        <w:tc>
          <w:tcPr>
            <w:tcW w:w="40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Therapeutics Inc</w:t>
              </w:r>
              <w:r>
                <w:rPr>
                  <w:rFonts w:ascii="Times New Roman" w:cs="Times New Roman" w:eastAsia="Times New Roman" w:hAnsi="Times New Roman"/>
                  <w:sz w:val="18"/>
                  <w:szCs w:val="18"/>
                  <w:color w:val="000000"/>
                </w:rPr>
                <w:t>.</w:t>
              </w:r>
            </w:hyperlink>
          </w:p>
        </w:tc>
        <w:tc>
          <w:tcPr>
            <w:tcW w:w="78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29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Second Amendment to Second Amended</w:t>
              </w:r>
            </w:hyperlink>
          </w:p>
        </w:tc>
        <w:tc>
          <w:tcPr>
            <w:tcW w:w="380" w:type="dxa"/>
            <w:vAlign w:val="bottom"/>
            <w:gridSpan w:val="10"/>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and Restated Separation and Shared</w:t>
              </w:r>
            </w:hyperlink>
          </w:p>
        </w:tc>
        <w:tc>
          <w:tcPr>
            <w:tcW w:w="76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Services Agreement, dated March 3, 2021,</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9"/>
            <w:shd w:val="clear" w:color="auto" w:fill="0000EE"/>
          </w:tcPr>
          <w:p>
            <w:pPr>
              <w:spacing w:after="0" w:line="20" w:lineRule="exact"/>
              <w:rPr>
                <w:sz w:val="1"/>
                <w:szCs w:val="1"/>
                <w:color w:val="auto"/>
              </w:rPr>
            </w:pPr>
          </w:p>
        </w:tc>
        <w:tc>
          <w:tcPr>
            <w:tcW w:w="160" w:type="dxa"/>
            <w:vAlign w:val="bottom"/>
            <w:tcBorders>
              <w:left w:val="single" w:sz="8" w:color="0000EE"/>
            </w:tcBorders>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by and between BioXcel LLC and BioXcel</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Therapeutics Inc.</w:t>
              </w:r>
            </w:hyperlink>
          </w:p>
        </w:tc>
        <w:tc>
          <w:tcPr>
            <w:tcW w:w="2100" w:type="dxa"/>
            <w:vAlign w:val="bottom"/>
            <w:gridSpan w:val="2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24"/>
                <w:szCs w:val="24"/>
                <w:color w:val="auto"/>
              </w:rPr>
            </w:pPr>
          </w:p>
        </w:tc>
        <w:tc>
          <w:tcPr>
            <w:tcW w:w="3360" w:type="dxa"/>
            <w:vAlign w:val="bottom"/>
            <w:gridSpan w:val="27"/>
          </w:tcPr>
          <w:p>
            <w:pPr>
              <w:spacing w:after="0"/>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Amended and Restated Asset Contribution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20" w:type="dxa"/>
            <w:vAlign w:val="bottom"/>
            <w:tcBorders>
              <w:right w:val="single" w:sz="8" w:color="0000EE"/>
            </w:tcBorders>
            <w:gridSpan w:val="9"/>
            <w:shd w:val="clear" w:color="auto" w:fill="0000EE"/>
          </w:tcPr>
          <w:p>
            <w:pPr>
              <w:spacing w:after="0" w:line="20" w:lineRule="exact"/>
              <w:rPr>
                <w:sz w:val="1"/>
                <w:szCs w:val="1"/>
                <w:color w:val="auto"/>
              </w:rPr>
            </w:pPr>
          </w:p>
        </w:tc>
        <w:tc>
          <w:tcPr>
            <w:tcW w:w="16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Agreement, effective November 7, 2017, by</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and between BioXcel LLC and BioXcel</w:t>
              </w:r>
            </w:hyperlink>
          </w:p>
        </w:tc>
        <w:tc>
          <w:tcPr>
            <w:tcW w:w="260" w:type="dxa"/>
            <w:vAlign w:val="bottom"/>
            <w:tcBorders>
              <w:top w:val="single" w:sz="8" w:color="0000EE"/>
            </w:tcBorders>
            <w:gridSpan w:val="9"/>
          </w:tcPr>
          <w:p>
            <w:pPr>
              <w:spacing w:after="0"/>
              <w:rPr>
                <w:sz w:val="17"/>
                <w:szCs w:val="17"/>
                <w:color w:val="auto"/>
              </w:rPr>
            </w:pPr>
          </w:p>
        </w:tc>
        <w:tc>
          <w:tcPr>
            <w:tcW w:w="1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27"/>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80" w:type="dxa"/>
            <w:vAlign w:val="bottom"/>
            <w:gridSpan w:val="27"/>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27"/>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4"/>
                <w:szCs w:val="14"/>
                <w:color w:val="auto"/>
              </w:rPr>
            </w:pPr>
          </w:p>
        </w:tc>
        <w:tc>
          <w:tcPr>
            <w:tcW w:w="2980" w:type="dxa"/>
            <w:vAlign w:val="bottom"/>
            <w:tcBorders>
              <w:top w:val="single" w:sz="8" w:color="auto"/>
              <w:bottom w:val="single" w:sz="8" w:color="0000EE"/>
            </w:tcBorders>
            <w:gridSpan w:val="20"/>
          </w:tcPr>
          <w:p>
            <w:pPr>
              <w:spacing w:after="0" w:line="169"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Lease Agreement, dated as of August 20,</w:t>
              </w:r>
            </w:hyperlink>
          </w:p>
        </w:tc>
        <w:tc>
          <w:tcPr>
            <w:tcW w:w="240" w:type="dxa"/>
            <w:vAlign w:val="bottom"/>
            <w:tcBorders>
              <w:top w:val="single" w:sz="8" w:color="auto"/>
            </w:tcBorders>
            <w:gridSpan w:val="9"/>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08/23/2018</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2018, by and between Fusco Harbour</w:t>
              </w:r>
            </w:hyperlink>
          </w:p>
        </w:tc>
        <w:tc>
          <w:tcPr>
            <w:tcW w:w="64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Associates, LLC, as Landlord, and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Therapeutics, Inc., as Tenant</w:t>
              </w:r>
            </w:hyperlink>
          </w:p>
        </w:tc>
        <w:tc>
          <w:tcPr>
            <w:tcW w:w="1040" w:type="dxa"/>
            <w:vAlign w:val="bottom"/>
            <w:tcBorders>
              <w:top w:val="single" w:sz="8" w:color="0000EE"/>
            </w:tcBorders>
            <w:gridSpan w:val="18"/>
          </w:tcPr>
          <w:p>
            <w:pPr>
              <w:spacing w:after="0"/>
              <w:rPr>
                <w:sz w:val="17"/>
                <w:szCs w:val="17"/>
                <w:color w:val="auto"/>
              </w:rPr>
            </w:pPr>
          </w:p>
        </w:tc>
        <w:tc>
          <w:tcPr>
            <w:tcW w:w="2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3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First Amendment, dated August 19, 2020,</w:t>
              </w:r>
            </w:hyperlink>
          </w:p>
        </w:tc>
        <w:tc>
          <w:tcPr>
            <w:tcW w:w="320" w:type="dxa"/>
            <w:vAlign w:val="bottom"/>
            <w:gridSpan w:val="8"/>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to Lease Agreement, dated as of August 20,</w:t>
              </w:r>
            </w:hyperlink>
          </w:p>
        </w:tc>
        <w:tc>
          <w:tcPr>
            <w:tcW w:w="1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2018, by and between Fusco Harbour</w:t>
              </w:r>
            </w:hyperlink>
          </w:p>
        </w:tc>
        <w:tc>
          <w:tcPr>
            <w:tcW w:w="64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Associates, LLC, as Landlord, and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Therapeutics, Inc., as Tenant</w:t>
              </w:r>
            </w:hyperlink>
          </w:p>
        </w:tc>
        <w:tc>
          <w:tcPr>
            <w:tcW w:w="1060" w:type="dxa"/>
            <w:vAlign w:val="bottom"/>
            <w:tcBorders>
              <w:top w:val="single" w:sz="8" w:color="0000EE"/>
            </w:tcBorders>
            <w:gridSpan w:val="19"/>
          </w:tcPr>
          <w:p>
            <w:pPr>
              <w:spacing w:after="0"/>
              <w:rPr>
                <w:sz w:val="17"/>
                <w:szCs w:val="17"/>
                <w:color w:val="auto"/>
              </w:rPr>
            </w:pPr>
          </w:p>
        </w:tc>
        <w:tc>
          <w:tcPr>
            <w:tcW w:w="2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10.7</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2017 Equity Incentive Plan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10.8</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1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Form of Incentive Stock Option Agreement</w:t>
              </w:r>
            </w:hyperlink>
          </w:p>
        </w:tc>
        <w:tc>
          <w:tcPr>
            <w:tcW w:w="200" w:type="dxa"/>
            <w:vAlign w:val="bottom"/>
            <w:gridSpan w:val="4"/>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under the 2017 Equity Incentive Plan</w:t>
              </w:r>
            </w:hyperlink>
          </w:p>
        </w:tc>
        <w:tc>
          <w:tcPr>
            <w:tcW w:w="66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10.9</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Form of Non-Statutory Stock Option</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Agreement under the 2017 Equity Incentive</w:t>
              </w:r>
            </w:hyperlink>
          </w:p>
        </w:tc>
        <w:tc>
          <w:tcPr>
            <w:tcW w:w="1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Plan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10.10</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BioXcel Therapeutics, Inc. 2020 Incentive</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Award Plan and forms of award agreements</w:t>
              </w:r>
            </w:hyperlink>
          </w:p>
        </w:tc>
        <w:tc>
          <w:tcPr>
            <w:tcW w:w="2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thereunder</w:t>
              </w:r>
            </w:hyperlink>
          </w:p>
        </w:tc>
        <w:tc>
          <w:tcPr>
            <w:tcW w:w="2580" w:type="dxa"/>
            <w:vAlign w:val="bottom"/>
            <w:gridSpan w:val="2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10.11</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BioXcel Therapeutics, Inc. 2020 Employee</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08/14/2020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Stock Purchase Plan</w:t>
              </w:r>
            </w:hyperlink>
          </w:p>
        </w:tc>
        <w:tc>
          <w:tcPr>
            <w:tcW w:w="1640" w:type="dxa"/>
            <w:vAlign w:val="bottom"/>
            <w:tcBorders>
              <w:top w:val="single" w:sz="8" w:color="0000EE"/>
            </w:tcBorders>
            <w:gridSpan w:val="20"/>
          </w:tcPr>
          <w:p>
            <w:pPr>
              <w:spacing w:after="0"/>
              <w:rPr>
                <w:sz w:val="17"/>
                <w:szCs w:val="17"/>
                <w:color w:val="auto"/>
              </w:rPr>
            </w:pPr>
          </w:p>
        </w:tc>
        <w:tc>
          <w:tcPr>
            <w:tcW w:w="24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10.12</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0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Form of Indemnification Agreement with</w:t>
              </w:r>
            </w:hyperlink>
          </w:p>
        </w:tc>
        <w:tc>
          <w:tcPr>
            <w:tcW w:w="360" w:type="dxa"/>
            <w:vAlign w:val="bottom"/>
            <w:gridSpan w:val="9"/>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directors and executive officers</w:t>
              </w:r>
            </w:hyperlink>
          </w:p>
        </w:tc>
        <w:tc>
          <w:tcPr>
            <w:tcW w:w="108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10.13</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29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Employment Agreement, dated March 7,</w:t>
              </w:r>
            </w:hyperlink>
          </w:p>
        </w:tc>
        <w:tc>
          <w:tcPr>
            <w:tcW w:w="400" w:type="dxa"/>
            <w:vAlign w:val="bottom"/>
            <w:gridSpan w:val="11"/>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03/13/2018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2018 by and between BioXcel</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Therapeutics, Inc. and Vimal Mehta</w:t>
              </w:r>
            </w:hyperlink>
          </w:p>
        </w:tc>
        <w:tc>
          <w:tcPr>
            <w:tcW w:w="70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10.13.1</w:t>
            </w:r>
            <w:r>
              <w:rPr>
                <w:rFonts w:ascii="Times New Roman" w:cs="Times New Roman" w:eastAsia="Times New Roman" w:hAnsi="Times New Roman"/>
                <w:sz w:val="26"/>
                <w:szCs w:val="26"/>
                <w:color w:val="auto"/>
                <w:w w:val="94"/>
                <w:vertAlign w:val="superscript"/>
              </w:rPr>
              <w:t>@</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Amendment to Employment Agreement,</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01/08/2025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dated January 7, 2025 by and between</w:t>
              </w:r>
            </w:hyperlink>
          </w:p>
        </w:tc>
        <w:tc>
          <w:tcPr>
            <w:tcW w:w="160" w:type="dxa"/>
            <w:vAlign w:val="bottom"/>
            <w:tcBorders>
              <w:top w:val="single" w:sz="8" w:color="0000EE"/>
            </w:tcBorders>
          </w:tcPr>
          <w:p>
            <w:pPr>
              <w:spacing w:after="0"/>
              <w:rPr>
                <w:sz w:val="17"/>
                <w:szCs w:val="17"/>
                <w:color w:val="auto"/>
              </w:rPr>
            </w:pPr>
          </w:p>
        </w:tc>
        <w:tc>
          <w:tcPr>
            <w:tcW w:w="42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BioXcel Therapeutics, Inc. and Vimal</w:t>
              </w:r>
            </w:hyperlink>
          </w:p>
        </w:tc>
        <w:tc>
          <w:tcPr>
            <w:tcW w:w="62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Mehta</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10.14</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Employment Agreement, dated</w:t>
              </w:r>
            </w:hyperlink>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S-1/A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9"/>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16">
              <w:r>
                <w:rPr>
                  <w:rFonts w:ascii="Times New Roman" w:cs="Times New Roman" w:eastAsia="Times New Roman" w:hAnsi="Times New Roman"/>
                  <w:sz w:val="18"/>
                  <w:szCs w:val="18"/>
                  <w:color w:val="0000EE"/>
                  <w:w w:val="99"/>
                </w:rPr>
                <w:t>February 12, 2018, by and between BioXcel</w:t>
              </w:r>
            </w:hyperlink>
          </w:p>
        </w:tc>
        <w:tc>
          <w:tcPr>
            <w:tcW w:w="1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Therapeutics, Inc. and Frank Yocca</w:t>
              </w:r>
            </w:hyperlink>
          </w:p>
        </w:tc>
        <w:tc>
          <w:tcPr>
            <w:tcW w:w="80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10.14.1</w:t>
            </w:r>
            <w:r>
              <w:rPr>
                <w:rFonts w:ascii="Times New Roman" w:cs="Times New Roman" w:eastAsia="Times New Roman" w:hAnsi="Times New Roman"/>
                <w:sz w:val="26"/>
                <w:szCs w:val="26"/>
                <w:color w:val="auto"/>
                <w:w w:val="94"/>
                <w:vertAlign w:val="superscript"/>
              </w:rPr>
              <w:t>@</w:t>
            </w:r>
          </w:p>
        </w:tc>
        <w:tc>
          <w:tcPr>
            <w:tcW w:w="140" w:type="dxa"/>
            <w:vAlign w:val="bottom"/>
          </w:tcPr>
          <w:p>
            <w:pPr>
              <w:spacing w:after="0"/>
              <w:rPr>
                <w:sz w:val="24"/>
                <w:szCs w:val="24"/>
                <w:color w:val="auto"/>
              </w:rPr>
            </w:pPr>
          </w:p>
        </w:tc>
        <w:tc>
          <w:tcPr>
            <w:tcW w:w="3360" w:type="dxa"/>
            <w:vAlign w:val="bottom"/>
            <w:gridSpan w:val="30"/>
          </w:tcPr>
          <w:p>
            <w:pPr>
              <w:spacing w:after="0"/>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Amendment to Employment Agreement,</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01/08/2025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dated January 7, 2025 by and between</w:t>
              </w:r>
            </w:hyperlink>
          </w:p>
        </w:tc>
        <w:tc>
          <w:tcPr>
            <w:tcW w:w="42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gridSpan w:val="16"/>
            <w:shd w:val="clear" w:color="auto" w:fill="0000EE"/>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0"/>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BioXcel Therapeutics, Inc. and Frank Yocca</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0" w:type="dxa"/>
            <w:vAlign w:val="bottom"/>
            <w:gridSpan w:val="2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0" w:type="dxa"/>
            <w:vAlign w:val="bottom"/>
            <w:gridSpan w:val="27"/>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4"/>
                <w:szCs w:val="14"/>
                <w:color w:val="auto"/>
              </w:rPr>
              <w:t>10.15</w:t>
            </w:r>
            <w:r>
              <w:rPr>
                <w:rFonts w:ascii="Times New Roman" w:cs="Times New Roman" w:eastAsia="Times New Roman" w:hAnsi="Times New Roman"/>
                <w:sz w:val="19"/>
                <w:szCs w:val="19"/>
                <w:color w:val="auto"/>
                <w:vertAlign w:val="superscript"/>
              </w:rPr>
              <w:t>@</w:t>
            </w:r>
          </w:p>
        </w:tc>
        <w:tc>
          <w:tcPr>
            <w:tcW w:w="140" w:type="dxa"/>
            <w:vAlign w:val="bottom"/>
          </w:tcPr>
          <w:p>
            <w:pPr>
              <w:spacing w:after="0"/>
              <w:rPr>
                <w:sz w:val="14"/>
                <w:szCs w:val="14"/>
                <w:color w:val="auto"/>
              </w:rPr>
            </w:pPr>
          </w:p>
        </w:tc>
        <w:tc>
          <w:tcPr>
            <w:tcW w:w="2500" w:type="dxa"/>
            <w:vAlign w:val="bottom"/>
            <w:tcBorders>
              <w:top w:val="single" w:sz="8" w:color="auto"/>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Employment Agreement, effective</w:t>
              </w:r>
            </w:hyperlink>
          </w:p>
        </w:tc>
        <w:tc>
          <w:tcPr>
            <w:tcW w:w="700" w:type="dxa"/>
            <w:vAlign w:val="bottom"/>
            <w:tcBorders>
              <w:top w:val="single" w:sz="8" w:color="auto"/>
            </w:tcBorders>
            <w:gridSpan w:val="19"/>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S-1/A</w:t>
            </w:r>
          </w:p>
        </w:tc>
        <w:tc>
          <w:tcPr>
            <w:tcW w:w="160" w:type="dxa"/>
            <w:vAlign w:val="bottom"/>
          </w:tcPr>
          <w:p>
            <w:pPr>
              <w:spacing w:after="0"/>
              <w:rPr>
                <w:sz w:val="14"/>
                <w:szCs w:val="14"/>
                <w:color w:val="auto"/>
              </w:rPr>
            </w:pPr>
          </w:p>
        </w:tc>
        <w:tc>
          <w:tcPr>
            <w:tcW w:w="7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4"/>
                <w:szCs w:val="14"/>
                <w:color w:val="auto"/>
              </w:rPr>
            </w:pPr>
          </w:p>
        </w:tc>
        <w:tc>
          <w:tcPr>
            <w:tcW w:w="6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10.12</w:t>
            </w:r>
          </w:p>
        </w:tc>
        <w:tc>
          <w:tcPr>
            <w:tcW w:w="16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02/12/2018</w:t>
            </w: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18">
              <w:r>
                <w:rPr>
                  <w:rFonts w:ascii="Times New Roman" w:cs="Times New Roman" w:eastAsia="Times New Roman" w:hAnsi="Times New Roman"/>
                  <w:sz w:val="18"/>
                  <w:szCs w:val="18"/>
                  <w:color w:val="0000EE"/>
                  <w:w w:val="99"/>
                </w:rPr>
                <w:t>October 2, 2017, by and between BioXcel</w:t>
              </w:r>
            </w:hyperlink>
          </w:p>
        </w:tc>
        <w:tc>
          <w:tcPr>
            <w:tcW w:w="32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222990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Therapeutics, Inc. and Richard Steinhart</w:t>
              </w:r>
            </w:hyperlink>
          </w:p>
        </w:tc>
        <w:tc>
          <w:tcPr>
            <w:tcW w:w="4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10.15.1</w:t>
            </w:r>
            <w:r>
              <w:rPr>
                <w:rFonts w:ascii="Times New Roman" w:cs="Times New Roman" w:eastAsia="Times New Roman" w:hAnsi="Times New Roman"/>
                <w:sz w:val="26"/>
                <w:szCs w:val="26"/>
                <w:color w:val="auto"/>
                <w:w w:val="94"/>
                <w:vertAlign w:val="superscript"/>
              </w:rPr>
              <w:t>@</w:t>
            </w:r>
          </w:p>
        </w:tc>
        <w:tc>
          <w:tcPr>
            <w:tcW w:w="140" w:type="dxa"/>
            <w:vAlign w:val="bottom"/>
          </w:tcPr>
          <w:p>
            <w:pPr>
              <w:spacing w:after="0"/>
              <w:rPr>
                <w:sz w:val="24"/>
                <w:szCs w:val="24"/>
                <w:color w:val="auto"/>
              </w:rPr>
            </w:pPr>
          </w:p>
        </w:tc>
        <w:tc>
          <w:tcPr>
            <w:tcW w:w="3360" w:type="dxa"/>
            <w:vAlign w:val="bottom"/>
            <w:gridSpan w:val="31"/>
          </w:tcPr>
          <w:p>
            <w:pPr>
              <w:spacing w:after="0"/>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Amendment to Employment Agreement,</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01/08/2025</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9">
              <w:r>
                <w:rPr>
                  <w:rFonts w:ascii="Times New Roman" w:cs="Times New Roman" w:eastAsia="Times New Roman" w:hAnsi="Times New Roman"/>
                  <w:sz w:val="18"/>
                  <w:szCs w:val="18"/>
                  <w:color w:val="0000EE"/>
                  <w:w w:val="99"/>
                </w:rPr>
                <w:t>dated January 7, 2025 by and between</w:t>
              </w:r>
            </w:hyperlink>
          </w:p>
        </w:tc>
        <w:tc>
          <w:tcPr>
            <w:tcW w:w="180" w:type="dxa"/>
            <w:vAlign w:val="bottom"/>
            <w:tcBorders>
              <w:top w:val="single" w:sz="8" w:color="0000EE"/>
            </w:tcBorders>
            <w:gridSpan w:val="7"/>
          </w:tcPr>
          <w:p>
            <w:pPr>
              <w:spacing w:after="0"/>
              <w:rPr>
                <w:sz w:val="17"/>
                <w:szCs w:val="17"/>
                <w:color w:val="auto"/>
              </w:rPr>
            </w:pPr>
          </w:p>
        </w:tc>
        <w:tc>
          <w:tcPr>
            <w:tcW w:w="4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BioXcel Therapeutics, Inc. and Richard</w:t>
              </w:r>
            </w:hyperlink>
          </w:p>
        </w:tc>
        <w:tc>
          <w:tcPr>
            <w:tcW w:w="48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Steinhart</w:t>
              </w:r>
            </w:hyperlink>
          </w:p>
        </w:tc>
        <w:tc>
          <w:tcPr>
            <w:tcW w:w="2700" w:type="dxa"/>
            <w:vAlign w:val="bottom"/>
            <w:gridSpan w:val="2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10.16</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rPr>
                <w:sz w:val="24"/>
                <w:szCs w:val="24"/>
                <w:color w:val="auto"/>
              </w:rPr>
            </w:pPr>
          </w:p>
        </w:tc>
        <w:tc>
          <w:tcPr>
            <w:tcW w:w="3360" w:type="dxa"/>
            <w:vAlign w:val="bottom"/>
            <w:gridSpan w:val="31"/>
          </w:tcPr>
          <w:p>
            <w:pPr>
              <w:spacing w:after="0"/>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Employment Agreement, dated June 1,</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06/07/2018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2018, by and between BioXcel</w:t>
              </w:r>
            </w:hyperlink>
          </w:p>
        </w:tc>
        <w:tc>
          <w:tcPr>
            <w:tcW w:w="56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Therapeutics, Inc. and Dr. Vincent O’Neill,</w:t>
              </w:r>
            </w:hyperlink>
          </w:p>
        </w:tc>
        <w:tc>
          <w:tcPr>
            <w:tcW w:w="2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M.D.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10.17</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Employment Agreement between Javier</w:t>
              </w:r>
            </w:hyperlink>
          </w:p>
        </w:tc>
        <w:tc>
          <w:tcPr>
            <w:tcW w:w="440" w:type="dxa"/>
            <w:vAlign w:val="bottom"/>
            <w:gridSpan w:val="1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03/12/2021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21">
              <w:r>
                <w:rPr>
                  <w:rFonts w:ascii="Times New Roman" w:cs="Times New Roman" w:eastAsia="Times New Roman" w:hAnsi="Times New Roman"/>
                  <w:sz w:val="18"/>
                  <w:szCs w:val="18"/>
                  <w:color w:val="0000EE"/>
                  <w:w w:val="99"/>
                </w:rPr>
                <w:t>Rodriguez and BioXcel Therapeutics, Inc.,</w:t>
              </w:r>
            </w:hyperlink>
          </w:p>
        </w:tc>
        <w:tc>
          <w:tcPr>
            <w:tcW w:w="2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dated February 15, 2021.</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10.18</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22">
              <w:r>
                <w:rPr>
                  <w:rFonts w:ascii="Times New Roman" w:cs="Times New Roman" w:eastAsia="Times New Roman" w:hAnsi="Times New Roman"/>
                  <w:sz w:val="18"/>
                  <w:szCs w:val="18"/>
                  <w:color w:val="0000EE"/>
                  <w:w w:val="99"/>
                </w:rPr>
                <w:t>Separation Agreement between Matthew</w:t>
              </w:r>
            </w:hyperlink>
          </w:p>
        </w:tc>
        <w:tc>
          <w:tcPr>
            <w:tcW w:w="400" w:type="dxa"/>
            <w:vAlign w:val="bottom"/>
            <w:gridSpan w:val="10"/>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10/09/2024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Wiley and BioXcel 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dated October 3, 2024.</w:t>
              </w:r>
            </w:hyperlink>
          </w:p>
        </w:tc>
        <w:tc>
          <w:tcPr>
            <w:tcW w:w="600" w:type="dxa"/>
            <w:vAlign w:val="bottom"/>
            <w:gridSpan w:val="1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10.18.1</w:t>
            </w:r>
            <w:r>
              <w:rPr>
                <w:rFonts w:ascii="Times New Roman" w:cs="Times New Roman" w:eastAsia="Times New Roman" w:hAnsi="Times New Roman"/>
                <w:sz w:val="26"/>
                <w:szCs w:val="26"/>
                <w:color w:val="auto"/>
                <w:w w:val="94"/>
                <w:vertAlign w:val="superscript"/>
              </w:rPr>
              <w:t>@</w:t>
            </w: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Consulting Agreement between Matthew</w:t>
              </w:r>
            </w:hyperlink>
          </w:p>
        </w:tc>
        <w:tc>
          <w:tcPr>
            <w:tcW w:w="380" w:type="dxa"/>
            <w:vAlign w:val="bottom"/>
            <w:gridSpan w:val="9"/>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10/09/2024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23">
              <w:r>
                <w:rPr>
                  <w:rFonts w:ascii="Times New Roman" w:cs="Times New Roman" w:eastAsia="Times New Roman" w:hAnsi="Times New Roman"/>
                  <w:sz w:val="18"/>
                  <w:szCs w:val="18"/>
                  <w:color w:val="0000EE"/>
                  <w:w w:val="99"/>
                </w:rPr>
                <w:t>Wiley and BioXcel Therapeutics, Inc. dated</w:t>
              </w:r>
            </w:hyperlink>
          </w:p>
        </w:tc>
        <w:tc>
          <w:tcPr>
            <w:tcW w:w="2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October 8, 2024</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40" w:type="dxa"/>
            <w:vAlign w:val="bottom"/>
          </w:tcPr>
          <w:p>
            <w:pPr>
              <w:spacing w:after="0"/>
              <w:rPr>
                <w:sz w:val="24"/>
                <w:szCs w:val="24"/>
                <w:color w:val="auto"/>
              </w:rPr>
            </w:pPr>
          </w:p>
        </w:tc>
        <w:tc>
          <w:tcPr>
            <w:tcW w:w="3360" w:type="dxa"/>
            <w:vAlign w:val="bottom"/>
            <w:gridSpan w:val="31"/>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Employment Agreement BioXcel</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Therapeutics, Inc. and Vincent O’Neill,</w:t>
              </w:r>
            </w:hyperlink>
          </w:p>
        </w:tc>
        <w:tc>
          <w:tcPr>
            <w:tcW w:w="50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M.D. dated July 1, 2022</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10.20</w:t>
            </w:r>
            <w:r>
              <w:rPr>
                <w:rFonts w:ascii="Times New Roman" w:cs="Times New Roman" w:eastAsia="Times New Roman" w:hAnsi="Times New Roman"/>
                <w:sz w:val="26"/>
                <w:szCs w:val="26"/>
                <w:color w:val="auto"/>
                <w:w w:val="92"/>
                <w:vertAlign w:val="superscript"/>
              </w:rPr>
              <w:t>@</w:t>
            </w: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24">
              <w:r>
                <w:rPr>
                  <w:rFonts w:ascii="Times New Roman" w:cs="Times New Roman" w:eastAsia="Times New Roman" w:hAnsi="Times New Roman"/>
                  <w:sz w:val="18"/>
                  <w:szCs w:val="18"/>
                  <w:color w:val="0000EE"/>
                  <w:w w:val="99"/>
                </w:rPr>
                <w:t>Non-Employee Director Compensation</w:t>
              </w:r>
            </w:hyperlink>
          </w:p>
        </w:tc>
        <w:tc>
          <w:tcPr>
            <w:tcW w:w="520" w:type="dxa"/>
            <w:vAlign w:val="bottom"/>
            <w:gridSpan w:val="15"/>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08/11/2022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Program</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40" w:type="dxa"/>
            <w:vAlign w:val="bottom"/>
          </w:tcPr>
          <w:p>
            <w:pPr>
              <w:spacing w:after="0"/>
              <w:rPr>
                <w:sz w:val="24"/>
                <w:szCs w:val="24"/>
                <w:color w:val="auto"/>
              </w:rPr>
            </w:pPr>
          </w:p>
        </w:tc>
        <w:tc>
          <w:tcPr>
            <w:tcW w:w="3360" w:type="dxa"/>
            <w:vAlign w:val="bottom"/>
            <w:gridSpan w:val="31"/>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BioXcel Trademark License Agreement,</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25">
              <w:r>
                <w:rPr>
                  <w:rFonts w:ascii="Times New Roman" w:cs="Times New Roman" w:eastAsia="Times New Roman" w:hAnsi="Times New Roman"/>
                  <w:sz w:val="18"/>
                  <w:szCs w:val="18"/>
                  <w:color w:val="0000EE"/>
                  <w:w w:val="99"/>
                </w:rPr>
                <w:t>between the Company and BioXcel LLC</w:t>
              </w:r>
            </w:hyperlink>
          </w:p>
        </w:tc>
        <w:tc>
          <w:tcPr>
            <w:tcW w:w="4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10.22+&amp;</w:t>
            </w:r>
          </w:p>
        </w:tc>
        <w:tc>
          <w:tcPr>
            <w:tcW w:w="140" w:type="dxa"/>
            <w:vAlign w:val="bottom"/>
          </w:tcPr>
          <w:p>
            <w:pPr>
              <w:spacing w:after="0"/>
              <w:rPr>
                <w:sz w:val="24"/>
                <w:szCs w:val="24"/>
                <w:color w:val="auto"/>
              </w:rPr>
            </w:pPr>
          </w:p>
        </w:tc>
        <w:tc>
          <w:tcPr>
            <w:tcW w:w="2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Credit Agreement and Guaranty, by and</w:t>
              </w:r>
            </w:hyperlink>
          </w:p>
        </w:tc>
        <w:tc>
          <w:tcPr>
            <w:tcW w:w="440" w:type="dxa"/>
            <w:vAlign w:val="bottom"/>
            <w:gridSpan w:val="1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08/11/2022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among BioXcel Therapeutic, Inc., Oaktree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Fund Administration, LLC, the Subsidiary</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Guarantors from time to time party thereto</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26">
              <w:r>
                <w:rPr>
                  <w:rFonts w:ascii="Times New Roman" w:cs="Times New Roman" w:eastAsia="Times New Roman" w:hAnsi="Times New Roman"/>
                  <w:sz w:val="18"/>
                  <w:szCs w:val="18"/>
                  <w:color w:val="0000EE"/>
                  <w:w w:val="99"/>
                </w:rPr>
                <w:t>and the Lenders from time to time party</w:t>
              </w:r>
            </w:hyperlink>
          </w:p>
        </w:tc>
        <w:tc>
          <w:tcPr>
            <w:tcW w:w="180" w:type="dxa"/>
            <w:vAlign w:val="bottom"/>
            <w:tcBorders>
              <w:top w:val="single" w:sz="8" w:color="0000EE"/>
            </w:tcBorders>
            <w:gridSpan w:val="7"/>
          </w:tcPr>
          <w:p>
            <w:pPr>
              <w:spacing w:after="0"/>
              <w:rPr>
                <w:sz w:val="17"/>
                <w:szCs w:val="17"/>
                <w:color w:val="auto"/>
              </w:rPr>
            </w:pPr>
          </w:p>
        </w:tc>
        <w:tc>
          <w:tcPr>
            <w:tcW w:w="30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thereto, dated April 19, 2022</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10.22.1+&amp;</w:t>
            </w:r>
          </w:p>
        </w:tc>
        <w:tc>
          <w:tcPr>
            <w:tcW w:w="28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Waiver and First Amendment to Credit</w:t>
              </w:r>
            </w:hyperlink>
          </w:p>
        </w:tc>
        <w:tc>
          <w:tcPr>
            <w:tcW w:w="540" w:type="dxa"/>
            <w:vAlign w:val="bottom"/>
            <w:gridSpan w:val="1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Agreement and Guaranty, by and between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100" w:type="dxa"/>
            <w:vAlign w:val="bottom"/>
            <w:gridSpan w:val="7"/>
            <w:shd w:val="clear" w:color="auto" w:fill="0000EE"/>
          </w:tcPr>
          <w:p>
            <w:pPr>
              <w:spacing w:after="0" w:line="20" w:lineRule="exact"/>
              <w:rPr>
                <w:sz w:val="1"/>
                <w:szCs w:val="1"/>
                <w:color w:val="auto"/>
              </w:rPr>
            </w:pPr>
          </w:p>
        </w:tc>
        <w:tc>
          <w:tcPr>
            <w:tcW w:w="440" w:type="dxa"/>
            <w:vAlign w:val="bottom"/>
            <w:tcBorders>
              <w:right w:val="single" w:sz="8" w:color="0000EE"/>
            </w:tcBorders>
            <w:gridSpan w:val="11"/>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27">
              <w:r>
                <w:rPr>
                  <w:rFonts w:ascii="Times New Roman" w:cs="Times New Roman" w:eastAsia="Times New Roman" w:hAnsi="Times New Roman"/>
                  <w:sz w:val="18"/>
                  <w:szCs w:val="18"/>
                  <w:color w:val="0000EE"/>
                  <w:w w:val="99"/>
                </w:rPr>
                <w:t>the Company, the lenders party thereto and</w:t>
              </w:r>
            </w:hyperlink>
          </w:p>
        </w:tc>
        <w:tc>
          <w:tcPr>
            <w:tcW w:w="26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Oaktree Fund Administration LLC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27">
              <w:r>
                <w:rPr>
                  <w:rFonts w:ascii="Times New Roman" w:cs="Times New Roman" w:eastAsia="Times New Roman" w:hAnsi="Times New Roman"/>
                  <w:sz w:val="18"/>
                  <w:szCs w:val="18"/>
                  <w:color w:val="0000EE"/>
                </w:rPr>
                <w:t>November 13, 2023.</w:t>
              </w:r>
            </w:hyperlink>
          </w:p>
        </w:tc>
        <w:tc>
          <w:tcPr>
            <w:tcW w:w="4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10.22.2&amp;</w:t>
            </w:r>
          </w:p>
        </w:tc>
        <w:tc>
          <w:tcPr>
            <w:tcW w:w="140" w:type="dxa"/>
            <w:vAlign w:val="bottom"/>
          </w:tcPr>
          <w:p>
            <w:pPr>
              <w:spacing w:after="0"/>
              <w:rPr>
                <w:sz w:val="24"/>
                <w:szCs w:val="24"/>
                <w:color w:val="auto"/>
              </w:rPr>
            </w:pPr>
          </w:p>
        </w:tc>
        <w:tc>
          <w:tcPr>
            <w:tcW w:w="30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Second Amendment to Credit Agreement</w:t>
              </w:r>
            </w:hyperlink>
          </w:p>
        </w:tc>
        <w:tc>
          <w:tcPr>
            <w:tcW w:w="340" w:type="dxa"/>
            <w:vAlign w:val="bottom"/>
            <w:gridSpan w:val="8"/>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02/08/2024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and Guaranty and Termination of Revenue</w:t>
              </w:r>
            </w:hyperlink>
          </w:p>
        </w:tc>
        <w:tc>
          <w:tcPr>
            <w:tcW w:w="2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1"/>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Interest Financing Agreement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3360" w:type="dxa"/>
            <w:vAlign w:val="bottom"/>
            <w:gridSpan w:val="19"/>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60" w:type="dxa"/>
            <w:vAlign w:val="bottom"/>
            <w:gridSpan w:val="19"/>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tcBorders>
              <w:top w:val="single" w:sz="8" w:color="auto"/>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December 5, 2023, to the Credit Agreement</w:t>
              </w:r>
            </w:hyperlink>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and Guaranty, dated April 19, 2022, by and</w:t>
              </w:r>
            </w:hyperlink>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among the Company, as the borrower,</w:t>
              </w:r>
            </w:hyperlink>
          </w:p>
        </w:tc>
        <w:tc>
          <w:tcPr>
            <w:tcW w:w="60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certain subsidiaries of the Company from</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time to time party thereto as subsidiary</w:t>
              </w:r>
            </w:hyperlink>
          </w:p>
        </w:tc>
        <w:tc>
          <w:tcPr>
            <w:tcW w:w="160" w:type="dxa"/>
            <w:vAlign w:val="bottom"/>
            <w:tcBorders>
              <w:top w:val="single" w:sz="8" w:color="0000EE"/>
            </w:tcBorders>
            <w:gridSpan w:val="3"/>
          </w:tcPr>
          <w:p>
            <w:pPr>
              <w:spacing w:after="0"/>
              <w:rPr>
                <w:sz w:val="17"/>
                <w:szCs w:val="17"/>
                <w:color w:val="auto"/>
              </w:rPr>
            </w:pPr>
          </w:p>
        </w:tc>
        <w:tc>
          <w:tcPr>
            <w:tcW w:w="38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guarantors, the lenders party thereto, and</w:t>
              </w:r>
            </w:hyperlink>
          </w:p>
        </w:tc>
        <w:tc>
          <w:tcPr>
            <w:tcW w:w="4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28">
              <w:r>
                <w:rPr>
                  <w:rFonts w:ascii="Times New Roman" w:cs="Times New Roman" w:eastAsia="Times New Roman" w:hAnsi="Times New Roman"/>
                  <w:sz w:val="18"/>
                  <w:szCs w:val="18"/>
                  <w:color w:val="0000EE"/>
                  <w:w w:val="99"/>
                </w:rPr>
                <w:t>Oaktree Fund Administration LLC, as</w:t>
              </w:r>
            </w:hyperlink>
          </w:p>
        </w:tc>
        <w:tc>
          <w:tcPr>
            <w:tcW w:w="60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administrative agent (as amended)</w:t>
              </w:r>
            </w:hyperlink>
          </w:p>
        </w:tc>
        <w:tc>
          <w:tcPr>
            <w:tcW w:w="86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10.22.3&amp;</w:t>
            </w:r>
          </w:p>
        </w:tc>
        <w:tc>
          <w:tcPr>
            <w:tcW w:w="140" w:type="dxa"/>
            <w:vAlign w:val="bottom"/>
          </w:tcPr>
          <w:p>
            <w:pPr>
              <w:spacing w:after="0"/>
              <w:rPr>
                <w:sz w:val="24"/>
                <w:szCs w:val="24"/>
                <w:color w:val="auto"/>
              </w:rPr>
            </w:pPr>
          </w:p>
        </w:tc>
        <w:tc>
          <w:tcPr>
            <w:tcW w:w="31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Third Amendment to Credit Agreement and</w:t>
              </w:r>
            </w:hyperlink>
          </w:p>
        </w:tc>
        <w:tc>
          <w:tcPr>
            <w:tcW w:w="180" w:type="dxa"/>
            <w:vAlign w:val="bottom"/>
            <w:gridSpan w:val="2"/>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02/12/2024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Guaranty dated February 12, 2024, to the</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Credit Agreement and Guaranty, dated</w:t>
              </w:r>
            </w:hyperlink>
          </w:p>
        </w:tc>
        <w:tc>
          <w:tcPr>
            <w:tcW w:w="40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April 19, 2022, by and among the</w:t>
              </w:r>
            </w:hyperlink>
          </w:p>
        </w:tc>
        <w:tc>
          <w:tcPr>
            <w:tcW w:w="340" w:type="dxa"/>
            <w:vAlign w:val="bottom"/>
            <w:tcBorders>
              <w:top w:val="single" w:sz="8" w:color="0000EE"/>
            </w:tcBorders>
            <w:gridSpan w:val="5"/>
          </w:tcPr>
          <w:p>
            <w:pPr>
              <w:spacing w:after="0"/>
              <w:rPr>
                <w:sz w:val="17"/>
                <w:szCs w:val="17"/>
                <w:color w:val="auto"/>
              </w:rPr>
            </w:pPr>
          </w:p>
        </w:tc>
        <w:tc>
          <w:tcPr>
            <w:tcW w:w="58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30">
              <w:r>
                <w:rPr>
                  <w:rFonts w:ascii="Times New Roman" w:cs="Times New Roman" w:eastAsia="Times New Roman" w:hAnsi="Times New Roman"/>
                  <w:sz w:val="18"/>
                  <w:szCs w:val="18"/>
                  <w:color w:val="0000EE"/>
                  <w:w w:val="98"/>
                </w:rPr>
                <w:t>Company, as the borrower, certain</w:t>
              </w:r>
            </w:hyperlink>
          </w:p>
        </w:tc>
        <w:tc>
          <w:tcPr>
            <w:tcW w:w="88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subsidiaries of the Company from time to</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time party thereto as subsidiary guarantors,</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the lenders party thereto, and Oaktree Fund</w:t>
              </w:r>
            </w:hyperlink>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Administration LLC, as administrative</w:t>
              </w:r>
            </w:hyperlink>
          </w:p>
        </w:tc>
        <w:tc>
          <w:tcPr>
            <w:tcW w:w="56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0">
              <w:r>
                <w:rPr>
                  <w:rFonts w:ascii="Times New Roman" w:cs="Times New Roman" w:eastAsia="Times New Roman" w:hAnsi="Times New Roman"/>
                  <w:sz w:val="18"/>
                  <w:szCs w:val="18"/>
                  <w:color w:val="0000EE"/>
                </w:rPr>
                <w:t>agent (as amended)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10.22.4</w:t>
            </w:r>
          </w:p>
        </w:tc>
        <w:tc>
          <w:tcPr>
            <w:tcW w:w="140" w:type="dxa"/>
            <w:vAlign w:val="bottom"/>
          </w:tcPr>
          <w:p>
            <w:pPr>
              <w:spacing w:after="0"/>
              <w:rPr>
                <w:sz w:val="24"/>
                <w:szCs w:val="24"/>
                <w:color w:val="auto"/>
              </w:rPr>
            </w:pPr>
          </w:p>
        </w:tc>
        <w:tc>
          <w:tcPr>
            <w:tcW w:w="3360" w:type="dxa"/>
            <w:vAlign w:val="bottom"/>
            <w:gridSpan w:val="19"/>
          </w:tcPr>
          <w:p>
            <w:pPr>
              <w:spacing w:after="0"/>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Fourth Amendment to Credit Agreement</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10.22.4</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03/22/2024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and Guaranty, dated March 20, 2024, to the</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Credit Agreement and Guaranty,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April 19, 2022, by and among the</w:t>
              </w:r>
            </w:hyperlink>
          </w:p>
        </w:tc>
        <w:tc>
          <w:tcPr>
            <w:tcW w:w="340" w:type="dxa"/>
            <w:vAlign w:val="bottom"/>
            <w:tcBorders>
              <w:top w:val="single" w:sz="8" w:color="0000EE"/>
            </w:tcBorders>
            <w:gridSpan w:val="5"/>
          </w:tcPr>
          <w:p>
            <w:pPr>
              <w:spacing w:after="0"/>
              <w:rPr>
                <w:sz w:val="17"/>
                <w:szCs w:val="17"/>
                <w:color w:val="auto"/>
              </w:rPr>
            </w:pPr>
          </w:p>
        </w:tc>
        <w:tc>
          <w:tcPr>
            <w:tcW w:w="58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Company, as the borrower, certain</w:t>
              </w:r>
            </w:hyperlink>
          </w:p>
        </w:tc>
        <w:tc>
          <w:tcPr>
            <w:tcW w:w="88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subsidiaries of the Company from time to</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260" w:type="dxa"/>
            <w:vAlign w:val="bottom"/>
            <w:gridSpan w:val="8"/>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time party thereto as subsidiary guarantors,</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the lenders party thereto, and Oaktree Fund</w:t>
              </w:r>
            </w:hyperlink>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1">
              <w:r>
                <w:rPr>
                  <w:rFonts w:ascii="Times New Roman" w:cs="Times New Roman" w:eastAsia="Times New Roman" w:hAnsi="Times New Roman"/>
                  <w:sz w:val="18"/>
                  <w:szCs w:val="18"/>
                  <w:color w:val="0000EE"/>
                  <w:w w:val="99"/>
                </w:rPr>
                <w:t>Administration LLC, as administrative</w:t>
              </w:r>
            </w:hyperlink>
          </w:p>
        </w:tc>
        <w:tc>
          <w:tcPr>
            <w:tcW w:w="56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color w:val="0000EE"/>
                </w:rPr>
                <w:t>agent (as amended)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10.22.5+&amp;</w:t>
            </w:r>
          </w:p>
        </w:tc>
        <w:tc>
          <w:tcPr>
            <w:tcW w:w="31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Fifth Amendment to Credit Agreement and</w:t>
              </w:r>
            </w:hyperlink>
          </w:p>
        </w:tc>
        <w:tc>
          <w:tcPr>
            <w:tcW w:w="200" w:type="dxa"/>
            <w:vAlign w:val="bottom"/>
            <w:gridSpan w:val="3"/>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11/21/2024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Guaranty, dated November 21, 2024, to the</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Credit Agreement and Guaranty, dated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April 19, 2022, by and among the</w:t>
              </w:r>
            </w:hyperlink>
          </w:p>
        </w:tc>
        <w:tc>
          <w:tcPr>
            <w:tcW w:w="340" w:type="dxa"/>
            <w:vAlign w:val="bottom"/>
            <w:tcBorders>
              <w:top w:val="single" w:sz="8" w:color="0000EE"/>
            </w:tcBorders>
            <w:gridSpan w:val="5"/>
          </w:tcPr>
          <w:p>
            <w:pPr>
              <w:spacing w:after="0"/>
              <w:rPr>
                <w:sz w:val="17"/>
                <w:szCs w:val="17"/>
                <w:color w:val="auto"/>
              </w:rPr>
            </w:pPr>
          </w:p>
        </w:tc>
        <w:tc>
          <w:tcPr>
            <w:tcW w:w="58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Company, as the borrower, certain</w:t>
              </w:r>
            </w:hyperlink>
          </w:p>
        </w:tc>
        <w:tc>
          <w:tcPr>
            <w:tcW w:w="88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subsidiaries of the Company from time to</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gridSpan w:val="5"/>
            <w:shd w:val="clear" w:color="auto" w:fill="0000EE"/>
          </w:tcPr>
          <w:p>
            <w:pPr>
              <w:spacing w:after="0" w:line="20" w:lineRule="exact"/>
              <w:rPr>
                <w:sz w:val="1"/>
                <w:szCs w:val="1"/>
                <w:color w:val="auto"/>
              </w:rPr>
            </w:pPr>
          </w:p>
        </w:tc>
        <w:tc>
          <w:tcPr>
            <w:tcW w:w="260" w:type="dxa"/>
            <w:vAlign w:val="bottom"/>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time party thereto as subsidiary guarantors,</w:t>
              </w:r>
            </w:hyperlink>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the lenders party thereto, and Oaktree Fund</w:t>
              </w:r>
            </w:hyperlink>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2">
              <w:r>
                <w:rPr>
                  <w:rFonts w:ascii="Times New Roman" w:cs="Times New Roman" w:eastAsia="Times New Roman" w:hAnsi="Times New Roman"/>
                  <w:sz w:val="18"/>
                  <w:szCs w:val="18"/>
                  <w:color w:val="0000EE"/>
                  <w:w w:val="99"/>
                </w:rPr>
                <w:t>Administration LLC, as administrative</w:t>
              </w:r>
            </w:hyperlink>
          </w:p>
        </w:tc>
        <w:tc>
          <w:tcPr>
            <w:tcW w:w="56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agent (as amended)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10.22.6</w:t>
            </w:r>
          </w:p>
        </w:tc>
        <w:tc>
          <w:tcPr>
            <w:tcW w:w="140" w:type="dxa"/>
            <w:vAlign w:val="bottom"/>
          </w:tcPr>
          <w:p>
            <w:pPr>
              <w:spacing w:after="0"/>
              <w:rPr>
                <w:sz w:val="24"/>
                <w:szCs w:val="24"/>
                <w:color w:val="auto"/>
              </w:rPr>
            </w:pPr>
          </w:p>
        </w:tc>
        <w:tc>
          <w:tcPr>
            <w:tcW w:w="31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Sixth Amendment to Credit Agreement and</w:t>
            </w:r>
          </w:p>
        </w:tc>
        <w:tc>
          <w:tcPr>
            <w:tcW w:w="2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Guaranty, dated March 4, 2025, to the</w:t>
            </w:r>
          </w:p>
        </w:tc>
        <w:tc>
          <w:tcPr>
            <w:tcW w:w="62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Credit Agreement and Guaranty, dated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April 19, 2022, by and among the</w:t>
            </w:r>
          </w:p>
        </w:tc>
        <w:tc>
          <w:tcPr>
            <w:tcW w:w="340" w:type="dxa"/>
            <w:vAlign w:val="bottom"/>
            <w:tcBorders>
              <w:top w:val="single" w:sz="8" w:color="0000EE"/>
            </w:tcBorders>
            <w:gridSpan w:val="5"/>
          </w:tcPr>
          <w:p>
            <w:pPr>
              <w:spacing w:after="0"/>
              <w:rPr>
                <w:sz w:val="17"/>
                <w:szCs w:val="17"/>
                <w:color w:val="auto"/>
              </w:rPr>
            </w:pPr>
          </w:p>
        </w:tc>
        <w:tc>
          <w:tcPr>
            <w:tcW w:w="58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Company, as the borrower, certain</w:t>
            </w:r>
          </w:p>
        </w:tc>
        <w:tc>
          <w:tcPr>
            <w:tcW w:w="880" w:type="dxa"/>
            <w:vAlign w:val="bottom"/>
            <w:gridSpan w:val="16"/>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Company from time to</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gridSpan w:val="13"/>
            <w:shd w:val="clear" w:color="auto" w:fill="0000EE"/>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time party thereto as subsidiary guarantors,</w:t>
            </w:r>
          </w:p>
        </w:tc>
        <w:tc>
          <w:tcPr>
            <w:tcW w:w="24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the lenders party thereto, and Oaktree Fund</w:t>
            </w:r>
          </w:p>
        </w:tc>
        <w:tc>
          <w:tcPr>
            <w:tcW w:w="22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Administration LLC, as administrative</w:t>
            </w:r>
          </w:p>
        </w:tc>
        <w:tc>
          <w:tcPr>
            <w:tcW w:w="56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agent (as amended)</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3220" w:type="dxa"/>
            <w:vAlign w:val="bottom"/>
            <w:gridSpan w:val="16"/>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vMerge w:val="restart"/>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vMerge w:val="restart"/>
          </w:tcPr>
          <w:p>
            <w:pPr>
              <w:spacing w:after="0"/>
              <w:rPr>
                <w:sz w:val="12"/>
                <w:szCs w:val="12"/>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vMerge w:val="restart"/>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3220" w:type="dxa"/>
            <w:vAlign w:val="bottom"/>
            <w:tcBorders>
              <w:bottom w:val="single" w:sz="8" w:color="auto"/>
            </w:tcBorders>
            <w:gridSpan w:val="16"/>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85"/>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10.23+&amp;</w:t>
            </w:r>
          </w:p>
        </w:tc>
        <w:tc>
          <w:tcPr>
            <w:tcW w:w="14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34">
              <w:r>
                <w:rPr>
                  <w:rFonts w:ascii="Times New Roman" w:cs="Times New Roman" w:eastAsia="Times New Roman" w:hAnsi="Times New Roman"/>
                  <w:sz w:val="18"/>
                  <w:szCs w:val="18"/>
                  <w:color w:val="0000EE"/>
                  <w:w w:val="99"/>
                </w:rPr>
                <w:t>Commercial Supply Agreement, between</w:t>
              </w:r>
            </w:hyperlink>
          </w:p>
        </w:tc>
        <w:tc>
          <w:tcPr>
            <w:tcW w:w="360" w:type="dxa"/>
            <w:vAlign w:val="bottom"/>
            <w:gridSpan w:val="6"/>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08/11/2022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ARx, LLC and BioXcel Therapeutics, Inc.,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dated April 1, 2022</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10.23.1+&amp;</w:t>
            </w:r>
          </w:p>
        </w:tc>
        <w:tc>
          <w:tcPr>
            <w:tcW w:w="3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Amendment No. 1 to Commercial Supply</w:t>
              </w:r>
            </w:hyperlink>
          </w:p>
        </w:tc>
        <w:tc>
          <w:tcPr>
            <w:tcW w:w="340" w:type="dxa"/>
            <w:vAlign w:val="bottom"/>
            <w:gridSpan w:val="5"/>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08/06/2024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Agreement, between Arx, LLC and BioXcel</w:t>
              </w:r>
            </w:hyperlink>
          </w:p>
        </w:tc>
        <w:tc>
          <w:tcPr>
            <w:tcW w:w="16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Therapeutics, Inc. dated July 11, 2024</w:t>
              </w:r>
            </w:hyperlink>
          </w:p>
        </w:tc>
        <w:tc>
          <w:tcPr>
            <w:tcW w:w="600" w:type="dxa"/>
            <w:vAlign w:val="bottom"/>
            <w:gridSpan w:val="10"/>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40" w:type="dxa"/>
            <w:vAlign w:val="bottom"/>
          </w:tcPr>
          <w:p>
            <w:pPr>
              <w:spacing w:after="0"/>
              <w:rPr>
                <w:sz w:val="24"/>
                <w:szCs w:val="24"/>
                <w:color w:val="auto"/>
              </w:rPr>
            </w:pPr>
          </w:p>
        </w:tc>
        <w:tc>
          <w:tcPr>
            <w:tcW w:w="3360" w:type="dxa"/>
            <w:vAlign w:val="bottom"/>
            <w:gridSpan w:val="17"/>
          </w:tcPr>
          <w:p>
            <w:pPr>
              <w:spacing w:after="0"/>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OnkosXcel Therapeutics, LLC and</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08/19/2022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OnkosXcel Employee Holdings, LLC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36">
              <w:r>
                <w:rPr>
                  <w:rFonts w:ascii="Times New Roman" w:cs="Times New Roman" w:eastAsia="Times New Roman" w:hAnsi="Times New Roman"/>
                  <w:sz w:val="18"/>
                  <w:szCs w:val="18"/>
                  <w:color w:val="0000EE"/>
                </w:rPr>
                <w:t>Management Incentive Plan</w:t>
              </w:r>
            </w:hyperlink>
          </w:p>
        </w:tc>
        <w:tc>
          <w:tcPr>
            <w:tcW w:w="6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4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37">
              <w:r>
                <w:rPr>
                  <w:rFonts w:ascii="Times New Roman" w:cs="Times New Roman" w:eastAsia="Times New Roman" w:hAnsi="Times New Roman"/>
                  <w:sz w:val="18"/>
                  <w:szCs w:val="18"/>
                  <w:color w:val="0000EE"/>
                  <w:w w:val="98"/>
                </w:rPr>
                <w:t>Form of Profits Interest Award Agreement</w:t>
              </w:r>
            </w:hyperlink>
          </w:p>
        </w:tc>
        <w:tc>
          <w:tcPr>
            <w:tcW w:w="300" w:type="dxa"/>
            <w:vAlign w:val="bottom"/>
            <w:gridSpan w:val="4"/>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08/19/2022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under the Management Incentive Plan</w:t>
              </w:r>
            </w:hyperlink>
          </w:p>
        </w:tc>
        <w:tc>
          <w:tcPr>
            <w:tcW w:w="62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40" w:type="dxa"/>
            <w:vAlign w:val="bottom"/>
          </w:tcPr>
          <w:p>
            <w:pPr>
              <w:spacing w:after="0"/>
              <w:rPr>
                <w:sz w:val="24"/>
                <w:szCs w:val="24"/>
                <w:color w:val="auto"/>
              </w:rPr>
            </w:pPr>
          </w:p>
        </w:tc>
        <w:tc>
          <w:tcPr>
            <w:tcW w:w="3360" w:type="dxa"/>
            <w:vAlign w:val="bottom"/>
            <w:gridSpan w:val="17"/>
          </w:tcPr>
          <w:p>
            <w:pPr>
              <w:spacing w:after="0"/>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Form of RSU Agreement pursuant to the</w:t>
              </w:r>
            </w:hyperlink>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05/08/2023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OnkosXcel Therapeutics, LLC and</w:t>
              </w:r>
            </w:hyperlink>
          </w:p>
        </w:tc>
        <w:tc>
          <w:tcPr>
            <w:tcW w:w="42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OnkosXcel Employee Holdings, LLC</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Management Incentive Plan.</w:t>
              </w:r>
            </w:hyperlink>
          </w:p>
        </w:tc>
        <w:tc>
          <w:tcPr>
            <w:tcW w:w="64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24"/>
                <w:szCs w:val="24"/>
                <w:color w:val="auto"/>
              </w:rPr>
            </w:pPr>
          </w:p>
        </w:tc>
        <w:tc>
          <w:tcPr>
            <w:tcW w:w="29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39">
              <w:r>
                <w:rPr>
                  <w:rFonts w:ascii="Times New Roman" w:cs="Times New Roman" w:eastAsia="Times New Roman" w:hAnsi="Times New Roman"/>
                  <w:sz w:val="18"/>
                  <w:szCs w:val="18"/>
                  <w:color w:val="0000EE"/>
                  <w:w w:val="99"/>
                </w:rPr>
                <w:t>Non-Compete Agreement, by and among</w:t>
              </w:r>
            </w:hyperlink>
          </w:p>
        </w:tc>
        <w:tc>
          <w:tcPr>
            <w:tcW w:w="380" w:type="dxa"/>
            <w:vAlign w:val="bottom"/>
            <w:gridSpan w:val="7"/>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the Company, Dr. Krishnan Nandabalan,</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38410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gridSpan w:val="8"/>
            <w:shd w:val="clear" w:color="auto" w:fill="0000EE"/>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17"/>
          </w:tcPr>
          <w:p>
            <w:pPr>
              <w:spacing w:after="0" w:line="196"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InveniAI LLC, Invea Therapeutics, Inc. and</w:t>
              </w:r>
            </w:hyperlink>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239">
        <w:r>
          <w:rPr>
            <w:rFonts w:ascii="Times New Roman" w:cs="Times New Roman" w:eastAsia="Times New Roman" w:hAnsi="Times New Roman"/>
            <w:sz w:val="18"/>
            <w:szCs w:val="18"/>
            <w:u w:val="single" w:color="auto"/>
            <w:color w:val="0000EE"/>
          </w:rPr>
          <w:t>the other parties thereto, dated September</w:t>
        </w:r>
      </w:hyperlink>
    </w:p>
    <w:p>
      <w:pPr>
        <w:spacing w:after="0" w:line="27" w:lineRule="exact"/>
        <w:rPr>
          <w:sz w:val="20"/>
          <w:szCs w:val="20"/>
          <w:color w:val="auto"/>
        </w:rPr>
      </w:pPr>
    </w:p>
    <w:p>
      <w:pPr>
        <w:ind w:left="980"/>
        <w:spacing w:after="0"/>
        <w:rPr>
          <w:rFonts w:ascii="Times New Roman" w:cs="Times New Roman" w:eastAsia="Times New Roman" w:hAnsi="Times New Roman"/>
          <w:sz w:val="18"/>
          <w:szCs w:val="18"/>
          <w:u w:val="single" w:color="auto"/>
          <w:color w:val="0000EE"/>
        </w:rPr>
      </w:pPr>
      <w:hyperlink r:id="rId239">
        <w:r>
          <w:rPr>
            <w:rFonts w:ascii="Times New Roman" w:cs="Times New Roman" w:eastAsia="Times New Roman" w:hAnsi="Times New Roman"/>
            <w:sz w:val="18"/>
            <w:szCs w:val="18"/>
            <w:u w:val="single" w:color="auto"/>
            <w:color w:val="0000EE"/>
          </w:rPr>
          <w:t>19, 2023.</w:t>
        </w:r>
      </w:hyperlink>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EE"/>
        </w:rPr>
        <w:t>Insider Trading Policy</w:t>
      </w:r>
    </w:p>
    <w:p>
      <w:pPr>
        <w:spacing w:after="0" w:line="225"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EE"/>
        </w:rPr>
        <w:t>Subsidiaries of BioXcel Therapeutics, Inc.</w:t>
      </w:r>
    </w:p>
    <w:p>
      <w:pPr>
        <w:spacing w:after="0" w:line="225"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w:t>
      </w:r>
    </w:p>
    <w:p>
      <w:pPr>
        <w:spacing w:after="0" w:line="225"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Principal Executive Officer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Pursuant to Rules 13a-14(a) and 15d-14(a)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under the Securities Exchange Act of 1934,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as Adopted Pursuant to Section 302 of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0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Pursuant to Rules 13a-14(a) and 15d-14(a)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under the Securities Exchange Act of 1934,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as Adopted Pursuant to Section 302 of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07" w:lineRule="exact"/>
        <w:rPr>
          <w:sz w:val="20"/>
          <w:szCs w:val="20"/>
          <w:color w:val="auto"/>
        </w:rPr>
      </w:pPr>
    </w:p>
    <w:p>
      <w:pPr>
        <w:ind w:left="280"/>
        <w:spacing w:after="0"/>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of Principal Executive Officer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Pursuant to 18 U.S.C. Section 1350, as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Adopted Pursuant to Section 906 of the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0000EE"/>
        </w:rPr>
        <w:t>Sarbanes-Oxley Act of 2002.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46" w:lineRule="exact"/>
        <w:rPr>
          <w:sz w:val="20"/>
          <w:szCs w:val="20"/>
          <w:color w:val="auto"/>
        </w:rPr>
      </w:pPr>
    </w:p>
    <w:p>
      <w:pPr>
        <w:sectPr>
          <w:pgSz w:w="11900" w:h="16838" w:orient="portrait"/>
          <w:cols w:equalWidth="0" w:num="2">
            <w:col w:w="7400" w:space="720"/>
            <w:col w:w="899"/>
          </w:cols>
          <w:pgMar w:left="1440" w:top="513" w:right="1440"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920" w:type="dxa"/>
            <w:vAlign w:val="bottom"/>
            <w:gridSpan w:val="2"/>
            <w:vMerge w:val="continue"/>
          </w:tcPr>
          <w:p>
            <w:pPr>
              <w:spacing w:after="0"/>
              <w:rPr>
                <w:sz w:val="12"/>
                <w:szCs w:val="12"/>
                <w:color w:val="auto"/>
              </w:rPr>
            </w:pPr>
          </w:p>
        </w:tc>
        <w:tc>
          <w:tcPr>
            <w:tcW w:w="3360" w:type="dxa"/>
            <w:vAlign w:val="bottom"/>
            <w:gridSpan w:val="8"/>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73"/>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360" w:type="dxa"/>
            <w:vAlign w:val="bottom"/>
            <w:gridSpan w:val="8"/>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4"/>
                <w:szCs w:val="14"/>
                <w:color w:val="auto"/>
              </w:rPr>
            </w:pPr>
          </w:p>
        </w:tc>
        <w:tc>
          <w:tcPr>
            <w:tcW w:w="3200" w:type="dxa"/>
            <w:vAlign w:val="bottom"/>
            <w:tcBorders>
              <w:top w:val="single" w:sz="8" w:color="auto"/>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Principal Financial Officer</w:t>
            </w:r>
          </w:p>
        </w:tc>
        <w:tc>
          <w:tcPr>
            <w:tcW w:w="1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Pursuant to 18 U.S.C. Section 1350, as</w:t>
            </w:r>
          </w:p>
        </w:tc>
        <w:tc>
          <w:tcPr>
            <w:tcW w:w="2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360" w:type="dxa"/>
            <w:vAlign w:val="bottom"/>
            <w:gridSpan w:val="8"/>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360" w:type="dxa"/>
            <w:vAlign w:val="bottom"/>
            <w:gridSpan w:val="8"/>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2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24"/>
                <w:szCs w:val="24"/>
                <w:color w:val="auto"/>
              </w:rPr>
            </w:pPr>
          </w:p>
        </w:tc>
        <w:tc>
          <w:tcPr>
            <w:tcW w:w="25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Policy for Recovery of Erroneously</w:t>
              </w:r>
            </w:hyperlink>
          </w:p>
        </w:tc>
        <w:tc>
          <w:tcPr>
            <w:tcW w:w="780" w:type="dxa"/>
            <w:vAlign w:val="bottom"/>
            <w:gridSpan w:val="5"/>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w w:val="95"/>
              </w:rPr>
              <w:t>97.1</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03/22/2024</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68">
              <w:r>
                <w:rPr>
                  <w:rFonts w:ascii="Times New Roman" w:cs="Times New Roman" w:eastAsia="Times New Roman" w:hAnsi="Times New Roman"/>
                  <w:sz w:val="18"/>
                  <w:szCs w:val="18"/>
                  <w:color w:val="0000EE"/>
                  <w:w w:val="98"/>
                </w:rPr>
                <w:t>Awarded Compensation</w:t>
              </w:r>
            </w:hyperlink>
          </w:p>
        </w:tc>
        <w:tc>
          <w:tcPr>
            <w:tcW w:w="162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38410</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eXtensible Business Reporting</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Language (XBRL) Instance Document – the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60"/>
        <w:spacing w:after="0"/>
        <w:rPr>
          <w:sz w:val="20"/>
          <w:szCs w:val="20"/>
          <w:color w:val="auto"/>
        </w:rPr>
      </w:pPr>
      <w:r>
        <w:rPr>
          <w:rFonts w:ascii="Times New Roman" w:cs="Times New Roman" w:eastAsia="Times New Roman" w:hAnsi="Times New Roman"/>
          <w:sz w:val="18"/>
          <w:szCs w:val="18"/>
          <w:color w:val="auto"/>
        </w:rPr>
        <w:t>are embedded within the Inline XBRL</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document</w:t>
      </w:r>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Taxonomy Extension Schema</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41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41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780" w:type="dxa"/>
            <w:vAlign w:val="bottom"/>
          </w:tcPr>
          <w:p>
            <w:pPr>
              <w:spacing w:after="0"/>
              <w:rPr>
                <w:sz w:val="20"/>
                <w:szCs w:val="20"/>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Presentation Linkbase Document</w:t>
            </w:r>
          </w:p>
        </w:tc>
      </w:tr>
    </w:tbl>
    <w:p>
      <w:pPr>
        <w:spacing w:after="0" w:line="198" w:lineRule="exact"/>
        <w:rPr>
          <w:sz w:val="20"/>
          <w:szCs w:val="20"/>
          <w:color w:val="auto"/>
        </w:rPr>
      </w:pPr>
    </w:p>
    <w:p>
      <w:pPr>
        <w:ind w:left="960" w:right="3300" w:hanging="660"/>
        <w:spacing w:after="0" w:line="266" w:lineRule="auto"/>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191770</wp:posOffset>
            </wp:positionV>
            <wp:extent cx="14141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704" w:lineRule="exact"/>
        <w:rPr>
          <w:sz w:val="20"/>
          <w:szCs w:val="20"/>
          <w:color w:val="auto"/>
        </w:rPr>
      </w:pPr>
    </w:p>
    <w:p>
      <w:pPr>
        <w:sectPr>
          <w:pgSz w:w="11900" w:h="16838" w:orient="portrait"/>
          <w:cols w:equalWidth="0" w:num="2">
            <w:col w:w="7440" w:space="720"/>
            <w:col w:w="859"/>
          </w:cols>
          <w:pgMar w:left="1440" w:top="513" w:right="1440" w:bottom="1440" w:gutter="0" w:footer="0" w:header="0"/>
          <w:type w:val="continuous"/>
        </w:sectPr>
      </w:pPr>
    </w:p>
    <w:p>
      <w:pPr>
        <w:spacing w:after="0" w:line="192" w:lineRule="exact"/>
        <w:rPr>
          <w:sz w:val="20"/>
          <w:szCs w:val="20"/>
          <w:color w:val="auto"/>
        </w:rPr>
      </w:pPr>
    </w:p>
    <w:p>
      <w:pPr>
        <w:ind w:left="400" w:hanging="350"/>
        <w:spacing w:after="0"/>
        <w:tabs>
          <w:tab w:leader="none" w:pos="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7" w:lineRule="exact"/>
        <w:rPr>
          <w:sz w:val="20"/>
          <w:szCs w:val="20"/>
          <w:color w:val="auto"/>
        </w:rPr>
      </w:pPr>
    </w:p>
    <w:p>
      <w:pPr>
        <w:ind w:left="380" w:hanging="330"/>
        <w:spacing w:after="0"/>
        <w:tabs>
          <w:tab w:leader="none" w:pos="3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9" w:lineRule="exact"/>
        <w:rPr>
          <w:sz w:val="20"/>
          <w:szCs w:val="20"/>
          <w:color w:val="auto"/>
        </w:rPr>
      </w:pPr>
    </w:p>
    <w:p>
      <w:pPr>
        <w:ind w:left="360" w:hanging="310"/>
        <w:spacing w:after="0"/>
        <w:tabs>
          <w:tab w:leader="none" w:pos="3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portions omitted from this exhibit and those portions have been separately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filed with the Securities and Exchange Commission.</w:t>
      </w:r>
    </w:p>
    <w:p>
      <w:pPr>
        <w:spacing w:after="0" w:line="9" w:lineRule="exact"/>
        <w:rPr>
          <w:sz w:val="20"/>
          <w:szCs w:val="20"/>
          <w:color w:val="auto"/>
        </w:rPr>
      </w:pPr>
    </w:p>
    <w:p>
      <w:pPr>
        <w:ind w:left="380" w:right="199" w:hanging="330"/>
        <w:spacing w:after="0" w:line="265" w:lineRule="auto"/>
        <w:tabs>
          <w:tab w:leader="none" w:pos="37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Annexes, schedules, and certain exhibits have been omitted pursuant to Item 601(a)(5) of Regulation S-K. The Registrant hereby agrees to furnish supplementally a copy of any omitted annex, schedule or exhibit to the SEC upon</w:t>
      </w:r>
    </w:p>
    <w:p>
      <w:pPr>
        <w:ind w:left="380"/>
        <w:spacing w:after="0"/>
        <w:rPr>
          <w:sz w:val="20"/>
          <w:szCs w:val="20"/>
          <w:color w:val="auto"/>
        </w:rPr>
      </w:pPr>
      <w:r>
        <w:rPr>
          <w:rFonts w:ascii="Times New Roman" w:cs="Times New Roman" w:eastAsia="Times New Roman" w:hAnsi="Times New Roman"/>
          <w:sz w:val="18"/>
          <w:szCs w:val="18"/>
          <w:color w:val="auto"/>
        </w:rPr>
        <w:t>request.</w:t>
      </w:r>
    </w:p>
    <w:p>
      <w:pPr>
        <w:spacing w:after="0" w:line="9" w:lineRule="exact"/>
        <w:rPr>
          <w:sz w:val="20"/>
          <w:szCs w:val="20"/>
          <w:color w:val="auto"/>
        </w:rPr>
      </w:pPr>
    </w:p>
    <w:p>
      <w:pPr>
        <w:ind w:left="360" w:hanging="310"/>
        <w:spacing w:after="0"/>
        <w:tabs>
          <w:tab w:leader="none" w:pos="3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BioXcel Therapeutics, Inc.</w:t>
            </w:r>
          </w:p>
        </w:tc>
      </w:tr>
      <w:tr>
        <w:trPr>
          <w:trHeight w:val="397"/>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Dated: March 28, 2025</w:t>
            </w: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r>
      <w:tr>
        <w:trPr>
          <w:trHeight w:val="213"/>
        </w:trPr>
        <w:tc>
          <w:tcPr>
            <w:tcW w:w="4460" w:type="dxa"/>
            <w:vAlign w:val="bottom"/>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Vimal Mehta</w:t>
            </w:r>
          </w:p>
        </w:tc>
      </w:tr>
      <w:tr>
        <w:trPr>
          <w:trHeight w:val="185"/>
        </w:trPr>
        <w:tc>
          <w:tcPr>
            <w:tcW w:w="44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Vimal Mehta, Ph.D.</w:t>
            </w:r>
          </w:p>
        </w:tc>
      </w:tr>
      <w:tr>
        <w:trPr>
          <w:trHeight w:val="201"/>
        </w:trPr>
        <w:tc>
          <w:tcPr>
            <w:tcW w:w="4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2"/>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r>
        <w:trPr>
          <w:trHeight w:val="397"/>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Dated: March 28, 2025</w:t>
            </w: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r>
      <w:tr>
        <w:trPr>
          <w:trHeight w:val="213"/>
        </w:trPr>
        <w:tc>
          <w:tcPr>
            <w:tcW w:w="4460" w:type="dxa"/>
            <w:vAlign w:val="bottom"/>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Steinhart</w:t>
            </w:r>
          </w:p>
        </w:tc>
      </w:tr>
      <w:tr>
        <w:trPr>
          <w:trHeight w:val="185"/>
        </w:trPr>
        <w:tc>
          <w:tcPr>
            <w:tcW w:w="446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Richard Steinhart</w:t>
            </w:r>
          </w:p>
        </w:tc>
      </w:tr>
      <w:tr>
        <w:trPr>
          <w:trHeight w:val="201"/>
        </w:trPr>
        <w:tc>
          <w:tcPr>
            <w:tcW w:w="446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2"/>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bl>
    <w:p>
      <w:pPr>
        <w:spacing w:after="0" w:line="208" w:lineRule="exact"/>
        <w:rPr>
          <w:sz w:val="20"/>
          <w:szCs w:val="20"/>
          <w:color w:val="auto"/>
        </w:rPr>
      </w:pPr>
    </w:p>
    <w:p>
      <w:pPr>
        <w:ind w:left="60" w:right="519"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6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1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0" w:type="dxa"/>
            <w:vAlign w:val="bottom"/>
          </w:tcPr>
          <w:p>
            <w:pPr>
              <w:spacing w:after="0"/>
              <w:rPr>
                <w:sz w:val="1"/>
                <w:szCs w:val="1"/>
                <w:color w:val="auto"/>
              </w:rPr>
            </w:pPr>
          </w:p>
        </w:tc>
      </w:tr>
      <w:tr>
        <w:trPr>
          <w:trHeight w:val="418"/>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Vimal Mehta</w:t>
            </w:r>
          </w:p>
        </w:tc>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Chief Executive Officer and Director </w:t>
            </w:r>
            <w:r>
              <w:rPr>
                <w:rFonts w:ascii="Times New Roman" w:cs="Times New Roman" w:eastAsia="Times New Roman" w:hAnsi="Times New Roman"/>
                <w:sz w:val="16"/>
                <w:szCs w:val="16"/>
                <w:i w:val="1"/>
                <w:iCs w:val="1"/>
                <w:color w:val="auto"/>
              </w:rPr>
              <w:t>(Principal</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Vimal Mehta, Ph.D.</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1"/>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Richard Steinhart</w:t>
            </w:r>
          </w:p>
        </w:tc>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Chief Financial Officer </w:t>
            </w:r>
            <w:r>
              <w:rPr>
                <w:rFonts w:ascii="Times New Roman" w:cs="Times New Roman" w:eastAsia="Times New Roman" w:hAnsi="Times New Roman"/>
                <w:sz w:val="16"/>
                <w:szCs w:val="16"/>
                <w:i w:val="1"/>
                <w:iCs w:val="1"/>
                <w:color w:val="auto"/>
              </w:rPr>
              <w:t>(Principal Financial Officer</w:t>
            </w:r>
          </w:p>
        </w:tc>
        <w:tc>
          <w:tcPr>
            <w:tcW w:w="1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204"/>
        </w:trPr>
        <w:tc>
          <w:tcPr>
            <w:tcW w:w="3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Richard Steinhart</w:t>
            </w:r>
          </w:p>
        </w:tc>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and Principal Accounting Officer)</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Peter Mueller</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Peter Mueller, Ph.D.</w:t>
            </w:r>
          </w:p>
        </w:tc>
        <w:tc>
          <w:tcPr>
            <w:tcW w:w="3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June Bray</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June Bray</w:t>
            </w:r>
          </w:p>
        </w:tc>
        <w:tc>
          <w:tcPr>
            <w:tcW w:w="3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Sandeep Laumas</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Sandeep Laumas, M.D.</w:t>
            </w:r>
          </w:p>
        </w:tc>
        <w:tc>
          <w:tcPr>
            <w:tcW w:w="3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Michael Miller</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Michael Miller</w:t>
            </w:r>
          </w:p>
        </w:tc>
        <w:tc>
          <w:tcPr>
            <w:tcW w:w="3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Michal Votruba</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Michal Votruba</w:t>
            </w:r>
          </w:p>
        </w:tc>
        <w:tc>
          <w:tcPr>
            <w:tcW w:w="3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David Mack</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David Mack</w:t>
            </w:r>
          </w:p>
        </w:tc>
        <w:tc>
          <w:tcPr>
            <w:tcW w:w="3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4"/>
        </w:trPr>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Rajiv Patni</w:t>
            </w:r>
          </w:p>
        </w:tc>
        <w:tc>
          <w:tcPr>
            <w:tcW w:w="364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Director</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March 28, 2025</w:t>
            </w:r>
          </w:p>
        </w:tc>
        <w:tc>
          <w:tcPr>
            <w:tcW w:w="0" w:type="dxa"/>
            <w:vAlign w:val="bottom"/>
          </w:tcPr>
          <w:p>
            <w:pPr>
              <w:spacing w:after="0"/>
              <w:rPr>
                <w:sz w:val="1"/>
                <w:szCs w:val="1"/>
                <w:color w:val="auto"/>
              </w:rPr>
            </w:pPr>
          </w:p>
        </w:tc>
      </w:tr>
      <w:tr>
        <w:trPr>
          <w:trHeight w:val="75"/>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Rajiv Patni</w:t>
            </w:r>
          </w:p>
        </w:tc>
        <w:tc>
          <w:tcPr>
            <w:tcW w:w="36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9" w:name="page170"/>
    <w:bookmarkEnd w:id="1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BioXcel Therapeutics,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BioXcel Therapeutics, Inc. (the Company) as of December 31, 2024 and 2023, the related consolidated statements of operations, changes in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the years then ended in conformity with U.S. generally accepted accounting principles.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suffered recurring losses from operations, has used significant cash in operations and has stated that substantial doubt exists about the Company’s ability to continue as a going concern. Management's evaluation of the events and conditions and management’s plans regarding these matters are also described in Note 2. The consolidated financial statements do not include any adjustments that might result from the outcome of this uncertainty.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0" w:name="page171"/>
    <w:bookmarkEnd w:id="170"/>
    <w:p>
      <w:pPr>
        <w:ind w:left="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40" w:right="16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right="18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expense and related accrued clinical trial expenses</w:t>
      </w:r>
    </w:p>
    <w:p>
      <w:pPr>
        <w:spacing w:after="0" w:line="202" w:lineRule="exact"/>
        <w:rPr>
          <w:sz w:val="20"/>
          <w:szCs w:val="20"/>
          <w:color w:val="auto"/>
        </w:rPr>
      </w:pPr>
    </w:p>
    <w:p>
      <w:pPr>
        <w:jc w:val="both"/>
        <w:ind w:right="159"/>
        <w:spacing w:after="0" w:line="256"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As of December 31, 2024, research and development expenses and accrued research and development expenses includes clinical trial expenses and related accrued clinical trial expenses.</w:t>
      </w:r>
    </w:p>
    <w:p>
      <w:pPr>
        <w:spacing w:after="0" w:line="133" w:lineRule="exact"/>
        <w:rPr>
          <w:sz w:val="20"/>
          <w:szCs w:val="20"/>
          <w:color w:val="auto"/>
        </w:rPr>
      </w:pPr>
    </w:p>
    <w:p>
      <w:pPr>
        <w:jc w:val="both"/>
        <w:ind w:right="159"/>
        <w:spacing w:after="0" w:line="261" w:lineRule="auto"/>
        <w:rPr>
          <w:sz w:val="20"/>
          <w:szCs w:val="20"/>
          <w:color w:val="auto"/>
        </w:rPr>
      </w:pPr>
      <w:r>
        <w:rPr>
          <w:rFonts w:ascii="Times New Roman" w:cs="Times New Roman" w:eastAsia="Times New Roman" w:hAnsi="Times New Roman"/>
          <w:sz w:val="18"/>
          <w:szCs w:val="18"/>
          <w:color w:val="auto"/>
        </w:rPr>
        <w:t>Auditing the Company’s clinical trial expenses and related accrued clinical trial expenses was complex because the evidence is accumulated from multiple third-party service providers and in certain circumstances, the nature and amount of services that have been rendered during the reporting period does not correspond to the timing and pattern of vendor invoicing.</w:t>
      </w:r>
    </w:p>
    <w:p>
      <w:pPr>
        <w:spacing w:after="0" w:line="126" w:lineRule="exact"/>
        <w:rPr>
          <w:sz w:val="20"/>
          <w:szCs w:val="20"/>
          <w:color w:val="auto"/>
        </w:rPr>
      </w:pPr>
    </w:p>
    <w:p>
      <w:pPr>
        <w:jc w:val="both"/>
        <w:ind w:right="219"/>
        <w:spacing w:after="0" w:line="253" w:lineRule="auto"/>
        <w:rPr>
          <w:sz w:val="20"/>
          <w:szCs w:val="20"/>
          <w:color w:val="auto"/>
        </w:rPr>
      </w:pPr>
      <w:r>
        <w:rPr>
          <w:rFonts w:ascii="Times New Roman" w:cs="Times New Roman" w:eastAsia="Times New Roman" w:hAnsi="Times New Roman"/>
          <w:sz w:val="18"/>
          <w:szCs w:val="18"/>
          <w:color w:val="auto"/>
        </w:rPr>
        <w:t>To test the clinical trial expenses and accrued clinical trial expenses, our audit procedures included, among others, evaluating the significant assumptions used by management to estimate the clinical trial expenses and testing the accuracy and completeness of the underlying data. To test the significant assumptions, we inspected the Company's contracts with third-party service providers, corroborated the progress of clinical trials and other research and development projects with the Company’s internal personnel that oversee these activities, and obtained information directly from third-party service providers which included the third parties’ estimates of clinical trial costs incurred to date. We also examined invoices received from vendors and cash disbursements made to third-party service providers subsequent to December 31, 2024 to assess the completeness of the recorded accruals.</w:t>
      </w:r>
    </w:p>
    <w:p>
      <w:pPr>
        <w:spacing w:after="0" w:line="200" w:lineRule="exact"/>
        <w:rPr>
          <w:sz w:val="20"/>
          <w:szCs w:val="20"/>
          <w:color w:val="auto"/>
        </w:rPr>
      </w:pPr>
    </w:p>
    <w:p>
      <w:pPr>
        <w:sectPr>
          <w:pgSz w:w="11900" w:h="16838" w:orient="portrait"/>
          <w:cols w:equalWidth="0" w:num="2">
            <w:col w:w="1320" w:space="280"/>
            <w:col w:w="74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1" w:name="page172"/>
    <w:bookmarkEnd w:id="1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related parties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102,508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 shares authorized; no shares issued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 and 100,000 shares authorized as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 3,102 and 1,871 shares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as of December 31, 2024 and December 31, 2023,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557,047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2" w:name="page173"/>
    <w:bookmarkEnd w:id="1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 net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5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(23.51)</w:t>
            </w:r>
          </w:p>
        </w:tc>
        <w:tc>
          <w:tcPr>
            <w:tcW w:w="24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3" w:name="page174"/>
    <w:bookmarkEnd w:id="1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9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900" w:type="dxa"/>
            <w:vAlign w:val="bottom"/>
            <w:gridSpan w:val="5"/>
            <w:vMerge w:val="continue"/>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96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740" w:type="dxa"/>
            <w:vAlign w:val="bottom"/>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$ 488,292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(411,545)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76,775</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Repricing of stock purchase warrants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obligations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(179,053)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$ 534,060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(590,598)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(56,508)</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Repricing of stock purchase warrants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pre-funded stock purchase warrants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198"/>
        </w:trPr>
        <w:tc>
          <w:tcPr>
            <w:tcW w:w="41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employee</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obligations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(59,599)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$ 557,047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(650,197)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4" w:name="page175"/>
    <w:bookmarkEnd w:id="1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CASH FLOW ACTIVITIES: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Reconciliation of net loss to net cash used in operating activities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Payable-in-kind interest on Credit Agreement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other current assets and other assets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Accounts payable, accrued expenses, due to related parties, and other current</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CASH FLOW ACTIVITIES: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equipment and leasehold improvements</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CASH FLOW ACTIVITIES: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principal of Long-term debt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Offering costs for common stock and warrants issuance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restricted stock units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(35,367)</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stock purchase warrants</w:t>
            </w:r>
          </w:p>
        </w:tc>
        <w:tc>
          <w:tcPr>
            <w:tcW w:w="6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Repricing of stock purchase warrants</w:t>
            </w:r>
          </w:p>
        </w:tc>
        <w:tc>
          <w:tcPr>
            <w:tcW w:w="6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paid</w:t>
            </w:r>
          </w:p>
        </w:tc>
        <w:tc>
          <w:tcPr>
            <w:tcW w:w="6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accrued interest to long-term debt</w:t>
            </w:r>
          </w:p>
        </w:tc>
        <w:tc>
          <w:tcPr>
            <w:tcW w:w="6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5" w:name="page176"/>
    <w:bookmarkEnd w:id="1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 and where otherwise noted)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202"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BioXcel Therapeutics, Inc. (“BTI” or the “Company”) is a biopharmaceutical company utilizing artificial intelligence (“AI”) approaches to develop transformative medicines in neuroscience and immuno-oncology. The Company is focused on utilizing cutting-edge technology and innovative research to develop high-value therapeutics aimed at transforming patients’ lives. BTI employs a unique AI platform to reduce therapeutic development costs and potentially accelerate timelines. The Company’s approach leverages existing approved drugs and/or clinically evaluated product candidates together with big data and proprietary machine learning algorithms to identify new therapeutic indices. BTI management believes this differentiated approach has the potential to reduce the expense and time associated with drug development in diseases with substantial unmet medical needs.</w:t>
      </w:r>
    </w:p>
    <w:p>
      <w:pPr>
        <w:spacing w:after="0" w:line="151" w:lineRule="exact"/>
        <w:rPr>
          <w:sz w:val="20"/>
          <w:szCs w:val="20"/>
          <w:color w:val="auto"/>
        </w:rPr>
      </w:pPr>
    </w:p>
    <w:p>
      <w:pPr>
        <w:ind w:left="60" w:right="339" w:firstLine="324"/>
        <w:spacing w:after="0" w:line="261" w:lineRule="auto"/>
        <w:rPr>
          <w:sz w:val="20"/>
          <w:szCs w:val="20"/>
          <w:color w:val="auto"/>
        </w:rPr>
      </w:pPr>
      <w:r>
        <w:rPr>
          <w:rFonts w:ascii="Times New Roman" w:cs="Times New Roman" w:eastAsia="Times New Roman" w:hAnsi="Times New Roman"/>
          <w:sz w:val="18"/>
          <w:szCs w:val="18"/>
          <w:color w:val="auto"/>
        </w:rPr>
        <w:t>As used in these consolidated financial statements, unless otherwise specified or the context otherwise requires, the terms “BioXcel LLC” refers to the Company’s former parent and current significant stockholder, BioXcel LLC and, its predecessor, BioXcel Corporation. “OnkosXcel” refers to BTI’s wholly owned subsidiary for its advanced immuno-oncology assets, OnkosXcel Therapeutics, LLC.</w:t>
      </w:r>
    </w:p>
    <w:p>
      <w:pPr>
        <w:spacing w:after="0" w:line="139" w:lineRule="exact"/>
        <w:rPr>
          <w:sz w:val="20"/>
          <w:szCs w:val="20"/>
          <w:color w:val="auto"/>
        </w:rPr>
      </w:pPr>
    </w:p>
    <w:p>
      <w:pPr>
        <w:ind w:left="60" w:right="119" w:firstLine="324"/>
        <w:spacing w:after="0" w:line="201" w:lineRule="auto"/>
        <w:rPr>
          <w:sz w:val="20"/>
          <w:szCs w:val="20"/>
          <w:color w:val="auto"/>
        </w:rPr>
      </w:pPr>
      <w:r>
        <w:rPr>
          <w:rFonts w:ascii="Times New Roman" w:cs="Times New Roman" w:eastAsia="Times New Roman" w:hAnsi="Times New Roman"/>
          <w:sz w:val="18"/>
          <w:szCs w:val="18"/>
          <w:color w:val="auto"/>
        </w:rPr>
        <w:t>On April 6, 2022, BTI announced that the United States (“U.S.”) Food and Drug Administration (“FDA”) approved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(dexmedetomidine or “Dex”) sublingual film for the acute treatment of agitation associated with schizophrenia or bipolar I or II disorder in adults.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approved to be self-administrated by patients under the supervision of a health care provider. On July 6, 2022, BTI announced that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was commercially available in doses of 120 and 180 micrograms.</w:t>
      </w:r>
    </w:p>
    <w:p>
      <w:pPr>
        <w:spacing w:after="0" w:line="171" w:lineRule="exact"/>
        <w:rPr>
          <w:sz w:val="20"/>
          <w:szCs w:val="20"/>
          <w:color w:val="auto"/>
        </w:rPr>
      </w:pPr>
    </w:p>
    <w:p>
      <w:pPr>
        <w:ind w:left="60" w:right="239" w:firstLine="324"/>
        <w:spacing w:after="0" w:line="224" w:lineRule="auto"/>
        <w:rPr>
          <w:sz w:val="20"/>
          <w:szCs w:val="20"/>
          <w:color w:val="auto"/>
        </w:rPr>
      </w:pPr>
      <w:r>
        <w:rPr>
          <w:rFonts w:ascii="Times New Roman" w:cs="Times New Roman" w:eastAsia="Times New Roman" w:hAnsi="Times New Roman"/>
          <w:sz w:val="18"/>
          <w:szCs w:val="18"/>
          <w:color w:val="auto"/>
        </w:rPr>
        <w:t>The Company’s most advanced clinical development program is BXCL501. In indications other than those approved by the FDA as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BXCL501 is an investigational proprietary, orally dissolving, film formulation of Dex for the treatment of agitation associated with psychiatric and neurological disorders.</w:t>
      </w:r>
    </w:p>
    <w:p>
      <w:pPr>
        <w:spacing w:after="0" w:line="158"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The Company’s advanced immuno-oncology asset, BXCL701, is an investigational, orally administered systemic innate immune activator for the treatment of a rare form of prostate cancer and advanced solid tumors that are refractory or treatment naïve to checkpoint inhibitors.</w:t>
      </w:r>
    </w:p>
    <w:p>
      <w:pPr>
        <w:spacing w:after="0" w:line="135"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BTI was incorporated under the laws of the State of Delaware on March 29, 2017. The Company’s principal office is in New Haven, Connecticut.</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w:t>
      </w:r>
    </w:p>
    <w:p>
      <w:pPr>
        <w:spacing w:after="0" w:line="189" w:lineRule="exact"/>
        <w:rPr>
          <w:sz w:val="20"/>
          <w:szCs w:val="20"/>
          <w:color w:val="auto"/>
        </w:rPr>
      </w:pPr>
    </w:p>
    <w:p>
      <w:pPr>
        <w:ind w:left="60" w:right="65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subsidiaries after elimination of all intercompany accounts and transactions and have been prepared in conformity with United States (“U.S.”) Generally Accepted Accounting Principles (“GAAP”).</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the Company had cash and cash equivalents of $29,854 and an accumulated deficit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$650,197. BTI has incurred substantial net losses and negative cash flows from operating activities in nearly every fiscal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period since inception and expects this trend to continue for the foreseeable future. The Company recognized net losses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$59,599 and $179,053 for the years ended December 31, 2024 and 2023, respectively, and had net cash used in operating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activities of $72,027 and $155,006 for the years ended December 31, 2024 and 2023, respectively.</w:t>
      </w:r>
    </w:p>
    <w:p>
      <w:pPr>
        <w:spacing w:after="0" w:line="180"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Under ASC Topic 205-40, Presentation of Financial Statements - Going Concern,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6" w:name="page177"/>
    <w:bookmarkEnd w:id="1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The Company’s history of significant losses, its negative cash flows from operations, potential near-term increased covenant-driven amortization payments under its Credit Agreement, its limited liquidity resources currently on hand, and its dependence on its ability to obtain additional financing to fund its operations after the current resources are exhausted, about which there can be no certainty, have resulted in management’s assessment that there is substantial doubt about the Company’s ability to continue as a going concern for a period of at least 12 months from the issuance date of the financial statements included in this Annual Report on Form 10-K.</w:t>
      </w:r>
    </w:p>
    <w:p>
      <w:pPr>
        <w:spacing w:after="0" w:line="160"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This going concern evaluation takes into consideration the potential mitigating effect of management’s Reprioritization (as defined in Note 4, Restructuring). When substantial doubt exists, management evaluates whether the mitigating effect of its plans sufficiently alleviates the substantial doubt about the Company’s ability to continue as a going concern. The mitigating effect of management’s plans, however, is only considered if both (i) it is probable that the plans will be effectively implemented within one year after the date that the financial statements are issued and (ii)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need to be approved by the Company’s Board of Directors. The Company’s Reprioritization was approved by the Board of Directors on August 8, 2023; however, such plans, including the additional restructuring actions taken in the second and third quarters of 2024, will not mitigate the entity’s ability to continue as a going concern within one year after the date that the financial statements are issued.</w:t>
      </w:r>
    </w:p>
    <w:p>
      <w:pPr>
        <w:spacing w:after="0" w:line="151"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and does not include any adjustments that may result from the outcome of this uncertainty. The going concern analysis does not consider possible future amendments to or restructuring of the Credit Agreement (as defined in Note 9, Debt and Credit Facilities) or other potential sources of debt or equity capital.</w:t>
      </w:r>
    </w:p>
    <w:p>
      <w:pPr>
        <w:spacing w:after="0" w:line="143" w:lineRule="exact"/>
        <w:rPr>
          <w:sz w:val="20"/>
          <w:szCs w:val="20"/>
          <w:color w:val="auto"/>
        </w:rPr>
      </w:pPr>
    </w:p>
    <w:p>
      <w:pPr>
        <w:ind w:left="60" w:right="299" w:firstLine="324"/>
        <w:spacing w:after="0" w:line="258" w:lineRule="auto"/>
        <w:rPr>
          <w:sz w:val="20"/>
          <w:szCs w:val="20"/>
          <w:color w:val="auto"/>
        </w:rPr>
      </w:pPr>
      <w:r>
        <w:rPr>
          <w:rFonts w:ascii="Times New Roman" w:cs="Times New Roman" w:eastAsia="Times New Roman" w:hAnsi="Times New Roman"/>
          <w:sz w:val="18"/>
          <w:szCs w:val="18"/>
          <w:color w:val="auto"/>
        </w:rPr>
        <w:t>Successful completion of the Company’s development programs and, ultimately, the attainment of profitable operations are dependent upon future events, including obtaining adequate financing to support the Company’s cost structure and operating plan. Management’s plans to improve the Company’s liquidity and reduce its operating expenses and capital requirements include, among other things, pursuing one or more of the following steps to raise additional capital, none of which can be guaranteed or are entirely within the Company’s control:</w:t>
      </w:r>
    </w:p>
    <w:p>
      <w:pPr>
        <w:spacing w:after="0" w:line="156" w:lineRule="exact"/>
        <w:rPr>
          <w:sz w:val="20"/>
          <w:szCs w:val="20"/>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sale of the Company’s equity securities;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third-party investments in or other strategic options for OnkosXcel;</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debt financing and/or restructuring of its existing OFA Facilities;</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partners to advance the Company’s product pipeline;</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collaborations with potential marketing partners;</w:t>
      </w:r>
    </w:p>
    <w:p>
      <w:pPr>
        <w:spacing w:after="0" w:line="184"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overhead and headcount to focus on core priorities; and/or</w:t>
      </w:r>
    </w:p>
    <w:p>
      <w:pPr>
        <w:spacing w:after="0" w:line="198" w:lineRule="exact"/>
        <w:rPr>
          <w:rFonts w:ascii="Times New Roman" w:cs="Times New Roman" w:eastAsia="Times New Roman" w:hAnsi="Times New Roman"/>
          <w:sz w:val="18"/>
          <w:szCs w:val="18"/>
          <w:color w:val="auto"/>
        </w:rPr>
      </w:pPr>
    </w:p>
    <w:p>
      <w:pPr>
        <w:ind w:left="700" w:hanging="326"/>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185" w:lineRule="exact"/>
        <w:rPr>
          <w:sz w:val="20"/>
          <w:szCs w:val="20"/>
          <w:color w:val="auto"/>
        </w:rPr>
      </w:pPr>
    </w:p>
    <w:p>
      <w:pPr>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If the Company is unable to raise capital when needed or on acceptable terms, or if it is unable to procure collaboration arrangements to advance its programs, the Company would be forced to discontinue some of its operations or develop and implement a plan, beyond its Reprioritization initiatives, to further extend payables, reduce overhead, scale back or cease some or all of its revised operating plan until sufficient additional capital is raised to support further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7" w:name="page178"/>
    <w:bookmarkEnd w:id="1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amounts reported in the consolidated financial statements and notes thereto. Estimates are used in the following areas, among others: revenue recognition, inventory valuation, derivative liabilities, stock-based compensation expense, accrued expenses and income taxes. Although these estimates are based on the Company’s knowledge of current events and actions it may undertake in the future, actual results may ultimately materially differ from these estimates.</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On February 10, 2025, the Company completed a 1-for-16 reverse stock split of its issued and outstanding common stock (the “Reverse Stock Split”). As a result of the Reverse Stock Split, each 16 shares of common stock issued and outstanding immediately prior to February 10, 2025 were automatically converted into one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spacing w:after="0" w:line="148"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w:t>
      </w:r>
    </w:p>
    <w:p>
      <w:pPr>
        <w:spacing w:after="0" w:line="121"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All common share and per-share amounts in this Form 10-K have been retroactively restated to reflect the effect of the Reverse Stock Split.</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As of December 31, 2024 and 2023, cash equivalents were comprised primarily of money market funds. Cash and cash equivalents held at financial institutions may at times exceed federally insured amounts. BTI management believes it mitigates such risk by investing in or through major financial institutions.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97"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arise from sales of IGALMI</w:t>
      </w:r>
      <w:r>
        <w:rPr>
          <w:rFonts w:ascii="Arial" w:cs="Arial" w:eastAsia="Arial" w:hAnsi="Arial"/>
          <w:sz w:val="16"/>
          <w:szCs w:val="16"/>
          <w:color w:val="auto"/>
        </w:rPr>
        <w:t>®</w:t>
      </w:r>
      <w:r>
        <w:rPr>
          <w:rFonts w:ascii="Times New Roman" w:cs="Times New Roman" w:eastAsia="Times New Roman" w:hAnsi="Times New Roman"/>
          <w:sz w:val="18"/>
          <w:szCs w:val="18"/>
          <w:color w:val="auto"/>
        </w:rPr>
        <w:t xml:space="preserve"> and represent amounts due from distributors. Payment terms generally range from 30 to 75 days from the date of the sale transaction, and accordingly, do not involve a significant financing component. Receivables from product sales are recorded net of allowances which generally include distribution fees, prompt payment discounts, chargebacks, and credit losses. Allowances for distribution fees, prompt payment discounts and chargebacks are based on contractual terms. The Company estimated the current expected credit losses of its accounts receivable by assessing the risk of loss and available relevant information about collectability, existing contractual payment terms, actual payment patterns of its customers, individual customer circumstances, and reasonable and supportable forecast of economic conditions expected to exist throughout the contractual life of the receivable. Based on its assessment, as of December 31, 2024, the Company determined that an allowance for credit losses was not required.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1" w:lineRule="exact"/>
        <w:rPr>
          <w:sz w:val="20"/>
          <w:szCs w:val="20"/>
          <w:color w:val="auto"/>
        </w:rPr>
      </w:pPr>
    </w:p>
    <w:p>
      <w:pPr>
        <w:ind w:left="60" w:right="99" w:firstLine="324"/>
        <w:spacing w:after="0" w:line="237" w:lineRule="auto"/>
        <w:rPr>
          <w:sz w:val="20"/>
          <w:szCs w:val="20"/>
          <w:color w:val="auto"/>
        </w:rPr>
      </w:pPr>
      <w:r>
        <w:rPr>
          <w:rFonts w:ascii="Times New Roman" w:cs="Times New Roman" w:eastAsia="Times New Roman" w:hAnsi="Times New Roman"/>
          <w:sz w:val="18"/>
          <w:szCs w:val="18"/>
          <w:color w:val="auto"/>
        </w:rPr>
        <w:t>The Company sells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a drop-ship program under which orders from hospitals and similar health care institutions are processed through wholesalers, but shipments of the product are sent directly to the individual hospitals and similar health care institutions. BTI also contracts directly with intermediaries such as group purchasing organizations (“GPOs”). All trade accounts receivables are due from the distributor that fulfills orders on behalf of the Company. For the years ended December 31, 2024 and 2023, one customer accounted for approximately 32% and 39% of the Company’s net product revenue,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8" w:name="page179"/>
    <w:bookmarkEnd w:id="1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02" w:lineRule="exact"/>
        <w:rPr>
          <w:sz w:val="20"/>
          <w:szCs w:val="20"/>
          <w:color w:val="auto"/>
        </w:rPr>
      </w:pPr>
    </w:p>
    <w:p>
      <w:pPr>
        <w:ind w:left="60" w:right="339" w:firstLine="32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Cost of inventory is determined on a first-in, first-out basis.</w:t>
      </w:r>
    </w:p>
    <w:p>
      <w:pPr>
        <w:spacing w:after="0" w:line="162"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BTI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expense in the Consolidated Statements of Operations.</w:t>
      </w:r>
    </w:p>
    <w:p>
      <w:pPr>
        <w:spacing w:after="0" w:line="18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and obsolete inventories to their estimated realizable value in the period in which the impairment is first identified. Such impairment charges, should they occur, will be recorded within Cost of goods sold in the Consolidated Statements of Operations. The determination of whether inventory costs will be realizable requires estimates by management. If actual market conditions are less favorable than projected, write-downs of inventory may be required.</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Deferred Initial Public Offering Costs</w:t>
      </w:r>
    </w:p>
    <w:p>
      <w:pPr>
        <w:spacing w:after="0" w:line="189" w:lineRule="exact"/>
        <w:rPr>
          <w:sz w:val="20"/>
          <w:szCs w:val="20"/>
          <w:color w:val="auto"/>
        </w:rPr>
      </w:pPr>
    </w:p>
    <w:p>
      <w:pPr>
        <w:ind w:left="60" w:right="459" w:firstLine="324"/>
        <w:spacing w:after="0" w:line="261" w:lineRule="auto"/>
        <w:rPr>
          <w:sz w:val="20"/>
          <w:szCs w:val="20"/>
          <w:color w:val="auto"/>
        </w:rPr>
      </w:pPr>
      <w:r>
        <w:rPr>
          <w:rFonts w:ascii="Times New Roman" w:cs="Times New Roman" w:eastAsia="Times New Roman" w:hAnsi="Times New Roman"/>
          <w:sz w:val="18"/>
          <w:szCs w:val="18"/>
          <w:color w:val="auto"/>
        </w:rPr>
        <w:t>Deferred initial public offering costs of $2,570, consisted of legal, accounting, and other costs that were directly related to the Company’s proposed initial public offering of OnkosXcel. These costs were charged to the Consolidated Statements of Operations during the year ended December 31, 2023 as the initial public offering was delayed for an extended period of time. The costs were recorded as Selling, general and administrative expenses.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2" w:lineRule="exact"/>
        <w:rPr>
          <w:sz w:val="20"/>
          <w:szCs w:val="20"/>
          <w:color w:val="auto"/>
        </w:rPr>
      </w:pPr>
    </w:p>
    <w:p>
      <w:pPr>
        <w:ind w:left="60" w:right="419"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over the shorter of their remaining lease term or their estimated useful life on a straight-line basis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5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w:t>
            </w:r>
          </w:p>
        </w:tc>
        <w:tc>
          <w:tcPr>
            <w:tcW w:w="5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5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life of improvement or lease term</w:t>
            </w:r>
          </w:p>
        </w:tc>
      </w:tr>
    </w:tbl>
    <w:p>
      <w:pPr>
        <w:spacing w:after="0" w:line="198" w:lineRule="exact"/>
        <w:rPr>
          <w:sz w:val="20"/>
          <w:szCs w:val="20"/>
          <w:color w:val="auto"/>
        </w:rPr>
      </w:pPr>
    </w:p>
    <w:p>
      <w:pPr>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which do not improve or extend the useful lives of the respective assets are expensed as incurred. When assets are sold or retired, the related cost and accumulated depreciation are removed from their respective accounts and any resulting gain or loss is included within Other (income) expense, net in the Consolidated Statements of Operations.</w:t>
      </w:r>
    </w:p>
    <w:p>
      <w:pPr>
        <w:spacing w:after="0" w:line="139" w:lineRule="exact"/>
        <w:rPr>
          <w:sz w:val="20"/>
          <w:szCs w:val="20"/>
          <w:color w:val="auto"/>
        </w:rPr>
      </w:pPr>
    </w:p>
    <w:p>
      <w:pPr>
        <w:ind w:left="60" w:right="79" w:firstLine="324"/>
        <w:spacing w:after="0" w:line="277" w:lineRule="auto"/>
        <w:rPr>
          <w:sz w:val="20"/>
          <w:szCs w:val="20"/>
          <w:color w:val="auto"/>
        </w:rPr>
      </w:pPr>
      <w:r>
        <w:rPr>
          <w:rFonts w:ascii="Times New Roman" w:cs="Times New Roman" w:eastAsia="Times New Roman" w:hAnsi="Times New Roman"/>
          <w:sz w:val="17"/>
          <w:szCs w:val="17"/>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from its use and disposition. Impairment charges are recognized at the amount by which the carrying amount of an asset exceeds the fair value of the asset. Assets to be disposed of are reported at the lower of the carrying amount or the fair value less costs to sell.</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other current liabilities, and the long-term portion of operating lease liabilities in the Consolidated Balance Sheets.</w:t>
      </w:r>
    </w:p>
    <w:p>
      <w:pPr>
        <w:spacing w:after="0" w:line="135" w:lineRule="exact"/>
        <w:rPr>
          <w:sz w:val="20"/>
          <w:szCs w:val="20"/>
          <w:color w:val="auto"/>
        </w:rPr>
      </w:pPr>
    </w:p>
    <w:p>
      <w:pPr>
        <w:ind w:left="60" w:right="219" w:firstLine="324"/>
        <w:spacing w:after="0" w:line="261" w:lineRule="auto"/>
        <w:rPr>
          <w:sz w:val="20"/>
          <w:szCs w:val="20"/>
          <w:color w:val="auto"/>
        </w:rPr>
      </w:pPr>
      <w:r>
        <w:rPr>
          <w:rFonts w:ascii="Times New Roman" w:cs="Times New Roman" w:eastAsia="Times New Roman" w:hAnsi="Times New Roman"/>
          <w:sz w:val="18"/>
          <w:szCs w:val="18"/>
          <w:color w:val="auto"/>
        </w:rPr>
        <w:t>ROU assets represent BTI’s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The Company uses the implicit rate when readily determinable. As BTI’s leases do not provide an implicit rate, it used an incremental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9" w:name="page180"/>
    <w:bookmarkEnd w:id="1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borrowing rate based on the information available at commencement date in determining the present value of lease payments. The operating lease ROU asset also includes any prepaid lease payments made and is reduced by lease incentives. The Company’s leases may include options to extend the lease; such options are included in determining the lease term when it is reasonably certain that BTI will exercise that option. Lease expense is recognized on a straight-line basis over the lease term.</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Debt and Detachable Warrants</w:t>
      </w:r>
    </w:p>
    <w:p>
      <w:pPr>
        <w:spacing w:after="0" w:line="189"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Detachable warrants are evaluated for classification as either equity instruments, derivative liabilities, or liabilities depending on the specific terms of the warrant agreement. In circumstances in which debt is issued with equity-classified warrants, the proceeds from the issuance of debt are first allocated to the debt and then the warrants at their estimated fair values. The portion of the proceeds allocated to the warrants are accounted for as paid-in capital and a debt discount. The remaining proceeds, as further reduced by discounts created by the bifurcation of any embedded derivatives, are allocated to the debt. Detachable warrants classified as derivative liabilities are accounted for as indicated under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Liabilities</w:t>
      </w:r>
      <w:r>
        <w:rPr>
          <w:rFonts w:ascii="Times New Roman" w:cs="Times New Roman" w:eastAsia="Times New Roman" w:hAnsi="Times New Roman"/>
          <w:sz w:val="18"/>
          <w:szCs w:val="18"/>
          <w:color w:val="auto"/>
        </w:rPr>
        <w:t>” section of this Note and as a debt discount. The Company accounts for debt as liabilities measured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amortized cost and amortizes the resulting debt discount from the allocation of proceeds to interest expense using the effective interest method over the expected term of the debt instrument. The Company considers whether there are any embedded features in debt instruments that require bifurcation and separately accounts for them as derivative financial instruments.</w:t>
      </w:r>
    </w:p>
    <w:p>
      <w:pPr>
        <w:spacing w:after="0" w:line="151" w:lineRule="exact"/>
        <w:rPr>
          <w:sz w:val="20"/>
          <w:szCs w:val="20"/>
          <w:color w:val="auto"/>
        </w:rPr>
      </w:pPr>
    </w:p>
    <w:p>
      <w:pPr>
        <w:ind w:left="60" w:right="159" w:firstLine="324"/>
        <w:spacing w:after="0" w:line="254" w:lineRule="auto"/>
        <w:rPr>
          <w:sz w:val="20"/>
          <w:szCs w:val="20"/>
          <w:color w:val="auto"/>
        </w:rPr>
      </w:pPr>
      <w:r>
        <w:rPr>
          <w:rFonts w:ascii="Times New Roman" w:cs="Times New Roman" w:eastAsia="Times New Roman" w:hAnsi="Times New Roman"/>
          <w:sz w:val="18"/>
          <w:szCs w:val="18"/>
          <w:color w:val="auto"/>
        </w:rPr>
        <w:t>The Company entered into financing arrangements, the terms of which involve significant assumptions and estimates, including future net product sales, in determining interest expense, amortization period of the debt discount, as well as the classification between current and long-term portions. In estimating future net product sales, the Company assesses prevailing market conditions using various external market data against the Company’s anticipated sales and planned commercial activities. Consequently, the Company imputes interest on the carrying value of the debt and records interest expense using an imputed effective interest rate. The Company reassesses the expected payments during each reporting period and accounts for any changes through an adjustment to the effective interest rate on a prospective basis, with a corresponding impact to the classification of the Company’s current and long-term portions of the debt.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Derivative Assets and Liabilities</w:t>
      </w:r>
    </w:p>
    <w:p>
      <w:pPr>
        <w:spacing w:after="0" w:line="189"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Derivative assets and liabilities are recorded on the Company`s Consolidated Balance Sheets at their fair value on the date of issuance and are revalued on each balance sheet date until such instruments are settled or expire, with changes in the fair value between reporting periods recorded as other income or expense within Other (income) expense, net in the Consolidated Statements of Operations.</w:t>
      </w:r>
    </w:p>
    <w:p>
      <w:pPr>
        <w:spacing w:after="0" w:line="139" w:lineRule="exact"/>
        <w:rPr>
          <w:sz w:val="20"/>
          <w:szCs w:val="20"/>
          <w:color w:val="auto"/>
        </w:rPr>
      </w:pPr>
    </w:p>
    <w:p>
      <w:pPr>
        <w:ind w:left="60" w:right="37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use derivative instruments for speculative purposes or to hedge exposures to cash-flow or market risks. Certain financing facilities entered into by the Company include freestanding financial instruments and/or embedded features that require separate accounting as derivative assets and/or liabilities.</w:t>
      </w:r>
    </w:p>
    <w:p>
      <w:pPr>
        <w:spacing w:after="0" w:line="149"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revenues consist of product sales of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BTI recognizes revenue when its customers obtain control of promised goods or services, in an amount that reflects the consideration that the Company expects to receive in exchange for those goods or services. To determine revenue recognition, BTI management performs the following five steps: (i) identify the contract(s) with a customer; (ii) identify the performance obligations in the contract; (iii) determine the transaction price, including variable consideration, if any;</w:t>
      </w:r>
    </w:p>
    <w:p>
      <w:pPr>
        <w:spacing w:after="0" w:line="3" w:lineRule="exact"/>
        <w:rPr>
          <w:sz w:val="20"/>
          <w:szCs w:val="20"/>
          <w:color w:val="auto"/>
        </w:rPr>
      </w:pPr>
    </w:p>
    <w:p>
      <w:pPr>
        <w:ind w:left="60" w:right="99" w:hanging="10"/>
        <w:spacing w:after="0" w:line="253" w:lineRule="auto"/>
        <w:tabs>
          <w:tab w:leader="none" w:pos="3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 Arrangements that include rights to additional goods or services that are exercisable at a customer’s discretion are generally considered options. The Company assesses if these options provide a material right to the customer and if so, they are considered performance obligations. The exercise of a material right may be accounted for as a contract modification or as a continuation of the contract for accounting purposes.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goods and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and (ii) the Company’s promise to transfer the good or service to the customer is separately identifiable from other promises in the contract.</w:t>
      </w:r>
    </w:p>
    <w:p>
      <w:pPr>
        <w:spacing w:after="0" w:line="162"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The Company allocates the transaction price (the amount of consideration it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w:t>
      </w:r>
    </w:p>
    <w:p>
      <w:pPr>
        <w:spacing w:after="0" w:line="131" w:lineRule="exact"/>
        <w:rPr>
          <w:sz w:val="20"/>
          <w:szCs w:val="20"/>
          <w:color w:val="auto"/>
        </w:rPr>
      </w:pPr>
    </w:p>
    <w:p>
      <w:pPr>
        <w:ind w:left="60" w:right="119" w:firstLine="324"/>
        <w:spacing w:after="0" w:line="226" w:lineRule="auto"/>
        <w:rPr>
          <w:sz w:val="20"/>
          <w:szCs w:val="20"/>
          <w:color w:val="auto"/>
        </w:rPr>
      </w:pPr>
      <w:r>
        <w:rPr>
          <w:rFonts w:ascii="Times New Roman" w:cs="Times New Roman" w:eastAsia="Times New Roman" w:hAnsi="Times New Roman"/>
          <w:sz w:val="18"/>
          <w:szCs w:val="18"/>
          <w:color w:val="auto"/>
        </w:rPr>
        <w:t>BTI distributes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the U.S. through arrangements with a distributor, wholesalers, and GPOs. The distributor and wholesalers help process and fulfill orders from hospitals on the Company’s behalf. The Company believes the hospitals are its customers.</w:t>
      </w:r>
    </w:p>
    <w:p>
      <w:pPr>
        <w:spacing w:after="0" w:line="160" w:lineRule="exact"/>
        <w:rPr>
          <w:sz w:val="20"/>
          <w:szCs w:val="20"/>
          <w:color w:val="auto"/>
        </w:rPr>
      </w:pPr>
    </w:p>
    <w:p>
      <w:pPr>
        <w:ind w:left="60" w:right="139" w:firstLine="324"/>
        <w:spacing w:after="0" w:line="242" w:lineRule="auto"/>
        <w:rPr>
          <w:sz w:val="20"/>
          <w:szCs w:val="20"/>
          <w:color w:val="auto"/>
        </w:rPr>
      </w:pPr>
      <w:r>
        <w:rPr>
          <w:rFonts w:ascii="Times New Roman" w:cs="Times New Roman" w:eastAsia="Times New Roman" w:hAnsi="Times New Roman"/>
          <w:sz w:val="18"/>
          <w:szCs w:val="18"/>
          <w:color w:val="auto"/>
        </w:rPr>
        <w:t>The Company recognizes product revenues, net of consideration payable to customers, as well as variable consideration related to certain allowances and accruals that are determined using either the expected value or most likely amount method, depending on the type of the variable consideration, in its consolidated financial statements at the point in time when control transfers to the customer, which is typically when the product has been delivered to the customer’s location. The amount included in the transaction price is constrained to the amount for which it is probable that a significant reversal of cumulative revenue recognized will not occur. The Company’s only performance obligation identified for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to deliver the quantity of product ordered to the location specified by the customer’s order. The Company records shipping and handling costs associated with delivery of product to its customers within Selling, general and administrative expenses on its Consolidated Statements of Operations. Under the Company’s current product sales arrangements, BTI does not have contract assets (unbilled receivables), as it generally invoices its customer at the time of revenue recognition.</w:t>
      </w:r>
    </w:p>
    <w:p>
      <w:pPr>
        <w:spacing w:after="0" w:line="168" w:lineRule="exact"/>
        <w:rPr>
          <w:sz w:val="20"/>
          <w:szCs w:val="20"/>
          <w:color w:val="auto"/>
        </w:rPr>
      </w:pPr>
    </w:p>
    <w:p>
      <w:pPr>
        <w:ind w:left="60" w:right="179" w:firstLine="324"/>
        <w:spacing w:after="0" w:line="237" w:lineRule="auto"/>
        <w:rPr>
          <w:sz w:val="20"/>
          <w:szCs w:val="20"/>
          <w:color w:val="auto"/>
        </w:rPr>
      </w:pPr>
      <w:r>
        <w:rPr>
          <w:rFonts w:ascii="Times New Roman" w:cs="Times New Roman" w:eastAsia="Times New Roman" w:hAnsi="Times New Roman"/>
          <w:sz w:val="18"/>
          <w:szCs w:val="18"/>
          <w:color w:val="auto"/>
        </w:rPr>
        <w:t>BTI sells 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wholesale acquisition cost, less any agreed upon discounts and calculates product revenue net of variable consideration and consideration payable to third parties associated with distribution of product. The Company records reserves, based on contractual terms, for the following components of consideration related to product sold during the reporting period. Calculating these amounts involves estimates and judgments, and the Company reviews these estimates quarterly and records any material adjustments in the period they are identified, which affects net product revenue and earnings in the period such variances occur.</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Trade Discounts and Allowances</w:t>
      </w:r>
    </w:p>
    <w:p>
      <w:pPr>
        <w:spacing w:after="0" w:line="18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the distributor and wholesalers with discounts for prompt payment and pays fees to the distributor, wholesalers and GPOs related to distribution of the product. BTI expects the relevant third parties to earn these discounts and fees, and therefore it deducts such amounts from gross product revenue and accounts receivable at the time it recognizes the related revenue.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Government Rebates</w:t>
      </w:r>
    </w:p>
    <w:p>
      <w:pPr>
        <w:spacing w:after="0" w:line="181" w:lineRule="exact"/>
        <w:rPr>
          <w:sz w:val="20"/>
          <w:szCs w:val="20"/>
          <w:color w:val="auto"/>
        </w:rPr>
      </w:pPr>
    </w:p>
    <w:p>
      <w:pPr>
        <w:ind w:left="60" w:right="139" w:firstLine="324"/>
        <w:spacing w:after="0" w:line="232" w:lineRule="auto"/>
        <w:rPr>
          <w:sz w:val="20"/>
          <w:szCs w:val="20"/>
          <w:color w:val="auto"/>
        </w:rPr>
      </w:pPr>
      <w:r>
        <w:rPr>
          <w:rFonts w:ascii="Times New Roman" w:cs="Times New Roman" w:eastAsia="Times New Roman" w:hAnsi="Times New Roman"/>
          <w:sz w:val="18"/>
          <w:szCs w:val="18"/>
          <w:color w:val="auto"/>
        </w:rPr>
        <w:t>IGALMI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eligible for purchase by, or qualifies for reimbursement from, Medicaid and other U.S. government programs that are eligible for rebates on the price they pay for the product. To determine the appropriate amount to reserve for these rebates, BTI applies the applicable government discount to these sales, and estimates the portion of total rebates that it anticipates will be claimed. The Company deducts certain government rebates from gross product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82" w:lineRule="auto"/>
        <w:rPr>
          <w:sz w:val="20"/>
          <w:szCs w:val="20"/>
          <w:color w:val="auto"/>
        </w:rPr>
      </w:pPr>
      <w:r>
        <w:rPr>
          <w:rFonts w:ascii="Times New Roman" w:cs="Times New Roman" w:eastAsia="Times New Roman" w:hAnsi="Times New Roman"/>
          <w:sz w:val="18"/>
          <w:szCs w:val="18"/>
          <w:color w:val="auto"/>
        </w:rPr>
        <w:t>revenue and accounts receivable at the time it recognizes the related revenue; other government rebates are recognized as an accrued liability at the time BTI recognizes the related revenue.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Chargebacks</w:t>
      </w:r>
    </w:p>
    <w:p>
      <w:pPr>
        <w:spacing w:after="0" w:line="189" w:lineRule="exact"/>
        <w:rPr>
          <w:sz w:val="20"/>
          <w:szCs w:val="20"/>
          <w:color w:val="auto"/>
        </w:rPr>
      </w:pPr>
    </w:p>
    <w:p>
      <w:pPr>
        <w:jc w:val="both"/>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BTI provides product discounts to hospitals associated with certain GPOs. The Company estimates the chargebacks that it expects to be obligated to provide based upon the terms of the applicable arrangements. BTI deducts such amounts from gross product revenue and accounts receivable at the time it recognizes the related revenue.</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Product Returns</w:t>
      </w:r>
    </w:p>
    <w:p>
      <w:pPr>
        <w:spacing w:after="0" w:line="202"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contractual return rights to its customers including the right to return product within six months of product expiration and up to 12 months after product expiration, as well as for incorrect shipments, and damaged or defective product, which the Company expects to be rare. Management expects product returns to be minimal, thus BTI recognizes a nominal allowance for product returns at the time of each sale. In the future, if any of these factors and/or the history of product returns changes, the Company will adjust the allowance for product returns.</w:t>
      </w:r>
    </w:p>
    <w:p>
      <w:pPr>
        <w:spacing w:after="0" w:line="143" w:lineRule="exact"/>
        <w:rPr>
          <w:sz w:val="20"/>
          <w:szCs w:val="20"/>
          <w:color w:val="auto"/>
        </w:rPr>
      </w:pPr>
    </w:p>
    <w:p>
      <w:pPr>
        <w:ind w:left="60" w:right="199" w:firstLine="324"/>
        <w:spacing w:after="0" w:line="289" w:lineRule="auto"/>
        <w:rPr>
          <w:sz w:val="20"/>
          <w:szCs w:val="20"/>
          <w:color w:val="auto"/>
        </w:rPr>
      </w:pPr>
      <w:r>
        <w:rPr>
          <w:rFonts w:ascii="Times New Roman" w:cs="Times New Roman" w:eastAsia="Times New Roman" w:hAnsi="Times New Roman"/>
          <w:sz w:val="17"/>
          <w:szCs w:val="17"/>
          <w:color w:val="auto"/>
        </w:rPr>
        <w:t>BTI classifies all fees paid to the distributor, other than those discussed above and those related to warehouse operations, as Selling, general and administrative expenses on its Consolidated Statements of Operations. Fees paid to the distributor for warehouse operations are classified as Cost of goods sold on BTI’s Consolidated Statements of Operations.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202" w:lineRule="exact"/>
        <w:rPr>
          <w:sz w:val="20"/>
          <w:szCs w:val="20"/>
          <w:color w:val="auto"/>
        </w:rPr>
      </w:pPr>
    </w:p>
    <w:p>
      <w:pPr>
        <w:jc w:val="both"/>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 of producing and distributing inventories that are related to product revenues during the respective period. Cost of goods sold also includes costs related to excess or obsolete inventory adjustment charges, as well as costs related to warehouse operations paid to distributors.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measures and recognizes stock-based compensation expense based on estimated fair value for all share-based awards made to employees, non-employee service providers, and directors, including stock options, BTI restricted stock units (“BTI RSUs”), OnkosXcel profit sharing units (“PSUs”), OnkosXcel restricted stock units (“OnkosXcel RSUs”) and BTI performance stock units (“Performance Units”). The Company’s 2017 Equity Incentive Plan (the “2017 Plan”) became effective in August 2017. The Company’s 2020 Incentive Award Plan (the “2020 Plan”) became effective in May 2020. Following the effective date of the 2020 Plan, the Company ceased granting awards under the 2017 Plan; however, the terms and conditions of the 2017 Plan continue to govern any outstanding awards granted thereunder.</w:t>
      </w:r>
    </w:p>
    <w:p>
      <w:pPr>
        <w:spacing w:after="0" w:line="162" w:lineRule="exact"/>
        <w:rPr>
          <w:sz w:val="20"/>
          <w:szCs w:val="20"/>
          <w:color w:val="auto"/>
        </w:rPr>
      </w:pPr>
    </w:p>
    <w:p>
      <w:pPr>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Company’s stock-based awards are valued at fair value on the date of grant and that fair value is recognized as an expense in the Consolidated Statements of Operations over the requisite service period using the accelerated attribution method. The estimated value of the BTI RSUs and Performance Units is based on the Company’s closing stock price on the grant date. The estimated fair value of OnkosXcel RSUs are based on the OnkosXcel valuation on the grant date. The estimated fair value of stock-options and PSUs was determined using the Black-Scholes pricing model on the date of grant. For awards subject to performance-based vesting conditions, the Company recognizes stock-based compensation expense when the achievement of the performance condition becomes probable.</w:t>
      </w:r>
    </w:p>
    <w:p>
      <w:pPr>
        <w:spacing w:after="0" w:line="14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The Black-Scholes pricing model is affected by the Company’s stock price, as well as assumptions regarding variables including, but not limited to, the strike price of the instrument, the risk-free rate, the expected stock price volatility over the term of the awards and expected term of the awards. The Company has elected to account for forfeitures as they occur, by reversing compensation cost when the award is forfeited.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2" w:name="page183"/>
    <w:bookmarkEnd w:id="1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2"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wages, benefits, non-cash stock-based compensation, facilities, supplies, external services, clinical study, manufacturing costs related to clinical trials and other expenses that are directly related to the Company’s research and development activities. At the end of the reporting period, the Company estimates the progress toward completion of the research or development objectives and, depending on the amount and timing of payments to the service providers may record net prepaid or accrued expense for associated research and development costs. Such estimates are subject to change as additional information becomes available. The Company expenses research and development costs as incurred.</w:t>
      </w:r>
    </w:p>
    <w:p>
      <w:pPr>
        <w:spacing w:after="0" w:line="148" w:lineRule="exact"/>
        <w:rPr>
          <w:sz w:val="20"/>
          <w:szCs w:val="20"/>
          <w:color w:val="auto"/>
        </w:rPr>
      </w:pPr>
    </w:p>
    <w:p>
      <w:pPr>
        <w:ind w:left="60" w:right="199" w:firstLine="324"/>
        <w:spacing w:after="0" w:line="261" w:lineRule="auto"/>
        <w:rPr>
          <w:sz w:val="20"/>
          <w:szCs w:val="20"/>
          <w:color w:val="auto"/>
        </w:rPr>
      </w:pPr>
      <w:r>
        <w:rPr>
          <w:rFonts w:ascii="Times New Roman" w:cs="Times New Roman" w:eastAsia="Times New Roman" w:hAnsi="Times New Roman"/>
          <w:sz w:val="18"/>
          <w:szCs w:val="18"/>
          <w:color w:val="auto"/>
        </w:rPr>
        <w:t>Most of the Company’s service providers invoice BTI monthly in arrears for services performed. The Company estimates its accrued expenses as of each balance sheet date in the consolidated financial statements based on facts and circumstances known to management at that time. BTI management periodically confirms the accuracy of the Company’s estimates with the service providers and makes adjustments if necessary.</w:t>
      </w:r>
    </w:p>
    <w:p>
      <w:pPr>
        <w:spacing w:after="0" w:line="139" w:lineRule="exact"/>
        <w:rPr>
          <w:sz w:val="20"/>
          <w:szCs w:val="20"/>
          <w:color w:val="auto"/>
        </w:rPr>
      </w:pPr>
    </w:p>
    <w:p>
      <w:pPr>
        <w:ind w:left="60" w:right="119" w:firstLine="324"/>
        <w:spacing w:after="0" w:line="289" w:lineRule="auto"/>
        <w:rPr>
          <w:sz w:val="20"/>
          <w:szCs w:val="20"/>
          <w:color w:val="auto"/>
        </w:rPr>
      </w:pPr>
      <w:r>
        <w:rPr>
          <w:rFonts w:ascii="Times New Roman" w:cs="Times New Roman" w:eastAsia="Times New Roman" w:hAnsi="Times New Roman"/>
          <w:sz w:val="17"/>
          <w:szCs w:val="17"/>
          <w:color w:val="auto"/>
        </w:rPr>
        <w:t>Although management does not expect its estimates to be materially different from amounts actually incurred, management’s understanding of the status and timing of services performed relative to the actual status and timing of services performed may vary and may result in BTI reporting amounts that are too high or too low in any particular period.</w:t>
      </w:r>
    </w:p>
    <w:p>
      <w:pPr>
        <w:spacing w:after="0" w:line="1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89"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recorded in Selling, general and administrative expenses in the Consolidated Statements of Operations and are expensed as incurred since recoverability of such expenditures is uncertain.</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2"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which is defined as the price that would be received to sell an asset or paid to transfer a liability in an orderly transaction between market participants at the measurement date. The Company applies a fair value hierarchy that distinguishes between (1) market participant assumptions developed based on market data obtained from independent sources, or observable inputs, and (2) an entity’s own assumptions about market participant assumptions developed based on the best information available in the circumstances, or unobservable inputs. The fair value hierarchy consists of three broad levels, which gives the highest priority to unadjusted quoted prices in active markets for identical assets or liabilities (Level 1) and the lowest priority to unobservable inputs (Level 3). Fair value measurements must be classified and disclosed in one of the following three categories:</w:t>
      </w:r>
    </w:p>
    <w:p>
      <w:pPr>
        <w:spacing w:after="0" w:line="148" w:lineRule="exact"/>
        <w:rPr>
          <w:sz w:val="20"/>
          <w:szCs w:val="20"/>
          <w:color w:val="auto"/>
        </w:rPr>
      </w:pPr>
    </w:p>
    <w:p>
      <w:pPr>
        <w:ind w:left="720" w:right="379" w:hanging="319"/>
        <w:spacing w:after="0" w:line="282"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in active markets that are accessible at the measurement date for assets or liabilities. The fair value hierarchy gives the highest priority to Level 1 inputs.</w:t>
      </w:r>
    </w:p>
    <w:p>
      <w:pPr>
        <w:spacing w:after="0" w:line="121" w:lineRule="exact"/>
        <w:rPr>
          <w:rFonts w:ascii="Times New Roman" w:cs="Times New Roman" w:eastAsia="Times New Roman" w:hAnsi="Times New Roman"/>
          <w:sz w:val="18"/>
          <w:szCs w:val="18"/>
          <w:color w:val="auto"/>
        </w:rPr>
      </w:pPr>
    </w:p>
    <w:p>
      <w:pPr>
        <w:ind w:left="720" w:right="79" w:hanging="319"/>
        <w:spacing w:after="0" w:line="256"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60" w:lineRule="exact"/>
        <w:rPr>
          <w:rFonts w:ascii="Times New Roman" w:cs="Times New Roman" w:eastAsia="Times New Roman" w:hAnsi="Times New Roman"/>
          <w:sz w:val="18"/>
          <w:szCs w:val="18"/>
          <w:color w:val="auto"/>
        </w:rPr>
      </w:pPr>
    </w:p>
    <w:p>
      <w:pPr>
        <w:jc w:val="both"/>
        <w:ind w:left="720" w:right="299" w:hanging="319"/>
        <w:spacing w:after="0" w:line="266" w:lineRule="auto"/>
        <w:tabs>
          <w:tab w:leader="none" w:pos="7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35" w:lineRule="exact"/>
        <w:rPr>
          <w:sz w:val="20"/>
          <w:szCs w:val="20"/>
          <w:color w:val="auto"/>
        </w:rPr>
      </w:pPr>
    </w:p>
    <w:p>
      <w:pPr>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3" w:name="page184"/>
    <w:bookmarkEnd w:id="1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BTI uses an asset and liability approach for financial accounting and reporting of income taxes. Deferred tax assets and liabilities are determined based on temporary differences between financial reporting and tax basis assets and liabilities and are measured by applying enacted rates and laws to taxable years in which differences are expected to be recovered or settled. Further, the effect on deferred tax assets and liabilities of a change in tax rates is recognized in income in the period that the rate changes. A valuation allowance is required when it is “more likely than not” that all or a portion of deferred tax assets will not be realized.</w:t>
      </w:r>
    </w:p>
    <w:p>
      <w:pPr>
        <w:spacing w:after="0" w:line="14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U.S. GAAP prescribes a comprehensive model for how a company should recognize, measure, present and disclose in its financial statements uncertain tax positions that the Company has taken or expects to take on a tax return, including a decision whether to file or not file a return in a particular jurisdiction. The Company’s financial statements reflect expected future tax consequences of such positions presuming the taxing authorities’ full knowledge of the position and all relevant facts.</w:t>
      </w:r>
    </w:p>
    <w:p>
      <w:pPr>
        <w:spacing w:after="0" w:line="1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have any unrecognized tax benefits as of December 31, 2024 and 2023. BTI reviews all tax positions to ensure the tax treatment selected is sustainable based on its technical merits and that the position would be sustained if challenged.</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Earnings (loss) per share (“EPS”) is calculated by dividing net income or loss attributable to common stockholders by the weighted average number of shares of common stock that were outstanding, including pre-funded warrants. Shares of common stock into which the pre-funded warrant may be exercised are considered outstanding for the purposes of computing EPS because the shares may be issued for little or no consideration, are fully vested and are exercisable after the original issuance date. Diluted EPS is calculated by adjusting the weighted average number of shares of common stock that were outstanding for the dilutive effect of common stock equivalents. In periods in which a net loss is recorded, no effect is given to potentially dilutive securities, since the effect would be antidilutive.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Company’s chief operating decision maker has made such decisions and assessed performance at the Company level as one segment. See Note 19,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further information</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2"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adopted the new standard in fiscal year 2024 for annual and retrospective reporting periods with all interim disclosures to begin in the first quarter of fiscal year 2025. For additional information, see Note 19,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189" w:lineRule="exact"/>
        <w:rPr>
          <w:sz w:val="20"/>
          <w:szCs w:val="20"/>
          <w:color w:val="auto"/>
        </w:rPr>
      </w:pPr>
    </w:p>
    <w:p>
      <w:pPr>
        <w:ind w:left="60" w:right="139"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4" w:name="page185"/>
    <w:bookmarkEnd w:id="1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202" w:lineRule="exact"/>
        <w:rPr>
          <w:sz w:val="20"/>
          <w:szCs w:val="20"/>
          <w:color w:val="auto"/>
        </w:rPr>
      </w:pPr>
    </w:p>
    <w:p>
      <w:pPr>
        <w:ind w:left="60" w:right="139" w:firstLine="324"/>
        <w:spacing w:after="0" w:line="260" w:lineRule="auto"/>
        <w:rPr>
          <w:sz w:val="20"/>
          <w:szCs w:val="20"/>
          <w:color w:val="auto"/>
        </w:rPr>
      </w:pPr>
      <w:r>
        <w:rPr>
          <w:rFonts w:ascii="Times New Roman" w:cs="Times New Roman" w:eastAsia="Times New Roman" w:hAnsi="Times New Roman"/>
          <w:sz w:val="17"/>
          <w:szCs w:val="17"/>
          <w:color w:val="auto"/>
        </w:rPr>
        <w:t>On August 8, 2023, the Company’s Board of Directors approved a broad-based strategic reprioritization (the “Reprioritization”). The Company took actions to reduce certain operational and workforce expenses that were no longer deemed core to ongoing operations in order to extend its cash runway and drive innovation and growth in high potential clinical development and value creating opportunities. These actions included a shift in commercial strategy for IGALMI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in the institutional setting, a reduction of in-hospital commercialization expenses, a suspension of programs no longer determined to be core to ongoing operations, and a prioritization of at-home treatment setting opportunities for BXCL501.</w:t>
      </w:r>
    </w:p>
    <w:p>
      <w:pPr>
        <w:spacing w:after="0" w:line="115" w:lineRule="exact"/>
        <w:rPr>
          <w:sz w:val="20"/>
          <w:szCs w:val="20"/>
          <w:color w:val="auto"/>
        </w:rPr>
      </w:pPr>
    </w:p>
    <w:p>
      <w:pPr>
        <w:ind w:left="60" w:right="179" w:firstLine="324"/>
        <w:spacing w:after="0" w:line="256" w:lineRule="auto"/>
        <w:rPr>
          <w:sz w:val="20"/>
          <w:szCs w:val="20"/>
          <w:color w:val="auto"/>
        </w:rPr>
      </w:pPr>
      <w:r>
        <w:rPr>
          <w:rFonts w:ascii="Times New Roman" w:cs="Times New Roman" w:eastAsia="Times New Roman" w:hAnsi="Times New Roman"/>
          <w:sz w:val="18"/>
          <w:szCs w:val="18"/>
          <w:color w:val="auto"/>
        </w:rPr>
        <w:t>As part of this strategy, the Company’s Board of Directors approved a reduction of approximately 60% of the Company’s workforce. The Company notified impacted employees on August 14, 2023 and recorded total restructuring costs of $4,163 for the year ended December 31, 2023. These costs consisted of severance and benefit costs of $4,063 and contract termination costs of $100. The Company paid $3,998 of severance and benefit costs and $100 of contract termination costs in the year ended December 31, 2023. The Reprioritization is substantially complete as of December 31, 2023, and any remaining costs are expected to be paid during the first quarter of 2024.</w:t>
      </w:r>
    </w:p>
    <w:p>
      <w:pPr>
        <w:spacing w:after="0" w:line="160" w:lineRule="exact"/>
        <w:rPr>
          <w:sz w:val="20"/>
          <w:szCs w:val="20"/>
          <w:color w:val="auto"/>
        </w:rPr>
      </w:pPr>
    </w:p>
    <w:p>
      <w:pPr>
        <w:ind w:left="60" w:right="99" w:firstLine="369"/>
        <w:spacing w:after="0" w:line="258" w:lineRule="auto"/>
        <w:rPr>
          <w:sz w:val="20"/>
          <w:szCs w:val="20"/>
          <w:color w:val="auto"/>
        </w:rPr>
      </w:pPr>
      <w:r>
        <w:rPr>
          <w:rFonts w:ascii="Times New Roman" w:cs="Times New Roman" w:eastAsia="Times New Roman" w:hAnsi="Times New Roman"/>
          <w:sz w:val="18"/>
          <w:szCs w:val="18"/>
          <w:color w:val="auto"/>
        </w:rPr>
        <w:t>On May 8, 2024 the Company took additional actions as part of its continued efforts to preserve cash and prioritize investment in its core clinical programs. As part of these actions, the Company initiated a further reduction of approximately 15% of the Company’s then current workforce. The Company notified impacted employees on May 8, 2024 and recorded total restructuring costs of $856 for the three months ended June 30, 2024. These costs consisted of severance and benefit costs, all of which were paid during the three months ended June 30, 2024.</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September 17, 2024, the Company approved a plan for an additional reduction in its workforce of 15 employees, or approximately 28% of the Company’s headcount (the “Clinical Prioritization”), in order to extend its cash runway and prioritize investment on the clinical development of its lead neuroscience asset, BXCL501. The Company incurred aggregate charges in connection with the Clinical Prioritization of $1,586 which relate primarily to severance and benefits costs. Accordingly, the Company recorded a restructuring charge of $1,553 in the third quarter 2024, and $33 in the fourth quarter. The Company completed the Clinical Prioritization in October 2024, and paid $983 of the related costs during the fourth quarter of 2024 and expects to pay the remaining $603 in the first quarter of 2025, which is included in Accrued Expenses on the Consolidated Balance at December 31, 2024.</w:t>
      </w: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39"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inventory write-downs due to excess inventory of $1,980 and $1,191 for the years ended December 31, 2024 and 2023,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5" w:name="page186"/>
    <w:bookmarkEnd w:id="1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Furniture</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expense was $309 and $318 for the years ended December 31, 2024 and 2023, respectively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Accrued Expenses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restructuring costs</w:t>
            </w: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Transactions with BioXcel LLC</w:t>
      </w:r>
    </w:p>
    <w:p>
      <w:pPr>
        <w:spacing w:after="0" w:line="189"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 Separation and Shared Services Agreement with BioXcel LLC that took effect on June 30, 2017, as amended and restated thereafter (the “Services Agreement”), pursuant to which BioXcel LLC had agreed to provide the Company with certain intellectual property prosecution and management and research and development activities.</w:t>
      </w:r>
    </w:p>
    <w:p>
      <w:pPr>
        <w:spacing w:after="0" w:line="139"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Under the Services Agreement, the Company had an option, exercisable until December 31, 2024, to enter into a separate collaborative services agreement with BioXcel LLC pursuant to which BioXcel LLC shall perform product identification and related services for us utilizing its EvolverAI. We agreed to pay BioXcel LLC $18 per month from March 13, 2023, to December 31, 2024 in exchange for this option. This option was not exercised. However, BioXcel LLC continues to perform certain administrative services under the terms of the expired contract. We agreed to negotiate any such collaborative services agreement in good faith and to incorporate reasonable market-based terms, including consideration for BioXcel LLC reflecting a low, single-digit royalty on net sales and reasonable development and commercialization milestone payments, provided that (i) development milestone payments shall not exceed $10,000 in the aggregate and not be payable prior to proof of concept in humans and (ii) commercialization milestone payments shall be based on reaching annual net sales levels, be limited to 3% of the applicable net sales level, and not exceed $30,000 in the aggregate. We did not exercise our option to renew the agreement for product identification and related services utilizing BioXcel LLC’s EvolverAI. Subsequent to December 31, 2024 no development activity has been carried out by BioXcel LLC and none is contemplated.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6" w:name="page187"/>
    <w:bookmarkEnd w:id="1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Service charges recorded under the Services Agreement for the years December 31, 2024 and 2023 were as follows:</w:t>
      </w: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r>
      <w:tr>
        <w:trPr>
          <w:trHeight w:val="223"/>
        </w:trPr>
        <w:tc>
          <w:tcPr>
            <w:tcW w:w="59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4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9"/>
        </w:trPr>
        <w:tc>
          <w:tcPr>
            <w:tcW w:w="5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1,330</w:t>
            </w: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0"/>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service charges due as of December 31, 2024 and December 31, 2023.</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Debt and Credit Facilities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Debt, net of unamortized discounts and financing costs, consists of the following:</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and Guaranty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102,319</w:t>
            </w:r>
          </w:p>
        </w:tc>
      </w:tr>
      <w:tr>
        <w:trPr>
          <w:trHeight w:val="216"/>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Payable-in-kind ("PIK") interest</w:t>
            </w: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102,680</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premiums, discounts and issuance costs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09"/>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100,598</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April 19, 2022, the Company entered into two strategic financing agreements: (i) a Credit Agreement and Guaranty (the “Credit Agreement”) by and among the Company, as the borrower, certain subsidiaries of the Company from time to time party thereto as subsidiary guarantors, the lenders party thereto (the “Lenders”), and Oaktree Fund Administration LLC (“OFA”) as administrative agent, and (ii) a Revenue Interest Financing Agreement (the “RIFA”; and together with the Credit Agreement, the “OFA Facilities”) by and among the Company, the purchasers party thereto (the “RIFA Purchasers”) and OFA as administrative agent. Under the OFA Facilities, the Lenders and the RIFA Purchasers agreed to, in the aggregate between the two OFA Facilities, provide up to $260,000 in gross funding to support the Company’s commercial activities of 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sublingual film. In addition, the OFA Facilities are intended to support the expansion of clinical development efforts of BXCL501, which includes a Phase 3 program for the acute treatment of agitation in patients with Alzheimer’s disease, and for general corporate purposes. The Lenders and RIFA Purchasers are comprised of affiliates of Oaktree Capital Management, L.P. and Qatar Investment Authority.</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First Amendment to Credit Agreement and Guaranty</w:t>
      </w:r>
    </w:p>
    <w:p>
      <w:pPr>
        <w:spacing w:after="0" w:line="243" w:lineRule="exact"/>
        <w:rPr>
          <w:sz w:val="20"/>
          <w:szCs w:val="20"/>
          <w:color w:val="auto"/>
        </w:rPr>
      </w:pPr>
    </w:p>
    <w:p>
      <w:pPr>
        <w:ind w:left="60" w:right="199" w:firstLine="324"/>
        <w:spacing w:after="0" w:line="253" w:lineRule="auto"/>
        <w:rPr>
          <w:sz w:val="20"/>
          <w:szCs w:val="20"/>
          <w:color w:val="auto"/>
        </w:rPr>
      </w:pPr>
      <w:r>
        <w:rPr>
          <w:rFonts w:ascii="Times New Roman" w:cs="Times New Roman" w:eastAsia="Times New Roman" w:hAnsi="Times New Roman"/>
          <w:sz w:val="18"/>
          <w:szCs w:val="18"/>
          <w:color w:val="auto"/>
        </w:rPr>
        <w:t>On November 13, 2023, the Company, the lenders party to the Credit Agreement and OFA entered into a Waiver and First Amendment to Credit Agreement and Guaranty (the “First Amendment”) that provided for (i) a waiver and a modification to the covenant in the Credit Agreement regarding investments in OnkosXcel and (ii) an agreement among the parties to further revise key financial terms in the Credit Agreement and terminate the RIFA. Pursuant to the First Amendment, the Lenders agreed to permit the Company to invest up to a maximum of $30,000 at any time outstanding in OnkosXcel, increased from $25,000 at any time outstanding. The First Amendment also waived any defaults or events of default arising under the Credit Agreement due to a breach prior to the date of the First Amendment of the OnkosXcel investment covenant, or a breach of the Company’s obligation to notify OFA of such default. In connection with the First Amendment, the Company paid the Lenders a fee of $180 (representing 0.25% of the loans outstanding under the Credit Agreement on the date of the First Amendment) and agreed to pay to the Lenders an exit fee equal to 0.25% of the loans under the Credit Agreement repaid upon maturity or prepayment of the loans.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7" w:name="page188"/>
    <w:bookmarkEnd w:id="1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 and Guaranty and Termination of the RIFA</w:t>
      </w:r>
    </w:p>
    <w:p>
      <w:pPr>
        <w:spacing w:after="0" w:line="229" w:lineRule="exact"/>
        <w:rPr>
          <w:sz w:val="20"/>
          <w:szCs w:val="20"/>
          <w:color w:val="auto"/>
        </w:rPr>
      </w:pPr>
    </w:p>
    <w:p>
      <w:pPr>
        <w:ind w:left="60" w:right="79" w:firstLine="324"/>
        <w:spacing w:after="0" w:line="268" w:lineRule="auto"/>
        <w:rPr>
          <w:sz w:val="20"/>
          <w:szCs w:val="20"/>
          <w:color w:val="auto"/>
        </w:rPr>
      </w:pPr>
      <w:r>
        <w:rPr>
          <w:rFonts w:ascii="Times New Roman" w:cs="Times New Roman" w:eastAsia="Times New Roman" w:hAnsi="Times New Roman"/>
          <w:sz w:val="17"/>
          <w:szCs w:val="17"/>
          <w:color w:val="auto"/>
        </w:rPr>
        <w:t>On December 5, 2023, (the “Second Amendment Effective Date”), the Company entered into the Second Amendment to Credit Agreement and Guaranty and Termination of Revenue Interest Financing Agreement (the “Second Amendment”), which further amended the Credit Agreement. On the Second Amendment Effective Date, the Credit Agreement was amended to provide up to $202,319 in senior secured term loans, including the initial Tranche A of $70,000, which was funded on April 28, 2022, and related capitalized interest on Tranche A through the Second Amendment Effective Date in the amount of $72,319. In addition, the $30,000 in financing previously provided to the Company under the RIFA on July 8, 2022 was converted to a term loan under the Credit Agreement (the “Tranche A-2 Term Loan”). The RIFA and all commitments for potential future funding thereunder were terminated. In addition, pursuant to the Second Amendment, the Lenders agreed to permit the Company to invest up to a maximum of $30,865 at any time outstanding in OnkosXcel, increased from $30,000. In connection with the Second Amendment, the Company agreed to pay to the Lenders an exit fee equal to 0.25% of the loans under the Credit Agreement repaid upon maturity or prepayment of the loans (which exit fee is in addition to, and not in lieu of, the exit fee provided for by the First Amendment). As of September 30, 2024, $100,000 in commitments under the Credit Agreement remains unfunded, and Oaktree has an Equity Investment Right (as defined below) to purchase up to $5,000 of Common Stock from the Company. The blended effective interest rate on the Tranches A-1 and A-2 as of December 31, 2023 was approximately 13.5%.</w:t>
      </w:r>
    </w:p>
    <w:p>
      <w:pPr>
        <w:spacing w:after="0" w:line="373" w:lineRule="exact"/>
        <w:rPr>
          <w:sz w:val="20"/>
          <w:szCs w:val="20"/>
          <w:color w:val="auto"/>
        </w:rPr>
      </w:pPr>
    </w:p>
    <w:p>
      <w:pPr>
        <w:ind w:left="60" w:right="139" w:firstLine="324"/>
        <w:spacing w:after="0" w:line="273" w:lineRule="auto"/>
        <w:rPr>
          <w:sz w:val="20"/>
          <w:szCs w:val="20"/>
          <w:color w:val="auto"/>
        </w:rPr>
      </w:pPr>
      <w:r>
        <w:rPr>
          <w:rFonts w:ascii="Times New Roman" w:cs="Times New Roman" w:eastAsia="Times New Roman" w:hAnsi="Times New Roman"/>
          <w:sz w:val="17"/>
          <w:szCs w:val="17"/>
          <w:color w:val="auto"/>
        </w:rPr>
        <w:t>The remaining tranches may be borrowed at the Company’s option prior to December 31, 2024, subject to satisfaction of certain conditions, including regulatory and financial milestones. Tranche B of the Credit Agreement is $20,000 and is available upon satisfaction of certain conditions and financial milestones. Tranche C of the Credit Agreement is $30,000 and is available upon satisfaction of certain conditions, including receipt of certain regulatory and financial milestones. Tranche D of the Credit Agreement is $50,000 and is available upon satisfaction of the Tranche C Term Loans conditions precedent to, and the funding of Tranche C Loans, including specified minimum net sales of the Company attributable to sales of BXCL501 for a trailing twelve consecutive month period, on or before December 31, 2025.</w:t>
      </w:r>
    </w:p>
    <w:p>
      <w:pPr>
        <w:spacing w:after="0" w:line="131"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loans under the Credit Agreement do not amortize and mature on April 19, 2027. The Company may, at its option, no earlier than September 21, 2026 and no later than October 21, 2026, request an extension of the maturity date to April, 19, 2028, provided that the Company satisfies certain conditions including receipt of certain regulatory and financial milestones. Borrowings under the Credit Agreement are issued at a 200-basis point original issue discount and bear interest at a variable annual rate of TERM SOFR (but not less than 2.5% or more than 5.5%) plus 7.5%, payable quarterly. The rate resets every three months based on the current Term SOFR rate. Of such interest, above 8% per annum is, at the Company’s option, payable in kind by capitalizing and adding such interest to the outstanding principal amount of loans from the first payment date on which such interest is owed through March 31, 2025, unless, with respect to any payment date, the Company elects to pay all or a portion of such interest in cash. The Company is required to pay a ticking fee equal to 0.75% per annum on the undrawn amount of the commitments, payable quarterly commencing 120 days after April 22, 2022 through the termination of the commitments, which is expensed as incurred and recognized as interest expense in the Consolidated Statements of Operations. The Company may voluntarily prepay the Credit Agreement at any time subject to a prepayment fee.</w:t>
      </w:r>
    </w:p>
    <w:p>
      <w:pPr>
        <w:spacing w:after="0" w:line="152" w:lineRule="exact"/>
        <w:rPr>
          <w:sz w:val="20"/>
          <w:szCs w:val="20"/>
          <w:color w:val="auto"/>
        </w:rPr>
      </w:pPr>
    </w:p>
    <w:p>
      <w:pPr>
        <w:ind w:left="60" w:right="99" w:firstLine="324"/>
        <w:spacing w:after="0" w:line="25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BTI’s existing and subsequently acquired or organized subsidiaries, subject to certain exceptions. BTI’s obligations under the Credit Agreement and the related guarantees thereunder are secured, subject to customary permitted liens and other agreed upon exceptions, by (i) a pledge of all of the equity interests of all of the Company’s existing and any future direct subsidiaries, and (ii) a perfected security interest in all of its and the guarantors’ tangible and intangible assets (except that the guarantees provided by the BXCL701 Subsidiaries (as defined below) are unsecured).</w:t>
      </w:r>
    </w:p>
    <w:p>
      <w:pPr>
        <w:spacing w:after="0" w:line="160" w:lineRule="exact"/>
        <w:rPr>
          <w:sz w:val="20"/>
          <w:szCs w:val="20"/>
          <w:color w:val="auto"/>
        </w:rPr>
      </w:pPr>
    </w:p>
    <w:p>
      <w:pPr>
        <w:ind w:left="60" w:right="279" w:firstLine="324"/>
        <w:spacing w:after="0" w:line="274"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including, among other things, restrictions on indebtedness, liens, investments, mergers, dispositions, prepayment of other indebtedness, and dividends and other distributions, subject to certain exceptions, including specific exceptions with respect to product commercialization and development activities. The Company must also comply with certain financial covenants, including (i) maintenance of cash or permitted cash equivalent investments in accounts controlled by OFA for the Lenders, of at least (a) initially, $15,000, (b) from and after the funding of the Tranche B</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8" w:name="page189"/>
    <w:bookmarkEnd w:id="1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loans, $20,000, and (c) from and after the Company’s satisfaction of the funding conditions for the Tranche C loans,</w:t>
      </w:r>
    </w:p>
    <w:p>
      <w:pPr>
        <w:spacing w:after="0" w:line="27"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$15,000, provided, that the liquidity covenant applicable at any time will be increased upon certain events related to a sale of OnkosXcel (up to a maximum amount equal to $37,500), provided that the minimum liquidity amount will in no event exceed 50% of the aggregate amount of loans outstanding under the Credit Agreement at any time; and (ii) a minimum revenue test, measured quarterly beginning with the Company’s fiscal quarter ending on December 31, 2024 (such six-month period the “Revenue Covenant Measurement Period”), that requires it and its subsidiaries’ consolidated net revenue for the six consecutive month period ending on the last day of each such fiscal quarter to not be less than a minimum revenue amount specified in the Credit Agreement (such testing date, the “Revenue Covenant Measurement Testing Date” and the covenant described in this clause (ii) the “Revenue Covenant”). The Company’s failure to comply with the financial covenants will result in an event of default, subject to certain cure rights with respect to the Revenue Covenant. If, as of a Revenue Covenant Measurement Testing Date, the Company’s revenue for the applicable Revenue Covenant Measurement Period is less than the minimum revenue amount specified for the applicable period then required under the Revenue Covenant, the Company would have a right to cure such shortfall for a total of three fiscal periods by making a revenue cure payment (which would be treated as prepayments of the loans subject to a prepayment fee) to the Lenders in an amount equal to the difference between such minimum required revenue amount and the Company’s actual revenues for such Revenue Covenant Measurement Period, such payment to not be less than $1,000. If paid, the Company will be deemed to have complied with the Revenue Covenant as of such Revenue Covenant Measurement Testing Date. Any such payment will be applied to the prepayment of the loans under the Credit Agreement.</w:t>
      </w:r>
    </w:p>
    <w:p>
      <w:pPr>
        <w:spacing w:after="0" w:line="163"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Credit Agreement permits OnkosXcel (together with OnkosXcel Employee Holdings, LLC (“Employee Holdings”), a subsidiary of BTI, and their respective subsidiaries, the “BXCL701 Subsidiaries”) to receive third-party investment or transfer all or substantially all of their assets to an unaffiliated third party, in each case subject to terms and conditions set forth in the Credit Agreement, including the escrow of certain proceeds received by BTI and its subsidiaries (other than the BXCL701 Subsidiaries) in respect of these disposition events and, under circumstances set forth in the Credit Agreement, the mandatory prepayment of such escrowed amounts. The Company’s equity interests in the BXCL701 Subsidiaries have been pledged in support of its obligations under the Credit Agreement, and the BXCL701 Subsidiaries have provided direct guarantees of BTI’s obligations under the Credit Agreement on an unsecured basis. However, the pledge, guarantee and other obligations of the BXCL701 Subsidiaries under the Credit Agreement will be released upon certain agreed upon events, including an initial public offering by the BXCL701 Subsidiaries or the ownership by unaffiliated third parties of at least 20% of the equity interests in the BXCL701 Subsidiaries.</w:t>
      </w:r>
    </w:p>
    <w:p>
      <w:pPr>
        <w:spacing w:after="0" w:line="14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events of default that are customary for financings of this type relating to, among other things, payment defaults, breach of covenants, breach of representations and warranties, cross default to material indebtedness, bankruptcy-related defaults, judgment defaults, breach of the financial covenants described above, and the occurrence of certain change of control events. In certain circumstances, events of default are subject to customary cure periods. The Credit Agreement also contains certain regulatory-related events of default, which do not have cure periods. Following an event of default and any applicable cure period, the Lenders will have the right upon notice to terminate any undrawn commitments and may accelerate all amounts outstanding under the Credit Agreement, in addition to other remedies available to them as the Company’s secured creditors.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Third and Fourth Amendments to Credit Agreement and Guaranty</w:t>
      </w:r>
    </w:p>
    <w:p>
      <w:pPr>
        <w:spacing w:after="0" w:line="256" w:lineRule="exact"/>
        <w:rPr>
          <w:sz w:val="20"/>
          <w:szCs w:val="20"/>
          <w:color w:val="auto"/>
        </w:rPr>
      </w:pPr>
    </w:p>
    <w:p>
      <w:pPr>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February 12, 2024, the Company entered into the Third Amendment to Credit Agreement and Guaranty (the “Third Amendment”), which amended the Credit Agreement. Pursuant to the Third Amendment, the Lenders agreed to waive the covenant that the Company shall not receive a report and opinion from the Company’s independent auditors that contains a “going concern” or like qualification or exception or emphasis of matter of going concern footnote with respect to the Company’s financial statements for the fiscal year ended December 31, 2023 and, as a result, such event shall not be an event of default. As a condition to the effectiveness of the Third Amendment, among other things, the Company shall have received at least $40,000 in gross proceeds from a registered public sale of the Company’s common stock, warrants and/or pre-funded warrants on or before February 20, 2024. The Company did not meet this condition and therefore the Third Amendment did not become effective.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9" w:name="page190"/>
    <w:bookmarkEnd w:id="1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On March 20, 2024 (the “Effective Date”), the Company entered into the Fourth Amendment to the Credit Agreement and Guaranty (the “Fourth Amendment”), which amended the Credit Agreement. Pursuant to the Fourth Amendment, the Lenders agreed to waive the covenant that the Company shall not receive a report and opinion from the Company’s independent registered public accounting firm that contains a “going concern” or similar qualification with respect to the Company’s financial statements for the year ended December 31, 2023. Accordingly, while the Company’s independent registered public accounting firm’s report contained in the Annual Report on Form 10-K for the fiscal year ended December 31, 2023 contains a “going concern” explanatory paragraph, it does not constitute an event of default under the Credit Agreement.</w:t>
      </w:r>
    </w:p>
    <w:p>
      <w:pPr>
        <w:spacing w:after="0" w:line="192" w:lineRule="exact"/>
        <w:rPr>
          <w:sz w:val="20"/>
          <w:szCs w:val="20"/>
          <w:color w:val="auto"/>
        </w:rPr>
      </w:pPr>
    </w:p>
    <w:p>
      <w:pPr>
        <w:ind w:left="60" w:right="99" w:firstLine="324"/>
        <w:spacing w:after="0" w:line="253" w:lineRule="auto"/>
        <w:rPr>
          <w:sz w:val="20"/>
          <w:szCs w:val="20"/>
          <w:color w:val="auto"/>
        </w:rPr>
      </w:pPr>
      <w:r>
        <w:rPr>
          <w:rFonts w:ascii="Times New Roman" w:cs="Times New Roman" w:eastAsia="Times New Roman" w:hAnsi="Times New Roman"/>
          <w:sz w:val="18"/>
          <w:szCs w:val="18"/>
          <w:color w:val="auto"/>
        </w:rPr>
        <w:t>The Fourth Amendment includes a covenant that the Company will receive, (i) after the Effective Date and on or before April 15, 2024, at least $25,000 in gross proceeds from the issuance of its common stock, warrants and/or pre-funded warrants, and/or in non-refundable cash consideration from partnering transactions entered into after the Effective Date (so long as such partnering transactions would not require the Company or any of its subsidiaries to make any cash investments in connection with the partnering transactions and no such cash investments are made) and (ii) after the Effective Date and on or before November 30, 2024, at least $50,000 (for the avoidance of doubt, inclusive of amounts previously counted toward the preceding clause (i)) in gross proceeds from the issuance of its common stock, warrants and/or pre-funded warrants, and/or in cash and/or non-cash consideration (measured at fair market value, as determined by the Administrative Agent (as defined in the Credit Agreement) in its sole discretion ) from partnering transactions entered into after the Effective Date. Failure to perform this covenant would constitute (A) a default under the Credit Agreement and (B) an event of default under the Credit Agreement, subject to a cure period, solely in the case of clause (i) of the preceding sentence, until May 15, 2024. For the avoidance of doubt, failure to perform clause (ii) of the preceding sentence would constitute an immediate event of default under the Credit Agreement without any cure or grace period.</w:t>
      </w:r>
    </w:p>
    <w:p>
      <w:pPr>
        <w:spacing w:after="0" w:line="187"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addition, the Fourth Amendment provides that if the Company has not, after the Effective Date and on or before September 30, 2024, received at least $40,000 in gross proceeds from the issuance of its common stock, warrants and/or pre-funded warrants, and/or cash and/or non-cash consideration (measured at fair market value, as determined by the Administrative Agent in its sole discretion) from partnering transactions entered into after the Effective Date, the “Minimum Liquidity Amount” (as defined in the Credit Agreement) that the Company is required to maintain at all times will increase to $25,000 from $15,000, unless and until the Company has received, after the Effective Date and on or before November 30, 2024, at least $50,000 in gross proceeds from the issuance of the Company’s common stock, warrants and/or pre-funded warrants, and/or in cash and/or non-cash consideration (measured at fair market value, as determined by the Administrative Agent in its sole discretion) from partnering transactions entered into after the Effective Date. On March 27, 2024, the Company received $25,000 in gross proceeds from the issuance of its common stock, warrants, and pre-funded warrants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satisfying the April 15, 2024 covenant requirement of the Fourth Amendment. During the third quarter of 2024, the Company received $467 of gross proceeds from the issuance of the Company’s common stock. As of September 30, 2024, the Company had satisfied $30,943 of the $40,000 required to maintain the Minimum Liquidity Amount and the $50,000 gross proceeds requirement. As a result, at September 30, 2024, the Minimum Liquidity Amount increased to $25,000. As of September 30, 2024, we were in compliance with all restrictive and financial covenants under the Credit Agreement.</w:t>
      </w:r>
    </w:p>
    <w:p>
      <w:pPr>
        <w:spacing w:after="0" w:line="3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Waiver and Fifth Amendment to Credit Agreement and Guaranty</w:t>
      </w:r>
    </w:p>
    <w:p>
      <w:pPr>
        <w:spacing w:after="0" w:line="22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On November 21, 2024, the Company entered into the Fifth Amendment to Credit Agreement and Guaranty and First Amendment to Fourth Amendment to Credit Agreement and Guaranty (the “Fifth Amendment”), which amended the Credit Agreement and Guaranty, dated April 19, 2022, by and among the Company, as the borrower, certain subsidiaries of the Company from time to time party thereto as subsidiary guarantors, the lenders party thereto (the “Lenders”), and Oaktree Fund Administration LLC (“OFA”) as administrative agent (as amended by the Waiver and First Amendment to Credit Agreement and Guaranty, dated as of November 13, 2023, the Second Amendment to Credit Agreement and Guaranty and Termination of Revenue Interest Financing Agreement, dated as of December 5, 2023, the Third Amendment to Credit Agreement, dated as of February 12, 2024, and the Fourth Amendment to Credit Agreement and Guaranty, dated as of March 20, 2024 (the “Fourth Amendment”), the “Existing Credit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0" w:name="page191"/>
    <w:bookmarkEnd w:id="1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324"/>
        <w:spacing w:after="0" w:line="255" w:lineRule="auto"/>
        <w:rPr>
          <w:sz w:val="20"/>
          <w:szCs w:val="20"/>
          <w:color w:val="auto"/>
        </w:rPr>
      </w:pPr>
      <w:r>
        <w:rPr>
          <w:rFonts w:ascii="Times New Roman" w:cs="Times New Roman" w:eastAsia="Times New Roman" w:hAnsi="Times New Roman"/>
          <w:sz w:val="18"/>
          <w:szCs w:val="18"/>
          <w:color w:val="auto"/>
        </w:rPr>
        <w:t>Pursuant to the Fifth Amendment, the Lenders agreed to, among other things, (i) waive the Credit Agreement’s covenant that the report and opinion the Company will receive from its independent registered public accounting firm with respect to the financial statements for the year ending December 31, 2024 will not contain a “going concern” or similar qualification, (ii) permanently waive the Credit Agreement’s minimum revenue covenant, and (iii) waive the Fourth Amendment’s requirement that the Company raise, after the effective date of the Fourth Amendment and on or before November 30, 2024, at least $50,000 in gross cash proceeds from the issuance of its common stock, warrants, and/or pre-funded warrants, and/or in cash and/or non-cash consideration from newly entered-into partnering transactions.</w:t>
      </w:r>
    </w:p>
    <w:p>
      <w:pPr>
        <w:spacing w:after="0" w:line="162" w:lineRule="exact"/>
        <w:rPr>
          <w:sz w:val="20"/>
          <w:szCs w:val="20"/>
          <w:color w:val="auto"/>
        </w:rPr>
      </w:pPr>
    </w:p>
    <w:p>
      <w:pPr>
        <w:ind w:left="60" w:right="99" w:firstLine="324"/>
        <w:spacing w:after="0" w:line="268" w:lineRule="auto"/>
        <w:rPr>
          <w:sz w:val="20"/>
          <w:szCs w:val="20"/>
          <w:color w:val="auto"/>
        </w:rPr>
      </w:pPr>
      <w:r>
        <w:rPr>
          <w:rFonts w:ascii="Times New Roman" w:cs="Times New Roman" w:eastAsia="Times New Roman" w:hAnsi="Times New Roman"/>
          <w:sz w:val="17"/>
          <w:szCs w:val="17"/>
          <w:color w:val="auto"/>
        </w:rPr>
        <w:t>The Fifth Amendment includes a new capital raising covenant requiring that the Company receive (A) after the effective date of the Fifth Amendment and on or prior to November 27, 2024, at least $7,000 in gross cash proceeds from the issuance of the Company’s common stock, warrants and/or pre-funded warrants(“Raise 1”), (B) after the effective date of the Fifth Amendment and on or before March 15, 2025 (provided that the Company was required to use its commercially reasonable efforts to satisfy the requirement by February 15, 2025), at least $18,000 in net cash proceeds (including the proceeds of Raise 1) from (i) the issuance of the Company’s common stock, warrants and/or pre-funded warrants, (ii) non-refundable cash consideration from partnering transactions entered into after the effective date of the Fifth Amendment (so long as such partnering transactions would not require the Company or any of its subsidiaries to make any cash investments in connection with the partnering transactions and no such cash investments are made), (iii) the issuance of the Company’s subordinated debt (subject to terms set forth in the Fifth Amendment), and/or (iv) asset sales permitted pursuant to the Credit Agreement or consented to by the Lenders (such capital raise, “Raise 2”), and (C) after the effective date of the Fifth Amendment and on or prior to the earlier of (x) August 15, 2025 and (y) the date that is 30 days after the final data readout of the SERENITY At-Home Phase 3 trial, at least $29,000 in net cash proceeds (including the proceeds from Raise 1 and Raise 2) from the same permitted capital raising activities listed in the preceding clause (B).</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connection with the Fifth Amendment and the required capital raises described in the preceding paragraph,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Lenders agreed to modify the Credit Agreement’s minimum liquidity covenant to require minimum cash liquidity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$7,500 (instead of $25,000) from and after the closing of Raise 1until March 30, 2025. On March 31, 2025, the minimum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liquidity amount will increase to $10,000 and on September 30, 2025, the minimum liquidity amount will further increase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$15,000.</w:t>
      </w:r>
    </w:p>
    <w:p>
      <w:pPr>
        <w:spacing w:after="0" w:line="166" w:lineRule="exact"/>
        <w:rPr>
          <w:sz w:val="20"/>
          <w:szCs w:val="20"/>
          <w:color w:val="auto"/>
        </w:rPr>
      </w:pPr>
    </w:p>
    <w:p>
      <w:pPr>
        <w:ind w:left="60" w:right="11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Fifth Amendment, the Company paid a one-time amortization payment of $2,500 principal amount, together with accrued and unpaid interest and a portion of the prepayment fee and other fees payable in December 2024.</w:t>
      </w:r>
    </w:p>
    <w:p>
      <w:pPr>
        <w:spacing w:after="0" w:line="14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Fifth Amendment also modifies the interest rate of the loans provided under the Credit Agreement from a floating rate of Term SOFR plus 7.50% per annum, to a fixed rate of 13% per annum, retroactive to and effective as of September 30, 2024. For the quarterly payment dates ending December 31, 2024, March 31, 2025, and June 30, 2025, the Company will have the ability to make interest payments of up to 10% per annum “in-kind” by capitalizing and adding such interest to the outstanding principal amount of the loans under the Credit Agreement. In addition, pursuant to the Fifth Amendment, the Company will be required to make quarterly amortization payments equal to 5.0% of the principal amount of funded loans, together with applicable prepayment fees, beginning on March 31, 2026.</w:t>
      </w:r>
    </w:p>
    <w:p>
      <w:pPr>
        <w:spacing w:after="0" w:line="148"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On the effective date of the Fifth Amendment and as a condition to effectiveness thereof, the Company’s wholly owned subsidiaries OnkosXcel Therapeutics, LLC and OnkosXcel Employee Holdings, LLC (collectively, “OnkosXcel”), which previously provided unsecured guarantees of the Company’s obligations under the Credit Agreement, granted security interests in substantially all of their assets to support such obligations.</w:t>
      </w:r>
    </w:p>
    <w:p>
      <w:pPr>
        <w:spacing w:after="0" w:line="139" w:lineRule="exact"/>
        <w:rPr>
          <w:sz w:val="20"/>
          <w:szCs w:val="20"/>
          <w:color w:val="auto"/>
        </w:rPr>
      </w:pPr>
    </w:p>
    <w:p>
      <w:pPr>
        <w:jc w:val="both"/>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Fifth Amendment amends the negative covenants under the Credit Agreement to remove flexibility the Company and its subsidiaries previously had thereunder to undertake various transactions, including, without limitation, with respect to potential dispositions of OnkosXcel or out-licenses by OnkosXcel of its intellectual property.</w:t>
      </w:r>
    </w:p>
    <w:p>
      <w:pPr>
        <w:spacing w:after="0" w:line="14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Pursuant to the Fifth Amendment, the Company committed to appoint a new independent board director (subject to customary background checks, applicable law, confirmation of independence and Nasdaq rules), and to provide the independent director with various privileges and committee memberships on the board of directors of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1" w:name="page192"/>
    <w:bookmarkEnd w:id="1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(including the appointment of such director on committee to be formed to focus on capital raising and evaluate strategic options). The Company also agreed to engage an investment banker reasonably acceptable to OFA and the Lenders to assist the Company and its board of directors with evaluating and exploring strategic options.</w:t>
      </w:r>
    </w:p>
    <w:p>
      <w:pPr>
        <w:spacing w:after="0" w:line="14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Company also agreed to covenants requiring that the Company’s cash expenditures be monitored by the Lenders according to a board-approved budget provided to the Lenders prior to the signing of the Fifth Amendment, which cash budget will be updated on a bi-weekly basis going forward. The Company will not be permitted to make disbursements for any two-week period in excess of 115% of the aggregate budgeted amount of disbursements for the applicable period. Finally, pursuant to the Fifth Amendment, the Company is restricted from paying cash bonuses for its employees or executives during the fiscal years 2024 and 2025 without OFA’s consent or increasing the cash compensation for fiscal year 2025 for certain senior officers of the Company from their compensation for fiscal year 2024.</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Revenue Interest Financing Agreement</w:t>
      </w:r>
    </w:p>
    <w:p>
      <w:pPr>
        <w:spacing w:after="0" w:line="189" w:lineRule="exact"/>
        <w:rPr>
          <w:sz w:val="20"/>
          <w:szCs w:val="20"/>
          <w:color w:val="auto"/>
        </w:rPr>
      </w:pPr>
    </w:p>
    <w:p>
      <w:pPr>
        <w:ind w:left="60" w:right="279" w:firstLine="324"/>
        <w:spacing w:after="0" w:line="277" w:lineRule="auto"/>
        <w:rPr>
          <w:sz w:val="20"/>
          <w:szCs w:val="20"/>
          <w:color w:val="auto"/>
        </w:rPr>
      </w:pPr>
      <w:r>
        <w:rPr>
          <w:rFonts w:ascii="Times New Roman" w:cs="Times New Roman" w:eastAsia="Times New Roman" w:hAnsi="Times New Roman"/>
          <w:sz w:val="17"/>
          <w:szCs w:val="17"/>
          <w:color w:val="auto"/>
        </w:rPr>
        <w:t>As noted, the RIFA was terminated when the Company entered into the Second Amendment, which amended the Credit Agreement (as amended by the First Amendment). The $30,000 Tranche A previously provided to the Company under the RIFA was converted to the Tranche A-2 Term Loan. Prior to termination, the RIFA provided up to $120,000 in potential financing in exchange for a capped revenue interest on net sales of IGALMI</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 and other future BXCL501 products, if any, that received regulatory approval for sale. The initial Tranche A of $30,000 was funded on July 8, 2022.</w:t>
      </w:r>
    </w:p>
    <w:p>
      <w:pPr>
        <w:spacing w:after="0" w:line="141"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RIFA, the Purchasers were to receive tiered revenue interest payments on U.S. net sales of 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and other future BXCL501 products, if any, that receive regulatory approval for sale, equal to a royalty ranging from 0.375% to 7.750% of net sales of IGALMI</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and other future BXCL501 products, if any, approved for sale in the U.S., subject to a hard cap equal to 1.75x the total amount funded. The Company would also have been required to make certain additional payments to the Purchasers from time to time to ensure that the aggregate amount of payments received by the Purchasers under the RIFA were at least equal to certain agreed upon minimum levels as of certain specified dates, subject to terms and conditions set forth in the RIFA. Revenue interest payments due under the RIFA were payable quarterly based on net sales.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Warrants and Equity Investment Right</w:t>
      </w:r>
    </w:p>
    <w:p>
      <w:pPr>
        <w:spacing w:after="0" w:line="189" w:lineRule="exact"/>
        <w:rPr>
          <w:sz w:val="20"/>
          <w:szCs w:val="20"/>
          <w:color w:val="auto"/>
        </w:rPr>
      </w:pPr>
    </w:p>
    <w:p>
      <w:pPr>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Second Amendment, on the Second Amendment Effective Date, the Company amended and restated the warrants granted to the Lenders on April 19, 2022 to purchase up to 17 shares of the Company’s common stock at an exercise price of $320.6 per share (the “Closing Date Warrants”). Pursuant to the amendment and restatement of the Closing Date Warrants, dated December 5, 2023 (the “Amended and Restated Closing Date Warrants”), the exercise price of the Closing Date Warrants has been reduced to $58.3232 per share. In addition, the Company granted new warrants to the Lenders to purchase up to 4 shares of the Company’s common stock (the “2023 Warrant Shares”) at an exercise price of $58.3232 per share (the “2023 Warrants” and together with the Amended and Restated Closing Date Warrants, the “Warrants”). The Amended and Restated Closing Date Warrants and the 2023 Warrants will expire on April 19, 2029 and may be net exercised at the holders election. In addition, pursuant to the Credit Agreement, the Lenders have the right to purchase shares of the Company’s common stock after the Second Amendment Effective Date,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BTI entered into a registration rights agreement (the “Registration Rights Agreement”) with the Lenders and filed a registration statement on Form S-3 to register the shares issuable upon exercise of the Warrants and, if issued, the shares related to the Equity Investment Right, for resale. The maximum shares of the Company’s common stock issuable under the Warrants (including the Closing Date Warrants and the 2023 Warrants) and Lenders’ Equity Investment Right was 366 as of March 31, 2024. On the Second Amendment Effective Date, Company amended and restated its Registration Rights Agreement (the “Amended and Restated Registration Rights Agreement”) with the Lenders, dated April 19, 2022, pursuant to which the Company agreed to register the 2023 Warrant Shares for resale.</w:t>
      </w:r>
    </w:p>
    <w:p>
      <w:pPr>
        <w:spacing w:after="0" w:line="165" w:lineRule="exact"/>
        <w:rPr>
          <w:sz w:val="20"/>
          <w:szCs w:val="20"/>
          <w:color w:val="auto"/>
        </w:rPr>
      </w:pPr>
    </w:p>
    <w:p>
      <w:pPr>
        <w:ind w:left="60" w:right="319" w:firstLine="324"/>
        <w:spacing w:after="0" w:line="312" w:lineRule="auto"/>
        <w:rPr>
          <w:sz w:val="20"/>
          <w:szCs w:val="20"/>
          <w:color w:val="auto"/>
        </w:rPr>
      </w:pPr>
      <w:r>
        <w:rPr>
          <w:rFonts w:ascii="Times New Roman" w:cs="Times New Roman" w:eastAsia="Times New Roman" w:hAnsi="Times New Roman"/>
          <w:sz w:val="17"/>
          <w:szCs w:val="17"/>
          <w:color w:val="auto"/>
        </w:rPr>
        <w:t>As part of the Credit Agreement, OnkosXcel, a wholly owned subsidiary of BTI, granted warrants to the Lenders to purchase 175 individual limited liability company units (which number of units is not in thousands; referred to herein as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2" w:name="page193"/>
    <w:bookmarkEnd w:id="1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8" w:lineRule="auto"/>
        <w:rPr>
          <w:sz w:val="20"/>
          <w:szCs w:val="20"/>
          <w:color w:val="auto"/>
        </w:rPr>
      </w:pPr>
      <w:r>
        <w:rPr>
          <w:rFonts w:ascii="Times New Roman" w:cs="Times New Roman" w:eastAsia="Times New Roman" w:hAnsi="Times New Roman"/>
          <w:sz w:val="17"/>
          <w:szCs w:val="17"/>
          <w:color w:val="auto"/>
        </w:rPr>
        <w:t>the “OnkosXcel Warrants”).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w:t>
      </w:r>
    </w:p>
    <w:p>
      <w:pPr>
        <w:ind w:left="60" w:right="339" w:hanging="10"/>
        <w:spacing w:after="0" w:line="255" w:lineRule="auto"/>
        <w:tabs>
          <w:tab w:leader="none" w:pos="31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159"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closing of the Fourth Amendment discussed below, the Company granted new warrants to the Lenders to purchase up to 6 shares of its common stock (the “2024 Warrant Shares”) at an exercise price of $49.1568 per share (the “2024 Warrants”), which represents a 10% premium over the arithmetic average of the volume-weighted average price of the Company’s common stock on the Nasdaq Capital Market during the 30 trading days preceding the Effective Date. The 2024 Warrants will expire on April 19, 2029 and may be net exercised at the holder’s election. On the Effective Date, the Company amended and restated its Amended and Restated Registration Rights Agreement (the “Second Amended and Restated Registration Rights Agreement”) with the Lenders, originally dated April 19, 2022. Pursuant to the Second Amended and Restated Registration Rights Agreement, the Company agreed to register the 2024 Warrant Shares for resale.</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Fifth Amendment Warrants, Registration Rights Agreement and Equity Investment Right Termination</w:t>
      </w:r>
    </w:p>
    <w:p>
      <w:pPr>
        <w:spacing w:after="0" w:line="18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Prior to the Fifth Amendment, pursuant to the Credit Agreement, the Lenders had the right to purchase shares of our common stock, so long as borrowings under the Credit Agreement are outstanding, for a purchase price of $5,000 at a price per share equal to a 10% premium to the volume-weighted average price of the common stock over the 30 trading days prior to the Lenders’ election to proceed with such equity investment (the “Equity Investment Right”). The Equity investment Right was terminated as part of the Fifth Amendment. We entered into a registration rights agreement with the Lenders (as amended and restated in connection with the Second Amendment, the “Amended and Restated Registration Rights Agreement”) and filed registration statements on Form S-3 to register the shares issuable upon exercise of the Closing Date Warrants, 2023 Warrants and the New Warrants for resale. The maximum shares of our common stock issuable under the Closing Date Warrants, the 2023 Warrants and the Lenders’ Equity Investment Right was 366. On the Effective Date, we further amended and restated the Amended and Restated Registration Rights Agreement (the “Second Amended and Restated Registration Rights Agreement”) with the Lenders. Pursuant to the Second Amended and Restated Registration Rights Agreement, we agreed to register the 2024 Warrant Shares for resale.</w:t>
      </w:r>
    </w:p>
    <w:p>
      <w:pPr>
        <w:spacing w:after="0" w:line="149"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Fifth Amendment, the Company agreed to, substantially concurrently with the closing of Raise 1, grant new warrants to the Lenders to purchase an aggregate of 313 shares of common stock on the closing date of the Fifth Amendment, at an exercise price of $0.16 per share (the “New Warrants”). The New Warrants will expire on the seventh anniversary of their issuance.</w:t>
      </w:r>
    </w:p>
    <w:p>
      <w:pPr>
        <w:spacing w:after="0" w:line="153" w:lineRule="exact"/>
        <w:rPr>
          <w:sz w:val="20"/>
          <w:szCs w:val="20"/>
          <w:color w:val="auto"/>
        </w:rPr>
      </w:pPr>
    </w:p>
    <w:p>
      <w:pPr>
        <w:ind w:left="60" w:right="119" w:firstLine="324"/>
        <w:spacing w:after="0" w:line="254" w:lineRule="auto"/>
        <w:rPr>
          <w:sz w:val="20"/>
          <w:szCs w:val="20"/>
          <w:color w:val="auto"/>
        </w:rPr>
      </w:pPr>
      <w:r>
        <w:rPr>
          <w:rFonts w:ascii="Times New Roman" w:cs="Times New Roman" w:eastAsia="Times New Roman" w:hAnsi="Times New Roman"/>
          <w:sz w:val="18"/>
          <w:szCs w:val="18"/>
          <w:color w:val="auto"/>
        </w:rPr>
        <w:t>In addition, the Company agreed to, substantially concurrently with the closing of Raise 1, amend and restate all warrants to purchase stock of the Company issued to the Lenders prior to the effective date of the Fifth Amendment, to revise the exercise price thereunder to an exercise price equal to the lower of (i) the price per share of the common stock of the Company issued in Raise 1 and (ii) arithmetic average of the volume-weighted average price of the Company’s common stock on the Nasdaq Capital Market during the 30 trading days preceding Raise 1 (such existing warrants, as amended and restated, the “Original Warrants”). The Original Warrants provide the Lenders with the right to purchase a total of 28 shares of common stock of the Company, and the exercise prices of $58.3232 per share and $49.1568 per share were reduced to $7.68 per share.</w:t>
      </w:r>
    </w:p>
    <w:p>
      <w:pPr>
        <w:spacing w:after="0" w:line="151" w:lineRule="exact"/>
        <w:rPr>
          <w:sz w:val="20"/>
          <w:szCs w:val="20"/>
          <w:color w:val="auto"/>
        </w:rPr>
      </w:pPr>
    </w:p>
    <w:p>
      <w:pPr>
        <w:ind w:left="60" w:right="299" w:firstLine="324"/>
        <w:spacing w:after="0" w:line="261" w:lineRule="auto"/>
        <w:rPr>
          <w:sz w:val="20"/>
          <w:szCs w:val="20"/>
          <w:color w:val="auto"/>
        </w:rPr>
      </w:pPr>
      <w:r>
        <w:rPr>
          <w:rFonts w:ascii="Times New Roman" w:cs="Times New Roman" w:eastAsia="Times New Roman" w:hAnsi="Times New Roman"/>
          <w:sz w:val="18"/>
          <w:szCs w:val="18"/>
          <w:color w:val="auto"/>
        </w:rPr>
        <w:t>On the date of issuance of the New Warrants, the Company agreed to amend and restate its Second Amended and Restated Registration Rights Agreement with the Lenders, dated March 20, 2024. Pursuant to such amendment and restatement (the “Third Amended and Restated Registration Rights Agreement”), the Company will agree to register the shares of common stock issuable under the New Warrants, in addition to all Original Warrants, for resale.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3" w:name="page194"/>
    <w:bookmarkEnd w:id="1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53" w:lineRule="auto"/>
        <w:rPr>
          <w:sz w:val="20"/>
          <w:szCs w:val="20"/>
          <w:color w:val="auto"/>
        </w:rPr>
      </w:pPr>
      <w:r>
        <w:rPr>
          <w:rFonts w:ascii="Times New Roman" w:cs="Times New Roman" w:eastAsia="Times New Roman" w:hAnsi="Times New Roman"/>
          <w:sz w:val="18"/>
          <w:szCs w:val="18"/>
          <w:color w:val="auto"/>
        </w:rPr>
        <w:t>As part of entering into the Credit Agreement, OnkosXcel, a wholly owned subsidiary of BTI, granted the OnkosXcel Warrants to the Lenders to purchase 175 individual limited liability company units. The strike price of the OnkosXcel Warrants is formulaic based on the value of OnkosXcel at the time of exercise and can only be exercised upon occurrence of an equity related liquidity event for OnkosXcel of at least $20,000. The exercise price per unit of the OnkosXcel Warrants will be set upon the earlier of the closing of the next sale (or series of related sales) by OnkosXcel of equity securities of OnkosXcel with aggregate proceeds of not less than $20,000 to unrelated third parties (the “Next Equity Financing”) at an exercise price per unit equal to a 10% premium over the price per unit of the equity securities sold by OnkosXcel in such Next Equity Financing or, in the event of a sale of OnkosXcel prior to the Next Equity Financing or an initial public offering constituting the Next Equity Financing, the lesser of (x) 75% of the fair value of the consideration to be paid for a unit upon the consummation of such transaction and (y) 150% of the valuation applicable to the initial profits units issued by OnkosXcel after the closing of the Credit Agreement. The OnkosXcel Warrants are transferable with approval from BTI, which cannot be unreasonably withheld, expire on April 19, 2029, and may be net exercised at the holder’s election.</w:t>
      </w:r>
    </w:p>
    <w:p>
      <w:pPr>
        <w:spacing w:after="0" w:line="3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Maturities of long-term debt are expected to be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26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84,291</w:t>
            </w:r>
          </w:p>
        </w:tc>
        <w:tc>
          <w:tcPr>
            <w:tcW w:w="260" w:type="dxa"/>
            <w:vAlign w:val="bottom"/>
            <w:shd w:val="clear" w:color="auto" w:fill="CCEEFF"/>
          </w:tcPr>
          <w:p>
            <w:pPr>
              <w:spacing w:after="0"/>
              <w:rPr>
                <w:sz w:val="18"/>
                <w:szCs w:val="18"/>
                <w:color w:val="auto"/>
              </w:rPr>
            </w:pPr>
          </w:p>
        </w:tc>
      </w:tr>
      <w:tr>
        <w:trPr>
          <w:trHeight w:val="234"/>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0"/>
                <w:szCs w:val="20"/>
                <w:color w:val="auto"/>
              </w:rPr>
            </w:pPr>
          </w:p>
        </w:tc>
        <w:tc>
          <w:tcPr>
            <w:tcW w:w="9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was as follows:</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22"/>
        </w:trPr>
        <w:tc>
          <w:tcPr>
            <w:tcW w:w="6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99"/>
        </w:trPr>
        <w:tc>
          <w:tcPr>
            <w:tcW w:w="6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r>
      <w:tr>
        <w:trPr>
          <w:trHeight w:val="196"/>
        </w:trPr>
        <w:tc>
          <w:tcPr>
            <w:tcW w:w="6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7"/>
                <w:szCs w:val="17"/>
                <w:color w:val="auto"/>
              </w:rPr>
            </w:pPr>
          </w:p>
        </w:tc>
      </w:tr>
      <w:tr>
        <w:trPr>
          <w:trHeight w:val="210"/>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11,941</w:t>
            </w: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debt discount and amortization of financing costs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r>
      <w:tr>
        <w:trPr>
          <w:trHeight w:val="210"/>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13,314</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202" w:lineRule="exact"/>
        <w:rPr>
          <w:sz w:val="20"/>
          <w:szCs w:val="20"/>
          <w:color w:val="auto"/>
        </w:rPr>
      </w:pPr>
    </w:p>
    <w:p>
      <w:pPr>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 xml:space="preserve">BTI identified certain freestanding financial instruments and/or embedded features that require separate accounting from the borrowings under the OFA Facilities. This includes the OnkosXcel Warrants and Equity Investment Right held by the Lenders, along with certain put/call options. The OnkosXcel Warrants and Equity Investment Right do not meet certain scope exceptions under U.S. GAAP, primarily because the exercise prices and number of shares of the Company’s common stock issuable under the instruments are variable, and the instruments meet the definition of a derivative instrument. Therefore, these instruments are recorded as Derivative liabilities in the Consolidated Balance Sheets. The respective derivative liabilities are recorded at fair value on the date of issuance and are revalued on each balance sheet date until such instruments are settled or expire, with changes in the fair value between reporting periods recorded within Other (income) expense, net in the Company’s Consolidated Statements of Operations. As discussed in Note 9, </w:t>
      </w:r>
      <w:r>
        <w:rPr>
          <w:rFonts w:ascii="Times New Roman" w:cs="Times New Roman" w:eastAsia="Times New Roman" w:hAnsi="Times New Roman"/>
          <w:sz w:val="17"/>
          <w:szCs w:val="17"/>
          <w:i w:val="1"/>
          <w:iCs w:val="1"/>
          <w:color w:val="auto"/>
        </w:rPr>
        <w:t>Debt and Credit Facilities</w:t>
      </w:r>
      <w:r>
        <w:rPr>
          <w:rFonts w:ascii="Times New Roman" w:cs="Times New Roman" w:eastAsia="Times New Roman" w:hAnsi="Times New Roman"/>
          <w:sz w:val="17"/>
          <w:szCs w:val="17"/>
          <w:color w:val="auto"/>
        </w:rPr>
        <w:t>, the Equity Investment Right was terminated on November 25, 2024 in connection with the Fifth Amendment to the Credit Agreement. The Company recorded the termination gain of $1,263 within Other (income) expense, net in the Company’s Consolidated Statements of Operations for the carrying value of the Equity Investment Right.</w:t>
      </w:r>
    </w:p>
    <w:p>
      <w:pPr>
        <w:spacing w:after="0" w:line="174" w:lineRule="exact"/>
        <w:rPr>
          <w:sz w:val="20"/>
          <w:szCs w:val="20"/>
          <w:color w:val="auto"/>
        </w:rPr>
      </w:pPr>
    </w:p>
    <w:p>
      <w:pPr>
        <w:ind w:left="60" w:right="79" w:firstLine="401"/>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the Securities Purchase Agreement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BTI determined that the Accompanying Warrants fail the equity classification criteria and are therefore classified as liabilities in accordance with ASC 480, Distinguishing Liabilities from Equity ("ASC 480") and ASC 815, Derivatives and Hedging (“ASC 815”). The Accompanying Warrants failed to meet the requirements to be indexed to equity and equity</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4" w:name="page195"/>
    <w:bookmarkEnd w:id="1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classified, and meet the definition of a derivative instrument. Therefore, these instruments are recorded as Derivative liabilities in the Consolidated Balance Sheet as of December 31, 2024. The respective derivative liabilities were recorded at fair value on the date of issuance in the amount of $19,347 and are revalued on each balance sheet date until such instruments are settled or expire, with changes in the fair value between reporting periods recorded within Other (income) expense, net in the Company’s Consolidated Statements of Operations. We value the Accompanying Warrants using the Black-Scholes option pricing model as discussed in Note 14, </w:t>
      </w:r>
      <w:r>
        <w:rPr>
          <w:rFonts w:ascii="Times New Roman" w:cs="Times New Roman" w:eastAsia="Times New Roman" w:hAnsi="Times New Roman"/>
          <w:sz w:val="18"/>
          <w:szCs w:val="18"/>
          <w:i w:val="1"/>
          <w:iCs w:val="1"/>
          <w:color w:val="auto"/>
        </w:rPr>
        <w:t>Fair measurements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0" w:right="119" w:firstLine="401"/>
        <w:spacing w:after="0" w:line="255" w:lineRule="auto"/>
        <w:rPr>
          <w:sz w:val="20"/>
          <w:szCs w:val="20"/>
          <w:color w:val="auto"/>
        </w:rPr>
      </w:pPr>
      <w:r>
        <w:rPr>
          <w:rFonts w:ascii="Times New Roman" w:cs="Times New Roman" w:eastAsia="Times New Roman" w:hAnsi="Times New Roman"/>
          <w:sz w:val="18"/>
          <w:szCs w:val="18"/>
          <w:color w:val="auto"/>
        </w:rPr>
        <w:t>On November 21, 2024, the exercise price of 534 of the Accompanying Warrants was reduced from $51.20 to $9.136 per share. As a result of the repricing, the Company recorded the increase in fair value of $1,000 as an increase to the carrying value of Derivative liabilities, recorded as an increase to their carrying value, and as a loss in Other (income) expense, net, in the Company’s Consolidated Statements of Operations. For the year ended December 31, 2024, the Company recorded total net gains of $17,027, including the $1,000 repricing loss, in Other (income) expense, net, in the Company’s Consolidated Statements of Operations. As of December 31, 2024, the fair value of the Accompanying Warrants was $2,320.</w:t>
      </w:r>
    </w:p>
    <w:p>
      <w:pPr>
        <w:spacing w:after="0" w:line="189" w:lineRule="exact"/>
        <w:rPr>
          <w:sz w:val="20"/>
          <w:szCs w:val="20"/>
          <w:color w:val="auto"/>
        </w:rPr>
      </w:pPr>
    </w:p>
    <w:p>
      <w:pPr>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On November 25, 2024, as discussed below, the Company issued additional warrants (the “November 2024 Accompanying Warrants”). The November 2024 Accompanying Warrants failed to meet the requirements to be indexed to equity and equity classified, and meet the definition of a derivative instrument. Therefore, these instruments are recorded as Derivative liabilities in the Consolidated Balance Sheet as of December 31, 2024. The respective derivative liabilities were recorded at fair value on the date of issuance in the amount of $5,562 and are revalued on each balance sheet date until such instruments are settled or expire, with changes in the fair value between reporting periods recorded within Other (income) expense, net in the Company’s Consolidated Statements of Operations. For the year ended December 31, 2024, the Company recorded total net gains of $1,289 in Other (income) expense, net, in the Company’s Consolidated Statements of Operations. As of December 31, 2024, the fair value of the November 2024 Accompanying Warrants was $4,273.</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Common Stock Financing Activities</w:t>
      </w:r>
    </w:p>
    <w:p>
      <w:pPr>
        <w:spacing w:after="0" w:line="202"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In May 2021, the Company entered into an Open Market Sale Agreement (as amended, supplemented and/or restated from time to time, the “Sale Agreement”) with Jefferies LLC (“Jefferies”) pursuant to which the Company could offer and sell shares of its common stock, having an aggregate offering price of up to $100,000, from time to time, through an “at the market offering” program under which Jefferies will act as sale agent. In November 2023, the Company amended the Sale Agreement to increase the size of the “at the market offering" program to $150,000. For the year ended December 31, 2023, the Company sold 88 shares of its common stock for a gross amount of $27,032, incurred issuance costs of $811, and received net proceeds of $26,221. For the year ended December 31, 2024, the Company sold 240 shares of its common stock for a gross amount of $7,682, incurred issuance costs of $231, and received net proceeds of $7,451.</w:t>
      </w:r>
    </w:p>
    <w:p>
      <w:pPr>
        <w:spacing w:after="0" w:line="192"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On March 25, 2024, the Company entered into a Securities Purchase Agreement (the “Purchase Agreement”) with the purchasers named therein (collectively, the “Purchasers”). Pursuant to the Purchase Agreement, the Company agreed to issue and sell to the Purchasers in a registered direct offering (the “Offering”) under an effective shelf registration statement on Form S-3 (File No. 333-275261) and a related prospectus supplement filed with the Securities and Exchange Commission on March 25, 2024 (the “Prospectus Supplement”) an aggregate of 191 shares (the “Shares”) of common stock, par value $0.001 per share, and accompanying warrants (the “Accompanying Warrants”) to purchase up to 191 shares of common stock at a combined offering price of $4.416 per Share and Accompanying Warrant and pre-funded warrants (the “Pre-Funded Warrants”) to purchase up to 348 shares of common stock and Accompanying Warrants to purchase up to 348 shares of common stock, at a combined offering price of $46.40 per share underlying each Pre-Funded Warrant and Accompanying Warrant, which equals the offering price per Share and Accompanying Warrant less the $0.016 exercise price per share of the Pre-Funded Warrants. The Pre-Funded Warrants and Accompanying Warrants are not listed on the Nasdaq Capital Market or any other securities exchange or trading system and the Company does not intend to list them. On March 27, 2024, The Company received $25,000 of gross proceeds from the Offering, incurred issuance costs of $248, and received net proceeds of $24,752.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5" w:name="page196"/>
    <w:bookmarkEnd w:id="1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324"/>
        <w:spacing w:after="0" w:line="256" w:lineRule="auto"/>
        <w:rPr>
          <w:sz w:val="20"/>
          <w:szCs w:val="20"/>
          <w:color w:val="auto"/>
        </w:rPr>
      </w:pPr>
      <w:r>
        <w:rPr>
          <w:rFonts w:ascii="Times New Roman" w:cs="Times New Roman" w:eastAsia="Times New Roman" w:hAnsi="Times New Roman"/>
          <w:sz w:val="18"/>
          <w:szCs w:val="18"/>
          <w:color w:val="auto"/>
        </w:rPr>
        <w:t>The Pre-Funded Warrants have an exercise price per share of common stock equal to $0.016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For the year ended December 31, 2024, 348 Pre-Funded Warrants were exercised and the same number of shares of common stock were issued in exchange for $6 of proceeds received.</w:t>
      </w:r>
    </w:p>
    <w:p>
      <w:pPr>
        <w:spacing w:after="0" w:line="187" w:lineRule="exact"/>
        <w:rPr>
          <w:sz w:val="20"/>
          <w:szCs w:val="20"/>
          <w:color w:val="auto"/>
        </w:rPr>
      </w:pPr>
    </w:p>
    <w:p>
      <w:pPr>
        <w:ind w:left="60" w:right="199" w:firstLine="324"/>
        <w:spacing w:after="0" w:line="254" w:lineRule="auto"/>
        <w:rPr>
          <w:sz w:val="20"/>
          <w:szCs w:val="20"/>
          <w:color w:val="auto"/>
        </w:rPr>
      </w:pPr>
      <w:r>
        <w:rPr>
          <w:rFonts w:ascii="Times New Roman" w:cs="Times New Roman" w:eastAsia="Times New Roman" w:hAnsi="Times New Roman"/>
          <w:sz w:val="18"/>
          <w:szCs w:val="18"/>
          <w:color w:val="auto"/>
        </w:rPr>
        <w:t>The Accompanying Warrants have an exercise price per share of common stock equal to $51.20 per share. The exercise price and the number of shares of common stock issuable upon exercise of the Accompanying Warrants are subject to appropriate adjustments in the event of certain stock dividends and distributions, stock splits, stock combinations, reclassifications or similar events affecting the common stock. The Accompanying Warrants will be exercisable at any time after the date of issuance and will expire on the fifth anniversary of the date of issuance. The Accompanying Warrants do not meet certain scope exceptions under U.S. GAAP, primarily because they did not meet the requirements to be indexed to equity and equity classified, and the instruments meet the definition of a derivative instrument. Therefore, these instruments are recorded as Derivative liabilities in the Consolidated Balance Sheet as of December 31, 2024.</w:t>
      </w:r>
    </w:p>
    <w:p>
      <w:pPr>
        <w:spacing w:after="0" w:line="188"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On November 22, 2024, the Company entered into an underwriting agreement (the “Underwriting Agreement”) with Canaccord Genuity LLC, as underwriter (the “Underwriter”), in connection with the issuance and sale by the Company in a public offering of (i) 350 shares of the Company’s common stock, and accompanying warrants (the “November 2024 Accompanying Warrants”) to purchase 350 shares of Common Stock, at a combined public offering price of $7.68 per share, and, in lieu thereof to certain investors, (ii) pre-funded warrants to purchase 563 shares of Common Stock, and accompanying warrants (the “November 2024 Accompanying Warrants”) to purchase 563 shares of Common Stock, at a combined public offering price of $7.664 per pre-funded warrant, which equals the public offering price per share of Common Stock and accompanying warrant less the $0.016 exercise price per share of the pre-funded warrants, less underwriting discounts and commissions, pursuant to an effective shelf registration statement on Form S-3 (Registration No. 333-275261) and a related prospectus supplement filed with the Securities and Exchange Commission. For the year ended December 31, 2024, 80 pre-funded warrants were exercised and the same number of shares of common stock were issued in exchange for $1 of proceeds received.</w:t>
      </w:r>
    </w:p>
    <w:p>
      <w:pPr>
        <w:spacing w:after="0" w:line="190" w:lineRule="exact"/>
        <w:rPr>
          <w:sz w:val="20"/>
          <w:szCs w:val="20"/>
          <w:color w:val="auto"/>
        </w:rPr>
      </w:pPr>
    </w:p>
    <w:p>
      <w:pPr>
        <w:ind w:left="60" w:right="459" w:firstLine="324"/>
        <w:spacing w:after="0" w:line="281" w:lineRule="auto"/>
        <w:rPr>
          <w:sz w:val="20"/>
          <w:szCs w:val="20"/>
          <w:color w:val="auto"/>
        </w:rPr>
      </w:pPr>
      <w:r>
        <w:rPr>
          <w:rFonts w:ascii="Times New Roman" w:cs="Times New Roman" w:eastAsia="Times New Roman" w:hAnsi="Times New Roman"/>
          <w:sz w:val="17"/>
          <w:szCs w:val="17"/>
          <w:color w:val="auto"/>
        </w:rPr>
        <w:t>Each of the November 2024 Accompanying Warrants in the offering is subject to customary beneficial ownership limitations on exercisability, is exercisable at any time after the date of issuance of such warrant and, in the case of the accompanying warrants, will expire on the fifth anniversary of the date of issuance. Each of the November 2024 Accompanying Warrants will have an exercise price of $7.68 per underlying share of Common Stock.</w:t>
      </w:r>
    </w:p>
    <w:p>
      <w:pPr>
        <w:spacing w:after="0" w:line="164"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The Company received net proceeds from the offering of approximately $6,128, after deducting underwriting discounts and commissions and offering expenses of $871. The Company intends to use the net proceeds of the offering to fund the SERENITY At-Home trial, prepare for the initiation of the TRANQUILITY In-Care trial, working capital and general corporate purposes.</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Stock-Based Compensation</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2017 Equity Incentive Plan</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Company’s 2017 Plan became effective in August 2017. Following the effective date of the Company's 2020 Plan, the Company ceased granting awards under the 2017 Plan, however, the terms and conditions of the 2017 Plan continue to govern any outstanding awards granted thereunder.</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Incentive Award Plan</w:t>
      </w:r>
    </w:p>
    <w:p>
      <w:pPr>
        <w:spacing w:after="0" w:line="202" w:lineRule="exact"/>
        <w:rPr>
          <w:sz w:val="20"/>
          <w:szCs w:val="20"/>
          <w:color w:val="auto"/>
        </w:rPr>
      </w:pPr>
    </w:p>
    <w:p>
      <w:pPr>
        <w:ind w:left="60" w:right="119" w:firstLine="324"/>
        <w:spacing w:after="0" w:line="261" w:lineRule="auto"/>
        <w:rPr>
          <w:sz w:val="20"/>
          <w:szCs w:val="20"/>
          <w:color w:val="auto"/>
        </w:rPr>
      </w:pPr>
      <w:r>
        <w:rPr>
          <w:rFonts w:ascii="Times New Roman" w:cs="Times New Roman" w:eastAsia="Times New Roman" w:hAnsi="Times New Roman"/>
          <w:sz w:val="18"/>
          <w:szCs w:val="18"/>
          <w:color w:val="auto"/>
        </w:rPr>
        <w:t>The Company’s 2020 Plan was approved and became effective at the Company’s 2020 annual meeting of stockholders on May 20, 2020, and unless earlier terminated by the Board of Directors, will remain in effect until March 26, 2030. The 2020 Plan originally authorized for issuance the sum of (i) 57 shares of the Company’s common stock and (ii) 15 shares of the Company’s common stock, which represents the number of shares that remained available for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6" w:name="page197"/>
    <w:bookmarkEnd w:id="1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issuance under the 2017 Plan immediately prior to the approval of the 2020 Plan by the Company’s stockholders. Any shares of common stock which, immediately prior to the approval of the 2020 Plan by the Company’s stockholders, were subject to awards granted under the 2017 Plan that are forfeited or lapse unexercised and are not issued under the 2017 Plan will increase the number of shares of common stock available for grant under the 2020 Plan. In addition, the number of shares available for issuance under the 2020 Plan will increase on the first day of each calendar year, beginning January 1, 2021 and ending on and including January 1, 2030, by a number of shares equal to the lesser of (A) 4% of the aggregate number of shares of the Company’s common stock outstanding on the final day of the immediately preceding calendar year and (B) such smaller number of shares of common stock as determined by the Board of Directors. The shares available for issuance under the 2020 Plan increased by 75 shares and 70 shares on January 1, 2024 and 2023, respectively.</w:t>
      </w:r>
    </w:p>
    <w:p>
      <w:pPr>
        <w:spacing w:after="0" w:line="161"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Stock-based awards granted under the 2020 Plan have a term of ten years. The vesting schedule of all awards granted under the 2020 Plan is determined by the Board of Directors, which is generally four years. Stock-based awards granted under the 2020 Plan include stock options, BTI RSUs, and Performance Units.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2024, there were 42 shares available to be granted under the 2020 Plan.</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Restricted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BTI RSUs.</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440" w:type="dxa"/>
            <w:vAlign w:val="bottom"/>
          </w:tcPr>
          <w:p>
            <w:pPr>
              <w:spacing w:after="0"/>
              <w:rPr>
                <w:sz w:val="15"/>
                <w:szCs w:val="15"/>
                <w:color w:val="auto"/>
              </w:rPr>
            </w:pPr>
          </w:p>
        </w:tc>
        <w:tc>
          <w:tcPr>
            <w:tcW w:w="14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44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7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In 2024, the Company granted 22 time-based BTI RSUs to certain employees, executives, and board members. The RSUs granted to employees and executives vest 100% at the one-year anniversary of the grant date. The weighted average grant date fair value per share for the BTI RSUs granted to employees and executives in 2024 was $23.43. Unrecognized stock-based compensation expense related to these awards was $13 as of December 31, 2024. The RSUs granted to board members vest monthly over a 12-month period, beginning in November 2024. The weighted average grant date fair value per share for the BTI RSUs granted to board members was $9.12. Unrecognized stock-based compensation expense related to these awards was $185 as of December 31, 2024. Unrecognized stock-based compensation expense related to awards issued prior to 2024 was $575 and $1,715 as of December 31, 2024 and 2023, respectively.</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Performance stock units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Performance Units related to BTI common stock.</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7960" w:type="dxa"/>
            <w:vAlign w:val="bottom"/>
          </w:tcPr>
          <w:p>
            <w:pPr>
              <w:spacing w:after="0"/>
              <w:rPr>
                <w:sz w:val="15"/>
                <w:szCs w:val="15"/>
                <w:color w:val="auto"/>
              </w:rPr>
            </w:pP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2"/>
        </w:trPr>
        <w:tc>
          <w:tcPr>
            <w:tcW w:w="79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In July 2024, the Company granted 87 Performance Units to employees. The Performance Units vest on the one-year anniversary of the grant date, provided certain performance criteria are met. The weighted average value per share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7" w:name="page198"/>
    <w:bookmarkEnd w:id="1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of Performance Units granted in 2024 was $19.20. None of the Performance Units had vested as of December 31, 2024. Unrecognized stock-based compensation expense related to these Performance Units expected to vest was zero as of December 31, 2024 since it is uncertain whether any performance criteria will be met.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OnkosXcel Profit sharing units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PSUs associated with OnkosXcel as described below.</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16"/>
        </w:trPr>
        <w:tc>
          <w:tcPr>
            <w:tcW w:w="590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8"/>
                <w:szCs w:val="18"/>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 per unit</w:t>
            </w:r>
          </w:p>
        </w:tc>
      </w:tr>
      <w:tr>
        <w:trPr>
          <w:trHeight w:val="199"/>
        </w:trPr>
        <w:tc>
          <w:tcPr>
            <w:tcW w:w="590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7"/>
                <w:szCs w:val="17"/>
                <w:color w:val="auto"/>
              </w:rPr>
            </w:pPr>
          </w:p>
        </w:tc>
        <w:tc>
          <w:tcPr>
            <w:tcW w:w="1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whole dollars)</w:t>
            </w:r>
          </w:p>
        </w:tc>
      </w:tr>
      <w:tr>
        <w:trPr>
          <w:trHeight w:val="209"/>
        </w:trPr>
        <w:tc>
          <w:tcPr>
            <w:tcW w:w="59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r>
      <w:tr>
        <w:trPr>
          <w:trHeight w:val="216"/>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r>
      <w:tr>
        <w:trPr>
          <w:trHeight w:val="216"/>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7"/>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units as of December 31, 2024</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During 2024, OnkosXcel Employee Holdings, LLC, a management holding company used to facilitate the grant of equity interests to service providers of OnkosXcel granted 15 individual (not in thousands) time-based PSUs related to OnkosXcel to certain employees of the Company in consideration for services provided to OnkosXcel. The PSUs represent indirect equity interests in OnkosXcel. These PSUs vest ratably over 48 months.</w:t>
      </w:r>
    </w:p>
    <w:p>
      <w:pPr>
        <w:spacing w:after="0" w:line="153" w:lineRule="exact"/>
        <w:rPr>
          <w:sz w:val="20"/>
          <w:szCs w:val="20"/>
          <w:color w:val="auto"/>
        </w:rPr>
      </w:pPr>
    </w:p>
    <w:p>
      <w:pPr>
        <w:ind w:left="60" w:right="459"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the PSUs granted in 2024 was $8 per unit, and was estimated at the date of grant using a Black-Scholes option pricing model. The total fair value of the PSUs vested during the year ended December 31, 2024 was $1,165.</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 grant profit share</w:t>
            </w:r>
          </w:p>
        </w:tc>
      </w:tr>
      <w:tr>
        <w:trPr>
          <w:trHeight w:val="238"/>
        </w:trPr>
        <w:tc>
          <w:tcPr>
            <w:tcW w:w="4240" w:type="dxa"/>
            <w:vAlign w:val="bottom"/>
          </w:tcPr>
          <w:p>
            <w:pPr>
              <w:spacing w:after="0"/>
              <w:rPr>
                <w:sz w:val="20"/>
                <w:szCs w:val="20"/>
                <w:color w:val="auto"/>
              </w:rPr>
            </w:pPr>
          </w:p>
        </w:tc>
        <w:tc>
          <w:tcPr>
            <w:tcW w:w="46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unit valuation inputs</w:t>
            </w:r>
          </w:p>
        </w:tc>
      </w:tr>
      <w:tr>
        <w:trPr>
          <w:trHeight w:val="216"/>
        </w:trPr>
        <w:tc>
          <w:tcPr>
            <w:tcW w:w="4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rate of interest</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years</w:t>
            </w:r>
          </w:p>
        </w:tc>
      </w:tr>
    </w:tbl>
    <w:p>
      <w:pPr>
        <w:spacing w:after="0" w:line="179" w:lineRule="exact"/>
        <w:rPr>
          <w:sz w:val="20"/>
          <w:szCs w:val="20"/>
          <w:color w:val="auto"/>
        </w:rPr>
      </w:pPr>
    </w:p>
    <w:p>
      <w:pPr>
        <w:ind w:left="380" w:right="1019"/>
        <w:spacing w:after="0" w:line="461" w:lineRule="auto"/>
        <w:rPr>
          <w:sz w:val="20"/>
          <w:szCs w:val="20"/>
          <w:color w:val="auto"/>
        </w:rPr>
      </w:pPr>
      <w:r>
        <w:rPr>
          <w:rFonts w:ascii="Times New Roman" w:cs="Times New Roman" w:eastAsia="Times New Roman" w:hAnsi="Times New Roman"/>
          <w:sz w:val="18"/>
          <w:szCs w:val="18"/>
          <w:color w:val="auto"/>
        </w:rPr>
        <w:t xml:space="preserve">Unrecognized stock-based compensation expense related to the PSUs was $377 as of December 31, 2024. </w:t>
      </w:r>
      <w:r>
        <w:rPr>
          <w:rFonts w:ascii="Times New Roman" w:cs="Times New Roman" w:eastAsia="Times New Roman" w:hAnsi="Times New Roman"/>
          <w:sz w:val="18"/>
          <w:szCs w:val="18"/>
          <w:b w:val="1"/>
          <w:bCs w:val="1"/>
          <w:color w:val="auto"/>
        </w:rPr>
        <w:t>OnkosXcel restricted stock units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activity relating to the OnkosXcel RSUs.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38"/>
        </w:trPr>
        <w:tc>
          <w:tcPr>
            <w:tcW w:w="7440" w:type="dxa"/>
            <w:vAlign w:val="bottom"/>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10"/>
        </w:trPr>
        <w:tc>
          <w:tcPr>
            <w:tcW w:w="7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7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7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8" w:name="page199"/>
    <w:bookmarkEnd w:id="1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139"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2024, the Company had 176 OnkosXcel Restricted Stock Units outstanding. Unrecognized stock-based compensation expense related to the awards expected to vest was approximately $210 as of December 31, 2024.</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BTI Stock options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year ended December 31, 2024, is presented below.</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2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the intrinsic value of options outstanding was $0. The intrinsic value for stock options is calculated based on the difference between the exercise prices of the underlying awards and the quoted stock price of the Company’s common stock as of the reporting date.</w:t>
      </w:r>
    </w:p>
    <w:p>
      <w:pPr>
        <w:spacing w:after="0" w:line="149" w:lineRule="exact"/>
        <w:rPr>
          <w:sz w:val="20"/>
          <w:szCs w:val="20"/>
          <w:color w:val="auto"/>
        </w:rPr>
      </w:pPr>
    </w:p>
    <w:p>
      <w:pPr>
        <w:jc w:val="both"/>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for the year ended December 31, 2024 was $0. The total intrinsic value of stock options exercisable as of December 31, 2024 was $0.</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 ended December 31, 2024 was $16.63.</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grant date fair value of options vested as of December 31, 2024 was $215.98.</w:t>
      </w:r>
    </w:p>
    <w:p>
      <w:pPr>
        <w:spacing w:after="0" w:line="198"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is 4.9 years for options exercisable as of December 31, 2024. The weighted average remaining contractual life was 5.6 years for options outstanding as of December 31, 2024.</w:t>
      </w:r>
    </w:p>
    <w:p>
      <w:pPr>
        <w:spacing w:after="0" w:line="121" w:lineRule="exact"/>
        <w:rPr>
          <w:sz w:val="20"/>
          <w:szCs w:val="20"/>
          <w:color w:val="auto"/>
        </w:rPr>
      </w:pPr>
    </w:p>
    <w:p>
      <w:pPr>
        <w:jc w:val="both"/>
        <w:ind w:left="60" w:right="319" w:firstLine="324"/>
        <w:spacing w:after="0" w:line="266" w:lineRule="auto"/>
        <w:rPr>
          <w:sz w:val="20"/>
          <w:szCs w:val="20"/>
          <w:color w:val="auto"/>
        </w:rPr>
      </w:pPr>
      <w:r>
        <w:rPr>
          <w:rFonts w:ascii="Times New Roman" w:cs="Times New Roman" w:eastAsia="Times New Roman" w:hAnsi="Times New Roman"/>
          <w:sz w:val="18"/>
          <w:szCs w:val="18"/>
          <w:color w:val="auto"/>
        </w:rPr>
        <w:t>Unrecognized compensation expense related to unvested stock option awards as of December 31, 2024, was $7,691 and will be recognized over the remaining vesting periods of the underlying awards. The weighted-average period over which such compensation is expected to be recognized is 0.9 years.</w:t>
      </w:r>
    </w:p>
    <w:p>
      <w:pPr>
        <w:spacing w:after="0" w:line="1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of options granted during the years ended December 31, 2024 and 2023 was estimated using the Black-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Scholes pricing model with the following assumptions: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108.0</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interest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gridSpan w:val="2"/>
          </w:tcPr>
          <w:p>
            <w:pPr>
              <w:jc w:val="right"/>
              <w:ind w:right="277"/>
              <w:spacing w:after="0"/>
              <w:rPr>
                <w:sz w:val="20"/>
                <w:szCs w:val="20"/>
                <w:color w:val="auto"/>
              </w:rPr>
            </w:pPr>
            <w:r>
              <w:rPr>
                <w:rFonts w:ascii="Times New Roman" w:cs="Times New Roman" w:eastAsia="Times New Roman" w:hAnsi="Times New Roman"/>
                <w:sz w:val="18"/>
                <w:szCs w:val="18"/>
                <w:color w:val="auto"/>
              </w:rPr>
              <w:t>0.0 %</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0.0 %</w:t>
            </w:r>
          </w:p>
        </w:tc>
        <w:tc>
          <w:tcPr>
            <w:tcW w:w="160" w:type="dxa"/>
            <w:vAlign w:val="bottom"/>
          </w:tcPr>
          <w:p>
            <w:pPr>
              <w:spacing w:after="0"/>
              <w:rPr>
                <w:sz w:val="20"/>
                <w:szCs w:val="20"/>
                <w:color w:val="auto"/>
              </w:rPr>
            </w:pPr>
          </w:p>
        </w:tc>
        <w:tc>
          <w:tcPr>
            <w:tcW w:w="1000" w:type="dxa"/>
            <w:vAlign w:val="bottom"/>
            <w:gridSpan w:val="2"/>
          </w:tcPr>
          <w:p>
            <w:pPr>
              <w:jc w:val="right"/>
              <w:ind w:right="297"/>
              <w:spacing w:after="0"/>
              <w:rPr>
                <w:sz w:val="20"/>
                <w:szCs w:val="20"/>
                <w:color w:val="auto"/>
              </w:rPr>
            </w:pPr>
            <w:r>
              <w:rPr>
                <w:rFonts w:ascii="Times New Roman" w:cs="Times New Roman" w:eastAsia="Times New Roman" w:hAnsi="Times New Roman"/>
                <w:sz w:val="18"/>
                <w:szCs w:val="18"/>
                <w:color w:val="auto"/>
              </w:rPr>
              <w:t>0.0 %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4040" w:type="dxa"/>
            <w:vAlign w:val="bottom"/>
          </w:tcPr>
          <w:p>
            <w:pPr>
              <w:spacing w:after="0"/>
              <w:rPr>
                <w:sz w:val="24"/>
                <w:szCs w:val="24"/>
                <w:color w:val="auto"/>
              </w:rPr>
            </w:pPr>
          </w:p>
        </w:tc>
        <w:tc>
          <w:tcPr>
            <w:tcW w:w="980" w:type="dxa"/>
            <w:vAlign w:val="bottom"/>
            <w:gridSpan w:val="2"/>
          </w:tcPr>
          <w:p>
            <w:pPr>
              <w:jc w:val="right"/>
              <w:ind w:right="297"/>
              <w:spacing w:after="0"/>
              <w:rPr>
                <w:sz w:val="20"/>
                <w:szCs w:val="20"/>
                <w:color w:val="auto"/>
              </w:rPr>
            </w:pPr>
            <w:r>
              <w:rPr>
                <w:rFonts w:ascii="Times New Roman" w:cs="Times New Roman" w:eastAsia="Times New Roman" w:hAnsi="Times New Roman"/>
                <w:sz w:val="18"/>
                <w:szCs w:val="18"/>
                <w:color w:val="auto"/>
              </w:rPr>
              <w:t>F-30</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9" w:name="page200"/>
    <w:bookmarkEnd w:id="1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2024, the Company continued using the historical volatility of its common stock to estimate volatility. Prior to 2023, volatility was estimated using a combination of the historical volatility of publicly traded peer companies and that of the Company’s common stock. The expected term of the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dividend yield is zero percent as the Company has no history of paying dividends nor does management expect to pay dividends over the contractual terms of these options. The risk-free interest rates are determined by reference to the U.S. Treasury yield curve in effect at the time of grant, with maturities approximating the expected term of the stock options. The fair value of the underlying common stock is generally determined as the closing price of the Company’s common stock on The Nasdaq Capital Market on the grant date, with consideration of whether there is material nonpublic information that could impact that estimated fair value when it is released.</w:t>
      </w:r>
    </w:p>
    <w:p>
      <w:pPr>
        <w:spacing w:after="0" w:line="165"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awards issued under the 2017 Plan and the 2020 Plan, as well as the OnkosXcel PSUs and OnkosXcel RSU’s, of $6,156 and $18,614 for the years ended December 31, 2024 and 2023, respectively, which were comprised as follows: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r>
      <w:tr>
        <w:trPr>
          <w:trHeight w:val="196"/>
        </w:trPr>
        <w:tc>
          <w:tcPr>
            <w:tcW w:w="54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5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3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w:t>
            </w:r>
          </w:p>
        </w:tc>
      </w:tr>
      <w:tr>
        <w:trPr>
          <w:trHeight w:val="210"/>
        </w:trPr>
        <w:tc>
          <w:tcPr>
            <w:tcW w:w="5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18,614</w:t>
            </w:r>
          </w:p>
        </w:tc>
      </w:tr>
      <w:tr>
        <w:trPr>
          <w:trHeight w:val="20"/>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189" w:lineRule="exact"/>
        <w:rPr>
          <w:sz w:val="20"/>
          <w:szCs w:val="20"/>
          <w:color w:val="auto"/>
        </w:rPr>
      </w:pPr>
    </w:p>
    <w:p>
      <w:pPr>
        <w:ind w:left="60" w:right="79" w:firstLine="324"/>
        <w:spacing w:after="0" w:line="252" w:lineRule="auto"/>
        <w:rPr>
          <w:sz w:val="20"/>
          <w:szCs w:val="20"/>
          <w:color w:val="auto"/>
        </w:rPr>
      </w:pPr>
      <w:r>
        <w:rPr>
          <w:rFonts w:ascii="Times New Roman" w:cs="Times New Roman" w:eastAsia="Times New Roman" w:hAnsi="Times New Roman"/>
          <w:sz w:val="18"/>
          <w:szCs w:val="18"/>
          <w:color w:val="auto"/>
        </w:rPr>
        <w:t>The Company’s 2020 Employee Stock Purchase Plan (the “ESPP”) was also approved and became effective at the Company’s 2020 annual meeting of stockholders on May 20, 2020. The ESPP is designed to assist eligible employees of the Company with the opportunity to purchase the Company’s common stock at a discount through accumulated payroll deductions during successive offering periods. The aggregate number of shares that may be issued pursuant to rights granted under the ESPP is 6 shares of common stock. In addition, the number of shares available for issuance under the ESPP will increase on the first day of each calendar year, beginning on January 1, 2021 and ending on and including January 1, 2030, by a number of shares of common stock equal to the lesser of (a) 1% of the shares outstanding on the final day of the immediately preceding calendar year and (b) such smaller number of shares as determined by the Board of Directors. The number of shares that may be issued or transferred pursuant to rights granted under the component of the ESPP that is intended to qualify for favorable U.S. federal tax treatment under Section 423 of the Internal Revenue Code (the “Section 423 Component”) shall not exceed 31 shares. The purchase price will be determined by the administrator of the ESPP and, for purposes of the Section 423 Component, shall not be less than 85% of the fair value of a share on the first trading day or on the last trading day of the applicable offering period, whichever is lower. The shares available for issuance under the ESPP increased by 19 shares and 18 shares on January 1, 2024 and 2023, respectively. To date, no shares have been sold under the ESPP. There were 75 shares available for issuance as of December 31, 2024.</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202" w:lineRule="exact"/>
        <w:rPr>
          <w:sz w:val="20"/>
          <w:szCs w:val="20"/>
          <w:color w:val="auto"/>
        </w:rPr>
      </w:pPr>
    </w:p>
    <w:p>
      <w:pPr>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BTI leases office space for its corporate headquarters at 555 Long Wharf Drive, New Haven, Connecticut (the “HQ Lease”) under an operating lease that expires in February 2026. The Company has an option to renew the HQ Lease for one additional five-year term. Payments under the HQ Lease are fixed.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also leases equipment such as copiers and information technology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0" w:name="page201"/>
    <w:bookmarkEnd w:id="2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future minimum annual lease payments under operating leases, as of December 31, 2024, were as follows: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lease liability</w:t>
            </w:r>
          </w:p>
        </w:tc>
        <w:tc>
          <w:tcPr>
            <w:tcW w:w="20" w:type="dxa"/>
            <w:vAlign w:val="bottom"/>
          </w:tcPr>
          <w:p>
            <w:pPr>
              <w:spacing w:after="0"/>
              <w:rPr>
                <w:sz w:val="18"/>
                <w:szCs w:val="18"/>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Long-term portion of operating lease liability</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2" w:lineRule="auto"/>
        <w:rPr>
          <w:sz w:val="20"/>
          <w:szCs w:val="20"/>
          <w:color w:val="auto"/>
        </w:rPr>
      </w:pPr>
      <w:r>
        <w:rPr>
          <w:rFonts w:ascii="Times New Roman" w:cs="Times New Roman" w:eastAsia="Times New Roman" w:hAnsi="Times New Roman"/>
          <w:sz w:val="18"/>
          <w:szCs w:val="18"/>
          <w:color w:val="auto"/>
        </w:rPr>
        <w:t>The current portion of the Company’s operating lease liability of $374, as of December 31, 2024, is included in Other current liabilities on the Consolidated Balance Sheets.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expense was $394 and $392 for the years ended December 31, 2024 and 2023, respectively.</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renewal options are not included in the ROU asset or lease liability.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Employee Benefit Plan</w:t>
      </w:r>
    </w:p>
    <w:p>
      <w:pPr>
        <w:spacing w:after="0" w:line="202" w:lineRule="exact"/>
        <w:rPr>
          <w:sz w:val="20"/>
          <w:szCs w:val="20"/>
          <w:color w:val="auto"/>
        </w:rPr>
      </w:pPr>
    </w:p>
    <w:p>
      <w:pPr>
        <w:jc w:val="both"/>
        <w:ind w:left="60" w:right="99" w:firstLine="324"/>
        <w:spacing w:after="0" w:line="272" w:lineRule="auto"/>
        <w:rPr>
          <w:sz w:val="20"/>
          <w:szCs w:val="20"/>
          <w:color w:val="auto"/>
        </w:rPr>
      </w:pPr>
      <w:r>
        <w:rPr>
          <w:rFonts w:ascii="Times New Roman" w:cs="Times New Roman" w:eastAsia="Times New Roman" w:hAnsi="Times New Roman"/>
          <w:sz w:val="17"/>
          <w:szCs w:val="17"/>
          <w:color w:val="auto"/>
        </w:rPr>
        <w:t>The Company maintains a defined contribution retirement plan for its employees that complies with Section 401(k) of the Internal Revenue Code (the “401(K) Plan”). Employees are eligible to participate in the 401(K) Plan and can contribute a portion of their pay into the 401(K) Plan, subject to annual limits established by the U.S. Internal Revenue Service.</w:t>
      </w:r>
    </w:p>
    <w:p>
      <w:pPr>
        <w:spacing w:after="0" w:line="2"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Participating employees receive an employer matching contribution equal to 50% of eligible employee contributions on the first 5% of eligible compensation contributed. Employer contributions to the 401(K) Plan were $289 and $788 for the years ended December 31, 2024 and 2023, respectively.</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189" w:lineRule="exact"/>
        <w:rPr>
          <w:sz w:val="20"/>
          <w:szCs w:val="20"/>
          <w:color w:val="auto"/>
        </w:rPr>
      </w:pPr>
    </w:p>
    <w:p>
      <w:pPr>
        <w:ind w:left="60" w:right="139" w:firstLine="324"/>
        <w:spacing w:after="0" w:line="266" w:lineRule="auto"/>
        <w:rPr>
          <w:sz w:val="20"/>
          <w:szCs w:val="20"/>
          <w:color w:val="auto"/>
        </w:rPr>
      </w:pPr>
      <w:r>
        <w:rPr>
          <w:rFonts w:ascii="Times New Roman" w:cs="Times New Roman" w:eastAsia="Times New Roman" w:hAnsi="Times New Roman"/>
          <w:sz w:val="18"/>
          <w:szCs w:val="18"/>
          <w:color w:val="auto"/>
        </w:rPr>
        <w:t>The Company groups its assets and liabilities measured at fair value in three levels based on the nature of the inputs and assumptions used to determine fair value. Refer to Note 3, Summary of Significant Accounting Policies, for additional information on the accounting policies related to fair value.</w:t>
      </w:r>
    </w:p>
    <w:p>
      <w:pPr>
        <w:spacing w:after="0" w:line="135"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net and Accounts payable approximate fair value due to the short-term nature of these instruments. As of December 31, 2024 and 2023, the Company had $29,036 and $64,860, respectively, primarily in money market funds that hold U.S. government cash equivalent instruments (included in Cash and cash equivalents) which were valued based on Level 1 inputs. There were no transfers between levels within the hierarchy during the years ended December 31, 2024 and 2023.</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Derivative liabilities measured at fair value on a recurring basis are summarized below.</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4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20" w:type="dxa"/>
            <w:vAlign w:val="bottom"/>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r>
      <w:tr>
        <w:trPr>
          <w:trHeight w:val="210"/>
        </w:trPr>
        <w:tc>
          <w:tcPr>
            <w:tcW w:w="4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F-32</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01" w:name="page202"/>
    <w:bookmarkEnd w:id="2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9"/>
        </w:trPr>
        <w:tc>
          <w:tcPr>
            <w:tcW w:w="4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6"/>
        </w:trPr>
        <w:tc>
          <w:tcPr>
            <w:tcW w:w="4200" w:type="dxa"/>
            <w:vAlign w:val="bottom"/>
          </w:tcPr>
          <w:p>
            <w:pPr>
              <w:spacing w:after="0"/>
              <w:rPr>
                <w:sz w:val="17"/>
                <w:szCs w:val="17"/>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6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BTI Warrants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OnkosXcel Warrants</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09"/>
        </w:trPr>
        <w:tc>
          <w:tcPr>
            <w:tcW w:w="4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Derivative liabilities are comprised of the OnkosXcel Warrants and Equity Investment Right held by the Lenders. The fair value of the derivative liabilities was determined using Monte Carlo simulation models for the Equity Investment Right, and Binomial Option Pricing and Distribution models for the OnkosXcel Warrants. As discussed in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Credit Facilities</w:t>
      </w:r>
      <w:r>
        <w:rPr>
          <w:rFonts w:ascii="Times New Roman" w:cs="Times New Roman" w:eastAsia="Times New Roman" w:hAnsi="Times New Roman"/>
          <w:sz w:val="18"/>
          <w:szCs w:val="18"/>
          <w:color w:val="auto"/>
        </w:rPr>
        <w:t>, the Equity Investment Right was terminated on November 25, 2024 in connection with the Fifth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to the Credit Agreement.</w:t>
      </w:r>
    </w:p>
    <w:p>
      <w:pPr>
        <w:spacing w:after="0" w:line="149" w:lineRule="exact"/>
        <w:rPr>
          <w:sz w:val="20"/>
          <w:szCs w:val="20"/>
          <w:color w:val="auto"/>
        </w:rPr>
      </w:pPr>
    </w:p>
    <w:p>
      <w:pPr>
        <w:ind w:left="60" w:right="33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year ended December 31, 2024. Both observable and unobservable inputs were used to determine the fair value of positions that the Company has classified within the Level 3 category.</w:t>
      </w:r>
    </w:p>
    <w:p>
      <w:pPr>
        <w:spacing w:after="0" w:line="18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January 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of Derivative liabilities - Equity Investment Right</w:t>
            </w: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Balance - December 31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89" w:lineRule="auto"/>
        <w:rPr>
          <w:sz w:val="20"/>
          <w:szCs w:val="20"/>
          <w:color w:val="auto"/>
        </w:rPr>
      </w:pPr>
      <w:r>
        <w:rPr>
          <w:rFonts w:ascii="Times New Roman" w:cs="Times New Roman" w:eastAsia="Times New Roman" w:hAnsi="Times New Roman"/>
          <w:sz w:val="17"/>
          <w:szCs w:val="17"/>
          <w:color w:val="auto"/>
        </w:rPr>
        <w:t>The derivative liabilities were reported at their fair values in the Consolidated Balance Sheets. The changes in the fair value of the derivative liabilities were reported as gains in the Consolidated Statements of Operations as Other (income) expense, net, for the years ended December 31, 2024 and 2023, in the amounts of $20,181 and $438, respectively.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Inputs used to calculate the estimated fair value of the Equity Investment Right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Equity Investment Right</w:t>
            </w:r>
          </w:p>
        </w:tc>
      </w:tr>
      <w:tr>
        <w:trPr>
          <w:trHeight w:val="196"/>
        </w:trPr>
        <w:tc>
          <w:tcPr>
            <w:tcW w:w="6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Strike price relative to volume weighted 30-day average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(annual)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exercise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period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w:t>
            </w: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premium to 30-day average</w:t>
            </w:r>
          </w:p>
        </w:tc>
        <w:tc>
          <w:tcPr>
            <w:tcW w:w="19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24.0 %</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changes in fair value of the Equity Investment Right up to its termination date were recorded in the Consolidated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Statements of Operations as Other (income) expense, net. The final carrying value of the Equity Investment Right of</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$1,263 upon derecognition was recorded was recorded as a reduction of derivative liability with the offset recorded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gain in Other (income) expense, net, in the Consolidated Statements of Operations.</w:t>
      </w:r>
    </w:p>
    <w:p>
      <w:pPr>
        <w:spacing w:after="0" w:line="180" w:lineRule="exact"/>
        <w:rPr>
          <w:sz w:val="20"/>
          <w:szCs w:val="20"/>
          <w:color w:val="auto"/>
        </w:rPr>
      </w:pPr>
    </w:p>
    <w:p>
      <w:pPr>
        <w:ind w:left="60" w:right="179" w:firstLine="324"/>
        <w:spacing w:after="0" w:line="261" w:lineRule="auto"/>
        <w:rPr>
          <w:sz w:val="20"/>
          <w:szCs w:val="20"/>
          <w:color w:val="auto"/>
        </w:rPr>
      </w:pPr>
      <w:r>
        <w:rPr>
          <w:rFonts w:ascii="Times New Roman" w:cs="Times New Roman" w:eastAsia="Times New Roman" w:hAnsi="Times New Roman"/>
          <w:sz w:val="18"/>
          <w:szCs w:val="18"/>
          <w:color w:val="auto"/>
        </w:rPr>
        <w:t>In estimating the fair value of the derivative liability related to the OnkosXcel Warrants, inputs included third-party fair value estimates of OnkosXcel limited liability company units along with the volatility of those units (which was set at 100% based on the historical volatility of the Company’s stock, along with a peer group of comparable publicly traded companies), and the timing and probability of the relevant capital transactions occurring.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2" w:name="page203"/>
    <w:bookmarkEnd w:id="2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Credit Agreement as of December 31, 2024, was $94,204. Both observable and unobservable inputs were used to determine the fair value of long-term debt, which was classified within the Level 3 category.</w:t>
      </w:r>
    </w:p>
    <w:p>
      <w:pPr>
        <w:spacing w:after="0" w:line="149" w:lineRule="exact"/>
        <w:rPr>
          <w:sz w:val="20"/>
          <w:szCs w:val="20"/>
          <w:color w:val="auto"/>
        </w:rPr>
      </w:pPr>
    </w:p>
    <w:p>
      <w:pPr>
        <w:ind w:left="60" w:right="93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BTI warrants issued by the Company and the corresponding balance sheet classification:</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Warrant Recipient</w:t>
            </w:r>
          </w:p>
        </w:tc>
        <w:tc>
          <w:tcPr>
            <w:tcW w:w="25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Warrant Type</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2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Closing Date Warrants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4/19/2022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2023 Warrants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12/5/2023</w:t>
            </w:r>
          </w:p>
        </w:tc>
        <w:tc>
          <w:tcPr>
            <w:tcW w:w="1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 Warrants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3/20/2024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Lenders and RIFA Purchasers</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New Warrants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2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9.136</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9"/>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Accompanying Warrants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3/25/2024</w:t>
            </w:r>
          </w:p>
        </w:tc>
        <w:tc>
          <w:tcPr>
            <w:tcW w:w="1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51.20</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Armistice Capital Master Fund Ltd.</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846</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Heights Capital Management</w:t>
            </w:r>
          </w:p>
        </w:tc>
        <w:tc>
          <w:tcPr>
            <w:tcW w:w="2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2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Hudson Bay Capital Management</w:t>
            </w:r>
          </w:p>
        </w:tc>
        <w:tc>
          <w:tcPr>
            <w:tcW w:w="25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8"/>
        </w:trPr>
        <w:tc>
          <w:tcPr>
            <w:tcW w:w="222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IntraCoastal Capital, LLC</w:t>
            </w:r>
          </w:p>
        </w:tc>
        <w:tc>
          <w:tcPr>
            <w:tcW w:w="258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November 2024 Accompanying Warrants</w:t>
            </w:r>
          </w:p>
        </w:tc>
        <w:tc>
          <w:tcPr>
            <w:tcW w:w="94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11/25/2024</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Derivative Liability</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warrants issued</w:t>
            </w:r>
          </w:p>
        </w:tc>
        <w:tc>
          <w:tcPr>
            <w:tcW w:w="2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w:t>
            </w: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324"/>
        <w:spacing w:after="0" w:line="256" w:lineRule="auto"/>
        <w:rPr>
          <w:sz w:val="20"/>
          <w:szCs w:val="20"/>
          <w:color w:val="auto"/>
        </w:rPr>
      </w:pPr>
      <w:r>
        <w:rPr>
          <w:rFonts w:ascii="Times New Roman" w:cs="Times New Roman" w:eastAsia="Times New Roman" w:hAnsi="Times New Roman"/>
          <w:sz w:val="18"/>
          <w:szCs w:val="18"/>
          <w:color w:val="auto"/>
        </w:rPr>
        <w:t>The fair value of the Closing Date Warrants, which was a non-recurring fair value, was determined as of the date of issuance using a Black-Scholes pricing model and the fair value of $3,245 was recorded as a component of stockholders’ equity in Additional-paid-in-capital in the Consolidated Balance Sheets, with the offset recorded as a discount on the amounts funded under the OFA Facilities. This non-recurring measurement is classified as Level 2. The inputs used were a strike price of $320.64, the Company’s stock price of $238.88, volatility of 95%, term of 7 years and risk-free rate of 2.95%.</w:t>
      </w:r>
    </w:p>
    <w:p>
      <w:pPr>
        <w:spacing w:after="0" w:line="214"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As discussed in Note 9, Debt and Credit Facilities, in connection with the closing of the Second Amendment of the Credit Agreement, on the Second Amendment Effective Date, the Company amended and restated the Closing Date Warrants granted to the Lenders to have an exercise price of $58.3232 per share.</w:t>
      </w:r>
    </w:p>
    <w:p>
      <w:pPr>
        <w:spacing w:after="0" w:line="176" w:lineRule="exact"/>
        <w:rPr>
          <w:sz w:val="20"/>
          <w:szCs w:val="20"/>
          <w:color w:val="auto"/>
        </w:rPr>
      </w:pPr>
    </w:p>
    <w:p>
      <w:pPr>
        <w:ind w:left="60" w:right="459" w:firstLine="324"/>
        <w:spacing w:after="0" w:line="258" w:lineRule="auto"/>
        <w:rPr>
          <w:sz w:val="20"/>
          <w:szCs w:val="20"/>
          <w:color w:val="auto"/>
        </w:rPr>
      </w:pPr>
      <w:r>
        <w:rPr>
          <w:rFonts w:ascii="Times New Roman" w:cs="Times New Roman" w:eastAsia="Times New Roman" w:hAnsi="Times New Roman"/>
          <w:sz w:val="18"/>
          <w:szCs w:val="18"/>
          <w:color w:val="auto"/>
        </w:rPr>
        <w:t>Using a Black-Scholes pricing model, the Company determined that the Closing Date Warrants’ fair values at the original strike price of $320.64 and the amended strike price of $58.3232 were $548 and $802, respectively, as of the Second Amendment Effective Date. The Closing Date Warrants’ incremental increase in fair value for the repricing of $254, was recorded as a component of stockholders’ equity in Additional-paid-in-capital in the Consolidated Balance Sheets, with the offset recorded as a discount on the amounts refinanced under the Credit Agreement.</w:t>
      </w:r>
    </w:p>
    <w:p>
      <w:pPr>
        <w:spacing w:after="0" w:line="183" w:lineRule="exact"/>
        <w:rPr>
          <w:sz w:val="20"/>
          <w:szCs w:val="20"/>
          <w:color w:val="auto"/>
        </w:rPr>
      </w:pPr>
    </w:p>
    <w:p>
      <w:pPr>
        <w:ind w:left="60" w:right="99" w:firstLine="324"/>
        <w:spacing w:after="0" w:line="274" w:lineRule="auto"/>
        <w:rPr>
          <w:sz w:val="20"/>
          <w:szCs w:val="20"/>
          <w:color w:val="auto"/>
        </w:rPr>
      </w:pPr>
      <w:r>
        <w:rPr>
          <w:rFonts w:ascii="Times New Roman" w:cs="Times New Roman" w:eastAsia="Times New Roman" w:hAnsi="Times New Roman"/>
          <w:sz w:val="17"/>
          <w:szCs w:val="17"/>
          <w:color w:val="auto"/>
        </w:rPr>
        <w:t>In connection with the Second Amendment, the Company issued 4 “2023 Warrants” at a strike price of $58.3232 per share. The fair value of the 2023 Warrants, which is a non-recurring fair value, was determined as of the date of issuance using a Black-Scholes pricing model and the fair value of $200 was recorded as a component of stockholders’ equity in Additional-paid-in-capital in the Consolidated Balance Sheets, with the offset recorded as a discount on the amounts funded under the Credit Agreement. This non-recurring measurement is classified as Level 2. The inputs used were a strike price of $58.3232, the Company’s stock price of $59.36, volatility of 99%, term of 5.4 years and risk-free rate of 4.14%.</w:t>
      </w:r>
    </w:p>
    <w:p>
      <w:pPr>
        <w:spacing w:after="0" w:line="173" w:lineRule="exact"/>
        <w:rPr>
          <w:sz w:val="20"/>
          <w:szCs w:val="20"/>
          <w:color w:val="auto"/>
        </w:rPr>
      </w:pPr>
    </w:p>
    <w:p>
      <w:pPr>
        <w:ind w:left="60" w:right="11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Fourth Amendment, the Company issued 6 “2024 Warrants” at a strike price of $49.1568 per share. The fair value of the “2024 Warrants”, which was a non-recurring fair value, was determined as of the date of issuance using a Black-Scholes pricing model and the fair value of $224 was recorded as a component of stockholders’ equity in Additional-paid-in-capital in the Consolidated Balance Sheets, with the offset recorded as a discount on the amounts funded under the OFA Facilities. This non-recurring measurement is classified as Level 2. The inputs used were a strike price of $49.1568, the Company’s stock price of $44.48, volatility of 112.2%, term of 5 years and risk-free rate of 4.25%.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3" w:name="page204"/>
    <w:bookmarkEnd w:id="2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Fifth Amendment of the Credit Agreement, on the Fifth Amendment Effective Date of November 25, 2024, the Company amended and restated the Closing Date Warrants, 2023 Warrants, and 2024 Warrants granted to the Lenders to have an exercise price of $7.68 per share.</w:t>
      </w:r>
    </w:p>
    <w:p>
      <w:pPr>
        <w:spacing w:after="0" w:line="176"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Using a Black-Scholes pricing model, the Company determined that the Closing Date Warrants, 2023 Warrants, and 2024 Warrants’ fair values at the previously amended strike price of $58.3232 and original strike price of $49.1568 the amended strike price of $7.68 were $105 and $164, respectively, as of the Fifth Amendment Effective Date. The Closing Date Warrants, 2023 Warrants, and 2024 Warrants’ incremental increase in fair value for the repricing of $59, was recorded as a component of stockholders’ equity in Additional-paid-in-capital in the Consolidated Balance Sheets, with the offset recorded as a discount on the amounts refinanced under the Credit Agreement.</w:t>
      </w:r>
    </w:p>
    <w:p>
      <w:pPr>
        <w:spacing w:after="0" w:line="187" w:lineRule="exact"/>
        <w:rPr>
          <w:sz w:val="20"/>
          <w:szCs w:val="20"/>
          <w:color w:val="auto"/>
        </w:rPr>
      </w:pPr>
    </w:p>
    <w:p>
      <w:pPr>
        <w:ind w:left="60" w:right="99" w:firstLine="401"/>
        <w:spacing w:after="0" w:line="252" w:lineRule="auto"/>
        <w:rPr>
          <w:sz w:val="20"/>
          <w:szCs w:val="20"/>
          <w:color w:val="auto"/>
        </w:rPr>
      </w:pPr>
      <w:r>
        <w:rPr>
          <w:rFonts w:ascii="Times New Roman" w:cs="Times New Roman" w:eastAsia="Times New Roman" w:hAnsi="Times New Roman"/>
          <w:sz w:val="18"/>
          <w:szCs w:val="18"/>
          <w:color w:val="auto"/>
        </w:rPr>
        <w:t>The fair value of the Accompanying Warrants at issuance on March 25, 2024 was determined using a Black-Scholes pricing model and the fair value of $19,347 was recorded as a derivative liability with the offset recorded as a component of stockholders’ equity in Additional-paid-in-capital in the Consolidated Balance Sheets. This fair value measurement is classified as Level 2. The valuation inputs used were a strike price of $51.20, the Company’s stock price of $44.96, volatility of 112.2%, a term of 5 years and a risk-free rate of 4.2%. On November 25, 2024, 534 of the 539 Accompanying Warrants’ strike price were amended to $9.136, as part of the consideration provided to one of the investors in the November 2024 Equity raise discussed in Note 11, Common Stock Financing Activities. The increase in fair value due to the amended strike price of $1,000 was recorded as an increase in the carrying value of the Derivative liability, with the offset recorded as a loss in Other (income) expense, net, in the Company’s Consolidated Statements of Operations. We remeasured the Accompanying Warrants’ fair value at December 31, 2024 of $2,320 and recorded a net gain of $17,027, including the repricing loss of $1,000 for the year ended December 31, 2024, respectively within Other (income) expense, net in the Company’s Consolidated Statements of Operations. The valuation inputs used as of December 31, 2024 were a strike prices of $9.136 and $51.20 for 534 and 5 Accompanying Warrants, respectively, the Company’s stock price of $5.984, volatility of 112.3%, term of 4.2 years and risk-free rate of 4.4%.</w:t>
      </w:r>
    </w:p>
    <w:p>
      <w:pPr>
        <w:spacing w:after="0" w:line="197" w:lineRule="exact"/>
        <w:rPr>
          <w:sz w:val="20"/>
          <w:szCs w:val="20"/>
          <w:color w:val="auto"/>
        </w:rPr>
      </w:pPr>
    </w:p>
    <w:p>
      <w:pPr>
        <w:ind w:left="60" w:right="99" w:firstLine="401"/>
        <w:spacing w:after="0" w:line="254" w:lineRule="auto"/>
        <w:rPr>
          <w:sz w:val="20"/>
          <w:szCs w:val="20"/>
          <w:color w:val="auto"/>
        </w:rPr>
      </w:pPr>
      <w:r>
        <w:rPr>
          <w:rFonts w:ascii="Times New Roman" w:cs="Times New Roman" w:eastAsia="Times New Roman" w:hAnsi="Times New Roman"/>
          <w:sz w:val="18"/>
          <w:szCs w:val="18"/>
          <w:color w:val="auto"/>
        </w:rPr>
        <w:t>The fair value of the November 2024 Accompanying Warrants at issuance on November 25, 2024 was determined using a Black-Scholes pricing model and the fair value of $5,562 was recorded as a derivative liability with the offset recorded as a component of stockholders’ equity in Additional-paid-in-capital in the Condensed Consolidated Balance Sheets. This fair value measurement is classified as Level 2. The valuation inputs used were a strike price of $7.68, the Company’s stock price of $7.52, volatility of 112.5%, a term of 5 years and a risk-free rate of 4.2%. We remeasured the fair value at December 31, 2024 of $4,273 and recorded an unrealized gain of $1,289 for the year ended December 31, 2024, respectively within Other (income) expense, net in the Company’s Consolidated Statements of Operations. The valuation inputs used as of December 31, 2024 were a strike price of $7.68, the Company’s stock price of $5.984, volatility of 112.3%, term of 4.9 years and risk-free rate of 4.4%.</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02" w:lineRule="exact"/>
        <w:rPr>
          <w:sz w:val="20"/>
          <w:szCs w:val="20"/>
          <w:color w:val="auto"/>
        </w:rPr>
      </w:pPr>
    </w:p>
    <w:p>
      <w:pPr>
        <w:ind w:left="60" w:right="519" w:firstLine="324"/>
        <w:spacing w:after="0" w:line="289" w:lineRule="auto"/>
        <w:rPr>
          <w:sz w:val="20"/>
          <w:szCs w:val="20"/>
          <w:color w:val="auto"/>
        </w:rPr>
      </w:pPr>
      <w:r>
        <w:rPr>
          <w:rFonts w:ascii="Times New Roman" w:cs="Times New Roman" w:eastAsia="Times New Roman" w:hAnsi="Times New Roman"/>
          <w:sz w:val="17"/>
          <w:szCs w:val="17"/>
          <w:color w:val="auto"/>
        </w:rPr>
        <w:t>The significant components of the Company's net deferred tax assets at December 31, 2024 are shown below. In determining the realizability of the Company's net deferred tax assets, the Company considered numerous factors, including historical profitability, estimated future taxable income, and the industry in which it operates. Based on this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4" w:name="page205"/>
    <w:bookmarkEnd w:id="2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information the Company has provided a valuation allowance for the full amount of its net deferred tax asset because the Company has determined that it is more likely than not that they will not be realized.</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73,770</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research &amp; development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49,603</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accounting - liability</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Disallowed charitable contributions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Cancellation of debt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(192,149)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(173,679)</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Debt amendment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firstLine="324"/>
        <w:spacing w:after="0" w:line="266" w:lineRule="auto"/>
        <w:rPr>
          <w:sz w:val="20"/>
          <w:szCs w:val="20"/>
          <w:color w:val="auto"/>
        </w:rPr>
      </w:pPr>
      <w:r>
        <w:rPr>
          <w:rFonts w:ascii="Times New Roman" w:cs="Times New Roman" w:eastAsia="Times New Roman" w:hAnsi="Times New Roman"/>
          <w:sz w:val="18"/>
          <w:szCs w:val="18"/>
          <w:color w:val="auto"/>
        </w:rPr>
        <w:t>The income tax expense/(benefit) for the year ended December 31, 2024 differed from the amounts computed by applying the U.S. federal income tax rate of 21% to loss before tax benefit as a result of tax credits generated and changes in the Company’s valuation allowance.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between the Company’s effective tax rate and the federal statutory rate are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21.0 %</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mark-to-market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(4,238)</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and state credits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(1,870)</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3.2 %</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(14,261)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16"/>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55,307</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0"/>
        </w:trPr>
        <w:tc>
          <w:tcPr>
            <w:tcW w:w="53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firstLine="324"/>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had approximately $432,634 of gross federal and $443,454 of gross state net operating loss carry-forwards. If not utilized, the federal and state net operating loss carry-forwards will begin to expire in 2037. The federal net operating loss of $429,988 incurred after December 31, 2017 will carryforward indefinitely. The utilization of such net operating loss carry-forwards and realization of tax benefits in future years depends predominantly upon having taxable income. The Company has approximately $15,965 of federal orphan drug credits and research and development credits which will begin to expire in 2037 if not utilized. The Company also has approximately $1,548 of state research and development credits which will begin to expire in 2040 if not utilized.</w:t>
      </w:r>
    </w:p>
    <w:p>
      <w:pPr>
        <w:spacing w:after="0" w:line="189" w:lineRule="exact"/>
        <w:rPr>
          <w:sz w:val="20"/>
          <w:szCs w:val="20"/>
          <w:color w:val="auto"/>
        </w:rPr>
      </w:pPr>
    </w:p>
    <w:p>
      <w:pPr>
        <w:ind w:left="60" w:right="159" w:firstLine="324"/>
        <w:spacing w:after="0" w:line="261" w:lineRule="auto"/>
        <w:rPr>
          <w:sz w:val="20"/>
          <w:szCs w:val="20"/>
          <w:color w:val="auto"/>
        </w:rPr>
      </w:pPr>
      <w:r>
        <w:rPr>
          <w:rFonts w:ascii="Times New Roman" w:cs="Times New Roman" w:eastAsia="Times New Roman" w:hAnsi="Times New Roman"/>
          <w:sz w:val="18"/>
          <w:szCs w:val="18"/>
          <w:color w:val="auto"/>
        </w:rPr>
        <w:t>Utilization of the NOL and research tax credit carryforwards may be subject to a substantial annual limitation due to ownership limitations that has occurred or that could occur in the future, as required by section 382 of the Code, as well as similar state and foreign provisions. These ownership changes may limit the amount of the NOL and research credit carryforwards that can be utilized annually to offset future taxable income and tax, respectively. In general, 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5" w:name="page206"/>
    <w:bookmarkEnd w:id="2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"ownership change" as defined by Section 382 of the Code results from a transaction or series of transactions over a three year period resulting in an ownership change of more than 50 percentage points of the outstanding stock of a by certain stockholders or public groups.</w:t>
      </w:r>
    </w:p>
    <w:p>
      <w:pPr>
        <w:spacing w:after="0" w:line="176" w:lineRule="exact"/>
        <w:rPr>
          <w:sz w:val="20"/>
          <w:szCs w:val="20"/>
          <w:color w:val="auto"/>
        </w:rPr>
      </w:pPr>
    </w:p>
    <w:p>
      <w:pPr>
        <w:ind w:left="60" w:right="219" w:firstLine="324"/>
        <w:spacing w:after="0" w:line="255" w:lineRule="auto"/>
        <w:rPr>
          <w:sz w:val="20"/>
          <w:szCs w:val="20"/>
          <w:color w:val="auto"/>
        </w:rPr>
      </w:pPr>
      <w:r>
        <w:rPr>
          <w:rFonts w:ascii="Times New Roman" w:cs="Times New Roman" w:eastAsia="Times New Roman" w:hAnsi="Times New Roman"/>
          <w:sz w:val="18"/>
          <w:szCs w:val="18"/>
          <w:color w:val="auto"/>
        </w:rPr>
        <w:t>Entities are also required to evaluate, measure, recognize and disclose any uncertain income tax positions taken on their income tax returns. The Company has analyzed its tax positions and has concluded that as of December 31, 2024, there were no uncertain positions. The Company's U.S. federal and state NOLs have occurred since its inception in 2017 and as such, tax years subject to potential tax examination could apply from that date because the utilization of net operating losses from prior years opens the relevant year to audit by the U.S. Internal Revenue Service and/or state taxing authorities. The Company did not have any unrecognized tax benefits and has not accrued any interest or penalties for the years ended December 31, 2024 and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Net Loss Per Share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Basic and diluted net loss per share are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(numerator)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(59,599)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(denominator)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Potentially dilutive securities outstanding consists of stock options, RSUs and performance units, and BTI warrants.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common stock equivalents outstanding are as follows: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tcPr>
          <w:p>
            <w:pPr>
              <w:spacing w:after="0"/>
              <w:rPr>
                <w:sz w:val="16"/>
                <w:szCs w:val="16"/>
                <w:color w:val="auto"/>
              </w:rPr>
            </w:pPr>
          </w:p>
        </w:tc>
      </w:tr>
      <w:tr>
        <w:trPr>
          <w:trHeight w:val="243"/>
        </w:trPr>
        <w:tc>
          <w:tcPr>
            <w:tcW w:w="6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4"/>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21"/>
                <w:szCs w:val="21"/>
                <w:color w:val="auto"/>
              </w:rPr>
            </w:pPr>
          </w:p>
        </w:tc>
      </w:tr>
      <w:tr>
        <w:trPr>
          <w:trHeight w:val="226"/>
        </w:trPr>
        <w:tc>
          <w:tcPr>
            <w:tcW w:w="6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BTI Warrants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65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18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may be subject to litigation and regulatory examinations as well as information gathering requests, inquiries and/or investigations. Other than the below, the Company is not currently subject to any matters where it believes there is a reasonable possibility that a material loss may be incurred.</w:t>
      </w:r>
    </w:p>
    <w:p>
      <w:pPr>
        <w:spacing w:after="0" w:line="153" w:lineRule="exact"/>
        <w:rPr>
          <w:sz w:val="20"/>
          <w:szCs w:val="20"/>
          <w:color w:val="auto"/>
        </w:rPr>
      </w:pPr>
    </w:p>
    <w:p>
      <w:pPr>
        <w:ind w:left="60" w:right="9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July 7, 2023, plaintiff Katelyn Martin filed a class action complaint against the Company and certain executives in the United States District Court for the District of Connecticut, captioned </w:t>
      </w:r>
      <w:r>
        <w:rPr>
          <w:rFonts w:ascii="Times New Roman" w:cs="Times New Roman" w:eastAsia="Times New Roman" w:hAnsi="Times New Roman"/>
          <w:sz w:val="18"/>
          <w:szCs w:val="18"/>
          <w:i w:val="1"/>
          <w:iCs w:val="1"/>
          <w:color w:val="auto"/>
        </w:rPr>
        <w:t>Martin v. BioXcel Therapeutics, et al.</w:t>
      </w:r>
      <w:r>
        <w:rPr>
          <w:rFonts w:ascii="Times New Roman" w:cs="Times New Roman" w:eastAsia="Times New Roman" w:hAnsi="Times New Roman"/>
          <w:sz w:val="18"/>
          <w:szCs w:val="18"/>
          <w:color w:val="auto"/>
        </w:rPr>
        <w:t xml:space="preserve">, 3:23-cv-00915 (D. Conn). The case has since been renamed to </w:t>
      </w:r>
      <w:r>
        <w:rPr>
          <w:rFonts w:ascii="Times New Roman" w:cs="Times New Roman" w:eastAsia="Times New Roman" w:hAnsi="Times New Roman"/>
          <w:sz w:val="18"/>
          <w:szCs w:val="18"/>
          <w:i w:val="1"/>
          <w:iCs w:val="1"/>
          <w:color w:val="auto"/>
        </w:rPr>
        <w:t>Hills et al v. BioXcel Therapeutics, Inc. et al</w:t>
      </w:r>
      <w:r>
        <w:rPr>
          <w:rFonts w:ascii="Times New Roman" w:cs="Times New Roman" w:eastAsia="Times New Roman" w:hAnsi="Times New Roman"/>
          <w:sz w:val="18"/>
          <w:szCs w:val="18"/>
          <w:color w:val="auto"/>
        </w:rPr>
        <w:t>. On October 4, 2023, pursuant to the Private Securities Litigation Reform Act, the court appointed two co-Lead Plaintiffs. The co-Lead Plaintiffs filed an amended complaint on December 5, 2023, alleging violations of Sections 10(b) and 20A of the Securities and Exchange Act of 1934 (the “Exchange Act”) and SEC Rule 10b-5 promulgated thereunder. On July 11, 2024, the Court dismissed the amended complaint without prejudice and, on August 1, 2024, co-Lead Plaintiffs filed a second amended complaint. The second amended complaint alleges that defendants made false or misleading statements regarding the TRANQUILITY II trial and the development of BXCL501 for an expanded indication related to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6" w:name="page207"/>
    <w:bookmarkEnd w:id="2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treatment of certain Alzheimer’s-related agitation. The Company moved to dismiss the second amended complaint on September 6, 2024. On February 24, 2025, while the Company’s motion to dismiss remained pending, Plaintiffs moved for leave to further amend their complaint. The Company filed an opposition to the motion on March 17, 2025. Plaintiffs’ reply is due April 7, 2025.</w:t>
      </w:r>
    </w:p>
    <w:p>
      <w:pPr>
        <w:spacing w:after="0" w:line="153" w:lineRule="exact"/>
        <w:rPr>
          <w:sz w:val="20"/>
          <w:szCs w:val="20"/>
          <w:color w:val="auto"/>
        </w:rPr>
      </w:pPr>
    </w:p>
    <w:p>
      <w:pPr>
        <w:ind w:left="60" w:right="21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2023, Plaintiffs Pratheesan Panancherry and Jeffrey Bastress filed a stockholder derivative complaint in the United States District Court for the District of Connecticut purportedly on behalf of the Company and against Vimal Mehta, Richard I. Steinhart, Peter Mueller, June Bray, Sandeep Laumas, Michael Miller, Michal Votruba, and Krishnan Nandabalan as Defendants, and the Company as Nominal Defendant under the caption </w:t>
      </w:r>
      <w:r>
        <w:rPr>
          <w:rFonts w:ascii="Times New Roman" w:cs="Times New Roman" w:eastAsia="Times New Roman" w:hAnsi="Times New Roman"/>
          <w:sz w:val="18"/>
          <w:szCs w:val="18"/>
          <w:i w:val="1"/>
          <w:iCs w:val="1"/>
          <w:color w:val="auto"/>
        </w:rPr>
        <w:t>Panancherry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Mehta et al</w:t>
      </w:r>
      <w:r>
        <w:rPr>
          <w:rFonts w:ascii="Times New Roman" w:cs="Times New Roman" w:eastAsia="Times New Roman" w:hAnsi="Times New Roman"/>
          <w:sz w:val="18"/>
          <w:szCs w:val="18"/>
          <w:color w:val="auto"/>
        </w:rPr>
        <w:t xml:space="preserve">, 3:23-cv-1554. Following the initial action, Plaintiffs Maria Vomvolakis (3:24-cv-3) and Kelly Fowler (3:24-cv-203) each filed separate stockholder derivative complaints in the District of Connecticut raising similar claims as Panancherry and Bastress,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Stockholder Derivative Litigation</w:t>
      </w:r>
      <w:r>
        <w:rPr>
          <w:rFonts w:ascii="Times New Roman" w:cs="Times New Roman" w:eastAsia="Times New Roman" w:hAnsi="Times New Roman"/>
          <w:sz w:val="18"/>
          <w:szCs w:val="18"/>
          <w:color w:val="auto"/>
        </w:rPr>
        <w:t>, 3:23-cv-1554 (D. Conn.). The consolidated action is currently stayed.</w:t>
      </w:r>
    </w:p>
    <w:p>
      <w:pPr>
        <w:spacing w:after="0" w:line="148" w:lineRule="exact"/>
        <w:rPr>
          <w:sz w:val="20"/>
          <w:szCs w:val="20"/>
          <w:color w:val="auto"/>
        </w:rPr>
      </w:pPr>
    </w:p>
    <w:p>
      <w:pPr>
        <w:ind w:left="60" w:right="1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Plaintiff Jeremy Smith filed a stockholder derivative complaint in the United States District Court for the District of Delaware purportedly on behalf of the Company and against Vimal Mehta, Peter Mueller, June Bray, Sandeep Laumas, Michael Miller, Michal Votruba, Richard I. Steinhart, Robert Risinger, and Krishnan Nandabalan as Defendants, and the Company as Nominal Defendant under the caption </w:t>
      </w:r>
      <w:r>
        <w:rPr>
          <w:rFonts w:ascii="Times New Roman" w:cs="Times New Roman" w:eastAsia="Times New Roman" w:hAnsi="Times New Roman"/>
          <w:sz w:val="18"/>
          <w:szCs w:val="18"/>
          <w:i w:val="1"/>
          <w:iCs w:val="1"/>
          <w:color w:val="auto"/>
        </w:rPr>
        <w:t>Smith v. Mehta et al,</w:t>
      </w:r>
      <w:r>
        <w:rPr>
          <w:rFonts w:ascii="Times New Roman" w:cs="Times New Roman" w:eastAsia="Times New Roman" w:hAnsi="Times New Roman"/>
          <w:sz w:val="18"/>
          <w:szCs w:val="18"/>
          <w:color w:val="auto"/>
        </w:rPr>
        <w:t xml:space="preserve"> 1:24-cv-00041. Following the initial action, Plaintiff Janice Korff filed a stockholder derivative complaint in the District of Delaware raising similar claims as Smith (1:24-cv-130), including business torts and violations of the Securities Exchange Act of 1934. The cases have been consolidated under the caption </w:t>
      </w:r>
      <w:r>
        <w:rPr>
          <w:rFonts w:ascii="Times New Roman" w:cs="Times New Roman" w:eastAsia="Times New Roman" w:hAnsi="Times New Roman"/>
          <w:sz w:val="18"/>
          <w:szCs w:val="18"/>
          <w:i w:val="1"/>
          <w:iCs w:val="1"/>
          <w:color w:val="auto"/>
        </w:rPr>
        <w:t>In re BioXcel Therapeutics, Inc. Derivative Litigation</w:t>
      </w:r>
      <w:r>
        <w:rPr>
          <w:rFonts w:ascii="Times New Roman" w:cs="Times New Roman" w:eastAsia="Times New Roman" w:hAnsi="Times New Roman"/>
          <w:sz w:val="18"/>
          <w:szCs w:val="18"/>
          <w:color w:val="auto"/>
        </w:rPr>
        <w:t>, 1:24-cv-00041 (D. Del.). The consolidated action is currently stayed.</w:t>
      </w:r>
    </w:p>
    <w:p>
      <w:pPr>
        <w:spacing w:after="0" w:line="151" w:lineRule="exact"/>
        <w:rPr>
          <w:sz w:val="20"/>
          <w:szCs w:val="20"/>
          <w:color w:val="auto"/>
        </w:rPr>
      </w:pPr>
    </w:p>
    <w:p>
      <w:pPr>
        <w:ind w:left="60" w:right="419" w:firstLine="324"/>
        <w:spacing w:after="0" w:line="312" w:lineRule="auto"/>
        <w:rPr>
          <w:sz w:val="20"/>
          <w:szCs w:val="20"/>
          <w:color w:val="auto"/>
        </w:rPr>
      </w:pPr>
      <w:r>
        <w:rPr>
          <w:rFonts w:ascii="Times New Roman" w:cs="Times New Roman" w:eastAsia="Times New Roman" w:hAnsi="Times New Roman"/>
          <w:sz w:val="17"/>
          <w:szCs w:val="17"/>
          <w:color w:val="auto"/>
        </w:rPr>
        <w:t>At this time, the Company does not believe the claims in the above-captioned matters have merit, and intends to vigorously defend against them; however, the potential costs and liabilities associated with this litigation are uncertain.</w:t>
      </w:r>
    </w:p>
    <w:p>
      <w:pPr>
        <w:spacing w:after="0" w:line="113" w:lineRule="exact"/>
        <w:rPr>
          <w:sz w:val="20"/>
          <w:szCs w:val="20"/>
          <w:color w:val="auto"/>
        </w:rPr>
      </w:pPr>
    </w:p>
    <w:p>
      <w:pPr>
        <w:ind w:left="60" w:right="119" w:firstLine="324"/>
        <w:spacing w:after="0" w:line="253" w:lineRule="auto"/>
        <w:rPr>
          <w:sz w:val="20"/>
          <w:szCs w:val="20"/>
          <w:color w:val="auto"/>
        </w:rPr>
      </w:pPr>
      <w:r>
        <w:rPr>
          <w:rFonts w:ascii="Times New Roman" w:cs="Times New Roman" w:eastAsia="Times New Roman" w:hAnsi="Times New Roman"/>
          <w:sz w:val="18"/>
          <w:szCs w:val="18"/>
          <w:color w:val="auto"/>
        </w:rPr>
        <w:t>In April 2022, the Company signed a commercial supply agreement that requires minimum annual payments for the first three years of the agreement that in aggregate total $10,000 for the three-year period, of which $5,000 was originally due in year ended 2024. On July 11, 2024, the Company entered into an amendment to the commercial supply agreement (the “Product Supply Agreement Amendment”) that reduces the specified minimum annual payment over the next three years starting in the year ended 2024 and, thereafter, for a specified interval, provides for minimum annual payments to the extent that the Company receives approval of a supplemental new drug application (sNDA) or a new drug application (NDA) from the FDA for enumerated indications. The Company’s renegotiated agreement reduced the minimum commitment for 2024 to $1,000 and thereafter for the term of the agreement in annual amounts ranging from $2,000 to $5,000 subject, in certain instances, to the extent that the Company receives approval of an sNDA or NDA from the FDA for enumerated indications. In accordance with the Product Supply Agreement Amendment, the minimum commitments were reduced to $1,000, $2,000 and $2,000 in the years 2024, 2025, and 2026. In addition, the Company agreed to make a reconciliation payment of $1,200, paid in the third quarter of 2024 for full settlement for amounts due prior to the July 11, 2024 amendment.</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229" w:lineRule="exact"/>
        <w:rPr>
          <w:sz w:val="20"/>
          <w:szCs w:val="20"/>
          <w:color w:val="auto"/>
        </w:rPr>
      </w:pPr>
    </w:p>
    <w:p>
      <w:pPr>
        <w:ind w:left="60" w:right="259" w:firstLine="324"/>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utilizing artificial intelligence (“AI”) to develop transformative medicines in neuroscience and immuno-oncology. We are focused on utilizing cutting-edge technology and innovative research to develop high-value therapeutics aimed at transforming patients’ lives. We employ various AI platforms to reduce therapeutic development costs and potentially accelerate development timelines.</w:t>
      </w:r>
    </w:p>
    <w:p>
      <w:pPr>
        <w:spacing w:after="0" w:line="183" w:lineRule="exact"/>
        <w:rPr>
          <w:sz w:val="20"/>
          <w:szCs w:val="20"/>
          <w:color w:val="auto"/>
        </w:rPr>
      </w:pPr>
    </w:p>
    <w:p>
      <w:pPr>
        <w:ind w:left="60" w:right="119" w:firstLine="324"/>
        <w:spacing w:after="0" w:line="258" w:lineRule="auto"/>
        <w:rPr>
          <w:sz w:val="20"/>
          <w:szCs w:val="20"/>
          <w:color w:val="auto"/>
        </w:rPr>
      </w:pPr>
      <w:r>
        <w:rPr>
          <w:rFonts w:ascii="Times New Roman" w:cs="Times New Roman" w:eastAsia="Times New Roman" w:hAnsi="Times New Roman"/>
          <w:sz w:val="18"/>
          <w:szCs w:val="18"/>
          <w:color w:val="auto"/>
        </w:rPr>
        <w:t>Consistent with the operational structure, the Chief Executive Officer, as the chief operating decision maker (“CODM”), reviews weekly cash usage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7" w:name="page208"/>
    <w:bookmarkEnd w:id="2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Company’s operating performance and guide strategic decisions and resource allocations, including additional investments in research and development and commercialization activities.</w:t>
      </w:r>
    </w:p>
    <w:p>
      <w:pPr>
        <w:spacing w:after="0" w:line="162" w:lineRule="exact"/>
        <w:rPr>
          <w:sz w:val="20"/>
          <w:szCs w:val="20"/>
          <w:color w:val="auto"/>
        </w:rPr>
      </w:pPr>
    </w:p>
    <w:p>
      <w:pPr>
        <w:ind w:left="6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5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Clinical trials expense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Chemical, manufacturing and controls cost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w:t>
            </w:r>
          </w:p>
        </w:tc>
      </w:tr>
      <w:tr>
        <w:trPr>
          <w:trHeight w:val="21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10"/>
        </w:trPr>
        <w:tc>
          <w:tcPr>
            <w:tcW w:w="5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research and development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costs: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(401)</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12,485</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10"/>
        </w:trPr>
        <w:tc>
          <w:tcPr>
            <w:tcW w:w="5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commercial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37,904</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Personnel and related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marketing</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Travel related expenses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1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09"/>
        </w:trPr>
        <w:tc>
          <w:tcPr>
            <w:tcW w:w="5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selling, general and administrative costs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45,509</w:t>
            </w:r>
          </w:p>
        </w:tc>
      </w:tr>
      <w:tr>
        <w:trPr>
          <w:trHeight w:val="216"/>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0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69,511</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173,162</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r>
      <w:tr>
        <w:trPr>
          <w:trHeight w:val="21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(2,602)</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16"/>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(20,173)</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1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(59,599)</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(179,053)</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(59,599)</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(179,053)</w:t>
            </w: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7"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11, </w:t>
      </w:r>
      <w:r>
        <w:rPr>
          <w:rFonts w:ascii="Times New Roman" w:cs="Times New Roman" w:eastAsia="Times New Roman" w:hAnsi="Times New Roman"/>
          <w:sz w:val="18"/>
          <w:szCs w:val="18"/>
          <w:i w:val="1"/>
          <w:iCs w:val="1"/>
          <w:color w:val="auto"/>
        </w:rPr>
        <w:t>Common Stock Financing Activities</w:t>
      </w:r>
      <w:r>
        <w:rPr>
          <w:rFonts w:ascii="Times New Roman" w:cs="Times New Roman" w:eastAsia="Times New Roman" w:hAnsi="Times New Roman"/>
          <w:sz w:val="18"/>
          <w:szCs w:val="18"/>
          <w:color w:val="auto"/>
        </w:rPr>
        <w:t>, in connection with the November 2024 issuance and sale in a public offering of (i) 350 shares of the Company’s common stock, and the November 2024 Accompanying Warrants to purchase 350 shares of Common Stock, and (ii) pre-funded warrants to purchase 563 shares of Common Stock, in February 2025, certain investors exercised the remaining 483 pre-funded warrants to purchase 483 shares of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8" w:name="page209"/>
    <w:bookmarkEnd w:id="2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March 3, 2025, the Company entered into the Purchase Agreement with the Purchaser named therein. Pursuant to the Purchase Agreement, the Company agreed to issue and sell to the Purchaser and the Purchaser agreed to buy in a registered direct offering (i) an aggregate of 188 shares (the “Shares”) of common stock, par value $0.001 per share and accompanying warrants to purchase up to 188 shares of Common Stock at a combined offering price of $3.50 per Share and accompanying warrant, and (ii) the Pre-Funded Warrants to purchase up to 3,812 shares of Common Stock and accompanying warrants to purchase up to 3,812 shares of Common Stock, at a combined offering price of $3.499 per share underlying the Pre-Funded Warrants and accompanying warrant, which equals the offering price per Share and accompanying warrant less the $0.001exercise price per share of the Pre-Funded Warrants, pursuant to an effective registration statement on Form S-3 (File No. 333-275261), including the base prospectus included therein, and prospectus supplement filed with the SEC on March 4, 2025. As of March 28, 2025, 1,688 Pre-Funded Warrants were exercised. In the 2025 Offering, the Company also issued to the Purchaser warrants (the “Option Warrants”), to purchase up to 4,000 shares of Common Stock (or pre-funded warrants in lieu thereof) and accompanying warrants to purchase up to 4,000 shares of Common Stock to the Purchaser. The pre-funded warrants and accompanying warrants issuable upon exercise of the Option Warrants will have substantially identical terms as the Pre-Funded Warrants and the accompanying warrants. The exercise price of the Option Warrants is $3.50 per underlying share of Common Stock and accompanying warrant to purchase one share of Common Stock, or $3.499 per underlying pre-funded warrant to purchase one share of Common Stock and accompanying warrant to purchase one share of Common Stock. The Option Warrants expired on March 18, 2025 without being exercised.</w:t>
      </w:r>
    </w:p>
    <w:p>
      <w:pPr>
        <w:spacing w:after="0" w:line="192" w:lineRule="exact"/>
        <w:rPr>
          <w:sz w:val="20"/>
          <w:szCs w:val="20"/>
          <w:color w:val="auto"/>
        </w:rPr>
      </w:pPr>
    </w:p>
    <w:p>
      <w:pPr>
        <w:ind w:left="60" w:right="279" w:firstLine="324"/>
        <w:spacing w:after="0" w:line="282" w:lineRule="auto"/>
        <w:rPr>
          <w:sz w:val="20"/>
          <w:szCs w:val="20"/>
          <w:color w:val="auto"/>
        </w:rPr>
      </w:pPr>
      <w:r>
        <w:rPr>
          <w:rFonts w:ascii="Times New Roman" w:cs="Times New Roman" w:eastAsia="Times New Roman" w:hAnsi="Times New Roman"/>
          <w:sz w:val="18"/>
          <w:szCs w:val="18"/>
          <w:color w:val="auto"/>
        </w:rPr>
        <w:t>On March 26, 2025, we and Jefferies terminated that certain Open Market Sales Agreement, dated May 10, 2021, as amended on November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BioXcel Therapeutics, Inc. has one class of securities registered under Section 12 of the Securities Exchange Act of 1934, as amended (the “Exchange Act”). References herein to “we,” “us,” “our” and the “Company” refer to BioXcel Therapeutics, Inc. and not to any of its subsidiaries.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common stock and certain provisions of our amended and restated certificate of incorporation (as amended and/or restated from time to time, our “charter”) and amended and restated bylaws (as amended and/or restated from time to time, our “bylaws”) are summaries and are qualified in their entirety by reference to the full text of our amended and restated certificate of incorporation and our amended and restated bylaws, each of which have been publicly filed with the Securities and Exchange Commission (the “SEC”). We encourage you to read our amended and restated certificate of incorporation and our amended and restated bylaws and the applicable provisions of the Delaware General Corporation Law (the “DGCL”)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are authorized to issue up to a total of 200,000,000 shares of common stock, par value $0.001 per share. Holders of our common stock are entitled to one vote for each share held on all matters submitted to a vote of our stockholders. Holders of our common stock have no cumulative voting rights. Further, holders of our common stock have no preemptive or conversion rights or other subscription rights.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Upon our liquidation, dissolution or winding- up, holders of our common stock are entitled to share in all assets remaining after payment of all liabilities and the liquidation preferences of any of our outstanding shares of preferred stock. Subject to preferences that may be applicable to any outstanding shares of preferred stock, holders of our common stock are entitled to receive dividends, if any, as may be declared from time to time by our board of directors out of our assets which are legally available. Such dividends, if any, are payable in cash, in property or in shares of capital stock.</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holders of one-third of the voting power of our issued and outstanding capital stock, represented in person or by proxy, are necessary to constitute a quorum for the transaction of business at any meeting. If a quorum is present, an action by stockholders entitled to vote on a matter is approved if the number of votes cast in favor of the action exceeds the number of votes cast in opposition to the action unless a different vote is required by law, the charter, the by-laws or, with respect to a class or series of preferred stock, the terms of any resolution or resolutions adopted by the board of directors. Pursuant to our charter, the election of directors requires a plurality of the votes cast by the stockholders present in person or represented by proxy at the meeting and entitled to vote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the stockholders, to issue up to 10,000,000 shares of preferred stock in one or more series and to fix the designations, powers, preferences, privileges, and relative participating, optional, or special rights as well as the qualifications, limitations, or restrictions of the preferred stock, including dividend rights, conversion rights, voting rights, terms of redemption, and liquidation preferences, any or all of which may be greater than the rights of the common stock. Our board of directors, without stockholder approval, can issue convertible preferred stock with voting, conversion, or other rights that could adversely affect the voting power and other rights of the holders of common stock. Preferred stock could be issued quickly with terms calculated to delay or prevent a change of control or make removal of management more difficult. Additionally, the issuance of preferred stock may have the effect of decreasing the market price of our common stock, and may adversely affect the voting and other rights of the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Charter and Bylaws and the DGCL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In general, Section 203 prohibits a publicly traded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voting stock, subject to certain exceptions. The statute could have the effect of delaying, deferring or preventing a change in control of our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charter provides that our Board is divided into three classes, with the classes as nearly equal in number as possible and each class serving three-year staggered terms. Directors may only be removed from our board of directors for cause and only by the affirmative vote of holders of a majority of the voting power of all then-outstanding shares of capital stock of the Company entitled to vote generally in the election of directors, voting together as a single class. These provisions may have the effect of deferring, delaying or discouraging hostile takeovers, or changes in control of us or our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Vacancies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charter and bylaws authorize only our board of directors to fill vacant directorships. In addition, the number of directors constituting our board of directors may be set only by resolution of the majority of the incumbent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our stockholders may not take action by written consent. Our charter and bylaws further provide that special meetings of our stockholders may be called by a majority of the board of directors, the Chief Executive Officer, or the Chairman of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must be delivered to the secretary at our principal executive offices not later than the close of business on the 90th day nor earlier than the close of business on the 120th day prior to the first anniversary of the preceding year's annual meeting; provided, however, that in the event the date of the annual meeting is more than 30 days before or more than 60 days after such anniversary date,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10th day following the day on which a public announcement of the date of such meeting is first made by us. These provisions may preclude our stockholders from bringing matters before our annual meeting of stockholders or from making nominations for directors at our annual meeting of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and may be utilized for a variety of corporate purposes, including future public offerings to raise additional capital, corporate acquisitions and employee benefit plans. The existence of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11" w:name="page212"/>
    <w:bookmarkEnd w:id="211"/>
    <w:p>
      <w:pPr>
        <w:ind w:right="80"/>
        <w:spacing w:after="0" w:line="282" w:lineRule="auto"/>
        <w:rPr>
          <w:sz w:val="20"/>
          <w:szCs w:val="20"/>
          <w:color w:val="auto"/>
        </w:rPr>
      </w:pPr>
      <w:r>
        <w:rPr>
          <w:rFonts w:ascii="Times New Roman" w:cs="Times New Roman" w:eastAsia="Times New Roman" w:hAnsi="Times New Roman"/>
          <w:sz w:val="18"/>
          <w:szCs w:val="18"/>
          <w:color w:val="auto"/>
        </w:rPr>
        <w:t>but unissued and unreserved common stock and preferred stock could render more difficult or discourage an attempt to obtain control of us by means of a proxy contest, tender offer, merger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Indemnification of Officers and Directors and Insurance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as directors and our charter includes such an exculpation provision. Our charter and bylaws include provisions that indemnify, to the fullest extent allowable under the DGCL, the personal liability of directors or officers for monetary damages for actions taken as a director or officer of us, or for serving at our request as a director or officer or another position at another corporation or enterprise, as the case may be. Our charter and bylaws also provide that we must indemnify and advance reasonable expenses to our directors and officers, subject to our receipt of an undertaking from the indemnified party as may be required under the DGCL. Our bylaws expressly authorize us to carry directors' and officers' insurance to protect us, our directors, officers and certain employees for some liabilities. The limitation of liability and indemnification provisions in our charter and bylaws may discourage stockholders from bringing a lawsuit against directors for breach of their fiduciary duty. These provisions may also have the effect of reducing the likelihood of derivative litigation against our directors and officers, even though such an action, if successful, might otherwise benefit us and our stockholders. However, these provisions do not limit or eliminate our rights, or those of any stockholder, to seek non-monetary relief such as injunction or rescission in the event of a breach of a director's duty of care. These provisions will not alter the liability of directors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7" w:right="101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tc>
        <w:tc>
          <w:tcPr>
            <w:tcW w:w="0" w:type="dxa"/>
            <w:vAlign w:val="bottom"/>
          </w:tcPr>
          <w:p>
            <w:pPr>
              <w:spacing w:after="0"/>
              <w:rPr>
                <w:sz w:val="1"/>
                <w:szCs w:val="1"/>
                <w:color w:val="auto"/>
              </w:rPr>
            </w:pPr>
          </w:p>
        </w:tc>
      </w:tr>
      <w:tr>
        <w:trPr>
          <w:trHeight w:val="432"/>
        </w:trPr>
        <w:tc>
          <w:tcPr>
            <w:tcW w:w="2860" w:type="dxa"/>
            <w:vAlign w:val="bottom"/>
          </w:tcPr>
          <w:p>
            <w:pPr>
              <w:spacing w:after="0"/>
              <w:rPr>
                <w:sz w:val="24"/>
                <w:szCs w:val="24"/>
                <w:color w:val="auto"/>
              </w:rPr>
            </w:pPr>
          </w:p>
        </w:tc>
        <w:tc>
          <w:tcPr>
            <w:tcW w:w="706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9"/>
              </w:rPr>
              <w:t>BIOXCEL THERAPEUTICS, INC.</w:t>
            </w:r>
          </w:p>
        </w:tc>
        <w:tc>
          <w:tcPr>
            <w:tcW w:w="0" w:type="dxa"/>
            <w:vAlign w:val="bottom"/>
          </w:tcPr>
          <w:p>
            <w:pPr>
              <w:spacing w:after="0"/>
              <w:rPr>
                <w:sz w:val="1"/>
                <w:szCs w:val="1"/>
                <w:color w:val="auto"/>
              </w:rPr>
            </w:pPr>
          </w:p>
        </w:tc>
      </w:tr>
      <w:tr>
        <w:trPr>
          <w:trHeight w:val="432"/>
        </w:trPr>
        <w:tc>
          <w:tcPr>
            <w:tcW w:w="2860" w:type="dxa"/>
            <w:vAlign w:val="bottom"/>
          </w:tcPr>
          <w:p>
            <w:pPr>
              <w:spacing w:after="0"/>
              <w:rPr>
                <w:sz w:val="24"/>
                <w:szCs w:val="24"/>
                <w:color w:val="auto"/>
              </w:rPr>
            </w:pPr>
          </w:p>
        </w:tc>
        <w:tc>
          <w:tcPr>
            <w:tcW w:w="7060" w:type="dxa"/>
            <w:vAlign w:val="bottom"/>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8"/>
              </w:rPr>
              <w:t>AMENDED AND RESTATED WARRANT</w:t>
            </w:r>
          </w:p>
        </w:tc>
        <w:tc>
          <w:tcPr>
            <w:tcW w:w="0" w:type="dxa"/>
            <w:vAlign w:val="bottom"/>
          </w:tcPr>
          <w:p>
            <w:pPr>
              <w:spacing w:after="0"/>
              <w:rPr>
                <w:sz w:val="1"/>
                <w:szCs w:val="1"/>
                <w:color w:val="auto"/>
              </w:rPr>
            </w:pPr>
          </w:p>
        </w:tc>
      </w:tr>
      <w:tr>
        <w:trPr>
          <w:trHeight w:val="432"/>
        </w:trPr>
        <w:tc>
          <w:tcPr>
            <w:tcW w:w="2860" w:type="dxa"/>
            <w:vAlign w:val="bottom"/>
          </w:tcPr>
          <w:p>
            <w:pPr>
              <w:spacing w:after="0"/>
              <w:rPr>
                <w:sz w:val="24"/>
                <w:szCs w:val="24"/>
                <w:color w:val="auto"/>
              </w:rPr>
            </w:pPr>
          </w:p>
        </w:tc>
        <w:tc>
          <w:tcPr>
            <w:tcW w:w="706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TO PURCHASE SHARES OF COMMON STOCK</w:t>
            </w:r>
          </w:p>
        </w:tc>
        <w:tc>
          <w:tcPr>
            <w:tcW w:w="0" w:type="dxa"/>
            <w:vAlign w:val="bottom"/>
          </w:tcPr>
          <w:p>
            <w:pPr>
              <w:spacing w:after="0"/>
              <w:rPr>
                <w:sz w:val="1"/>
                <w:szCs w:val="1"/>
                <w:color w:val="auto"/>
              </w:rPr>
            </w:pPr>
          </w:p>
        </w:tc>
      </w:tr>
      <w:tr>
        <w:trPr>
          <w:trHeight w:val="427"/>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Warrant No. [●]</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Shares: [●]</w:t>
            </w:r>
          </w:p>
        </w:tc>
        <w:tc>
          <w:tcPr>
            <w:tcW w:w="0" w:type="dxa"/>
            <w:vAlign w:val="bottom"/>
          </w:tcPr>
          <w:p>
            <w:pPr>
              <w:spacing w:after="0"/>
              <w:rPr>
                <w:sz w:val="1"/>
                <w:szCs w:val="1"/>
                <w:color w:val="auto"/>
              </w:rPr>
            </w:pPr>
          </w:p>
        </w:tc>
      </w:tr>
      <w:tr>
        <w:trPr>
          <w:trHeight w:val="234"/>
        </w:trPr>
        <w:tc>
          <w:tcPr>
            <w:tcW w:w="2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of Issuance: November 25, 2024</w:t>
            </w: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(subject to adjustment)</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7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BioXcel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[●]shares of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at an exercise price per share equal to $0.571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Warrant to Purchase Shares of Common Stock (including any Warrants to Purchase Shares of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and on or prior to 5:00 pm Eastern Time on March 27, 2029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subject to the following terms and conditions:</w:t>
      </w:r>
    </w:p>
    <w:p>
      <w:pPr>
        <w:spacing w:after="0" w:line="190"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as such terms are used in and construed under Rule 405 under the Securities Act,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w:t>
      </w:r>
    </w:p>
    <w:p>
      <w:pPr>
        <w:spacing w:after="0" w:line="18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Securities Act and the Exchange Act; (ii) the class and series of shares or other security of the issuer that would be received by Holder in connection with the Fundamental Transaction (as defined below) were Holder to exercise this Warrant on or prior to the closing thereof is then traded or quoted on a nationally recognized securities exchange, inter-dealer quotation system or over-the-counter market, and (iii) following the closing of such Fundamental Transaction, the Holder would not be restricted from publicly re-selling all of the issuer’s shares and/or other securities that would be received by the Holder in such Fundamental Transaction were the Holder to exercise or convert this Warrant in full on or prior to the closing of such Fundamental Transaction, except to the extent that any such restriction (x) arises solely under federal or state securities laws, rules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843280</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color w:val="auto"/>
        </w:rPr>
        <w:t>regulations, and (y) does not extend beyond six (6) months from the closing of such Fundamental Transaction.</w:t>
      </w:r>
    </w:p>
    <w:p>
      <w:pPr>
        <w:spacing w:after="0" w:line="221" w:lineRule="exact"/>
        <w:rPr>
          <w:sz w:val="20"/>
          <w:szCs w:val="20"/>
          <w:color w:val="auto"/>
        </w:rPr>
      </w:pPr>
    </w:p>
    <w:p>
      <w:pPr>
        <w:jc w:val="both"/>
        <w:ind w:firstLine="1304"/>
        <w:spacing w:after="0" w:line="268"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shares of Common Stock are primarily listed on and quoted for trading, which, as of the Original Issue Date, shall be the Nasdaq Capital Market.</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333-275261), filed with the Commission on November 2, 2023.</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open for trading. If the shares of Common Stock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176" w:lineRule="exact"/>
        <w:rPr>
          <w:rFonts w:ascii="Times New Roman" w:cs="Times New Roman" w:eastAsia="Times New Roman" w:hAnsi="Times New Roman"/>
          <w:sz w:val="18"/>
          <w:szCs w:val="18"/>
          <w:color w:val="auto"/>
        </w:rPr>
      </w:pPr>
    </w:p>
    <w:p>
      <w:pPr>
        <w:ind w:right="20" w:firstLine="1304"/>
        <w:spacing w:after="0" w:line="286"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Equiniti Trust Company, LLC, the Company’s transfer agent and registrar for the Common Stock, and any successor appointed in such capacity.</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(i) if the Common Stock is then listed or quoted on a national securities exchange or other trading market, the daily volume weighted average price of the Common Stock for such date (or the nearest preceding date) on the Principal Trading Market as reported by Bloomberg L.P. (based on a Trading Day from 9:30 a.m. (New York City time) to 4:02 p.m. (New York City time)), (ii) if the Common Stock is then listed or quoted for trading and neither OTCQB nor OTCQX is the Principal Trading Market, the volume weighted average price of the Common Stock for such date (or the nearest preceding date) on OTCQB or OTCQX, as applicable, (iii)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(iv)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8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Securities; Registration of Warrants</w:t>
      </w:r>
      <w:r>
        <w:rPr>
          <w:rFonts w:ascii="Times New Roman" w:cs="Times New Roman" w:eastAsia="Times New Roman" w:hAnsi="Times New Roman"/>
          <w:sz w:val="18"/>
          <w:szCs w:val="18"/>
          <w:color w:val="auto"/>
        </w:rPr>
        <w:t>. This Warrant, as initially issued by the Company, is offered and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Transfer Agent to, register the transfer of all or any portion of this Warrant in the Warrant Register, upon surrender of this Warrant, and payment for all applicable taxes (if any). Upon any such registration or transfer, a new warrant to purchase shares of Common Stock in substantially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14" w:name="page215"/>
    <w:bookmarkEnd w:id="214"/>
    <w:p>
      <w:pPr>
        <w:jc w:val="both"/>
        <w:spacing w:after="0" w:line="256" w:lineRule="auto"/>
        <w:rPr>
          <w:sz w:val="20"/>
          <w:szCs w:val="20"/>
          <w:color w:val="auto"/>
        </w:rPr>
      </w:pPr>
      <w:r>
        <w:rPr>
          <w:rFonts w:ascii="Times New Roman" w:cs="Times New Roman" w:eastAsia="Times New Roman" w:hAnsi="Times New Roman"/>
          <w:sz w:val="18"/>
          <w:szCs w:val="18"/>
          <w:color w:val="auto"/>
        </w:rPr>
        <w:t>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5"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and Duration of Warrants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the manner set forth herein at any time and from time to time on or after the Original Issue Date and on or prior to the Termination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may exercise this Warrant by delivering to the Company (i) an exercise notice, in the form attached as Schedule 1 hereto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No later than one Trading Day following the delivery of such Exercise Notice, the Holder shall deliver to the Company payment of the Exercise Price for the number of Warrant Shares as to which this Warrant is being exercised by wire transfer or cashier’s check drawn on a United States bank unless the cashless exercise procedures specified in Section 10 below is specified in the applicable Exercise Notice. The Holder shall not be required to deliver the original Warrant in order to effect an exercise hereunder. No ink original Exercise Notice shall be required, nor shall any medallion guarantee (or other type of guarantee or notarization) of any Exercise Notice be required. Execution and delivery of the Exercise Notice shall have the same effect as cancellation of the original Warrant and issuance of a New Warrant evidencing the right to purchase the remaining number of Warrant Shares, if any. </w:t>
      </w:r>
      <w:r>
        <w:rPr>
          <w:rFonts w:ascii="Times New Roman" w:cs="Times New Roman" w:eastAsia="Times New Roman" w:hAnsi="Times New Roman"/>
          <w:sz w:val="18"/>
          <w:szCs w:val="18"/>
          <w:b w:val="1"/>
          <w:bCs w:val="1"/>
          <w:color w:val="auto"/>
        </w:rPr>
        <w:t>The Holder and any assignee, by acceptance of this Warrant, acknowledge and agree that, by reason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provisions of this paragraph, following the purchase of a portion of the Warrant Shares hereunder, the number of Warrant Shares available for purchase hereunder at any given time may be less than the amount stated on the face hereof.</w:t>
      </w:r>
    </w:p>
    <w:p>
      <w:pPr>
        <w:spacing w:after="0" w:line="19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Warrant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two (2)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15" w:name="page216"/>
    <w:bookmarkEnd w:id="215"/>
    <w:p>
      <w:pPr>
        <w:jc w:val="both"/>
        <w:ind w:firstLine="1304"/>
        <w:spacing w:after="0" w:line="241" w:lineRule="auto"/>
        <w:tabs>
          <w:tab w:leader="none" w:pos="19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close of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credit the Holder’s DTC account for such number of Warrant Shares to which the Holder is entitled, and if after such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and prior to the receipt of such Warrant Shares, the Holder purchases (in an open market transaction,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two (2) Trading Days after the Holder’s request, in the Holder’s sole discretion, either (i) pay cash to the Holder in an amount equal to the Holder’s total purchase price (including commercially reasonable brokerage commissions, if any) for the shares of Common Stock so purchased, at which point the Company’s obligation to deliver such Warrant Shares shall terminate, or (ii) (A) pay in cash to the Holder the amount, if any, by which (1) the Holder’s total purchase price (including commercially reasonable brokerage commissions, if any) for the shares of Common Stock purchased in the Buy-In exceeds (2) the product of (x) the number of Warrant Shares that the Company was required to deliver to the Holder in connection with the exercise at issue, times (y) the price at which the sell order giving rise to such purchase obligation was executed (assuming such sale was executed on commercially reasonable terms at prevailing market prices and, if the sale was executed in multiple transactions, the volume weighted average price), and (B) at the option of the Holder, either (1) reinstate the portion of the Warrant and equivalent number of Warrant Shares for which such exercise was not honored (in which case such exercise shall be deemed rescinded) or (2) deliver to the Holder the number of shares of Common Stock that would have been issued had the Company timely complied with its exercise and delivery obligations hereunder. The provisions of this Section 5(b) shall be the only remedy available to the Holder in the event the Company fails to deliver to the Holder the required number of Warrant Shares in the manner required pursuant to Section 5(a) and a Buy-In occurs. Irrespective of whether there is a Buy-In, no remedy shall be available, notwithstanding the requirements of Section 5(a), unless and until the Company fails to deliver to the Holder the required number of Warrant Shares by the close of the third Trading Day after the Exercise Date.</w:t>
      </w:r>
    </w:p>
    <w:p>
      <w:pPr>
        <w:spacing w:after="0" w:line="202"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and subject to Section 5(b), the Company’s obligations to issue and deliver Warrant Shares in accordance with and subject to the terms hereof (including the limitations set forth in Section 10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9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Charges, Taxes and Expenses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Issuance and delivery of certificates for shares of Common Stock upon exercise of this Warrant shall be made without charge to the Holder for any issue or transfer tax, transfer agent fee or other similar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of any certificates for Warrant Shares or the Warrants in a name other than that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16" w:name="page217"/>
    <w:bookmarkEnd w:id="216"/>
    <w:p>
      <w:pPr>
        <w:spacing w:after="0" w:line="282" w:lineRule="auto"/>
        <w:rPr>
          <w:sz w:val="20"/>
          <w:szCs w:val="20"/>
          <w:color w:val="auto"/>
        </w:rPr>
      </w:pPr>
      <w:r>
        <w:rPr>
          <w:rFonts w:ascii="Times New Roman" w:cs="Times New Roman" w:eastAsia="Times New Roman" w:hAnsi="Times New Roman"/>
          <w:sz w:val="18"/>
          <w:szCs w:val="18"/>
          <w:color w:val="auto"/>
        </w:rPr>
        <w:t>Holder thereof. The Holder shall be responsible for all other tax liability that may arise as a result of holding or transferring this Warrant or receiving Warrant Shares upon exercise hereof.</w:t>
      </w:r>
    </w:p>
    <w:p>
      <w:pPr>
        <w:spacing w:after="0" w:line="162" w:lineRule="exact"/>
        <w:rPr>
          <w:sz w:val="20"/>
          <w:szCs w:val="20"/>
          <w:color w:val="auto"/>
        </w:rPr>
      </w:pPr>
    </w:p>
    <w:p>
      <w:pPr>
        <w:jc w:val="both"/>
        <w:ind w:firstLine="1304"/>
        <w:spacing w:after="0" w:line="258" w:lineRule="auto"/>
        <w:tabs>
          <w:tab w:leader="none" w:pos="19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agrees that applicable withholding taxes (including backup withholding) may be withheld from payments and deemed payments on or with respect to this Warrant, and if any such withholding taxes (including backup withholding) are paid on behalf of the Holder, then those withholding taxes may be set off against payments of cash or the delivery of shares of Common Stock or other consideration, if any, in respect of this Warrant (or any payments on Common Stock) or sales proceeds received by, or other funds or assets of, the Holder.</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Original Issue Date (or in the case of any transferee, the date such transferee becomes Holder), and thereinafter upon reasonable request or as required under applicable law, to the extent permitted by applicable law, tax forms or other documentation (including any applicable IRS Form W-8/W-9) reasonably satisfactory to the Company or other applicable withholding agent to establish an exemption from United States withholding tax on payments and deliveries hereunder as well as an exemption from, or a reduction in the rate of, U.S. withholding that may apply to any dividend or constructive dividend (e.g., under Section 305(c) of the Internal Revenue Code of 1986, as amended). The Company may determine in its reasonable discretion the amount and the timing of any such constructive dividend.</w:t>
      </w:r>
    </w:p>
    <w:p>
      <w:pPr>
        <w:spacing w:after="0" w:line="186"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reserve and keep available out of the aggregate of its authorized but unissued and otherwise unreserved shares of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9).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 The Company further covenants that it will not, without the prior written consent of the Holder, take any actions to increase the par value of the shares of Common Stock at any time while this Warrant is issued and outstanding.</w:t>
      </w:r>
    </w:p>
    <w:p>
      <w:pPr>
        <w:spacing w:after="0" w:line="189" w:lineRule="exact"/>
        <w:rPr>
          <w:rFonts w:ascii="Times New Roman" w:cs="Times New Roman" w:eastAsia="Times New Roman" w:hAnsi="Times New Roman"/>
          <w:sz w:val="18"/>
          <w:szCs w:val="18"/>
          <w:color w:val="auto"/>
        </w:rPr>
      </w:pPr>
    </w:p>
    <w:p>
      <w:pPr>
        <w:ind w:firstLine="656"/>
        <w:spacing w:after="0" w:line="284" w:lineRule="auto"/>
        <w:tabs>
          <w:tab w:leader="none" w:pos="129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 from time to time as set forth in this Section 9.</w:t>
      </w:r>
    </w:p>
    <w:p>
      <w:pPr>
        <w:spacing w:after="0" w:line="160"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issued and outstanding, (i) pays a stock dividend on its shares of Common Stock or otherwise makes a distribution on any class of capital shares issued and outstanding on the Original Issue Date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17" w:name="page218"/>
    <w:bookmarkEnd w:id="217"/>
    <w:p>
      <w:pPr>
        <w:jc w:val="both"/>
        <w:spacing w:after="0" w:line="257" w:lineRule="auto"/>
        <w:rPr>
          <w:sz w:val="20"/>
          <w:szCs w:val="20"/>
          <w:color w:val="auto"/>
        </w:rPr>
      </w:pPr>
      <w:r>
        <w:rPr>
          <w:rFonts w:ascii="Times New Roman" w:cs="Times New Roman" w:eastAsia="Times New Roman" w:hAnsi="Times New Roman"/>
          <w:sz w:val="18"/>
          <w:szCs w:val="18"/>
          <w:color w:val="auto"/>
        </w:rPr>
        <w:t>accordance with the terms of such stock on the Original Issue Date or as amended, as described in the Registration Statement, that is payable in shares of Common Stock, (ii) subdivides its issued and outstanding shares of Common Stock into a larger number of shares of Common Stock, (iii) combines its issued and outstanding shares of Common Stock into a smaller number of shares of Common Stock or</w:t>
      </w:r>
    </w:p>
    <w:p>
      <w:pPr>
        <w:spacing w:after="0" w:line="1" w:lineRule="exact"/>
        <w:rPr>
          <w:sz w:val="20"/>
          <w:szCs w:val="20"/>
          <w:color w:val="auto"/>
        </w:rPr>
      </w:pPr>
    </w:p>
    <w:p>
      <w:pPr>
        <w:jc w:val="both"/>
        <w:ind w:firstLine="8"/>
        <w:spacing w:after="0" w:line="251" w:lineRule="auto"/>
        <w:tabs>
          <w:tab w:leader="none" w:pos="33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by reclassification of capital shares any additional shares of Common Stock of the Company, then in each such case the number of Warrant Shares shall be multiplied by a fraction, the numerator of which shall be the number of shares of Common Stock issued and outstanding immediately before such event and the denominator of which shall be the number of shares of Common Stock issued and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or combination or reclassification.</w:t>
      </w:r>
    </w:p>
    <w:p>
      <w:pPr>
        <w:spacing w:after="0" w:line="192"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issued and outstanding, distributes to all holders of shares of Common Stock for no consideration (i) evidences of its indebtedness, (ii) any security (other than a distribution of shares of Common Stock covered by the preceding paragraph), (iii) rights or warrants to subscribe for or purchase any security, or (iv) cash or any other asset (in each case,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w:t>
      </w:r>
    </w:p>
    <w:p>
      <w:pPr>
        <w:spacing w:after="0" w:line="191" w:lineRule="exact"/>
        <w:rPr>
          <w:rFonts w:ascii="Times New Roman" w:cs="Times New Roman" w:eastAsia="Times New Roman" w:hAnsi="Times New Roman"/>
          <w:sz w:val="18"/>
          <w:szCs w:val="18"/>
          <w:color w:val="auto"/>
        </w:rPr>
      </w:pPr>
    </w:p>
    <w:p>
      <w:pPr>
        <w:jc w:val="both"/>
        <w:ind w:firstLine="1304"/>
        <w:spacing w:after="0" w:line="269" w:lineRule="auto"/>
        <w:tabs>
          <w:tab w:leader="none" w:pos="1944"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issued and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outstanding capital stock or at least 50% of the voting power of the surviving entity immediately after such merger or consolidation, (ii) the Company effects any sale to another Person of all or substantially all of its assets in one transaction or a series of related transactions,</w:t>
      </w:r>
    </w:p>
    <w:p>
      <w:pPr>
        <w:spacing w:after="0" w:line="2" w:lineRule="exact"/>
        <w:rPr>
          <w:rFonts w:ascii="Times New Roman" w:cs="Times New Roman" w:eastAsia="Times New Roman" w:hAnsi="Times New Roman"/>
          <w:sz w:val="17"/>
          <w:szCs w:val="17"/>
          <w:color w:val="auto"/>
        </w:rPr>
      </w:pPr>
    </w:p>
    <w:p>
      <w:pPr>
        <w:jc w:val="both"/>
        <w:ind w:firstLine="8"/>
        <w:spacing w:after="0" w:line="251" w:lineRule="auto"/>
        <w:tabs>
          <w:tab w:leader="none" w:pos="32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any tender offer or exchange offer (whether by the Company or another Person), holders of capital stock tender shares representing more than 50% of the outstanding capital stock of the Company or more than 50% of the voting power of the capital stock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50% of the outstanding capital stock of the Company or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shares of Common Stock or any compulsory share exchange pursuant to which the shares of Common Stock are effectively converted into or exchanged for other securities, cash or property (other than as a result of a subdivision or combination of shares of Common Stock covered by Section 9(a)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18" w:name="page219"/>
    <w:bookmarkEnd w:id="218"/>
    <w:p>
      <w:pPr>
        <w:jc w:val="both"/>
        <w:spacing w:after="0" w:line="257" w:lineRule="auto"/>
        <w:rPr>
          <w:sz w:val="20"/>
          <w:szCs w:val="20"/>
          <w:color w:val="auto"/>
        </w:rPr>
      </w:pPr>
      <w:r>
        <w:rPr>
          <w:rFonts w:ascii="Times New Roman" w:cs="Times New Roman" w:eastAsia="Times New Roman" w:hAnsi="Times New Roman"/>
          <w:sz w:val="18"/>
          <w:szCs w:val="18"/>
          <w:color w:val="auto"/>
        </w:rPr>
        <w:t>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The Company shall not effect any Fundamental Transaction in which the Company is not the surviving entity or the Alternate Consideration includes securities of another Person unless</w:t>
      </w:r>
    </w:p>
    <w:p>
      <w:pPr>
        <w:spacing w:after="0" w:line="1" w:lineRule="exact"/>
        <w:rPr>
          <w:sz w:val="20"/>
          <w:szCs w:val="20"/>
          <w:color w:val="auto"/>
        </w:rPr>
      </w:pPr>
    </w:p>
    <w:p>
      <w:pPr>
        <w:jc w:val="both"/>
        <w:ind w:firstLine="8"/>
        <w:spacing w:after="0" w:line="250"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Consideration consists solely of cash, solely of Marketable Securities or a combination of cash and Marketable Securities or (ii) prior to, simultaneously with or promptly following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Section 9(c) shall similarly apply to subsequent transactions analogous of a Fundamental Transaction type. Notwithstanding anything to the contrary, in the event of a Fundamental Transaction, the Company or any successor entity to the Company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to the Company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L.P.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the 30 day volatility, (2) the 100 day volatility or (3) the 365 day volatility, each of clauses (1)-(3)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9(c),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(5) Trading Days of the Holder’s election (or, if later, on the date of consummation of the Fundamental Transaction).</w:t>
      </w:r>
    </w:p>
    <w:p>
      <w:pPr>
        <w:spacing w:after="0" w:line="210"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Simultaneously with any adjustment to the number of Warrant Shares pursuant to Section 9,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19" w:name="page220"/>
    <w:bookmarkEnd w:id="219"/>
    <w:p>
      <w:pPr>
        <w:ind w:right="20"/>
        <w:spacing w:after="0" w:line="282" w:lineRule="auto"/>
        <w:rPr>
          <w:sz w:val="20"/>
          <w:szCs w:val="20"/>
          <w:color w:val="auto"/>
        </w:rPr>
      </w:pPr>
      <w:r>
        <w:rPr>
          <w:rFonts w:ascii="Times New Roman" w:cs="Times New Roman" w:eastAsia="Times New Roman" w:hAnsi="Times New Roman"/>
          <w:sz w:val="18"/>
          <w:szCs w:val="18"/>
          <w:color w:val="auto"/>
        </w:rPr>
        <w:t>adjustment. Notwithstanding the foregoing, in no event may the Exercise Price be adjusted below the par value of the shares of Common Stock then in effect.</w:t>
      </w:r>
    </w:p>
    <w:p>
      <w:pPr>
        <w:spacing w:after="0" w:line="162" w:lineRule="exact"/>
        <w:rPr>
          <w:sz w:val="20"/>
          <w:szCs w:val="20"/>
          <w:color w:val="auto"/>
        </w:rPr>
      </w:pPr>
    </w:p>
    <w:p>
      <w:pPr>
        <w:ind w:firstLine="1304"/>
        <w:spacing w:after="0" w:line="282" w:lineRule="auto"/>
        <w:tabs>
          <w:tab w:leader="none" w:pos="1944"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one-millionth of one cent or the nearest share,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4"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while this Warrant is issued and outstanding, the Company (i) declares a dividend or any other distribution of cash, securities or other property in respect of its shares of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3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shares of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issued and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then, except if such notice and the contents thereof shall be deemed to constitute material non-public information, the Company shall deliver to the Holder a notice of such Fundamental Transaction at least ten (10) days prior to the date such Fundamental Transaction is consummated.</w:t>
      </w:r>
    </w:p>
    <w:p>
      <w:pPr>
        <w:spacing w:after="0" w:line="19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Adjustment by Company. Subject to the rules and regulations of the trading market, the Company may at any time during the term of this Warrant reduce the then current Exercise Price to any amount and for any period of time deemed appropriate by the Board of Directors of the Company. The Company may extend the duration of this Warrant by delaying the Termination Date; provided, however, that the Company will provide notice of not less than ten (10) days to the Holder.</w:t>
      </w:r>
    </w:p>
    <w:p>
      <w:pPr>
        <w:spacing w:after="0" w:line="177" w:lineRule="exact"/>
        <w:rPr>
          <w:rFonts w:ascii="Times New Roman" w:cs="Times New Roman" w:eastAsia="Times New Roman" w:hAnsi="Times New Roman"/>
          <w:sz w:val="18"/>
          <w:szCs w:val="18"/>
          <w:color w:val="auto"/>
        </w:rPr>
      </w:pPr>
    </w:p>
    <w:p>
      <w:pPr>
        <w:jc w:val="both"/>
        <w:ind w:firstLine="656"/>
        <w:spacing w:after="0" w:line="258" w:lineRule="auto"/>
        <w:tabs>
          <w:tab w:leader="none" w:pos="12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Cashless Exercise Price</w:t>
      </w:r>
      <w:r>
        <w:rPr>
          <w:rFonts w:ascii="Times New Roman" w:cs="Times New Roman" w:eastAsia="Times New Roman" w:hAnsi="Times New Roman"/>
          <w:sz w:val="18"/>
          <w:szCs w:val="18"/>
          <w:color w:val="auto"/>
        </w:rPr>
        <w:t>. If at the time of exercise hereof there is no effective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in an exchange of securities effected pursuant to Section 3(a)(9) of the Securities Act as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129540</wp:posOffset>
            </wp:positionV>
            <wp:extent cx="857250" cy="411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2">
                      <a:extLst>
                        <a:ext uri="{28A0092B-C50C-407E-A947-70E740481C1C}"/>
                      </a:extLst>
                    </a:blip>
                    <a:srcRect/>
                    <a:stretch>
                      <a:fillRect/>
                    </a:stretch>
                  </pic:blipFill>
                  <pic:spPr bwMode="auto">
                    <a:xfrm>
                      <a:off x="0" y="0"/>
                      <a:ext cx="8572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0" w:name="page221"/>
    <w:bookmarkEnd w:id="220"/>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 (determined solely for purposes of this definition as if the Warrant were exercised by means of a cash exercise rather than a cashless basis);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equals the last VWAP immediately preceding the delivery of the applicable Exercise Notice (to clarify, the “last VWAP” will be the last VWAP as calculated over an entire Trading Day such that, in the event that this Warrant is exercised at a time that the Trading Market is open, the prior Trading Day’s VWAP shall be used in this calculation);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on the Exercise Date.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such a “cashless exercise” transaction shall take on the registered characteristics of the Warrants being exercised and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in Section 5(b) or Section 13, in no event will the exercise of this Warrant be settled in cash.</w:t>
      </w:r>
    </w:p>
    <w:p>
      <w:pPr>
        <w:spacing w:after="0" w:line="223"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Exercise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46" w:lineRule="auto"/>
        <w:tabs>
          <w:tab w:leader="none" w:pos="194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result in (i) the aggregate number of shares of Common Stock beneficially owned by the Holder, its Affiliates and any other Persons whose beneficial ownership of shares of Common Stock would be aggregated with the Holder’s for purposes of Section 13(d) of the Exchange Act (such as any other members of a Section 13(d) “group”) exceeding 4.99%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 Section 13(d) of the Exchange Act (such as any other members of a Section 13(d) “group”) exceeding 4.99%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its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the aggregate number of shares of Common Stock or voting securities beneficially owned by the Holder and its Affiliates and any other Persons whose beneficial ownership of shares of Common Stock would be aggregated with the Holder’s for purposes of Section 13(d) of the Exchange Act (such as any other members of a Section 13(d) “group”) shall include the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1" w:name="page222"/>
    <w:bookmarkEnd w:id="221"/>
    <w:p>
      <w:pPr>
        <w:jc w:val="both"/>
        <w:spacing w:after="0" w:line="253" w:lineRule="auto"/>
        <w:rPr>
          <w:sz w:val="20"/>
          <w:szCs w:val="20"/>
          <w:color w:val="auto"/>
        </w:rPr>
      </w:pPr>
      <w:r>
        <w:rPr>
          <w:rFonts w:ascii="Times New Roman" w:cs="Times New Roman" w:eastAsia="Times New Roman" w:hAnsi="Times New Roman"/>
          <w:sz w:val="18"/>
          <w:szCs w:val="18"/>
          <w:color w:val="auto"/>
        </w:rPr>
        <w:t>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 (such as any other members of a Section 13(d) “group”).</w:t>
      </w:r>
    </w:p>
    <w:p>
      <w:pPr>
        <w:spacing w:after="0" w:line="194" w:lineRule="exact"/>
        <w:rPr>
          <w:sz w:val="20"/>
          <w:szCs w:val="20"/>
          <w:color w:val="auto"/>
        </w:rPr>
      </w:pPr>
    </w:p>
    <w:p>
      <w:pPr>
        <w:jc w:val="both"/>
        <w:ind w:firstLine="1304"/>
        <w:spacing w:after="0" w:line="266" w:lineRule="auto"/>
        <w:tabs>
          <w:tab w:leader="none" w:pos="194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3"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of any fractional shares that would otherwise be issuable, the number of Warrant Shares to be issued shall be rounded down to the next whole number and the Company shall pay the Holder in cash the fair market value (based on the last VWAP immediately preceding the time of delivery of the applicable Exercise Notice) for any such fractional shares.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Notice)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w:t>
      </w:r>
    </w:p>
    <w:p>
      <w:pPr>
        <w:spacing w:after="0" w:line="18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BioXcel Therapeutics,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555 Long Wharf Drive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Haven, CT 06511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Javier Rodriguez, Senior Vice President,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jrodriguez@bioxceltherapeutics.com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(which will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Peter N. Handrinos; Keith L. Halverstam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peter.handrinos@lw.com; keith.halverstam@lw.com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If to the Holder, to its address or e-mail address set forth herein or on the books and records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in each of the above instances, to such other address or e-mail address as the recipient party has specified by written notice given to each other party at least five (5) days prior to the effectiveness of such change.</w:t>
      </w:r>
    </w:p>
    <w:p>
      <w:pPr>
        <w:spacing w:after="0" w:line="160" w:lineRule="exact"/>
        <w:rPr>
          <w:sz w:val="20"/>
          <w:szCs w:val="20"/>
          <w:color w:val="auto"/>
        </w:rPr>
      </w:pPr>
    </w:p>
    <w:p>
      <w:pPr>
        <w:jc w:val="both"/>
        <w:ind w:firstLine="656"/>
        <w:spacing w:after="0" w:line="256" w:lineRule="auto"/>
        <w:tabs>
          <w:tab w:leader="none" w:pos="129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The Company shall initially serve as warrant agent under this Warrant. Upon ten (10) days’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amalgamation,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in which this Warrant is not automatically “cashless exercised”.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3" w:name="page224"/>
    <w:bookmarkEnd w:id="223"/>
    <w:p>
      <w:pPr>
        <w:ind w:right="20" w:firstLine="1304"/>
        <w:spacing w:after="0" w:line="282" w:lineRule="auto"/>
        <w:tabs>
          <w:tab w:leader="none" w:pos="19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this Warrant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3" w:lineRule="exact"/>
        <w:rPr>
          <w:rFonts w:ascii="Times New Roman" w:cs="Times New Roman" w:eastAsia="Times New Roman" w:hAnsi="Times New Roman"/>
          <w:sz w:val="18"/>
          <w:szCs w:val="18"/>
          <w:color w:val="auto"/>
        </w:rPr>
      </w:pPr>
    </w:p>
    <w:p>
      <w:pPr>
        <w:ind w:firstLine="1304"/>
        <w:spacing w:after="0" w:line="282" w:lineRule="auto"/>
        <w:tabs>
          <w:tab w:leader="none" w:pos="19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4" w:name="page225"/>
    <w:bookmarkEnd w:id="22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duly executed by its authorized officer as of the date first indicated above.</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BIOXCEL THERAPEUTICS, INC.</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00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 Richard Steinhart</w:t>
      </w:r>
    </w:p>
    <w:p>
      <w:pPr>
        <w:spacing w:after="0" w:line="23" w:lineRule="exact"/>
        <w:rPr>
          <w:sz w:val="20"/>
          <w:szCs w:val="20"/>
          <w:color w:val="auto"/>
        </w:rPr>
      </w:pPr>
    </w:p>
    <w:p>
      <w:pPr>
        <w:ind w:left="494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tab/>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25" w:name="page226"/>
    <w:bookmarkEnd w:id="225"/>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56"/>
        <w:spacing w:after="0" w:line="268" w:lineRule="auto"/>
        <w:tabs>
          <w:tab w:leader="none" w:pos="12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CS-1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issued by BioXcel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75" w:lineRule="exact"/>
        <w:rPr>
          <w:sz w:val="20"/>
          <w:szCs w:val="20"/>
          <w:color w:val="auto"/>
        </w:rPr>
      </w:pPr>
    </w:p>
    <w:p>
      <w:pPr>
        <w:ind w:left="660"/>
        <w:spacing w:after="0"/>
        <w:tabs>
          <w:tab w:leader="none" w:pos="1280" w:val="left"/>
          <w:tab w:leader="none" w:pos="63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The undersigned hereby exercises its right to purchase</w:t>
      </w:r>
      <w:r>
        <w:rPr>
          <w:sz w:val="20"/>
          <w:szCs w:val="20"/>
          <w:color w:val="auto"/>
        </w:rPr>
        <w:tab/>
      </w:r>
      <w:r>
        <w:rPr>
          <w:rFonts w:ascii="Times New Roman" w:cs="Times New Roman" w:eastAsia="Times New Roman" w:hAnsi="Times New Roman"/>
          <w:sz w:val="17"/>
          <w:szCs w:val="17"/>
          <w:color w:val="auto"/>
        </w:rPr>
        <w:t>Warrant Shares pursuant to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-7620</wp:posOffset>
            </wp:positionV>
            <wp:extent cx="6565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0">
                      <a:extLst>
                        <a:ext uri="{28A0092B-C50C-407E-A947-70E740481C1C}"/>
                      </a:extLst>
                    </a:blip>
                    <a:srcRect/>
                    <a:stretch>
                      <a:fillRect/>
                    </a:stretch>
                  </pic:blipFill>
                  <pic:spPr bwMode="auto">
                    <a:xfrm>
                      <a:off x="0" y="0"/>
                      <a:ext cx="656590" cy="8890"/>
                    </a:xfrm>
                    <a:prstGeom prst="rect">
                      <a:avLst/>
                    </a:prstGeom>
                    <a:noFill/>
                  </pic:spPr>
                </pic:pic>
              </a:graphicData>
            </a:graphic>
          </wp:anchor>
        </w:drawing>
      </w:r>
    </w:p>
    <w:p>
      <w:pPr>
        <w:spacing w:after="0" w:line="205" w:lineRule="exact"/>
        <w:rPr>
          <w:sz w:val="20"/>
          <w:szCs w:val="20"/>
          <w:color w:val="auto"/>
        </w:rPr>
      </w:pPr>
    </w:p>
    <w:p>
      <w:pPr>
        <w:ind w:left="1300" w:hanging="64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1960" w:hanging="656"/>
        <w:spacing w:after="0"/>
        <w:tabs>
          <w:tab w:leader="none" w:pos="1960" w:val="left"/>
        </w:tabs>
        <w:numPr>
          <w:ilvl w:val="1"/>
          <w:numId w:val="11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rFonts w:ascii="MS PGothic" w:cs="MS PGothic" w:eastAsia="MS PGothic" w:hAnsi="MS PGothic"/>
          <w:sz w:val="18"/>
          <w:szCs w:val="18"/>
          <w:color w:val="auto"/>
        </w:rPr>
      </w:pPr>
    </w:p>
    <w:p>
      <w:pPr>
        <w:ind w:firstLine="656"/>
        <w:spacing w:after="0" w:line="282"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to the following DWAC Account Number:</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17145</wp:posOffset>
            </wp:positionV>
            <wp:extent cx="21945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17145</wp:posOffset>
            </wp:positionV>
            <wp:extent cx="21945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17145</wp:posOffset>
            </wp:positionV>
            <wp:extent cx="21945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17145</wp:posOffset>
            </wp:positionV>
            <wp:extent cx="21945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4">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17145</wp:posOffset>
            </wp:positionV>
            <wp:extent cx="21945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5">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CS-1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22"/>
          <w:szCs w:val="22"/>
          <w:b w:val="1"/>
          <w:bCs w:val="1"/>
          <w:color w:val="auto"/>
        </w:rPr>
        <w:t>Exhibit 10.22.6</w:t>
      </w:r>
    </w:p>
    <w:p>
      <w:pPr>
        <w:spacing w:after="0" w:line="23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SIXTH AMENDMENT TO CREDIT AGREEMENT AND GUARANTY</w:t>
      </w:r>
    </w:p>
    <w:p>
      <w:pPr>
        <w:spacing w:after="0" w:line="23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Sixth Amendment to Credit Agreement and Guaranty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made as of March 4, 2025, by and among BIOXCEL THERAPEUTICS, INC., a Delaware corporation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the lenders party hereto (collectively,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and OAKTREE FUND ADMINISTRATION, LLC, as administrative agent on behalf of the Lenders (in such capacity, together with its successors and assigns, the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WHEREAS, the Borrower, the Administrative Agent and the Lenders previously entered into that certain Credit Agreement and Guaranty, dated as of April 19, 2022 (including the exhibits and other attachments thereto, as amended by that certain Waiver and First Amendment to Credit Agreement and Guaranty, dated as of November 13, 2023, that certain Second Amendment to Credit Agreement and Guaranty and Termination of Revenue Interest Financing, dated as of December 5, 2023, that certain Third Amendment to Credit Agreement, dated as of February 12, 2024, that certain Fourth Amendment to Credit Agreement and Guaranty, dated as of March 20, 2024, and the Fifth Amendment to Credit Agreement and Guaranty and First Amendment to Fourth Amendment to Credit Agreement and Guaranty, dated as of November 21, 2024 (the “</w:t>
      </w:r>
      <w:r>
        <w:rPr>
          <w:rFonts w:ascii="Times New Roman" w:cs="Times New Roman" w:eastAsia="Times New Roman" w:hAnsi="Times New Roman"/>
          <w:sz w:val="22"/>
          <w:szCs w:val="22"/>
          <w:b w:val="1"/>
          <w:bCs w:val="1"/>
          <w:i w:val="1"/>
          <w:iCs w:val="1"/>
          <w:color w:val="auto"/>
        </w:rPr>
        <w:t>Existing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as further amended by this Amendment,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pursuant to Section 8.22 of the Existing Credit Agreement, Borrower was required to, on or prior to December 6, 2024, select, and on or prior to December 12, 2024, engage, an investment banker reasonably acceptable to the Administrative Agent and the Lenders to assist the Borrower and its Board with evaluating and exploring strategic options (collectively, the “</w:t>
      </w:r>
      <w:r>
        <w:rPr>
          <w:rFonts w:ascii="Times New Roman" w:cs="Times New Roman" w:eastAsia="Times New Roman" w:hAnsi="Times New Roman"/>
          <w:sz w:val="22"/>
          <w:szCs w:val="22"/>
          <w:b w:val="1"/>
          <w:bCs w:val="1"/>
          <w:i w:val="1"/>
          <w:iCs w:val="1"/>
          <w:color w:val="auto"/>
        </w:rPr>
        <w:t>Banker Engagement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by email on December 6, 2024, Borrower, Administrative Agent and the Lenders agreed to modify the foregoing requirement to require Borrower to complete the Banker Engagement on prior to January 24, 2025;</w:t>
      </w:r>
    </w:p>
    <w:p>
      <w:pPr>
        <w:spacing w:after="0" w:line="17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WHEREAS, an Event of Default has occurred and is continuing under Section 11.01(d) of the Existing Credit Agreement as a result of Borrower’s failure to satisfy the requirements of Section 8.22 of the Existing Credit Agreement (together with the Event of Default arising from the failure to deliver a notice of Default pursuant to Section 8.02(a) of the Existing Credit Agreement, the “</w:t>
      </w:r>
      <w:r>
        <w:rPr>
          <w:rFonts w:ascii="Times New Roman" w:cs="Times New Roman" w:eastAsia="Times New Roman" w:hAnsi="Times New Roman"/>
          <w:sz w:val="22"/>
          <w:szCs w:val="22"/>
          <w:b w:val="1"/>
          <w:bCs w:val="1"/>
          <w:i w:val="1"/>
          <w:iCs w:val="1"/>
          <w:color w:val="auto"/>
        </w:rPr>
        <w:t>Specified Events of Default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Administrative Agent and the Lenders have agreed to waive the Specified Events of Default on the terms and subject to the conditions set forth herein; and</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Borrower, the Administrative Agent and the Lenders have agreed to amend the Existing Credit Agreement on the terms and subject to the conditions set forth herein.</w:t>
      </w:r>
    </w:p>
    <w:p>
      <w:pPr>
        <w:spacing w:after="0" w:line="15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NOW, THEREFORE, for and in consideration of the above premises and other good and valuable consideration, the receipt and sufficiency of which is hereby acknowledged by the parties hereto, each of the Borrower, the Administrative Agent and the Lenders party hereto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624840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227" w:name="page228"/>
    <w:bookmarkEnd w:id="227"/>
    <w:p>
      <w:pPr>
        <w:ind w:left="652" w:hanging="652"/>
        <w:spacing w:after="0" w:line="258" w:lineRule="auto"/>
        <w:tabs>
          <w:tab w:leader="none" w:pos="652"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herein and not otherwise defined herein shall have the meanings assigned to such terms in the Existing Credit Agreement.</w:t>
      </w:r>
    </w:p>
    <w:p>
      <w:pPr>
        <w:spacing w:after="0" w:line="158" w:lineRule="exact"/>
        <w:rPr>
          <w:rFonts w:ascii="Times New Roman" w:cs="Times New Roman" w:eastAsia="Times New Roman" w:hAnsi="Times New Roman"/>
          <w:sz w:val="22"/>
          <w:szCs w:val="22"/>
          <w:color w:val="010000"/>
        </w:rPr>
      </w:pPr>
    </w:p>
    <w:p>
      <w:pPr>
        <w:jc w:val="both"/>
        <w:ind w:left="652" w:hanging="652"/>
        <w:spacing w:after="0" w:line="244" w:lineRule="auto"/>
        <w:tabs>
          <w:tab w:leader="none" w:pos="652"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Subject to the satisfaction of the condition precedent specified in Section 5 hereof and the condition subsequent specified in Section 6 hereof, the Administrative Agent and the Lenders hereby waive the Specified Events of Default.</w:t>
      </w:r>
    </w:p>
    <w:p>
      <w:pPr>
        <w:spacing w:after="0" w:line="173" w:lineRule="exact"/>
        <w:rPr>
          <w:rFonts w:ascii="Times New Roman" w:cs="Times New Roman" w:eastAsia="Times New Roman" w:hAnsi="Times New Roman"/>
          <w:sz w:val="22"/>
          <w:szCs w:val="22"/>
          <w:color w:val="010000"/>
        </w:rPr>
      </w:pPr>
    </w:p>
    <w:p>
      <w:pPr>
        <w:ind w:left="652" w:right="20" w:hanging="652"/>
        <w:spacing w:after="0" w:line="258" w:lineRule="auto"/>
        <w:tabs>
          <w:tab w:leader="none" w:pos="652"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Amendments to the Existing Credit Agreement</w:t>
      </w:r>
      <w:r>
        <w:rPr>
          <w:rFonts w:ascii="Times New Roman" w:cs="Times New Roman" w:eastAsia="Times New Roman" w:hAnsi="Times New Roman"/>
          <w:sz w:val="22"/>
          <w:szCs w:val="22"/>
          <w:color w:val="auto"/>
        </w:rPr>
        <w:t>. Subject to the satisfaction of the condition precedent specified in Section 5 hereof and the condition subsequent specified in Section 6 hereof:</w:t>
      </w:r>
    </w:p>
    <w:p>
      <w:pPr>
        <w:spacing w:after="0" w:line="158" w:lineRule="exact"/>
        <w:rPr>
          <w:rFonts w:ascii="Times New Roman" w:cs="Times New Roman" w:eastAsia="Times New Roman" w:hAnsi="Times New Roman"/>
          <w:sz w:val="22"/>
          <w:szCs w:val="22"/>
          <w:color w:val="010000"/>
        </w:rPr>
      </w:pPr>
    </w:p>
    <w:p>
      <w:pPr>
        <w:ind w:left="1292" w:hanging="644"/>
        <w:spacing w:after="0"/>
        <w:tabs>
          <w:tab w:leader="none" w:pos="1292"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8.22 of the Credit Agreement is amended and restated in its entirety as follows:</w:t>
      </w:r>
    </w:p>
    <w:p>
      <w:pPr>
        <w:spacing w:after="0" w:line="202" w:lineRule="exact"/>
        <w:rPr>
          <w:rFonts w:ascii="Times New Roman" w:cs="Times New Roman" w:eastAsia="Times New Roman" w:hAnsi="Times New Roman"/>
          <w:sz w:val="22"/>
          <w:szCs w:val="22"/>
          <w:color w:val="010000"/>
        </w:rPr>
      </w:pPr>
    </w:p>
    <w:p>
      <w:pPr>
        <w:jc w:val="both"/>
        <w:ind w:left="1292" w:right="100"/>
        <w:spacing w:after="0" w:line="246"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8.22 Investment Bank</w:t>
      </w:r>
      <w:r>
        <w:rPr>
          <w:rFonts w:ascii="Times New Roman" w:cs="Times New Roman" w:eastAsia="Times New Roman" w:hAnsi="Times New Roman"/>
          <w:sz w:val="22"/>
          <w:szCs w:val="22"/>
          <w:color w:val="auto"/>
        </w:rPr>
        <w:t>. On or prior to March 15, 2025, the Borrower shall select and engage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banker reasonably acceptable to the Administrative Agent and the Lenders to assist the Borrower and its Board with evaluating and exploring strategic options.</w:t>
      </w:r>
    </w:p>
    <w:p>
      <w:pPr>
        <w:spacing w:after="0" w:line="171" w:lineRule="exact"/>
        <w:rPr>
          <w:rFonts w:ascii="Times New Roman" w:cs="Times New Roman" w:eastAsia="Times New Roman" w:hAnsi="Times New Roman"/>
          <w:sz w:val="22"/>
          <w:szCs w:val="22"/>
          <w:color w:val="010000"/>
        </w:rPr>
      </w:pPr>
    </w:p>
    <w:p>
      <w:pPr>
        <w:jc w:val="both"/>
        <w:ind w:left="1292" w:hanging="644"/>
        <w:spacing w:after="0" w:line="244" w:lineRule="auto"/>
        <w:tabs>
          <w:tab w:leader="none" w:pos="1292"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Section 14.04 of the Existing Credit Agreement is amended by deleting the language, “an instrument in writing signed by the Borrower, the Administrative Agent and the Majority Lenders”, and replacing it as follows:</w:t>
      </w:r>
    </w:p>
    <w:p>
      <w:pPr>
        <w:spacing w:after="0" w:line="173" w:lineRule="exact"/>
        <w:rPr>
          <w:rFonts w:ascii="Times New Roman" w:cs="Times New Roman" w:eastAsia="Times New Roman" w:hAnsi="Times New Roman"/>
          <w:sz w:val="22"/>
          <w:szCs w:val="22"/>
          <w:color w:val="010000"/>
        </w:rPr>
      </w:pPr>
    </w:p>
    <w:p>
      <w:pPr>
        <w:ind w:left="1292" w:right="140"/>
        <w:spacing w:after="0" w:line="244" w:lineRule="auto"/>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agreement of the Borrower, the Administrative Agent and the Majority Lenders, which may be evidenced by an instrument in writing signed by such Persons or by email confirmation from such Persons”.</w:t>
      </w:r>
    </w:p>
    <w:p>
      <w:pPr>
        <w:spacing w:after="0" w:line="200" w:lineRule="exact"/>
        <w:rPr>
          <w:rFonts w:ascii="Times New Roman" w:cs="Times New Roman" w:eastAsia="Times New Roman" w:hAnsi="Times New Roman"/>
          <w:sz w:val="22"/>
          <w:szCs w:val="22"/>
          <w:color w:val="010000"/>
        </w:rPr>
      </w:pPr>
    </w:p>
    <w:p>
      <w:pPr>
        <w:jc w:val="both"/>
        <w:ind w:left="652" w:hanging="652"/>
        <w:spacing w:after="0" w:line="238" w:lineRule="auto"/>
        <w:tabs>
          <w:tab w:leader="none" w:pos="652"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Reaffirmation of Loan Documents</w:t>
      </w:r>
      <w:r>
        <w:rPr>
          <w:rFonts w:ascii="Times New Roman" w:cs="Times New Roman" w:eastAsia="Times New Roman" w:hAnsi="Times New Roman"/>
          <w:sz w:val="22"/>
          <w:szCs w:val="22"/>
          <w:color w:val="auto"/>
        </w:rPr>
        <w:t>. Except as otherwise expressly provided herein, the parties hereto agree that all terms and conditions of the Existing Credit Agreement and the other Loan Documents remain in full force and effect. The Borrower hereby confirms that the Security Documents and all of the Collateral described therein do, and shall continue to, secure the payment in full and performance of all of the Obligations.</w:t>
      </w:r>
    </w:p>
    <w:p>
      <w:pPr>
        <w:spacing w:after="0" w:line="176" w:lineRule="exact"/>
        <w:rPr>
          <w:rFonts w:ascii="Times New Roman" w:cs="Times New Roman" w:eastAsia="Times New Roman" w:hAnsi="Times New Roman"/>
          <w:sz w:val="22"/>
          <w:szCs w:val="22"/>
          <w:color w:val="010000"/>
        </w:rPr>
      </w:pPr>
    </w:p>
    <w:p>
      <w:pPr>
        <w:ind w:left="652" w:hanging="652"/>
        <w:spacing w:after="0" w:line="258" w:lineRule="auto"/>
        <w:tabs>
          <w:tab w:leader="none" w:pos="652"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Conditions Precedent to Effectiveness</w:t>
      </w:r>
      <w:r>
        <w:rPr>
          <w:rFonts w:ascii="Times New Roman" w:cs="Times New Roman" w:eastAsia="Times New Roman" w:hAnsi="Times New Roman"/>
          <w:sz w:val="22"/>
          <w:szCs w:val="22"/>
          <w:color w:val="auto"/>
        </w:rPr>
        <w:t>. This Amendment shall be subject to the following conditions precedent:</w:t>
      </w:r>
    </w:p>
    <w:p>
      <w:pPr>
        <w:spacing w:after="0" w:line="158" w:lineRule="exact"/>
        <w:rPr>
          <w:rFonts w:ascii="Times New Roman" w:cs="Times New Roman" w:eastAsia="Times New Roman" w:hAnsi="Times New Roman"/>
          <w:sz w:val="22"/>
          <w:szCs w:val="22"/>
          <w:color w:val="010000"/>
        </w:rPr>
      </w:pPr>
    </w:p>
    <w:p>
      <w:pPr>
        <w:jc w:val="both"/>
        <w:ind w:left="1292" w:hanging="644"/>
        <w:spacing w:after="0" w:line="244" w:lineRule="auto"/>
        <w:tabs>
          <w:tab w:leader="none" w:pos="1292"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Amendment shall have been duly executed and delivered to the Administrative Agent by the Borrower and the Lenders, which constitute all of the Lenders under the Existing Credit Agreement;</w:t>
      </w:r>
    </w:p>
    <w:p>
      <w:pPr>
        <w:spacing w:after="0" w:line="173" w:lineRule="exact"/>
        <w:rPr>
          <w:rFonts w:ascii="Times New Roman" w:cs="Times New Roman" w:eastAsia="Times New Roman" w:hAnsi="Times New Roman"/>
          <w:sz w:val="22"/>
          <w:szCs w:val="22"/>
          <w:color w:val="010000"/>
        </w:rPr>
      </w:pPr>
    </w:p>
    <w:p>
      <w:pPr>
        <w:jc w:val="both"/>
        <w:ind w:left="1292" w:hanging="644"/>
        <w:spacing w:after="0" w:line="235" w:lineRule="auto"/>
        <w:tabs>
          <w:tab w:leader="none" w:pos="1292" w:val="left"/>
        </w:tabs>
        <w:numPr>
          <w:ilvl w:val="1"/>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giving effect to the waiver in Section 2 hereof, each of the representations and warranties in Section 7 of this Amendment, Section 7 of the Credit Agreement and in the other Loan Documents shall be true, accurate and complete in all material respects (unless such representations are already qualified by reference to materiality, Material Adverse Effect or similar language, in which case such representations and warranties shall be true and correct in all respects) on and as of the date hereof with the same effect as though made on and as of such date, except to the extent such representations and warranties expressly relate to an earlier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631190</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55" w:right="999" w:bottom="1440" w:gutter="0" w:footer="0" w:header="0"/>
        </w:sectPr>
      </w:pPr>
    </w:p>
    <w:bookmarkStart w:id="228" w:name="page229"/>
    <w:bookmarkEnd w:id="228"/>
    <w:p>
      <w:pPr>
        <w:ind w:left="1292"/>
        <w:spacing w:after="0" w:line="258" w:lineRule="auto"/>
        <w:rPr>
          <w:sz w:val="20"/>
          <w:szCs w:val="20"/>
          <w:color w:val="auto"/>
        </w:rPr>
      </w:pPr>
      <w:r>
        <w:rPr>
          <w:rFonts w:ascii="Times New Roman" w:cs="Times New Roman" w:eastAsia="Times New Roman" w:hAnsi="Times New Roman"/>
          <w:sz w:val="22"/>
          <w:szCs w:val="22"/>
          <w:color w:val="auto"/>
        </w:rPr>
        <w:t>in which case such representations and warranties shall have been true and correct in all respects on and as of such earlier date;</w:t>
      </w:r>
    </w:p>
    <w:p>
      <w:pPr>
        <w:spacing w:after="0" w:line="158" w:lineRule="exact"/>
        <w:rPr>
          <w:sz w:val="20"/>
          <w:szCs w:val="20"/>
          <w:color w:val="auto"/>
        </w:rPr>
      </w:pPr>
    </w:p>
    <w:p>
      <w:pPr>
        <w:jc w:val="both"/>
        <w:ind w:left="1292" w:hanging="644"/>
        <w:spacing w:after="0" w:line="244" w:lineRule="auto"/>
        <w:tabs>
          <w:tab w:leader="none" w:pos="1292"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time of and after giving effect to this Amendment, other than the Specified Events of Default, no fact or condition exists that constitutes, or with the passage of time, the giving of notice, or both, would constitute, a Default or Event of Default; and</w:t>
      </w:r>
    </w:p>
    <w:p>
      <w:pPr>
        <w:spacing w:after="0" w:line="173" w:lineRule="exact"/>
        <w:rPr>
          <w:rFonts w:ascii="Times New Roman" w:cs="Times New Roman" w:eastAsia="Times New Roman" w:hAnsi="Times New Roman"/>
          <w:sz w:val="22"/>
          <w:szCs w:val="22"/>
          <w:color w:val="010000"/>
        </w:rPr>
      </w:pPr>
    </w:p>
    <w:p>
      <w:pPr>
        <w:jc w:val="both"/>
        <w:ind w:left="1292" w:hanging="644"/>
        <w:spacing w:after="0" w:line="238" w:lineRule="auto"/>
        <w:tabs>
          <w:tab w:leader="none" w:pos="1292" w:val="left"/>
        </w:tabs>
        <w:numPr>
          <w:ilvl w:val="1"/>
          <w:numId w:val="1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Borrower shall have paid all costs, fees and expenses of the Administrative Agent and the Lenders, including, the fees and expenses of Sullivan &amp; Cromwell LLP, as outside counsel to Administrative Agent and the Oaktree Lenders and the fees and expenses of Allen Overy Shearman Sterling US LLP, as outside counsel to Q Boost Holding LLC, incurred prior to the date hereof, to the extent invoiced on or prior to the date hereof.</w:t>
      </w:r>
    </w:p>
    <w:p>
      <w:pPr>
        <w:spacing w:after="0" w:line="176" w:lineRule="exact"/>
        <w:rPr>
          <w:rFonts w:ascii="Times New Roman" w:cs="Times New Roman" w:eastAsia="Times New Roman" w:hAnsi="Times New Roman"/>
          <w:sz w:val="22"/>
          <w:szCs w:val="22"/>
          <w:color w:val="010000"/>
        </w:rPr>
      </w:pPr>
    </w:p>
    <w:p>
      <w:pPr>
        <w:jc w:val="both"/>
        <w:ind w:left="652" w:hanging="652"/>
        <w:spacing w:after="0" w:line="239" w:lineRule="auto"/>
        <w:tabs>
          <w:tab w:leader="none" w:pos="652"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Condition Subsequent to Effectiveness</w:t>
      </w:r>
      <w:r>
        <w:rPr>
          <w:rFonts w:ascii="Times New Roman" w:cs="Times New Roman" w:eastAsia="Times New Roman" w:hAnsi="Times New Roman"/>
          <w:sz w:val="22"/>
          <w:szCs w:val="22"/>
          <w:color w:val="auto"/>
        </w:rPr>
        <w:t>. This Amendment shall be subject to the following condition subsequent: Prior to 5:00 pm ET on March 15, 2025, the Borrower shall receive at least $6,000,000 in gross cash proceeds from the issuance of the Borrower’s common stock and warrants and/or pre-funded warrants, in each case, for common stock.</w:t>
      </w:r>
    </w:p>
    <w:p>
      <w:pPr>
        <w:spacing w:after="0" w:line="180" w:lineRule="exact"/>
        <w:rPr>
          <w:rFonts w:ascii="Times New Roman" w:cs="Times New Roman" w:eastAsia="Times New Roman" w:hAnsi="Times New Roman"/>
          <w:sz w:val="22"/>
          <w:szCs w:val="22"/>
          <w:color w:val="010000"/>
        </w:rPr>
      </w:pPr>
    </w:p>
    <w:p>
      <w:pPr>
        <w:ind w:left="652" w:hanging="652"/>
        <w:spacing w:after="0"/>
        <w:tabs>
          <w:tab w:leader="none" w:pos="652"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Borrower hereby represents and warrants:</w:t>
      </w:r>
    </w:p>
    <w:p>
      <w:pPr>
        <w:spacing w:after="0" w:line="206" w:lineRule="exact"/>
        <w:rPr>
          <w:rFonts w:ascii="Times New Roman" w:cs="Times New Roman" w:eastAsia="Times New Roman" w:hAnsi="Times New Roman"/>
          <w:sz w:val="22"/>
          <w:szCs w:val="22"/>
          <w:color w:val="010000"/>
        </w:rPr>
      </w:pPr>
    </w:p>
    <w:p>
      <w:pPr>
        <w:jc w:val="both"/>
        <w:ind w:left="1292" w:hanging="644"/>
        <w:spacing w:after="0" w:line="233" w:lineRule="auto"/>
        <w:tabs>
          <w:tab w:leader="none" w:pos="1292" w:val="left"/>
        </w:tabs>
        <w:numPr>
          <w:ilvl w:val="1"/>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None of the execution, delivery and performance by the Borrower of this Amendment and the documents, instruments and agreements executed in connection herewith (collectively, the “</w:t>
      </w:r>
      <w:r>
        <w:rPr>
          <w:rFonts w:ascii="Times New Roman" w:cs="Times New Roman" w:eastAsia="Times New Roman" w:hAnsi="Times New Roman"/>
          <w:sz w:val="22"/>
          <w:szCs w:val="22"/>
          <w:b w:val="1"/>
          <w:bCs w:val="1"/>
          <w:i w:val="1"/>
          <w:iCs w:val="1"/>
          <w:color w:val="auto"/>
        </w:rPr>
        <w:t>Amendment Documents</w:t>
      </w:r>
      <w:r>
        <w:rPr>
          <w:rFonts w:ascii="Times New Roman" w:cs="Times New Roman" w:eastAsia="Times New Roman" w:hAnsi="Times New Roman"/>
          <w:sz w:val="22"/>
          <w:szCs w:val="22"/>
          <w:color w:val="auto"/>
        </w:rPr>
        <w:t>”) or performance under the Amendment Documents (i) requires any Governmental Approval of, registration or filing with, or any other action by, any Governmental Authority or any other Person, except for (x) such as have been obtained or made and are in full force and effect and (y) filings and recordings in respect of perfecting or recording the Liens created pursuant to the Security Documents, (ii) will violate (1) any Law, (2) any Organic Document of the Borrower or any of its Subsidiaries or (3) any order of any Governmental Authority, that in the case of clause (ii)(1) or clause (ii)(3), individually or in the aggregate, would reasonably be expected to result in a Material Adverse Effect, (iii) will violate or result in a default under any Material Agreement binding upon the Borrower or any of its Subsidiaries that, individually or in the aggregate, would reasonably be expected to result in a Material Adverse Effect or (iv) will result in the creation or imposition of any Lien (other than Permitted Liens) on any asset of the Borrower or any of its Subsidiaries.</w:t>
      </w:r>
    </w:p>
    <w:p>
      <w:pPr>
        <w:spacing w:after="0" w:line="179" w:lineRule="exact"/>
        <w:rPr>
          <w:rFonts w:ascii="Times New Roman" w:cs="Times New Roman" w:eastAsia="Times New Roman" w:hAnsi="Times New Roman"/>
          <w:sz w:val="22"/>
          <w:szCs w:val="22"/>
          <w:color w:val="010000"/>
        </w:rPr>
      </w:pPr>
    </w:p>
    <w:p>
      <w:pPr>
        <w:jc w:val="both"/>
        <w:ind w:left="1292" w:hanging="644"/>
        <w:spacing w:after="0" w:line="235" w:lineRule="auto"/>
        <w:tabs>
          <w:tab w:leader="none" w:pos="1292" w:val="left"/>
        </w:tabs>
        <w:numPr>
          <w:ilvl w:val="1"/>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Amendment and the other Amendment Documents have been duly authorized by all necessary corporate or other organizational action including, if required, approval by all necessary holders of Equity Interests, and duly executed and delivered by the Borrower and constitutes, and each of the Amendment Documents when executed and delivered by the Borrower will constitute, a legal, valid and binding obligation of the Borrower, enforceable against the Borrower in accordance with its terms, except as such enforceability may be limited by (i) bankruptcy, insolvency, reorganization, moratorium or similar laws of general 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631190</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355" w:right="999" w:bottom="1440" w:gutter="0" w:footer="0" w:header="0"/>
        </w:sectPr>
      </w:pPr>
    </w:p>
    <w:bookmarkStart w:id="229" w:name="page230"/>
    <w:bookmarkEnd w:id="229"/>
    <w:p>
      <w:pPr>
        <w:ind w:left="1292" w:right="20"/>
        <w:spacing w:after="0" w:line="282" w:lineRule="auto"/>
        <w:rPr>
          <w:sz w:val="20"/>
          <w:szCs w:val="20"/>
          <w:color w:val="auto"/>
        </w:rPr>
      </w:pPr>
      <w:r>
        <w:rPr>
          <w:rFonts w:ascii="Times New Roman" w:cs="Times New Roman" w:eastAsia="Times New Roman" w:hAnsi="Times New Roman"/>
          <w:sz w:val="21"/>
          <w:szCs w:val="21"/>
          <w:color w:val="auto"/>
        </w:rPr>
        <w:t>affecting the enforcement of creditors’ rights and (ii) the application of general principles of equity (regardless of whether such enforceability is considered in a proceeding in equity or at law).</w:t>
      </w:r>
    </w:p>
    <w:p>
      <w:pPr>
        <w:spacing w:after="0" w:line="135" w:lineRule="exact"/>
        <w:rPr>
          <w:sz w:val="20"/>
          <w:szCs w:val="20"/>
          <w:color w:val="auto"/>
        </w:rPr>
      </w:pPr>
    </w:p>
    <w:p>
      <w:pPr>
        <w:ind w:left="652" w:hanging="652"/>
        <w:spacing w:after="0"/>
        <w:tabs>
          <w:tab w:leader="none" w:pos="652"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left="1292" w:hanging="644"/>
        <w:spacing w:after="0" w:line="242" w:lineRule="auto"/>
        <w:tabs>
          <w:tab w:leader="none" w:pos="1292" w:val="left"/>
        </w:tabs>
        <w:numPr>
          <w:ilvl w:val="1"/>
          <w:numId w:val="1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consideration of this Amendment and agreements of the Administrative Agent and the Lenders contained herein and for other good and valuable consideration, the receipt and sufficiency of which is hereby acknowledged, the Borrower (the “</w:t>
      </w:r>
      <w:r>
        <w:rPr>
          <w:rFonts w:ascii="Times New Roman" w:cs="Times New Roman" w:eastAsia="Times New Roman" w:hAnsi="Times New Roman"/>
          <w:sz w:val="21"/>
          <w:szCs w:val="21"/>
          <w:b w:val="1"/>
          <w:bCs w:val="1"/>
          <w:i w:val="1"/>
          <w:iCs w:val="1"/>
          <w:color w:val="auto"/>
        </w:rPr>
        <w:t>Releasing Party</w:t>
      </w:r>
      <w:r>
        <w:rPr>
          <w:rFonts w:ascii="Times New Roman" w:cs="Times New Roman" w:eastAsia="Times New Roman" w:hAnsi="Times New Roman"/>
          <w:sz w:val="21"/>
          <w:szCs w:val="21"/>
          <w:color w:val="auto"/>
        </w:rPr>
        <w:t>”), on behalf of itself and its successors, assigns and other legal representatives hereby absolutely, unconditionally and irrevocably releases, remises and forever discharges the Administrative Agent and the Lenders and their respective present and former shareholders, affiliates, subsidiaries, divisions, predecessors, directors, officers, attorneys, employees, agents and other representatives, in each case solely in their capacities relative to the Lenders and not in any other capacity such party may have relative to the Releasing Party (the Administrative Agent, each Lender and all such other Persons being hereinafter referred to collectively as the “</w:t>
      </w:r>
      <w:r>
        <w:rPr>
          <w:rFonts w:ascii="Times New Roman" w:cs="Times New Roman" w:eastAsia="Times New Roman" w:hAnsi="Times New Roman"/>
          <w:sz w:val="21"/>
          <w:szCs w:val="21"/>
          <w:b w:val="1"/>
          <w:bCs w:val="1"/>
          <w:i w:val="1"/>
          <w:iCs w:val="1"/>
          <w:color w:val="auto"/>
        </w:rPr>
        <w:t>Releasees</w:t>
      </w:r>
      <w:r>
        <w:rPr>
          <w:rFonts w:ascii="Times New Roman" w:cs="Times New Roman" w:eastAsia="Times New Roman" w:hAnsi="Times New Roman"/>
          <w:sz w:val="21"/>
          <w:szCs w:val="21"/>
          <w:color w:val="auto"/>
        </w:rPr>
        <w:t>” and individually as a “</w:t>
      </w:r>
      <w:r>
        <w:rPr>
          <w:rFonts w:ascii="Times New Roman" w:cs="Times New Roman" w:eastAsia="Times New Roman" w:hAnsi="Times New Roman"/>
          <w:sz w:val="21"/>
          <w:szCs w:val="21"/>
          <w:b w:val="1"/>
          <w:bCs w:val="1"/>
          <w:i w:val="1"/>
          <w:iCs w:val="1"/>
          <w:color w:val="auto"/>
        </w:rPr>
        <w:t>Releasee</w:t>
      </w:r>
      <w:r>
        <w:rPr>
          <w:rFonts w:ascii="Times New Roman" w:cs="Times New Roman" w:eastAsia="Times New Roman" w:hAnsi="Times New Roman"/>
          <w:sz w:val="21"/>
          <w:szCs w:val="21"/>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the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date hereof, for or on account of, or in relation to, or in any way in connection with the Credit Agreement or any of the other Loan Documents or transactions thereunder (any of the foregoing, a “</w:t>
      </w:r>
      <w:r>
        <w:rPr>
          <w:rFonts w:ascii="Times New Roman" w:cs="Times New Roman" w:eastAsia="Times New Roman" w:hAnsi="Times New Roman"/>
          <w:sz w:val="21"/>
          <w:szCs w:val="21"/>
          <w:b w:val="1"/>
          <w:bCs w:val="1"/>
          <w:i w:val="1"/>
          <w:iCs w:val="1"/>
          <w:color w:val="auto"/>
        </w:rPr>
        <w:t>Claim</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i w:val="1"/>
          <w:iCs w:val="1"/>
          <w:color w:val="auto"/>
        </w:rPr>
        <w:t>Claims</w:t>
      </w:r>
      <w:r>
        <w:rPr>
          <w:rFonts w:ascii="Times New Roman" w:cs="Times New Roman" w:eastAsia="Times New Roman" w:hAnsi="Times New Roman"/>
          <w:sz w:val="21"/>
          <w:szCs w:val="21"/>
          <w:color w:val="auto"/>
        </w:rPr>
        <w:t>”). The Releasing Party expressly acknowledges and agrees, with respect to the Claims, that it waives, to the fullest extent permitted by applicable law, any and all provisions, rights and benefits conferred by any applicable U.S. federal or state law, or any principle of U.S. common law, that would otherwise limit a release or discharge of any unknown Claims pursuant to this Section 7. Furthermore, the Releasing Party hereby absolutely, unconditionally and irrevocably covenants and agrees with and in favor of each Releasee that it will not sue (at law, in equity, in any regulatory proceeding or otherwise) any Releasee on the basis of any Claim released and/or discharged by the Releasing Parties pursuant to this Section 7. The foregoing release, covenant and waivers of this Section 7 shall survive and remain in full force and effect regardless of the consummation of the transactions contemplated hereby, the repayment or prepayment of any of the Loans, or the termination of the Credit Agreement, this Amendment, any other Loan Document or any provision hereof or thereof.</w:t>
      </w:r>
    </w:p>
    <w:p>
      <w:pPr>
        <w:spacing w:after="0" w:line="200" w:lineRule="exact"/>
        <w:rPr>
          <w:rFonts w:ascii="Times New Roman" w:cs="Times New Roman" w:eastAsia="Times New Roman" w:hAnsi="Times New Roman"/>
          <w:sz w:val="21"/>
          <w:szCs w:val="21"/>
          <w:color w:val="010000"/>
        </w:rPr>
      </w:pPr>
    </w:p>
    <w:p>
      <w:pPr>
        <w:spacing w:after="0" w:line="244" w:lineRule="exact"/>
        <w:rPr>
          <w:rFonts w:ascii="Times New Roman" w:cs="Times New Roman" w:eastAsia="Times New Roman" w:hAnsi="Times New Roman"/>
          <w:sz w:val="21"/>
          <w:szCs w:val="21"/>
          <w:color w:val="010000"/>
        </w:rPr>
      </w:pPr>
    </w:p>
    <w:p>
      <w:pPr>
        <w:jc w:val="both"/>
        <w:ind w:left="1292" w:hanging="644"/>
        <w:spacing w:after="0" w:line="244" w:lineRule="auto"/>
        <w:tabs>
          <w:tab w:leader="none" w:pos="1292" w:val="left"/>
        </w:tabs>
        <w:numPr>
          <w:ilvl w:val="1"/>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Releasing Party understands, acknowledges and agrees that its release set forth above may be pleaded as a full and complete defense and may be used as a basis for an injunction against any action, suit or other proceeding which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624840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5" w:right="999" w:bottom="1440" w:gutter="0" w:footer="0" w:header="0"/>
        </w:sectPr>
      </w:pPr>
    </w:p>
    <w:bookmarkStart w:id="230" w:name="page231"/>
    <w:bookmarkEnd w:id="230"/>
    <w:p>
      <w:pPr>
        <w:ind w:left="1292"/>
        <w:spacing w:after="0"/>
        <w:rPr>
          <w:sz w:val="20"/>
          <w:szCs w:val="20"/>
          <w:color w:val="auto"/>
        </w:rPr>
      </w:pPr>
      <w:r>
        <w:rPr>
          <w:rFonts w:ascii="Times New Roman" w:cs="Times New Roman" w:eastAsia="Times New Roman" w:hAnsi="Times New Roman"/>
          <w:sz w:val="22"/>
          <w:szCs w:val="22"/>
          <w:color w:val="auto"/>
        </w:rPr>
        <w:t>instituted, prosecuted or attempted in breach of the provisions of such release.</w:t>
      </w:r>
    </w:p>
    <w:p>
      <w:pPr>
        <w:spacing w:after="0" w:line="206" w:lineRule="exact"/>
        <w:rPr>
          <w:sz w:val="20"/>
          <w:szCs w:val="20"/>
          <w:color w:val="auto"/>
        </w:rPr>
      </w:pPr>
    </w:p>
    <w:p>
      <w:pPr>
        <w:jc w:val="both"/>
        <w:ind w:left="1292" w:hanging="644"/>
        <w:spacing w:after="0" w:line="244" w:lineRule="auto"/>
        <w:tabs>
          <w:tab w:leader="none" w:pos="1292" w:val="left"/>
        </w:tabs>
        <w:numPr>
          <w:ilvl w:val="1"/>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Releasing Party agrees that no fact, event, circumstance, evidence or transaction which could now be asserted or which may hereafter be discovered shall affect in any manner the final, absolute and unconditional nature of the release set forth above.</w:t>
      </w:r>
    </w:p>
    <w:p>
      <w:pPr>
        <w:spacing w:after="0" w:line="173" w:lineRule="exact"/>
        <w:rPr>
          <w:rFonts w:ascii="Times New Roman" w:cs="Times New Roman" w:eastAsia="Times New Roman" w:hAnsi="Times New Roman"/>
          <w:sz w:val="22"/>
          <w:szCs w:val="22"/>
          <w:color w:val="010000"/>
        </w:rPr>
      </w:pPr>
    </w:p>
    <w:p>
      <w:pPr>
        <w:jc w:val="both"/>
        <w:ind w:left="652" w:hanging="652"/>
        <w:spacing w:after="0" w:line="234" w:lineRule="auto"/>
        <w:tabs>
          <w:tab w:leader="none" w:pos="652"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Fees and Expenses</w:t>
      </w:r>
      <w:r>
        <w:rPr>
          <w:rFonts w:ascii="Times New Roman" w:cs="Times New Roman" w:eastAsia="Times New Roman" w:hAnsi="Times New Roman"/>
          <w:sz w:val="22"/>
          <w:szCs w:val="22"/>
          <w:color w:val="auto"/>
        </w:rPr>
        <w:t>. The Borrower agrees to pay on demand (a) all out-of-pocket fees, costs and expenses of the Administrative Agent and the Lenders accrued prior to the date hereof and (b) all out-of-pocket fees, costs and expenses of the Administrative Agent and the Lenders incurred in connection with the preparation, execution and delivery of (i) this Amendment, (ii) any Amendment Documents, other Loan Documents or other post-closing amendments, agreements, arrangements or documentation, (iii) any other instruments and documents to be delivered hereunder or thereunder, in each case of clauses (a) and (b), including the fees and expenses of Sullivan &amp; Cromwell LLP, as outside counsel to Administrative Agent and the Oaktree Lenders, and Allen Overy Shearman Sterling US LLP, as outside counsel to Q Boost Holding LLC, with respect thereto.</w:t>
      </w:r>
    </w:p>
    <w:p>
      <w:pPr>
        <w:spacing w:after="0" w:line="183" w:lineRule="exact"/>
        <w:rPr>
          <w:rFonts w:ascii="Times New Roman" w:cs="Times New Roman" w:eastAsia="Times New Roman" w:hAnsi="Times New Roman"/>
          <w:sz w:val="22"/>
          <w:szCs w:val="22"/>
          <w:color w:val="010000"/>
        </w:rPr>
      </w:pPr>
    </w:p>
    <w:p>
      <w:pPr>
        <w:ind w:left="652" w:hanging="652"/>
        <w:spacing w:after="0"/>
        <w:tabs>
          <w:tab w:leader="none" w:pos="652" w:val="left"/>
        </w:tabs>
        <w:numPr>
          <w:ilvl w:val="0"/>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jc w:val="both"/>
        <w:ind w:left="1292" w:hanging="644"/>
        <w:spacing w:after="0" w:line="234" w:lineRule="auto"/>
        <w:tabs>
          <w:tab w:leader="none" w:pos="1292" w:val="left"/>
        </w:tabs>
        <w:numPr>
          <w:ilvl w:val="1"/>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expressly provided herein, (i) all provisions of the Credit Agreement and the other Loan Documents remain in full force and effect and (ii) the execution, delivery and effectiveness of this Amendment shall not operate as a waiver of any right, power or remedy of the Administrative Agent or the Lenders, nor constitute a waiver of any provision of the Existing Credit Agreement or any of the Loan Documents. None of the Administrative Agent or any Lender is under any obligation to enter into this Amendment. The entering into of this Amendment by such parties shall not be deemed to limit or hinder any rights of any such party under the Loan Documents, nor shall it be deemed to create or infer a course of dealing between any such party, on the one hand, and the Borrower, on the other hand, with regard to any provision of the Loan Documents. This Amendment shall constitute a Loan Document.</w:t>
      </w:r>
    </w:p>
    <w:p>
      <w:pPr>
        <w:spacing w:after="0" w:line="179" w:lineRule="exact"/>
        <w:rPr>
          <w:rFonts w:ascii="Times New Roman" w:cs="Times New Roman" w:eastAsia="Times New Roman" w:hAnsi="Times New Roman"/>
          <w:sz w:val="22"/>
          <w:szCs w:val="22"/>
          <w:color w:val="010000"/>
        </w:rPr>
      </w:pPr>
    </w:p>
    <w:p>
      <w:pPr>
        <w:jc w:val="both"/>
        <w:ind w:left="1292" w:hanging="644"/>
        <w:spacing w:after="0" w:line="239" w:lineRule="auto"/>
        <w:tabs>
          <w:tab w:leader="none" w:pos="1292" w:val="left"/>
        </w:tabs>
        <w:numPr>
          <w:ilvl w:val="1"/>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Amendment may be executed in several counterparts and by each party on a separate counterpart, each of which when so executed and delivered shall be an original, and all of which together shall constitute one instrument. An executed facsimile or electronic copy of this Amendment shall be effective for all purposes as an original hereof.</w:t>
      </w:r>
    </w:p>
    <w:p>
      <w:pPr>
        <w:spacing w:after="0" w:line="180" w:lineRule="exact"/>
        <w:rPr>
          <w:rFonts w:ascii="Times New Roman" w:cs="Times New Roman" w:eastAsia="Times New Roman" w:hAnsi="Times New Roman"/>
          <w:sz w:val="22"/>
          <w:szCs w:val="22"/>
          <w:color w:val="010000"/>
        </w:rPr>
      </w:pPr>
    </w:p>
    <w:p>
      <w:pPr>
        <w:jc w:val="both"/>
        <w:ind w:left="1292" w:hanging="644"/>
        <w:spacing w:after="0" w:line="244" w:lineRule="auto"/>
        <w:tabs>
          <w:tab w:leader="none" w:pos="1292" w:val="left"/>
        </w:tabs>
        <w:numPr>
          <w:ilvl w:val="1"/>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Amendment expresses the entire understanding of the parties with respect to the amendments contemplated hereby. No prior negotiations or discussions shall limit, modify, or otherwise affect the provisions hereof.</w:t>
      </w:r>
    </w:p>
    <w:p>
      <w:pPr>
        <w:spacing w:after="0" w:line="173" w:lineRule="exact"/>
        <w:rPr>
          <w:rFonts w:ascii="Times New Roman" w:cs="Times New Roman" w:eastAsia="Times New Roman" w:hAnsi="Times New Roman"/>
          <w:sz w:val="22"/>
          <w:szCs w:val="22"/>
          <w:color w:val="010000"/>
        </w:rPr>
      </w:pPr>
    </w:p>
    <w:p>
      <w:pPr>
        <w:jc w:val="both"/>
        <w:ind w:left="1292" w:hanging="644"/>
        <w:spacing w:after="0" w:line="244" w:lineRule="auto"/>
        <w:tabs>
          <w:tab w:leader="none" w:pos="1292" w:val="left"/>
        </w:tabs>
        <w:numPr>
          <w:ilvl w:val="1"/>
          <w:numId w:val="1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Amendment and its contents shall be subject to the governing law, indemnification, venue, service of process, waivers of jury trial and severability provisions of the Existing Credit Agreement, mutatis mutandis.</w:t>
      </w:r>
    </w:p>
    <w:p>
      <w:pPr>
        <w:spacing w:after="0" w:line="17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490855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55" w:right="999" w:bottom="1440" w:gutter="0" w:footer="0" w:header="0"/>
        </w:sectPr>
      </w:pPr>
    </w:p>
    <w:bookmarkStart w:id="231" w:name="page232"/>
    <w:bookmarkEnd w:id="231"/>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as of the day and year first above written.</w:t>
      </w:r>
    </w:p>
    <w:p>
      <w:pPr>
        <w:spacing w:after="0" w:line="19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2A302C"/>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13335</wp:posOffset>
            </wp:positionV>
            <wp:extent cx="31375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2A302C"/>
        </w:rPr>
        <w:t>BIOXCEL THERAPEUTICS, INC.</w:t>
      </w:r>
    </w:p>
    <w:p>
      <w:pPr>
        <w:spacing w:after="0" w:line="237" w:lineRule="exact"/>
        <w:rPr>
          <w:sz w:val="20"/>
          <w:szCs w:val="20"/>
          <w:color w:val="auto"/>
        </w:rPr>
      </w:pPr>
    </w:p>
    <w:p>
      <w:pPr>
        <w:ind w:left="4960"/>
        <w:spacing w:after="0"/>
        <w:tabs>
          <w:tab w:leader="none" w:pos="5520" w:val="left"/>
        </w:tabs>
        <w:rPr>
          <w:sz w:val="20"/>
          <w:szCs w:val="20"/>
          <w:color w:val="auto"/>
        </w:rPr>
      </w:pPr>
      <w:r>
        <w:rPr>
          <w:rFonts w:ascii="Times New Roman" w:cs="Times New Roman" w:eastAsia="Times New Roman" w:hAnsi="Times New Roman"/>
          <w:sz w:val="22"/>
          <w:szCs w:val="22"/>
          <w:color w:val="auto"/>
        </w:rPr>
        <w:t>By:</w:t>
        <w:tab/>
        <w:t>/s/ Vimal Mehta</w:t>
      </w:r>
    </w:p>
    <w:p>
      <w:pPr>
        <w:spacing w:after="0" w:line="1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-158115</wp:posOffset>
            </wp:positionV>
            <wp:extent cx="27686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555 Long Wharf Drive, 12th Floor</w:t>
      </w:r>
    </w:p>
    <w:p>
      <w:pPr>
        <w:ind w:left="4960"/>
        <w:spacing w:after="0" w:line="230" w:lineRule="auto"/>
        <w:rPr>
          <w:sz w:val="20"/>
          <w:szCs w:val="20"/>
          <w:color w:val="auto"/>
        </w:rPr>
      </w:pPr>
      <w:r>
        <w:rPr>
          <w:rFonts w:ascii="Times New Roman" w:cs="Times New Roman" w:eastAsia="Times New Roman" w:hAnsi="Times New Roman"/>
          <w:sz w:val="22"/>
          <w:szCs w:val="22"/>
          <w:color w:val="auto"/>
        </w:rPr>
        <w:t>New Haven, CT</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06511</w:t>
      </w:r>
    </w:p>
    <w:p>
      <w:pPr>
        <w:spacing w:after="0" w:line="2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Cooley LLP</w:t>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3 Embarcadero Center</w:t>
      </w:r>
    </w:p>
    <w:p>
      <w:pPr>
        <w:ind w:left="4960"/>
        <w:spacing w:after="0" w:line="230" w:lineRule="auto"/>
        <w:rPr>
          <w:sz w:val="20"/>
          <w:szCs w:val="20"/>
          <w:color w:val="auto"/>
        </w:rPr>
      </w:pPr>
      <w:r>
        <w:rPr>
          <w:rFonts w:ascii="Times New Roman" w:cs="Times New Roman" w:eastAsia="Times New Roman" w:hAnsi="Times New Roman"/>
          <w:sz w:val="22"/>
          <w:szCs w:val="22"/>
          <w:color w:val="auto"/>
        </w:rPr>
        <w:t>20th Floor</w:t>
      </w:r>
    </w:p>
    <w:p>
      <w:pPr>
        <w:ind w:left="4960"/>
        <w:spacing w:after="0" w:line="231" w:lineRule="auto"/>
        <w:rPr>
          <w:sz w:val="20"/>
          <w:szCs w:val="20"/>
          <w:color w:val="auto"/>
        </w:rPr>
      </w:pPr>
      <w:r>
        <w:rPr>
          <w:rFonts w:ascii="Times New Roman" w:cs="Times New Roman" w:eastAsia="Times New Roman" w:hAnsi="Times New Roman"/>
          <w:sz w:val="22"/>
          <w:szCs w:val="22"/>
          <w:color w:val="auto"/>
        </w:rPr>
        <w:t>San Francisco, CA 94111-4004</w:t>
      </w:r>
    </w:p>
    <w:p>
      <w:pPr>
        <w:ind w:left="4960"/>
        <w:spacing w:after="0" w:line="230" w:lineRule="auto"/>
        <w:rPr>
          <w:sz w:val="20"/>
          <w:szCs w:val="20"/>
          <w:color w:val="auto"/>
        </w:rPr>
      </w:pPr>
      <w:r>
        <w:rPr>
          <w:rFonts w:ascii="Times New Roman" w:cs="Times New Roman" w:eastAsia="Times New Roman" w:hAnsi="Times New Roman"/>
          <w:sz w:val="22"/>
          <w:szCs w:val="22"/>
          <w:color w:val="auto"/>
        </w:rPr>
        <w:t>Attn: Mischi a Marca</w:t>
      </w:r>
    </w:p>
    <w:p>
      <w:pPr>
        <w:spacing w:after="0" w:line="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Email: gmamarca@cooley.com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55" w:right="1019" w:bottom="1440" w:gutter="0" w:footer="0" w:header="0"/>
        </w:sectPr>
      </w:pPr>
    </w:p>
    <w:bookmarkStart w:id="232" w:name="page233"/>
    <w:bookmarkEnd w:id="232"/>
    <w:p>
      <w:pPr>
        <w:ind w:left="4480"/>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13335</wp:posOffset>
            </wp:positionV>
            <wp:extent cx="31457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2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21"/>
          <w:szCs w:val="21"/>
          <w:b w:val="1"/>
          <w:bCs w:val="1"/>
          <w:color w:val="auto"/>
        </w:rPr>
        <w:t>OAKTREE FUND ADMINISTRATION, LLC</w:t>
      </w:r>
    </w:p>
    <w:p>
      <w:pPr>
        <w:sectPr>
          <w:pgSz w:w="11900" w:h="16838" w:orient="portrait"/>
          <w:cols w:equalWidth="0" w:num="1">
            <w:col w:w="9019"/>
          </w:cols>
          <w:pgMar w:left="1440" w:top="365" w:right="1440" w:bottom="1440" w:gutter="0" w:footer="0" w:header="0"/>
        </w:sectPr>
      </w:pPr>
    </w:p>
    <w:p>
      <w:pPr>
        <w:spacing w:after="0" w:line="24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Oaktree Capital Management, 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0" w:lineRule="exact"/>
        <w:rPr>
          <w:sz w:val="20"/>
          <w:szCs w:val="20"/>
          <w:color w:val="auto"/>
        </w:rPr>
      </w:pPr>
    </w:p>
    <w:p>
      <w:pPr>
        <w:sectPr>
          <w:pgSz w:w="11900" w:h="16838" w:orient="portrait"/>
          <w:cols w:equalWidth="0" w:num="2">
            <w:col w:w="4800" w:space="360"/>
            <w:col w:w="3859"/>
          </w:cols>
          <w:pgMar w:left="1440" w:top="365" w:right="1440" w:bottom="1440" w:gutter="0" w:footer="0" w:header="0"/>
          <w:type w:val="continuous"/>
        </w:sectPr>
      </w:pPr>
    </w:p>
    <w:p>
      <w:pPr>
        <w:spacing w:after="0" w:line="9" w:lineRule="exact"/>
        <w:rPr>
          <w:sz w:val="20"/>
          <w:szCs w:val="20"/>
          <w:color w:val="auto"/>
        </w:rPr>
      </w:pP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Mary Gallegly</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-158115</wp:posOffset>
            </wp:positionV>
            <wp:extent cx="27260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9" w:lineRule="exact"/>
        <w:rPr>
          <w:sz w:val="20"/>
          <w:szCs w:val="20"/>
          <w:color w:val="auto"/>
        </w:rPr>
      </w:pP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Dombroff</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-158115</wp:posOffset>
            </wp:positionV>
            <wp:extent cx="27260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5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Oaktree Fund Administration, LLC 333</w:t>
      </w:r>
    </w:p>
    <w:p>
      <w:pPr>
        <w:ind w:left="4480"/>
        <w:spacing w:after="0" w:line="230" w:lineRule="auto"/>
        <w:rPr>
          <w:sz w:val="20"/>
          <w:szCs w:val="20"/>
          <w:color w:val="auto"/>
        </w:rPr>
      </w:pPr>
      <w:r>
        <w:rPr>
          <w:rFonts w:ascii="Times New Roman" w:cs="Times New Roman" w:eastAsia="Times New Roman" w:hAnsi="Times New Roman"/>
          <w:sz w:val="22"/>
          <w:szCs w:val="22"/>
          <w:color w:val="auto"/>
        </w:rPr>
        <w:t>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48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Email: Oaktreeagency@alterdomus.com</w:t>
      </w:r>
    </w:p>
    <w:p>
      <w:pPr>
        <w:spacing w:after="0" w:line="2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Oaktree Capital Management, L.P. 333</w:t>
      </w:r>
    </w:p>
    <w:p>
      <w:pPr>
        <w:ind w:left="4480"/>
        <w:spacing w:after="0" w:line="230" w:lineRule="auto"/>
        <w:rPr>
          <w:sz w:val="20"/>
          <w:szCs w:val="20"/>
          <w:color w:val="auto"/>
        </w:rPr>
      </w:pPr>
      <w:r>
        <w:rPr>
          <w:rFonts w:ascii="Times New Roman" w:cs="Times New Roman" w:eastAsia="Times New Roman" w:hAnsi="Times New Roman"/>
          <w:sz w:val="22"/>
          <w:szCs w:val="22"/>
          <w:color w:val="auto"/>
        </w:rPr>
        <w:t>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48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Sullivan &amp; Cromwell LLP 125</w:t>
      </w:r>
    </w:p>
    <w:p>
      <w:pPr>
        <w:ind w:left="4480"/>
        <w:spacing w:after="0" w:line="230" w:lineRule="auto"/>
        <w:rPr>
          <w:sz w:val="20"/>
          <w:szCs w:val="20"/>
          <w:color w:val="auto"/>
        </w:rPr>
      </w:pPr>
      <w:r>
        <w:rPr>
          <w:rFonts w:ascii="Times New Roman" w:cs="Times New Roman" w:eastAsia="Times New Roman" w:hAnsi="Times New Roman"/>
          <w:sz w:val="22"/>
          <w:szCs w:val="22"/>
          <w:color w:val="auto"/>
        </w:rPr>
        <w:t>Broad Street</w:t>
      </w:r>
    </w:p>
    <w:p>
      <w:pPr>
        <w:ind w:left="448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65" w:right="1440" w:bottom="1440" w:gutter="0" w:footer="0" w:header="0"/>
          <w:type w:val="continuous"/>
        </w:sectPr>
      </w:pPr>
    </w:p>
    <w:bookmarkStart w:id="233" w:name="page234"/>
    <w:bookmarkEnd w:id="233"/>
    <w:p>
      <w:pPr>
        <w:ind w:left="4500"/>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13335</wp:posOffset>
            </wp:positionV>
            <wp:extent cx="31375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OAKTREE-TCDRS STRATEGIC CREDIT, LLC</w:t>
      </w:r>
    </w:p>
    <w:p>
      <w:pPr>
        <w:spacing w:after="0" w:line="2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20"/>
          </w:cols>
          <w:pgMar w:left="1440" w:top="365" w:right="1339" w:bottom="1440" w:gutter="0" w:footer="0" w:header="0"/>
        </w:sectPr>
      </w:pPr>
    </w:p>
    <w:bookmarkStart w:id="234" w:name="page235"/>
    <w:bookmarkEnd w:id="234"/>
    <w:p>
      <w:pPr>
        <w:ind w:left="4500"/>
        <w:spacing w:after="0"/>
        <w:rPr>
          <w:sz w:val="20"/>
          <w:szCs w:val="20"/>
          <w:color w:val="auto"/>
        </w:rPr>
      </w:pPr>
      <w:r>
        <w:rPr>
          <w:rFonts w:ascii="Times New Roman" w:cs="Times New Roman" w:eastAsia="Times New Roman" w:hAnsi="Times New Roman"/>
          <w:sz w:val="21"/>
          <w:szCs w:val="21"/>
          <w:b w:val="1"/>
          <w:bCs w:val="1"/>
          <w:color w:val="auto"/>
        </w:rPr>
        <w:t>OAKTREE-FORREST MULTI-STRATEGY, LLC</w:t>
      </w:r>
    </w:p>
    <w:p>
      <w:pPr>
        <w:spacing w:after="0" w:line="2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220"/>
          </w:cols>
          <w:pgMar w:left="1440" w:top="365" w:right="1239" w:bottom="1440" w:gutter="0" w:footer="0" w:header="0"/>
        </w:sectPr>
      </w:pPr>
    </w:p>
    <w:bookmarkStart w:id="235" w:name="page236"/>
    <w:bookmarkEnd w:id="235"/>
    <w:p>
      <w:pPr>
        <w:ind w:left="4500"/>
        <w:spacing w:after="0" w:line="262" w:lineRule="auto"/>
        <w:rPr>
          <w:sz w:val="20"/>
          <w:szCs w:val="20"/>
          <w:color w:val="auto"/>
        </w:rPr>
      </w:pPr>
      <w:r>
        <w:rPr>
          <w:rFonts w:ascii="Times New Roman" w:cs="Times New Roman" w:eastAsia="Times New Roman" w:hAnsi="Times New Roman"/>
          <w:sz w:val="22"/>
          <w:szCs w:val="22"/>
          <w:b w:val="1"/>
          <w:bCs w:val="1"/>
          <w:color w:val="auto"/>
        </w:rPr>
        <w:t>OAKTREE-TBMR STRATEGIC CREDIT FUND C, LLC</w:t>
      </w:r>
    </w:p>
    <w:p>
      <w:pPr>
        <w:spacing w:after="0" w:line="181"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440" w:top="365" w:right="1039" w:bottom="1440" w:gutter="0" w:footer="0" w:header="0"/>
        </w:sectPr>
      </w:pPr>
    </w:p>
    <w:bookmarkStart w:id="236" w:name="page237"/>
    <w:bookmarkEnd w:id="236"/>
    <w:p>
      <w:pPr>
        <w:ind w:left="4500"/>
        <w:spacing w:after="0" w:line="262" w:lineRule="auto"/>
        <w:rPr>
          <w:sz w:val="20"/>
          <w:szCs w:val="20"/>
          <w:color w:val="auto"/>
        </w:rPr>
      </w:pPr>
      <w:r>
        <w:rPr>
          <w:rFonts w:ascii="Times New Roman" w:cs="Times New Roman" w:eastAsia="Times New Roman" w:hAnsi="Times New Roman"/>
          <w:sz w:val="22"/>
          <w:szCs w:val="22"/>
          <w:b w:val="1"/>
          <w:bCs w:val="1"/>
          <w:color w:val="auto"/>
        </w:rPr>
        <w:t>OAKTREE-TBMR STRATEGIC CREDIT FUND F, LLC</w:t>
      </w:r>
    </w:p>
    <w:p>
      <w:pPr>
        <w:spacing w:after="0" w:line="181"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80"/>
          </w:cols>
          <w:pgMar w:left="1440" w:top="365" w:right="1079" w:bottom="1440" w:gutter="0" w:footer="0" w:header="0"/>
        </w:sectPr>
      </w:pPr>
    </w:p>
    <w:bookmarkStart w:id="237" w:name="page238"/>
    <w:bookmarkEnd w:id="237"/>
    <w:p>
      <w:pPr>
        <w:ind w:left="4500"/>
        <w:spacing w:after="0" w:line="262" w:lineRule="auto"/>
        <w:rPr>
          <w:sz w:val="20"/>
          <w:szCs w:val="20"/>
          <w:color w:val="auto"/>
        </w:rPr>
      </w:pPr>
      <w:r>
        <w:rPr>
          <w:rFonts w:ascii="Times New Roman" w:cs="Times New Roman" w:eastAsia="Times New Roman" w:hAnsi="Times New Roman"/>
          <w:sz w:val="22"/>
          <w:szCs w:val="22"/>
          <w:b w:val="1"/>
          <w:bCs w:val="1"/>
          <w:color w:val="auto"/>
        </w:rPr>
        <w:t>OAKTREE-TBMR STRATEGIC CREDIT FUND G, LLC</w:t>
      </w:r>
    </w:p>
    <w:p>
      <w:pPr>
        <w:spacing w:after="0" w:line="181"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365" w:right="1019" w:bottom="1440" w:gutter="0" w:footer="0" w:header="0"/>
        </w:sectPr>
      </w:pPr>
    </w:p>
    <w:bookmarkStart w:id="238" w:name="page239"/>
    <w:bookmarkEnd w:id="238"/>
    <w:p>
      <w:pPr>
        <w:ind w:left="4500"/>
        <w:spacing w:after="0"/>
        <w:rPr>
          <w:sz w:val="20"/>
          <w:szCs w:val="20"/>
          <w:color w:val="auto"/>
        </w:rPr>
      </w:pPr>
      <w:r>
        <w:rPr>
          <w:rFonts w:ascii="Times New Roman" w:cs="Times New Roman" w:eastAsia="Times New Roman" w:hAnsi="Times New Roman"/>
          <w:sz w:val="21"/>
          <w:szCs w:val="21"/>
          <w:b w:val="1"/>
          <w:bCs w:val="1"/>
          <w:color w:val="auto"/>
        </w:rPr>
        <w:t>OAKTREE-TSE 16 STRATEGIC CREDIT, LLC</w:t>
      </w:r>
    </w:p>
    <w:p>
      <w:pPr>
        <w:spacing w:after="0" w:line="2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80"/>
          </w:cols>
          <w:pgMar w:left="1440" w:top="338" w:right="1379" w:bottom="1440" w:gutter="0" w:footer="0" w:header="0"/>
        </w:sectPr>
      </w:pPr>
    </w:p>
    <w:bookmarkStart w:id="239" w:name="page240"/>
    <w:bookmarkEnd w:id="239"/>
    <w:p>
      <w:pPr>
        <w:ind w:left="4500"/>
        <w:spacing w:after="0"/>
        <w:rPr>
          <w:sz w:val="20"/>
          <w:szCs w:val="20"/>
          <w:color w:val="auto"/>
        </w:rPr>
      </w:pPr>
      <w:r>
        <w:rPr>
          <w:rFonts w:ascii="Times New Roman" w:cs="Times New Roman" w:eastAsia="Times New Roman" w:hAnsi="Times New Roman"/>
          <w:sz w:val="21"/>
          <w:szCs w:val="21"/>
          <w:b w:val="1"/>
          <w:bCs w:val="1"/>
          <w:color w:val="auto"/>
        </w:rPr>
        <w:t>INPRS STRATEGIC CREDIT HOLDINGS, LLC</w:t>
      </w:r>
    </w:p>
    <w:p>
      <w:pPr>
        <w:spacing w:after="0" w:line="2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20"/>
          </w:cols>
          <w:pgMar w:left="1440" w:top="365" w:right="1339" w:bottom="1440" w:gutter="0" w:footer="0" w:header="0"/>
        </w:sectPr>
      </w:pPr>
    </w:p>
    <w:bookmarkStart w:id="240" w:name="page241"/>
    <w:bookmarkEnd w:id="240"/>
    <w:p>
      <w:pPr>
        <w:ind w:left="4500"/>
        <w:spacing w:after="0"/>
        <w:rPr>
          <w:sz w:val="20"/>
          <w:szCs w:val="20"/>
          <w:color w:val="auto"/>
        </w:rPr>
      </w:pPr>
      <w:r>
        <w:rPr>
          <w:rFonts w:ascii="Times New Roman" w:cs="Times New Roman" w:eastAsia="Times New Roman" w:hAnsi="Times New Roman"/>
          <w:sz w:val="22"/>
          <w:szCs w:val="22"/>
          <w:b w:val="1"/>
          <w:bCs w:val="1"/>
          <w:color w:val="auto"/>
        </w:rPr>
        <w:t>OAKTREE SPECIALTY LENDING</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CORPORATION</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Fund Advisors, LLC</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Investment Adviser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2">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Email: Oaktreeagency@alterdomus.com</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65" w:right="1440" w:bottom="1440" w:gutter="0" w:footer="0" w:header="0"/>
        </w:sectPr>
      </w:pPr>
    </w:p>
    <w:bookmarkStart w:id="241" w:name="page242"/>
    <w:bookmarkEnd w:id="241"/>
    <w:p>
      <w:pPr>
        <w:ind w:left="4480"/>
        <w:spacing w:after="0"/>
        <w:rPr>
          <w:sz w:val="20"/>
          <w:szCs w:val="20"/>
          <w:color w:val="auto"/>
        </w:rPr>
      </w:pPr>
      <w:r>
        <w:rPr>
          <w:rFonts w:ascii="Times New Roman" w:cs="Times New Roman" w:eastAsia="Times New Roman" w:hAnsi="Times New Roman"/>
          <w:sz w:val="21"/>
          <w:szCs w:val="21"/>
          <w:b w:val="1"/>
          <w:bCs w:val="1"/>
          <w:color w:val="auto"/>
        </w:rPr>
        <w:t>OAKTREE STRATEGIC CREDIT FUND</w:t>
      </w:r>
    </w:p>
    <w:p>
      <w:pPr>
        <w:spacing w:after="0" w:line="249" w:lineRule="exact"/>
        <w:rPr>
          <w:sz w:val="20"/>
          <w:szCs w:val="20"/>
          <w:color w:val="auto"/>
        </w:rPr>
      </w:pP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Oaktree Fund Advisors, LLC</w:t>
      </w:r>
    </w:p>
    <w:p>
      <w:pPr>
        <w:spacing w:after="0" w:line="14" w:lineRule="exact"/>
        <w:rPr>
          <w:sz w:val="20"/>
          <w:szCs w:val="20"/>
          <w:color w:val="auto"/>
        </w:rPr>
      </w:pP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Investment Adviser</w:t>
      </w:r>
    </w:p>
    <w:p>
      <w:pPr>
        <w:spacing w:after="0" w:line="209" w:lineRule="exact"/>
        <w:rPr>
          <w:sz w:val="20"/>
          <w:szCs w:val="20"/>
          <w:color w:val="auto"/>
        </w:rPr>
      </w:pP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Mary Gallegly</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-158115</wp:posOffset>
            </wp:positionV>
            <wp:extent cx="27260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9" w:lineRule="exact"/>
        <w:rPr>
          <w:sz w:val="20"/>
          <w:szCs w:val="20"/>
          <w:color w:val="auto"/>
        </w:rPr>
      </w:pP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Jessica Dombroff</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-158115</wp:posOffset>
            </wp:positionV>
            <wp:extent cx="27260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ind w:left="4480"/>
        <w:spacing w:after="0"/>
        <w:tabs>
          <w:tab w:leader="none" w:pos="51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5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48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48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48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48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Sullivan &amp; Cromwell LLP</w:t>
      </w:r>
    </w:p>
    <w:p>
      <w:pPr>
        <w:ind w:left="448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48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65" w:right="1440" w:bottom="1440" w:gutter="0" w:footer="0" w:header="0"/>
        </w:sectPr>
      </w:pPr>
    </w:p>
    <w:bookmarkStart w:id="242" w:name="page243"/>
    <w:bookmarkEnd w:id="242"/>
    <w:p>
      <w:pPr>
        <w:ind w:left="4500"/>
        <w:spacing w:after="0" w:line="262" w:lineRule="auto"/>
        <w:rPr>
          <w:sz w:val="20"/>
          <w:szCs w:val="20"/>
          <w:color w:val="auto"/>
        </w:rPr>
      </w:pPr>
      <w:r>
        <w:rPr>
          <w:rFonts w:ascii="Times New Roman" w:cs="Times New Roman" w:eastAsia="Times New Roman" w:hAnsi="Times New Roman"/>
          <w:sz w:val="22"/>
          <w:szCs w:val="22"/>
          <w:b w:val="1"/>
          <w:bCs w:val="1"/>
          <w:color w:val="auto"/>
        </w:rPr>
        <w:t>OAKTREE GCP FUND DELAWARE HOLDINGS, L.P.</w:t>
      </w:r>
    </w:p>
    <w:p>
      <w:pPr>
        <w:spacing w:after="0" w:line="181"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Global Credit Plus Fund GP,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Global Credit Plus Fund GP Ltd.</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00"/>
          </w:cols>
          <w:pgMar w:left="1440" w:top="365" w:right="1159" w:bottom="1440" w:gutter="0" w:footer="0" w:header="0"/>
        </w:sectPr>
      </w:pPr>
    </w:p>
    <w:bookmarkStart w:id="243" w:name="page244"/>
    <w:bookmarkEnd w:id="243"/>
    <w:p>
      <w:pPr>
        <w:ind w:left="4500"/>
        <w:spacing w:after="0"/>
        <w:rPr>
          <w:sz w:val="20"/>
          <w:szCs w:val="20"/>
          <w:color w:val="auto"/>
        </w:rPr>
      </w:pPr>
      <w:r>
        <w:rPr>
          <w:rFonts w:ascii="Times New Roman" w:cs="Times New Roman" w:eastAsia="Times New Roman" w:hAnsi="Times New Roman"/>
          <w:sz w:val="21"/>
          <w:szCs w:val="21"/>
          <w:b w:val="1"/>
          <w:bCs w:val="1"/>
          <w:color w:val="auto"/>
        </w:rPr>
        <w:t>OAKTREE DIVERSIFIED INCOME FUND INC.</w:t>
      </w:r>
    </w:p>
    <w:p>
      <w:pPr>
        <w:spacing w:after="0" w:line="2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Fund Advisors, LLC</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Investment Adviser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80"/>
          </w:cols>
          <w:pgMar w:left="1440" w:top="365" w:right="1279" w:bottom="1440" w:gutter="0" w:footer="0" w:header="0"/>
        </w:sectPr>
      </w:pPr>
    </w:p>
    <w:bookmarkStart w:id="244" w:name="page245"/>
    <w:bookmarkEnd w:id="244"/>
    <w:p>
      <w:pPr>
        <w:ind w:left="4500"/>
        <w:spacing w:after="0"/>
        <w:rPr>
          <w:sz w:val="20"/>
          <w:szCs w:val="20"/>
          <w:color w:val="auto"/>
        </w:rPr>
      </w:pPr>
      <w:r>
        <w:rPr>
          <w:rFonts w:ascii="Times New Roman" w:cs="Times New Roman" w:eastAsia="Times New Roman" w:hAnsi="Times New Roman"/>
          <w:sz w:val="21"/>
          <w:szCs w:val="21"/>
          <w:b w:val="1"/>
          <w:bCs w:val="1"/>
          <w:color w:val="auto"/>
        </w:rPr>
        <w:t>OAKTREE AZ STRATEGIC LENDING FUND, L.P.</w:t>
      </w:r>
    </w:p>
    <w:p>
      <w:pPr>
        <w:spacing w:after="0" w:line="2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AZ Strategic Lending Fund GP,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Fund GP IIA, LLC</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Fund GP II,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Managing Member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365" w:right="1019" w:bottom="1440" w:gutter="0" w:footer="0" w:header="0"/>
        </w:sectPr>
      </w:pPr>
    </w:p>
    <w:bookmarkStart w:id="245" w:name="page246"/>
    <w:bookmarkEnd w:id="245"/>
    <w:p>
      <w:pPr>
        <w:ind w:left="4480"/>
        <w:spacing w:after="0" w:line="243" w:lineRule="auto"/>
        <w:rPr>
          <w:sz w:val="20"/>
          <w:szCs w:val="20"/>
          <w:color w:val="auto"/>
        </w:rPr>
      </w:pPr>
      <w:r>
        <w:rPr>
          <w:rFonts w:ascii="Times New Roman" w:cs="Times New Roman" w:eastAsia="Times New Roman" w:hAnsi="Times New Roman"/>
          <w:sz w:val="22"/>
          <w:szCs w:val="22"/>
          <w:b w:val="1"/>
          <w:bCs w:val="1"/>
          <w:color w:val="auto"/>
        </w:rPr>
        <w:t>OAKTREE LSL FUND HOLDINGS EURRC S.À R.L.</w:t>
      </w:r>
    </w:p>
    <w:p>
      <w:pPr>
        <w:ind w:left="4480"/>
        <w:spacing w:after="0" w:line="232" w:lineRule="auto"/>
        <w:rPr>
          <w:sz w:val="20"/>
          <w:szCs w:val="20"/>
          <w:color w:val="auto"/>
        </w:rPr>
      </w:pPr>
      <w:r>
        <w:rPr>
          <w:rFonts w:ascii="Times New Roman" w:cs="Times New Roman" w:eastAsia="Times New Roman" w:hAnsi="Times New Roman"/>
          <w:sz w:val="22"/>
          <w:szCs w:val="22"/>
          <w:color w:val="auto"/>
        </w:rPr>
        <w:t>26A, boulevard Royal L-2449</w:t>
      </w:r>
    </w:p>
    <w:p>
      <w:pPr>
        <w:ind w:left="4480"/>
        <w:spacing w:after="0" w:line="230" w:lineRule="auto"/>
        <w:rPr>
          <w:sz w:val="20"/>
          <w:szCs w:val="20"/>
          <w:color w:val="auto"/>
        </w:rPr>
      </w:pPr>
      <w:r>
        <w:rPr>
          <w:rFonts w:ascii="Times New Roman" w:cs="Times New Roman" w:eastAsia="Times New Roman" w:hAnsi="Times New Roman"/>
          <w:sz w:val="22"/>
          <w:szCs w:val="22"/>
          <w:color w:val="auto"/>
        </w:rPr>
        <w:t>Luxembourg, Grand Duchy of Luxembourg</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R.C.S Luxembourg Number: B269245</w:t>
      </w:r>
    </w:p>
    <w:p>
      <w:pPr>
        <w:spacing w:after="0" w:line="209" w:lineRule="exact"/>
        <w:rPr>
          <w:sz w:val="20"/>
          <w:szCs w:val="20"/>
          <w:color w:val="auto"/>
        </w:rPr>
      </w:pPr>
    </w:p>
    <w:p>
      <w:pPr>
        <w:ind w:left="4480"/>
        <w:spacing w:after="0"/>
        <w:tabs>
          <w:tab w:leader="none" w:pos="5040" w:val="left"/>
        </w:tabs>
        <w:rPr>
          <w:sz w:val="20"/>
          <w:szCs w:val="20"/>
          <w:color w:val="auto"/>
        </w:rPr>
      </w:pPr>
      <w:r>
        <w:rPr>
          <w:rFonts w:ascii="Times New Roman" w:cs="Times New Roman" w:eastAsia="Times New Roman" w:hAnsi="Times New Roman"/>
          <w:sz w:val="22"/>
          <w:szCs w:val="22"/>
          <w:color w:val="auto"/>
        </w:rPr>
        <w:t>By:</w:t>
        <w:tab/>
        <w:t>/s/ Martin Eckel</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Name:Martin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-158115</wp:posOffset>
            </wp:positionV>
            <wp:extent cx="27774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Title: Manager</w:t>
      </w:r>
    </w:p>
    <w:p>
      <w:pPr>
        <w:spacing w:after="0" w:line="209" w:lineRule="exact"/>
        <w:rPr>
          <w:sz w:val="20"/>
          <w:szCs w:val="20"/>
          <w:color w:val="auto"/>
        </w:rPr>
      </w:pPr>
    </w:p>
    <w:p>
      <w:pPr>
        <w:ind w:left="4480"/>
        <w:spacing w:after="0"/>
        <w:tabs>
          <w:tab w:leader="none" w:pos="5040" w:val="left"/>
        </w:tabs>
        <w:rPr>
          <w:sz w:val="20"/>
          <w:szCs w:val="20"/>
          <w:color w:val="auto"/>
        </w:rPr>
      </w:pPr>
      <w:r>
        <w:rPr>
          <w:rFonts w:ascii="Times New Roman" w:cs="Times New Roman" w:eastAsia="Times New Roman" w:hAnsi="Times New Roman"/>
          <w:sz w:val="22"/>
          <w:szCs w:val="22"/>
          <w:color w:val="auto"/>
        </w:rPr>
        <w:t>By:</w:t>
        <w:tab/>
        <w:t>/s/ Flora Verrecchia</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Name:Flora Verrecchia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-158115</wp:posOffset>
            </wp:positionV>
            <wp:extent cx="27774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5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48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48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48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48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Sullivan &amp; Cromwell LLP</w:t>
      </w:r>
    </w:p>
    <w:p>
      <w:pPr>
        <w:ind w:left="448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48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48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00"/>
          </w:cols>
          <w:pgMar w:left="1440" w:top="365" w:right="1359" w:bottom="1440" w:gutter="0" w:footer="0" w:header="0"/>
        </w:sectPr>
      </w:pPr>
    </w:p>
    <w:bookmarkStart w:id="246" w:name="page247"/>
    <w:bookmarkEnd w:id="246"/>
    <w:p>
      <w:pPr>
        <w:ind w:left="4500"/>
        <w:spacing w:after="0" w:line="262" w:lineRule="auto"/>
        <w:rPr>
          <w:sz w:val="20"/>
          <w:szCs w:val="20"/>
          <w:color w:val="auto"/>
        </w:rPr>
      </w:pPr>
      <w:r>
        <w:rPr>
          <w:rFonts w:ascii="Times New Roman" w:cs="Times New Roman" w:eastAsia="Times New Roman" w:hAnsi="Times New Roman"/>
          <w:sz w:val="22"/>
          <w:szCs w:val="22"/>
          <w:b w:val="1"/>
          <w:bCs w:val="1"/>
          <w:color w:val="auto"/>
        </w:rPr>
        <w:t>OAKTREE LSL FUND DELAWARE HOLDINGS EURRC, L.P.</w:t>
      </w:r>
    </w:p>
    <w:p>
      <w:pPr>
        <w:spacing w:after="0" w:line="181"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Life Sciences Lending Fund GP,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Life Sciences Lending Fund GP Ltd.</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Oaktree Capital Management, L.P.</w:t>
      </w:r>
    </w:p>
    <w:p>
      <w:pPr>
        <w:spacing w:after="0" w:line="14"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Its:</w:t>
        <w:tab/>
        <w:t>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Mary Gallegly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9">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22"/>
          <w:szCs w:val="22"/>
          <w:color w:val="auto"/>
        </w:rPr>
        <w:t>By:</w:t>
        <w:tab/>
        <w:t>/s/ Jessica Dombroff</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-158115</wp:posOffset>
            </wp:positionV>
            <wp:extent cx="27686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Oaktree Agency</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Oaktreeagency@alterdomus.com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w:t>
      </w:r>
    </w:p>
    <w:p>
      <w:pPr>
        <w:ind w:left="4500"/>
        <w:spacing w:after="0" w:line="231" w:lineRule="auto"/>
        <w:rPr>
          <w:sz w:val="20"/>
          <w:szCs w:val="20"/>
          <w:color w:val="auto"/>
        </w:rPr>
      </w:pPr>
      <w:r>
        <w:rPr>
          <w:rFonts w:ascii="Times New Roman" w:cs="Times New Roman" w:eastAsia="Times New Roman" w:hAnsi="Times New Roman"/>
          <w:sz w:val="22"/>
          <w:szCs w:val="22"/>
          <w:color w:val="auto"/>
        </w:rPr>
        <w:t>Los Angeles, CA 90071</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Aman Kumar</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AmKumar@oaktreecapital.com</w:t>
      </w:r>
    </w:p>
    <w:p>
      <w:pPr>
        <w:spacing w:after="0" w:line="20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With a copy to:</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Sullivan &amp; Cromwell LLP</w:t>
      </w:r>
    </w:p>
    <w:p>
      <w:pPr>
        <w:ind w:left="4500"/>
        <w:spacing w:after="0" w:line="230" w:lineRule="auto"/>
        <w:rPr>
          <w:sz w:val="20"/>
          <w:szCs w:val="20"/>
          <w:color w:val="auto"/>
        </w:rPr>
      </w:pPr>
      <w:r>
        <w:rPr>
          <w:rFonts w:ascii="Times New Roman" w:cs="Times New Roman" w:eastAsia="Times New Roman" w:hAnsi="Times New Roman"/>
          <w:sz w:val="22"/>
          <w:szCs w:val="22"/>
          <w:color w:val="auto"/>
        </w:rPr>
        <w:t>125 Broad Street</w:t>
      </w:r>
    </w:p>
    <w:p>
      <w:pPr>
        <w:ind w:left="4500"/>
        <w:spacing w:after="0" w:line="231" w:lineRule="auto"/>
        <w:rPr>
          <w:sz w:val="20"/>
          <w:szCs w:val="20"/>
          <w:color w:val="auto"/>
        </w:rPr>
      </w:pPr>
      <w:r>
        <w:rPr>
          <w:rFonts w:ascii="Times New Roman" w:cs="Times New Roman" w:eastAsia="Times New Roman" w:hAnsi="Times New Roman"/>
          <w:sz w:val="22"/>
          <w:szCs w:val="22"/>
          <w:color w:val="auto"/>
        </w:rPr>
        <w:t>New York, NY 10004</w:t>
      </w:r>
    </w:p>
    <w:p>
      <w:pPr>
        <w:ind w:left="4500"/>
        <w:spacing w:after="0" w:line="230" w:lineRule="auto"/>
        <w:rPr>
          <w:sz w:val="20"/>
          <w:szCs w:val="20"/>
          <w:color w:val="auto"/>
        </w:rPr>
      </w:pPr>
      <w:r>
        <w:rPr>
          <w:rFonts w:ascii="Times New Roman" w:cs="Times New Roman" w:eastAsia="Times New Roman" w:hAnsi="Times New Roman"/>
          <w:sz w:val="22"/>
          <w:szCs w:val="22"/>
          <w:color w:val="auto"/>
        </w:rPr>
        <w:t>Attn: Ari B. Blaut</w:t>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Email: blauta@sullcrom.com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368935</wp:posOffset>
            </wp:positionV>
            <wp:extent cx="629221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200"/>
          </w:cols>
          <w:pgMar w:left="1440" w:top="365" w:right="1259" w:bottom="1440" w:gutter="0" w:footer="0" w:header="0"/>
        </w:sectPr>
      </w:pPr>
    </w:p>
    <w:bookmarkStart w:id="247" w:name="page248"/>
    <w:bookmarkEnd w:id="247"/>
    <w:p>
      <w:pPr>
        <w:ind w:left="4480"/>
        <w:spacing w:after="0"/>
        <w:rPr>
          <w:sz w:val="20"/>
          <w:szCs w:val="20"/>
          <w:color w:val="auto"/>
        </w:rPr>
      </w:pPr>
      <w:r>
        <w:rPr>
          <w:rFonts w:ascii="Times New Roman" w:cs="Times New Roman" w:eastAsia="Times New Roman" w:hAnsi="Times New Roman"/>
          <w:sz w:val="22"/>
          <w:szCs w:val="22"/>
          <w:b w:val="1"/>
          <w:bCs w:val="1"/>
          <w:color w:val="auto"/>
        </w:rPr>
        <w:t>Q BOOST HOLDING LLC</w:t>
      </w:r>
    </w:p>
    <w:p>
      <w:pPr>
        <w:spacing w:after="0" w:line="237" w:lineRule="exact"/>
        <w:rPr>
          <w:sz w:val="20"/>
          <w:szCs w:val="20"/>
          <w:color w:val="auto"/>
        </w:rPr>
      </w:pPr>
    </w:p>
    <w:p>
      <w:pPr>
        <w:ind w:left="4480"/>
        <w:spacing w:after="0"/>
        <w:tabs>
          <w:tab w:leader="none" w:pos="51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Ahmed Nasser Al-Abdulghani</w:t>
      </w:r>
    </w:p>
    <w:p>
      <w:pPr>
        <w:spacing w:after="0" w:line="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 Ahmed Nasser Al-Abdulghani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-158115</wp:posOffset>
            </wp:positionV>
            <wp:extent cx="273431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ind w:left="4480"/>
        <w:spacing w:after="0"/>
        <w:tabs>
          <w:tab w:leader="none" w:pos="51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c/o Qatar Investment Authority</w:t>
      </w:r>
    </w:p>
    <w:p>
      <w:pPr>
        <w:ind w:left="4480"/>
        <w:spacing w:after="0" w:line="230" w:lineRule="auto"/>
        <w:rPr>
          <w:sz w:val="20"/>
          <w:szCs w:val="20"/>
          <w:color w:val="auto"/>
        </w:rPr>
      </w:pPr>
      <w:r>
        <w:rPr>
          <w:rFonts w:ascii="Times New Roman" w:cs="Times New Roman" w:eastAsia="Times New Roman" w:hAnsi="Times New Roman"/>
          <w:sz w:val="22"/>
          <w:szCs w:val="22"/>
          <w:color w:val="auto"/>
        </w:rPr>
        <w:t>Ooredoo Tower (Building 14)</w:t>
      </w:r>
    </w:p>
    <w:p>
      <w:pPr>
        <w:ind w:left="4480"/>
        <w:spacing w:after="0" w:line="231" w:lineRule="auto"/>
        <w:rPr>
          <w:sz w:val="20"/>
          <w:szCs w:val="20"/>
          <w:color w:val="auto"/>
        </w:rPr>
      </w:pPr>
      <w:r>
        <w:rPr>
          <w:rFonts w:ascii="Times New Roman" w:cs="Times New Roman" w:eastAsia="Times New Roman" w:hAnsi="Times New Roman"/>
          <w:sz w:val="22"/>
          <w:szCs w:val="22"/>
          <w:color w:val="auto"/>
        </w:rPr>
        <w:t>Al Dafna Street (Street 801)</w:t>
      </w:r>
    </w:p>
    <w:p>
      <w:pPr>
        <w:ind w:left="4480"/>
        <w:spacing w:after="0"/>
        <w:rPr>
          <w:sz w:val="20"/>
          <w:szCs w:val="20"/>
          <w:color w:val="auto"/>
        </w:rPr>
      </w:pPr>
      <w:r>
        <w:rPr>
          <w:rFonts w:ascii="Times New Roman" w:cs="Times New Roman" w:eastAsia="Times New Roman" w:hAnsi="Times New Roman"/>
          <w:sz w:val="22"/>
          <w:szCs w:val="22"/>
          <w:color w:val="auto"/>
        </w:rPr>
        <w:t>Al Dafna (Zone 61) Doha, Qatar</w:t>
      </w:r>
    </w:p>
    <w:p>
      <w:pPr>
        <w:spacing w:after="0" w:line="209" w:lineRule="exact"/>
        <w:rPr>
          <w:sz w:val="20"/>
          <w:szCs w:val="20"/>
          <w:color w:val="auto"/>
        </w:rPr>
      </w:pPr>
    </w:p>
    <w:p>
      <w:pPr>
        <w:ind w:left="4480"/>
        <w:spacing w:after="0" w:line="258" w:lineRule="auto"/>
        <w:rPr>
          <w:sz w:val="20"/>
          <w:szCs w:val="20"/>
          <w:color w:val="auto"/>
        </w:rPr>
      </w:pPr>
      <w:r>
        <w:rPr>
          <w:rFonts w:ascii="Times New Roman" w:cs="Times New Roman" w:eastAsia="Times New Roman" w:hAnsi="Times New Roman"/>
          <w:sz w:val="22"/>
          <w:szCs w:val="22"/>
          <w:color w:val="auto"/>
        </w:rPr>
        <w:t>A copy (which shall not constitute notice) shall also be sent to:</w:t>
      </w:r>
    </w:p>
    <w:p>
      <w:pPr>
        <w:spacing w:after="0" w:line="18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General Counsel</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Qatar Investment Authority</w:t>
      </w:r>
    </w:p>
    <w:p>
      <w:pPr>
        <w:ind w:left="4480"/>
        <w:spacing w:after="0" w:line="230" w:lineRule="auto"/>
        <w:rPr>
          <w:sz w:val="20"/>
          <w:szCs w:val="20"/>
          <w:color w:val="auto"/>
        </w:rPr>
      </w:pPr>
      <w:r>
        <w:rPr>
          <w:rFonts w:ascii="Times New Roman" w:cs="Times New Roman" w:eastAsia="Times New Roman" w:hAnsi="Times New Roman"/>
          <w:sz w:val="22"/>
          <w:szCs w:val="22"/>
          <w:color w:val="auto"/>
        </w:rPr>
        <w:t>Ooredoo Tower (Building 14)</w:t>
      </w:r>
    </w:p>
    <w:p>
      <w:pPr>
        <w:ind w:left="4480"/>
        <w:spacing w:after="0" w:line="231" w:lineRule="auto"/>
        <w:rPr>
          <w:sz w:val="20"/>
          <w:szCs w:val="20"/>
          <w:color w:val="auto"/>
        </w:rPr>
      </w:pPr>
      <w:r>
        <w:rPr>
          <w:rFonts w:ascii="Times New Roman" w:cs="Times New Roman" w:eastAsia="Times New Roman" w:hAnsi="Times New Roman"/>
          <w:sz w:val="22"/>
          <w:szCs w:val="22"/>
          <w:color w:val="auto"/>
        </w:rPr>
        <w:t>Al Dafna Street (Street 801)</w:t>
      </w:r>
    </w:p>
    <w:p>
      <w:pPr>
        <w:ind w:left="4480"/>
        <w:spacing w:after="0" w:line="230" w:lineRule="auto"/>
        <w:rPr>
          <w:sz w:val="20"/>
          <w:szCs w:val="20"/>
          <w:color w:val="auto"/>
        </w:rPr>
      </w:pPr>
      <w:r>
        <w:rPr>
          <w:rFonts w:ascii="Times New Roman" w:cs="Times New Roman" w:eastAsia="Times New Roman" w:hAnsi="Times New Roman"/>
          <w:sz w:val="22"/>
          <w:szCs w:val="22"/>
          <w:color w:val="auto"/>
        </w:rPr>
        <w:t>Al Dafna (Zone 61)</w:t>
      </w:r>
    </w:p>
    <w:p>
      <w:pPr>
        <w:ind w:left="4480"/>
        <w:spacing w:after="0" w:line="231" w:lineRule="auto"/>
        <w:rPr>
          <w:sz w:val="20"/>
          <w:szCs w:val="20"/>
          <w:color w:val="auto"/>
        </w:rPr>
      </w:pPr>
      <w:r>
        <w:rPr>
          <w:rFonts w:ascii="Times New Roman" w:cs="Times New Roman" w:eastAsia="Times New Roman" w:hAnsi="Times New Roman"/>
          <w:sz w:val="22"/>
          <w:szCs w:val="22"/>
          <w:color w:val="auto"/>
        </w:rPr>
        <w:t>Doha, Qatar</w:t>
      </w:r>
    </w:p>
    <w:p>
      <w:pPr>
        <w:ind w:left="4480"/>
        <w:spacing w:after="0"/>
        <w:rPr>
          <w:sz w:val="20"/>
          <w:szCs w:val="20"/>
          <w:color w:val="auto"/>
        </w:rPr>
      </w:pPr>
      <w:r>
        <w:rPr>
          <w:rFonts w:ascii="Times New Roman" w:cs="Times New Roman" w:eastAsia="Times New Roman" w:hAnsi="Times New Roman"/>
          <w:sz w:val="22"/>
          <w:szCs w:val="22"/>
          <w:color w:val="auto"/>
        </w:rPr>
        <w:t>Email: notices.legal@qia.qa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-3810</wp:posOffset>
            </wp:positionV>
            <wp:extent cx="273431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89" w:lineRule="exact"/>
        <w:rPr>
          <w:sz w:val="20"/>
          <w:szCs w:val="20"/>
          <w:color w:val="auto"/>
        </w:rPr>
      </w:pPr>
    </w:p>
    <w:p>
      <w:pPr>
        <w:ind w:left="4480"/>
        <w:spacing w:after="0" w:line="258" w:lineRule="auto"/>
        <w:rPr>
          <w:sz w:val="20"/>
          <w:szCs w:val="20"/>
          <w:color w:val="auto"/>
        </w:rPr>
      </w:pPr>
      <w:r>
        <w:rPr>
          <w:rFonts w:ascii="Times New Roman" w:cs="Times New Roman" w:eastAsia="Times New Roman" w:hAnsi="Times New Roman"/>
          <w:sz w:val="22"/>
          <w:szCs w:val="22"/>
          <w:color w:val="auto"/>
        </w:rPr>
        <w:t>A copy (which shall not constitute notice) shall also be sent to:</w:t>
      </w:r>
    </w:p>
    <w:p>
      <w:pPr>
        <w:spacing w:after="0" w:line="18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Shearman &amp; Sterling LLP</w:t>
      </w:r>
    </w:p>
    <w:p>
      <w:pPr>
        <w:spacing w:after="0" w:line="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535 Mission Street, 25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Floor</w:t>
      </w:r>
    </w:p>
    <w:p>
      <w:pPr>
        <w:ind w:left="4480"/>
        <w:spacing w:after="0" w:line="230" w:lineRule="auto"/>
        <w:rPr>
          <w:sz w:val="20"/>
          <w:szCs w:val="20"/>
          <w:color w:val="auto"/>
        </w:rPr>
      </w:pPr>
      <w:r>
        <w:rPr>
          <w:rFonts w:ascii="Times New Roman" w:cs="Times New Roman" w:eastAsia="Times New Roman" w:hAnsi="Times New Roman"/>
          <w:sz w:val="22"/>
          <w:szCs w:val="22"/>
          <w:color w:val="auto"/>
        </w:rPr>
        <w:t>San Francisco, CA 94105</w:t>
      </w:r>
    </w:p>
    <w:p>
      <w:pPr>
        <w:ind w:left="4480"/>
        <w:spacing w:after="0" w:line="231" w:lineRule="auto"/>
        <w:rPr>
          <w:sz w:val="20"/>
          <w:szCs w:val="20"/>
          <w:color w:val="auto"/>
        </w:rPr>
      </w:pPr>
      <w:r>
        <w:rPr>
          <w:rFonts w:ascii="Times New Roman" w:cs="Times New Roman" w:eastAsia="Times New Roman" w:hAnsi="Times New Roman"/>
          <w:sz w:val="22"/>
          <w:szCs w:val="22"/>
          <w:color w:val="auto"/>
        </w:rPr>
        <w:t>Attn: Michael S. Dorf</w:t>
      </w:r>
    </w:p>
    <w:p>
      <w:pPr>
        <w:ind w:left="5060"/>
        <w:spacing w:after="0" w:line="230" w:lineRule="auto"/>
        <w:rPr>
          <w:sz w:val="20"/>
          <w:szCs w:val="20"/>
          <w:color w:val="auto"/>
        </w:rPr>
      </w:pPr>
      <w:r>
        <w:rPr>
          <w:rFonts w:ascii="Times New Roman" w:cs="Times New Roman" w:eastAsia="Times New Roman" w:hAnsi="Times New Roman"/>
          <w:sz w:val="22"/>
          <w:szCs w:val="22"/>
          <w:color w:val="auto"/>
        </w:rPr>
        <w:t>Tomasz Kulawik</w:t>
      </w:r>
    </w:p>
    <w:p>
      <w:pPr>
        <w:ind w:left="4480"/>
        <w:spacing w:after="0" w:line="231" w:lineRule="auto"/>
        <w:rPr>
          <w:sz w:val="20"/>
          <w:szCs w:val="20"/>
          <w:color w:val="auto"/>
        </w:rPr>
      </w:pPr>
      <w:r>
        <w:rPr>
          <w:rFonts w:ascii="Times New Roman" w:cs="Times New Roman" w:eastAsia="Times New Roman" w:hAnsi="Times New Roman"/>
          <w:sz w:val="22"/>
          <w:szCs w:val="22"/>
          <w:color w:val="auto"/>
        </w:rPr>
        <w:t>Email:mdorf@shearman.com</w:t>
      </w:r>
    </w:p>
    <w:p>
      <w:pPr>
        <w:ind w:left="5060"/>
        <w:spacing w:after="0"/>
        <w:rPr>
          <w:sz w:val="20"/>
          <w:szCs w:val="20"/>
          <w:color w:val="auto"/>
        </w:rPr>
      </w:pPr>
      <w:r>
        <w:rPr>
          <w:rFonts w:ascii="Times New Roman" w:cs="Times New Roman" w:eastAsia="Times New Roman" w:hAnsi="Times New Roman"/>
          <w:sz w:val="22"/>
          <w:szCs w:val="22"/>
          <w:color w:val="auto"/>
        </w:rPr>
        <w:t>tomasz.kulawik@shearman.com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i w:val="1"/>
          <w:iCs w:val="1"/>
          <w:color w:val="auto"/>
        </w:rPr>
        <w:t>[Signature Page to Sixth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361315</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240"/>
          </w:cols>
          <w:pgMar w:left="1440" w:top="365" w:right="12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BIOXCEL THERAPEUTICS,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Insider Trading Compliance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consists of seven sections:</w:t>
      </w:r>
    </w:p>
    <w:p>
      <w:pPr>
        <w:spacing w:after="0" w:line="189" w:lineRule="exact"/>
        <w:rPr>
          <w:sz w:val="20"/>
          <w:szCs w:val="20"/>
          <w:color w:val="auto"/>
        </w:rPr>
      </w:pPr>
    </w:p>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 provides an overview;</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 sets forth the policies of the Company prohibiting insider trading;</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III explains insider trading;</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IV consists of procedures that have been put in place by the Company to prevent insider trading;</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 sets forth additional transactions that are prohibited by this Policy;</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 explains Rule 10b5-1 trading plans; and</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VII refers to the execution and return of a certificate of compliance.</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Preventing insider trading is necessary to comply with securities laws and to preserve the reputation and integrity of BioXcel</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well as that of all persons affiliated with the Company. “Insider trading” occurs when any person purchases or sells a security while in possession of inside information relating to the security. As explained in Section III below, “inside information” is information that is both “material” and “non-public.” Insider trading is a crime. The penalties for violating insider trading laws include imprisonment, disgorgement of profits, civil fines, and significant criminal fines. Insider trading is also prohibited by this Policy, and violation of this Policy may result in Company- imposed sanctions, including termination of employment for cause.</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Policy applies to all officers, directors and employees of the Company and its subsidiaries (if any) (collectively,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Personnel</w:t>
      </w:r>
      <w:r>
        <w:rPr>
          <w:rFonts w:ascii="Times New Roman" w:cs="Times New Roman" w:eastAsia="Times New Roman" w:hAnsi="Times New Roman"/>
          <w:sz w:val="18"/>
          <w:szCs w:val="18"/>
          <w:color w:val="auto"/>
        </w:rPr>
        <w:t>”), as well as such Company Personnel’s spouse, minor children and any other family member sharing the same household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Company Personnel and any other company, account, trust or other entity over which such Company Personnel has control (collectively, “</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and, together with Company Personnel,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Transactions by Related Parties should be treated for the purposes of this Policy and applicable securities laws as if they were for Company Personnel’s own account.Company Personnel will be responsible for compliance with this Policy by their Related Parties. This Policy extends to all activities within and outside the Company Personnel’s duties at the Company. All Company Personnel must review this Policy. Questions regarding the Policy should be directed to the Company’s Chief Financial Officer.</w:t>
      </w:r>
    </w:p>
    <w:p>
      <w:pPr>
        <w:spacing w:after="0" w:line="144"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POLICIES PROHIBITING INSIDER TRADING</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Covered Person shall purchase or sell any type of security while in possession of material, non- public information relating to the security, whether the issuer of such security is the Company or any other company.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198" w:lineRule="exact"/>
        <w:rPr>
          <w:sz w:val="20"/>
          <w:szCs w:val="20"/>
          <w:color w:val="auto"/>
        </w:rPr>
      </w:pPr>
    </w:p>
    <w:p>
      <w:pPr>
        <w:ind w:left="1300" w:right="20" w:hanging="320"/>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by a Covered Person from the Company or sales of the Company’s securities by a Covered Person to the Company;</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of stock options or other equity awards or the surrender of shares to the Company in payment of the exercise price or in satisfaction of any tax withholding obligations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731520</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49" w:name="page250"/>
    <w:bookmarkEnd w:id="249"/>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 xml:space="preserve">manner permitted by the applicable equity award agreement, or vesting of equity-based awards, that in each case do not involve a market sale of the Company’s securities (the “cashless exercise” of a Company stock option through a broker </w:t>
      </w:r>
      <w:r>
        <w:rPr>
          <w:rFonts w:ascii="Times New Roman" w:cs="Times New Roman" w:eastAsia="Times New Roman" w:hAnsi="Times New Roman"/>
          <w:sz w:val="18"/>
          <w:szCs w:val="18"/>
          <w:u w:val="single" w:color="auto"/>
          <w:color w:val="auto"/>
        </w:rPr>
        <w:t>does</w:t>
      </w:r>
      <w:r>
        <w:rPr>
          <w:rFonts w:ascii="Times New Roman" w:cs="Times New Roman" w:eastAsia="Times New Roman" w:hAnsi="Times New Roman"/>
          <w:sz w:val="18"/>
          <w:szCs w:val="18"/>
          <w:color w:val="auto"/>
        </w:rPr>
        <w:t xml:space="preserve"> involve a market sale of the Company’s securities, and therefore would not qualify under this exception);</w:t>
      </w:r>
    </w:p>
    <w:p>
      <w:pPr>
        <w:spacing w:after="0" w:line="133" w:lineRule="exact"/>
        <w:rPr>
          <w:sz w:val="20"/>
          <w:szCs w:val="20"/>
          <w:color w:val="auto"/>
        </w:rPr>
      </w:pPr>
    </w:p>
    <w:p>
      <w:pPr>
        <w:jc w:val="both"/>
        <w:ind w:left="1300" w:hanging="320"/>
        <w:spacing w:after="0" w:line="267"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unless the person making the gift has reason to believe that the recipient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sell the securities while the donor is in possession of material, non-public information about the Company; or</w:t>
      </w:r>
    </w:p>
    <w:p>
      <w:pPr>
        <w:spacing w:after="0" w:line="148"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any binding contract, specific instruction or written plan entered into outside of a blackout period and while the purchaser or seller, as applicable, was unaware of any material, non-public information and which contract, instruction or plan (i) meets all of the requirements of the affirmative defense provided by Rule 10b5-1 (“</w:t>
      </w:r>
      <w:r>
        <w:rPr>
          <w:rFonts w:ascii="Times New Roman" w:cs="Times New Roman" w:eastAsia="Times New Roman" w:hAnsi="Times New Roman"/>
          <w:sz w:val="18"/>
          <w:szCs w:val="18"/>
          <w:b w:val="1"/>
          <w:bCs w:val="1"/>
          <w:i w:val="1"/>
          <w:iCs w:val="1"/>
          <w:color w:val="auto"/>
        </w:rPr>
        <w:t>Rule 10b5-1</w:t>
      </w:r>
      <w:r>
        <w:rPr>
          <w:rFonts w:ascii="Times New Roman" w:cs="Times New Roman" w:eastAsia="Times New Roman" w:hAnsi="Times New Roman"/>
          <w:sz w:val="18"/>
          <w:szCs w:val="18"/>
          <w:color w:val="auto"/>
        </w:rPr>
        <w:t>”) promulgated under the Securities Exchange Act of 1934, as amended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VI below.</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 addition, no Covered Person shall directly or indirectly communicate (or “</w:t>
      </w:r>
      <w:r>
        <w:rPr>
          <w:rFonts w:ascii="Times New Roman" w:cs="Times New Roman" w:eastAsia="Times New Roman" w:hAnsi="Times New Roman"/>
          <w:sz w:val="18"/>
          <w:szCs w:val="18"/>
          <w:b w:val="1"/>
          <w:bCs w:val="1"/>
          <w:i w:val="1"/>
          <w:iCs w:val="1"/>
          <w:color w:val="auto"/>
        </w:rPr>
        <w:t>tip</w:t>
      </w:r>
      <w:r>
        <w:rPr>
          <w:rFonts w:ascii="Times New Roman" w:cs="Times New Roman" w:eastAsia="Times New Roman" w:hAnsi="Times New Roman"/>
          <w:sz w:val="18"/>
          <w:szCs w:val="18"/>
          <w:color w:val="auto"/>
        </w:rPr>
        <w:t>”) material, non- public information to anyone outside of the Company (except in accordance with the Company’s policies regarding the protection or authorized external disclosure of Company information) or to anyone within the Company other than on a need-to-know basis.</w:t>
      </w:r>
    </w:p>
    <w:p>
      <w:pPr>
        <w:spacing w:after="0" w:line="130"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EXPLANATION OF INSIDER TRADING</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refers to the purchase or sale of a security while in possession of “material,” “non-public”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security or its issuer.</w:t>
      </w:r>
    </w:p>
    <w:p>
      <w:pPr>
        <w:spacing w:after="0" w:line="12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stocks, bonds, notes, debentures, options, warrants and other convertible securities, as well as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w:t>
      </w:r>
    </w:p>
    <w:p>
      <w:pPr>
        <w:spacing w:after="0" w:line="11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broadly under the federal securities law.</w:t>
      </w:r>
      <w:r>
        <w:rPr>
          <w:rFonts w:ascii="Times New Roman" w:cs="Times New Roman" w:eastAsia="Times New Roman" w:hAnsi="Times New Roman"/>
          <w:sz w:val="18"/>
          <w:szCs w:val="18"/>
          <w:i w:val="1"/>
          <w:iCs w:val="1"/>
          <w:color w:val="auto"/>
        </w:rPr>
        <w:t xml:space="preserve"> “Purchase” </w:t>
      </w:r>
      <w:r>
        <w:rPr>
          <w:rFonts w:ascii="Times New Roman" w:cs="Times New Roman" w:eastAsia="Times New Roman" w:hAnsi="Times New Roman"/>
          <w:sz w:val="18"/>
          <w:szCs w:val="18"/>
          <w:color w:val="auto"/>
        </w:rPr>
        <w:t>includes not only the actual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a security, but any contract to purchase or otherwise acquire a security. </w:t>
      </w:r>
      <w:r>
        <w:rPr>
          <w:rFonts w:ascii="Times New Roman" w:cs="Times New Roman" w:eastAsia="Times New Roman" w:hAnsi="Times New Roman"/>
          <w:sz w:val="18"/>
          <w:szCs w:val="18"/>
          <w:i w:val="1"/>
          <w:iCs w:val="1"/>
          <w:color w:val="auto"/>
        </w:rPr>
        <w:t>“Sale”</w:t>
      </w:r>
      <w:r>
        <w:rPr>
          <w:rFonts w:ascii="Times New Roman" w:cs="Times New Roman" w:eastAsia="Times New Roman" w:hAnsi="Times New Roman"/>
          <w:sz w:val="18"/>
          <w:szCs w:val="18"/>
          <w:color w:val="auto"/>
        </w:rPr>
        <w:t xml:space="preserv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generally understood that insider trading includes the following:</w:t>
      </w:r>
    </w:p>
    <w:p>
      <w:pPr>
        <w:spacing w:after="0" w:line="198" w:lineRule="exact"/>
        <w:rPr>
          <w:sz w:val="20"/>
          <w:szCs w:val="20"/>
          <w:color w:val="auto"/>
        </w:rPr>
      </w:pPr>
    </w:p>
    <w:p>
      <w:pPr>
        <w:ind w:left="1300" w:hanging="320"/>
        <w:spacing w:after="0"/>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insiders while in possession of material, non-public information;</w:t>
      </w:r>
    </w:p>
    <w:p>
      <w:pPr>
        <w:spacing w:after="0" w:line="184"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by persons other than insiders while in possession of material, non-public information, if the information either was given in breach of an insider’s fiduciary duty to keep it confidential or was misappropriated; and</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or tipping material, non-public information to others, including recommending the purchase or sale of a security while in possession of such information.</w:t>
      </w:r>
    </w:p>
    <w:p>
      <w:pPr>
        <w:spacing w:after="0" w:line="134"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Facts are Material?</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materiality of a fact depends upon the circumstances. A fact is considered “material” if there is a substantial likelihood that a reasonable investor would consider it important in making a decision to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0" w:name="page251"/>
    <w:bookmarkEnd w:id="250"/>
    <w:p>
      <w:pPr>
        <w:ind w:right="20"/>
        <w:spacing w:after="0" w:line="282" w:lineRule="auto"/>
        <w:rPr>
          <w:sz w:val="20"/>
          <w:szCs w:val="20"/>
          <w:color w:val="auto"/>
        </w:rPr>
      </w:pPr>
      <w:r>
        <w:rPr>
          <w:rFonts w:ascii="Times New Roman" w:cs="Times New Roman" w:eastAsia="Times New Roman" w:hAnsi="Times New Roman"/>
          <w:sz w:val="18"/>
          <w:szCs w:val="18"/>
          <w:color w:val="auto"/>
        </w:rPr>
        <w:t>buy, sell or hold a security, or if the fact is likely to have a significant effect on the market price of the security. Material information can be positive or negative and can relate to virtually any aspect of a company’s business or to any type of security, debt or equity.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Examples of material information include (but are not limited to) information about:</w:t>
      </w:r>
    </w:p>
    <w:p>
      <w:pPr>
        <w:spacing w:after="0" w:line="198" w:lineRule="exact"/>
        <w:rPr>
          <w:sz w:val="20"/>
          <w:szCs w:val="20"/>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acquisitions, tender offers or dispositions;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products or product developments;</w:t>
      </w:r>
    </w:p>
    <w:p>
      <w:pPr>
        <w:spacing w:after="0" w:line="19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trial results, developments regarding strategic collaborators or the status of regulatory submissions;</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incidents and risks with respect to cybersecurity, data protection and personally identifiable information;</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or control changes;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financing developments including pending public sales or offerings of debt or equity securities;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 and</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regulatory actions.</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Moreover, material information does not have to be related to a company’s business. For example, the contents of a forthcoming newspaper column that is expected to affect the market price of a security can be material.</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good general rule of thumb: </w:t>
      </w:r>
      <w:r>
        <w:rPr>
          <w:rFonts w:ascii="Times New Roman" w:cs="Times New Roman" w:eastAsia="Times New Roman" w:hAnsi="Times New Roman"/>
          <w:sz w:val="18"/>
          <w:szCs w:val="18"/>
          <w:b w:val="1"/>
          <w:bCs w:val="1"/>
          <w:color w:val="auto"/>
        </w:rPr>
        <w:t>When in doubt, do not trade.</w:t>
      </w:r>
    </w:p>
    <w:p>
      <w:pPr>
        <w:spacing w:after="0" w:line="202" w:lineRule="exact"/>
        <w:rPr>
          <w:sz w:val="20"/>
          <w:szCs w:val="20"/>
          <w:color w:val="auto"/>
        </w:rPr>
      </w:pPr>
    </w:p>
    <w:p>
      <w:pPr>
        <w:ind w:left="980" w:hanging="648"/>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What is Non-Public?</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cs="Times New Roman" w:eastAsia="Times New Roman" w:hAnsi="Times New Roman"/>
          <w:sz w:val="18"/>
          <w:szCs w:val="18"/>
          <w:u w:val="single" w:color="auto"/>
          <w:color w:val="auto"/>
        </w:rPr>
        <w:t>Dow 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Wire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Associated Press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United Press International</w:t>
      </w:r>
      <w:r>
        <w:rPr>
          <w:rFonts w:ascii="Times New Roman" w:cs="Times New Roman" w:eastAsia="Times New Roman" w:hAnsi="Times New Roman"/>
          <w:sz w:val="18"/>
          <w:szCs w:val="18"/>
          <w:color w:val="auto"/>
        </w:rPr>
        <w:t>, a broadcast on widely available radio or television programs, publication in a widely available newspaper, magazine or news web site, a Regulation FD-compliant conference call, or public disclosure documents filed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that are available on the SEC’s web site.</w:t>
      </w:r>
    </w:p>
    <w:p>
      <w:pPr>
        <w:spacing w:after="0" w:line="1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effective public dissemination. In addition, even after a public announcement, a reasonable period of time must lapse in order for the market to react to the information. Generally, one should allow two full trading days following publication as a reasonable waiting period before such information is deemed to be public. For the purposes of this Policy, a “trading day” is a day on which national stock exchanges are open for trading. If, for example, the Company were to make an announcement on a Monday prior to 9:30 a.m. Eastern time, the information would be deemed public after the close of trading on Tuesday. If an announcement were made on a Monday after 9:30 a.m. Eastern time, the information would be deemed public after the close of trading on Wednesday. If you have any question as to whether information is publicly available, please direct an inquiry to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1" w:name="page252"/>
    <w:bookmarkEnd w:id="251"/>
    <w:p>
      <w:pPr>
        <w:ind w:left="980" w:hanging="648"/>
        <w:spacing w:after="0"/>
        <w:tabs>
          <w:tab w:leader="none" w:pos="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Who is an Insider?</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“Insiders” include officers, directors and employees of a company and anyone else who has material non-public information about a company. Insiders have independent fiduciary duties to their company and its stockholders not to trade on material, non-public information relating to the company’s securities. All officers, directors and employees of the Company should consider themselves insiders with respect to material, non-public information about the Company’s business, activities and securities. Insiders subject to this Policy are responsible for ensuring that their Related Parties also comply with this Policy, and such Related Parties should be treated for the purposes of this Policy and applicable securities laws as if they were for the such insider’s own account.</w:t>
      </w:r>
    </w:p>
    <w:p>
      <w:pPr>
        <w:spacing w:after="0" w:line="147" w:lineRule="exact"/>
        <w:rPr>
          <w:sz w:val="20"/>
          <w:szCs w:val="20"/>
          <w:color w:val="auto"/>
        </w:rPr>
      </w:pPr>
    </w:p>
    <w:p>
      <w:pPr>
        <w:ind w:left="980" w:hanging="648"/>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by Persons Other than Insiders</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Insiders may be liable for communicating or tipping material, non-public information to a third party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that has been misappropriated.</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43" w:lineRule="exact"/>
        <w:rPr>
          <w:sz w:val="20"/>
          <w:szCs w:val="20"/>
          <w:color w:val="auto"/>
        </w:rPr>
      </w:pPr>
    </w:p>
    <w:p>
      <w:pPr>
        <w:ind w:left="980" w:hanging="648"/>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Penalties for Engaging in Insider Trading</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Penalties for trading on or tipping material, 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39" w:lineRule="exact"/>
        <w:rPr>
          <w:sz w:val="20"/>
          <w:szCs w:val="20"/>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administrative sanctions;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industry self-regulatory organization sanctions;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injunctions;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awards to private plaintiffs;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all profits;</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violator of up to three times the amount of profit gained or loss avoided;</w:t>
      </w:r>
    </w:p>
    <w:p>
      <w:pPr>
        <w:spacing w:after="0" w:line="18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fines for the employer or other controlling person of a violator (i.e., where the violator is an employee or other controlled person) of up to the greater of $2,140,973 (subject to adjustment for inflation) or three times the amount of profit gained or loss avoided by the violator;</w:t>
      </w:r>
    </w:p>
    <w:p>
      <w:pPr>
        <w:spacing w:after="0" w:line="14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fines for individual violators of up to $5,000,000 ($25,000,000 for an entity); and</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jail sentences of up to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2" w:name="page253"/>
    <w:bookmarkEnd w:id="25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insider trading could result in serious sanctions by the Company, including dismissal. Insider trading violations are not limited to violations of the federal securities laws. Other federal and state civil or criminal laws, such as the laws prohibiting mail and wire fraud and the Racketeer Influenced and Corrupt Organizations Act (RICO), also may be violated in connection with insider trading.</w:t>
      </w:r>
    </w:p>
    <w:p>
      <w:pPr>
        <w:spacing w:after="0" w:line="135" w:lineRule="exact"/>
        <w:rPr>
          <w:sz w:val="20"/>
          <w:szCs w:val="20"/>
          <w:color w:val="auto"/>
        </w:rPr>
      </w:pPr>
    </w:p>
    <w:p>
      <w:pPr>
        <w:ind w:left="980" w:hanging="648"/>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Size of Transaction and Reason for Transaction Do Not Matter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non-public information. The SEC aggressively investigates even small insider trading violations.</w:t>
      </w:r>
    </w:p>
    <w:p>
      <w:pPr>
        <w:spacing w:after="0" w:line="153" w:lineRule="exact"/>
        <w:rPr>
          <w:sz w:val="20"/>
          <w:szCs w:val="20"/>
          <w:color w:val="auto"/>
        </w:rPr>
      </w:pPr>
    </w:p>
    <w:p>
      <w:pPr>
        <w:ind w:left="660" w:right="6220" w:hanging="328"/>
        <w:spacing w:after="0" w:line="480" w:lineRule="auto"/>
        <w:tabs>
          <w:tab w:leader="none" w:pos="984"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Examples of Insider Trading </w:t>
      </w:r>
      <w:r>
        <w:rPr>
          <w:rFonts w:ascii="Times New Roman" w:cs="Times New Roman" w:eastAsia="Times New Roman" w:hAnsi="Times New Roman"/>
          <w:sz w:val="17"/>
          <w:szCs w:val="17"/>
          <w:color w:val="auto"/>
        </w:rPr>
        <w:t>Examples of insider trading cases include:</w:t>
      </w:r>
    </w:p>
    <w:p>
      <w:pPr>
        <w:spacing w:after="0" w:line="1" w:lineRule="exact"/>
        <w:rPr>
          <w:rFonts w:ascii="Times New Roman" w:cs="Times New Roman" w:eastAsia="Times New Roman" w:hAnsi="Times New Roman"/>
          <w:sz w:val="17"/>
          <w:szCs w:val="17"/>
          <w:color w:val="auto"/>
        </w:rPr>
      </w:pPr>
    </w:p>
    <w:p>
      <w:pPr>
        <w:ind w:left="1300" w:hanging="320"/>
        <w:spacing w:after="0" w:line="282"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brought against corporate officers, directors, and employees who traded in a company’s securities after learning of significant confidential corporate developments;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friends, business associates, family members and other tippees of such officers, directors, and employees who traded in the securities after receiving such information;</w:t>
      </w:r>
    </w:p>
    <w:p>
      <w:pPr>
        <w:spacing w:after="0" w:line="13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employees who learned of such information in the course of their employment; and</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persons who misappropriated, and took advantage of, confidential information from their employers.</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are illustrations of insider trading violations. These illustrations are hypothetical and, consequently, not intended to reflect on the actual activities or business of the Company or any other entity.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Insider</w:t>
      </w:r>
    </w:p>
    <w:p>
      <w:pPr>
        <w:spacing w:after="0" w:line="18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 officer of X Corporation learns that earnings to be reported by X 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Trading by Tippee</w:t>
      </w:r>
    </w:p>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 officer of X Corporation tells a friend that X Corporation is about to publicly announce that it has signed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143" w:lineRule="exact"/>
        <w:rPr>
          <w:sz w:val="20"/>
          <w:szCs w:val="20"/>
          <w:color w:val="auto"/>
        </w:rPr>
      </w:pPr>
    </w:p>
    <w:p>
      <w:pPr>
        <w:ind w:left="980" w:hanging="648"/>
        <w:spacing w:after="0"/>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of Records Falsification and False Statements</w:t>
      </w:r>
    </w:p>
    <w:p>
      <w:pPr>
        <w:spacing w:after="0" w:line="18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13(b)(2) of the 1934 Act requires companies subject to the Act to maintain proper internal books and records and to devise and maintain an adequate system of internal accounting controls. The SEC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3" w:name="page254"/>
    <w:bookmarkEnd w:id="253"/>
    <w:p>
      <w:pPr>
        <w:jc w:val="both"/>
        <w:spacing w:after="0" w:line="258" w:lineRule="auto"/>
        <w:rPr>
          <w:sz w:val="20"/>
          <w:szCs w:val="20"/>
          <w:color w:val="auto"/>
        </w:rPr>
      </w:pPr>
      <w:r>
        <w:rPr>
          <w:rFonts w:ascii="Times New Roman" w:cs="Times New Roman" w:eastAsia="Times New Roman" w:hAnsi="Times New Roman"/>
          <w:sz w:val="18"/>
          <w:szCs w:val="18"/>
          <w:color w:val="auto"/>
        </w:rPr>
        <w:t>has supplemented the statutory requirements by adopting rules that prohibit (1) any person from falsifying records or accounts subject to the above requirements and (2) officers or directors from making any materially false, misleading, or incomplete statement to any accountant in connection with any audit or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STATEMENT OF PROCEDURES PREVENTING INSIDER TRADING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procedures have been established, and will be maintained and enforced, by the Company to prevent insider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w:t>
      </w:r>
    </w:p>
    <w:p>
      <w:pPr>
        <w:spacing w:after="0" w:line="180" w:lineRule="exact"/>
        <w:rPr>
          <w:sz w:val="20"/>
          <w:szCs w:val="20"/>
          <w:color w:val="auto"/>
        </w:rPr>
      </w:pPr>
    </w:p>
    <w:p>
      <w:pPr>
        <w:ind w:left="980" w:hanging="648"/>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Requirements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provide assistance in preventing inadvertent violations of applicable securities laws and to avoid the appearance of impropriety in connection with the purchase and sale of the Company’s securities, </w:t>
      </w:r>
      <w:r>
        <w:rPr>
          <w:rFonts w:ascii="Times New Roman" w:cs="Times New Roman" w:eastAsia="Times New Roman" w:hAnsi="Times New Roman"/>
          <w:sz w:val="18"/>
          <w:szCs w:val="18"/>
          <w:b w:val="1"/>
          <w:bCs w:val="1"/>
          <w:color w:val="auto"/>
        </w:rPr>
        <w:t>all transactions in the Company’s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without limitation, acquisitions and dispositions of Company stock, the exercise of stock options and the sale of Company stock issued upon exercise of stock options) by officers, directors and such other Company Personnel as are designated from time to time by the Board of Directors, the Chief Executive Officer or the Chief Financial Officer as being subject to this pre-clearance process, as well as such officer’s, director’s and other Company Personnel’s Related Parties (each, a “</w:t>
      </w:r>
      <w:r>
        <w:rPr>
          <w:rFonts w:ascii="Times New Roman" w:cs="Times New Roman" w:eastAsia="Times New Roman" w:hAnsi="Times New Roman"/>
          <w:sz w:val="18"/>
          <w:szCs w:val="18"/>
          <w:b w:val="1"/>
          <w:bCs w:val="1"/>
          <w:i w:val="1"/>
          <w:iCs w:val="1"/>
          <w:color w:val="auto"/>
        </w:rPr>
        <w:t>Pre-Clearance Person</w:t>
      </w:r>
      <w:r>
        <w:rPr>
          <w:rFonts w:ascii="Times New Roman" w:cs="Times New Roman" w:eastAsia="Times New Roman" w:hAnsi="Times New Roman"/>
          <w:sz w:val="18"/>
          <w:szCs w:val="18"/>
          <w:b w:val="1"/>
          <w:bCs w:val="1"/>
          <w:color w:val="auto"/>
        </w:rPr>
        <w:t>”) must be pre-cleared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Company’s Chief Financial Officer. Those designated as Pre-Clearance Persons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which list of Pre-Clearance Persons may be updated at any time and from time to time by the Chief Executive Officer or the Chief Financial Officer, and such current list shall be maintained in the Company’s records. Pre-clearance does not relieve anyone of his or her responsibility under SEC rules. For the avoidance of doubt, any designation by the Board of Directors of the Company Personnel who are subject to pre-clearance may be updated from time to time by the Chief Executive Officer or the Chief Financial Officer.</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request for pre-clearance may be oral or in writing (including without limitation by e-mail), should be made at least two (2)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options or other securities to be involved. In addition, unless otherwise determined by the Chief Financial Officer, the Pre-Clearance Person must execute a certification (in the form approved by the Chief Financial Officer) that he, she or it is not aware of material, non-public information about the Company. The Chief Financial Officer shall have sole discretion to decide whether to clear any contemplated transaction, provided that the Chief Executive Officer shall have sole discretion to decide whether to clear transactions by the Chief Financial Officer or persons or entities subject to this policy as a result of their relationship with the Chief Financial Officer. All trades that are pre-cleared must be effected within five business days of receipt of the pre-clearance unless a specific exception has been granted by the Chief Financial Officer (or the Chief Executive Officer, in the case of the Chief Financial Officer or persons or entities subject to this policy as a result of their relationship with the Chief Financial Officer). A pre- cleared trade (or any portion of a pre-cleared trade) that has not been effected during the five (5) business day period must be pre-cleared again prior to execution. Notwithstanding receipt of pre-clearance, if the Pre-Clearance Person becomes aware of material, non-public information or becomes subject to a blackout period before the transaction is effected, the transaction may not be completed.</w:t>
      </w:r>
    </w:p>
    <w:p>
      <w:pPr>
        <w:spacing w:after="0" w:line="157" w:lineRule="exact"/>
        <w:rPr>
          <w:sz w:val="20"/>
          <w:szCs w:val="20"/>
          <w:color w:val="auto"/>
        </w:rPr>
      </w:pPr>
    </w:p>
    <w:p>
      <w:pPr>
        <w:ind w:left="980" w:hanging="648"/>
        <w:spacing w:after="0"/>
        <w:tabs>
          <w:tab w:leader="none" w:pos="9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Periods</w:t>
      </w:r>
    </w:p>
    <w:p>
      <w:pPr>
        <w:spacing w:after="0" w:line="18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 officer, director or other Company Personnel designated from time to time by the Board of Directors, the Chief Executive Officer or the Chief Financial Officer as being subject to quarterly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4" w:name="page255"/>
    <w:bookmarkEnd w:id="25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blackout periods, as well as such officer’s, director’s and other Company Personnel’s Related Parties, shall purchase or sell any security of the Company during the period beginning at 11:59 p.m., Eastern time, on the seventh calendar day before the end of any fiscal quarter of the Company and ending upon the completion of the second full trading day after the public release of earnings data for such fiscal quarter or during any other trading suspension period declared by the Company, </w:t>
      </w:r>
      <w:r>
        <w:rPr>
          <w:rFonts w:ascii="Times New Roman" w:cs="Times New Roman" w:eastAsia="Times New Roman" w:hAnsi="Times New Roman"/>
          <w:sz w:val="18"/>
          <w:szCs w:val="18"/>
          <w:color w:val="auto"/>
        </w:rPr>
        <w:t>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purchases and sales made pursuant to the permitted transactions described in Section II. For example, if the Company’s fourth fiscal quarter ends at 11:59 p.m., Eastern time, on December 31, the corresponding blackout period would begin at 11:59 p.m., Eastern time, on December 24. Those subject to the quarterly blackout periods are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which list may be updated at any time and from time to time by the Chief Executive Officer or the Chief Financial Officer, and such current list shall be maintained in the Company’s records.</w:t>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Exceptions to the blackout period policy may be approved only by the Company’s Chief Executive Officer (or, in the case of an exception for the Chief Executive Officer or persons or entities subject to this policy as a result of their relationship with the Chief Executive Officer, the Chief Financial Officer or, in the case of exceptions for directors or persons or entities subject to this policy as a result of their relationship with a director, the Board of Directors).</w:t>
      </w:r>
    </w:p>
    <w:p>
      <w:pPr>
        <w:spacing w:after="0" w:line="15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through the Board of Directors, the Company’s disclosure committee, the Chief Executive Officer or the Chief Financial Officer, may recommend that some or all Company Personnel (including their Related Parties) suspend trading in the Company’s securities because of developments that have not yet been disclosed to the public. Subject to the exceptions noted above, all of those affected should not trade in the Company’s securities while the suspension is in effect, and should not disclose to others that the Company has suspended trading.</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35" w:lineRule="exact"/>
        <w:rPr>
          <w:sz w:val="20"/>
          <w:szCs w:val="20"/>
          <w:color w:val="auto"/>
        </w:rPr>
      </w:pPr>
    </w:p>
    <w:p>
      <w:pPr>
        <w:ind w:left="980" w:hanging="648"/>
        <w:spacing w:after="0"/>
        <w:tabs>
          <w:tab w:leader="none" w:pos="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Transactions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Company Personnel is in possession of material, non-public information when his or her service with the Company terminates, that individual and their Related Parties may not trade in the Company’s securities until that information has become public or is no longer material.</w:t>
      </w:r>
    </w:p>
    <w:p>
      <w:pPr>
        <w:spacing w:after="0" w:line="149" w:lineRule="exact"/>
        <w:rPr>
          <w:sz w:val="20"/>
          <w:szCs w:val="20"/>
          <w:color w:val="auto"/>
        </w:rPr>
      </w:pPr>
    </w:p>
    <w:p>
      <w:pPr>
        <w:ind w:left="980" w:hanging="648"/>
        <w:spacing w:after="0"/>
        <w:tabs>
          <w:tab w:leader="none" w:pos="9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Relating to the Company</w:t>
      </w:r>
    </w:p>
    <w:p>
      <w:pPr>
        <w:spacing w:after="0" w:line="18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Information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Access to material, non-public information about the Company, including the Company’s business, earnings or prospects, should be limited to Company Personnel of the Company on a need-to-know basis.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need-to-know basis.</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communicating material, non-public information to Company Personnel of the Company, all Company Personnel must take care to emphasize the need for confidential treatment of such information and adherence to the Company’s policies with regard to confidential information.</w:t>
      </w:r>
    </w:p>
    <w:p>
      <w:pPr>
        <w:spacing w:after="0" w:line="133" w:lineRule="exact"/>
        <w:rPr>
          <w:sz w:val="20"/>
          <w:szCs w:val="20"/>
          <w:color w:val="auto"/>
        </w:rPr>
      </w:pPr>
    </w:p>
    <w:p>
      <w:pPr>
        <w:ind w:left="1960" w:hanging="656"/>
        <w:spacing w:after="0"/>
        <w:tabs>
          <w:tab w:leader="none" w:pos="1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Inquiries From Third Parties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Inquiries from third parties, such as industry analysts or members of the media, about the Company should be directed to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55" w:name="page256"/>
    <w:bookmarkEnd w:id="255"/>
    <w:p>
      <w:pPr>
        <w:ind w:left="980" w:hanging="648"/>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Access to Company Information</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procedures are designed to maintain confidentiality with respect to the Company’s business operations and activities.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Company Personnel should take all steps and precautions necessary to restrict access to, and secure, material, non-public information by, among other things:</w:t>
      </w:r>
    </w:p>
    <w:p>
      <w:pPr>
        <w:spacing w:after="0" w:line="135" w:lineRule="exact"/>
        <w:rPr>
          <w:sz w:val="20"/>
          <w:szCs w:val="20"/>
          <w:color w:val="auto"/>
        </w:rPr>
      </w:pPr>
    </w:p>
    <w:p>
      <w:pPr>
        <w:ind w:left="1300" w:hanging="320"/>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confidentiality of Company-related transactions;</w:t>
      </w:r>
    </w:p>
    <w:p>
      <w:pPr>
        <w:spacing w:after="0" w:line="18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13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4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removing and cleaning up all confidential documents and other materials from conference rooms following the conclusion of any meetings;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all confidential documents and other papers, after there is no longer any business or other legally required need, through shredders when appropriate;</w:t>
      </w:r>
    </w:p>
    <w:p>
      <w:pPr>
        <w:spacing w:after="0" w:line="12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access to areas likely to contain confidential documents or material, non-public information;</w:t>
      </w:r>
    </w:p>
    <w:p>
      <w:pPr>
        <w:spacing w:after="0" w:line="19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safeguarding laptop computers, mobile devices, tablets, memory sticks, CDs and other items that contain confidential information; and</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the discussion of material, non-public information in places where the information could be overheard by others such as in elevators, restrooms, hallways, restaurants, airplanes or taxicabs.</w:t>
      </w:r>
    </w:p>
    <w:p>
      <w:pPr>
        <w:spacing w:after="0" w:line="12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Personnel involved with material, non-public information, to the extent feasible, should conduct their business and activities in areas separate from other Company activities.</w:t>
      </w:r>
    </w:p>
    <w:p>
      <w:pPr>
        <w:spacing w:after="0" w:line="131"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PROHIBITED TRANSACTIONS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whether or not unlawful, are not consistent with a long-term investment in the Company or are designed to profit from fluctuations in the price of the Company’s securities. Therefore, Covered Persons shall comply with the following policies with respect to certain transactions in the Company securities:</w:t>
      </w:r>
    </w:p>
    <w:p>
      <w:pPr>
        <w:spacing w:after="0" w:line="139" w:lineRule="exact"/>
        <w:rPr>
          <w:sz w:val="20"/>
          <w:szCs w:val="20"/>
          <w:color w:val="auto"/>
        </w:rPr>
      </w:pPr>
    </w:p>
    <w:p>
      <w:pPr>
        <w:ind w:left="980" w:hanging="648"/>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1934 Act absolutely prohibits Section 16 reporting persons (i.e., directors, certain officers and the Company’s 10% stockholders) from making short sales of the Company’s equity securities,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sales of shares that the insider does not own at the time of sale, or sales of shares against which the insider does not deliver the shares within 20 days after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6" w:name="page257"/>
    <w:bookmarkEnd w:id="256"/>
    <w:p>
      <w:pPr>
        <w:ind w:left="980" w:hanging="648"/>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transaction in options is, in effect, a bet on the short-term movement of the Company’s stock and therefore creates the appearance that Covered Persons are trading based on inside information. Transactions in options, whether traded on an exchange, on any other organized market or on an over-the-counter market, also may focus the Covered Person’s attention on short-term performance at the expense of the Company’s long-term objectives. Accordingly, transactions in puts, calls or other derivative securities involving the Company’s equity securities, on an exchange, on or in any other organized market or on an over-the-counter market, are prohibited by this Policy.</w:t>
      </w:r>
    </w:p>
    <w:p>
      <w:pPr>
        <w:spacing w:after="0" w:line="147" w:lineRule="exact"/>
        <w:rPr>
          <w:sz w:val="20"/>
          <w:szCs w:val="20"/>
          <w:color w:val="auto"/>
        </w:rPr>
      </w:pPr>
    </w:p>
    <w:p>
      <w:pPr>
        <w:ind w:left="980" w:hanging="648"/>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Purchasing financial instruments, such as prepaid variable forward contracts, equity swaps, collars, and exchange funds, or otherwise engaging in transactions that hedge or offset, or are designed to hedge or offset, any decrease in the market value of the Company’s equity securities, may cause Covered Persons to no longer have the same objectives as the Company’s other stockholders. Therefore, all such transactions involving the Company’s equity securities, whether such securities were granted as compensation or are otherwise held, directly or indirectly, are prohibited by this Policy.</w:t>
      </w:r>
    </w:p>
    <w:p>
      <w:pPr>
        <w:spacing w:after="0" w:line="156" w:lineRule="exact"/>
        <w:rPr>
          <w:sz w:val="20"/>
          <w:szCs w:val="20"/>
          <w:color w:val="auto"/>
        </w:rPr>
      </w:pPr>
    </w:p>
    <w:p>
      <w:pPr>
        <w:ind w:left="980" w:hanging="648"/>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of the Company’s Securities on Margin; Pledging the Company’s Securities to Secure Margin or Other Loans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Purchasing on margin means borrowing from a brokerage firm, bank or other entity in order to purchase the Company’s securities (other than in connection with a cashless exercise of stock options through a broker under the Company’s equity plans). Margin purchases of the Company’s securities are prohibited by this Policy. Pledging the Company’s securities as collateral to secure loans is prohibited. This prohibition means, among other things, that you cannot hold the Company’s securities in a “margin account” (which would allow you to borrow against your holdings to buy securities).</w:t>
      </w:r>
    </w:p>
    <w:p>
      <w:pPr>
        <w:spacing w:after="0" w:line="143" w:lineRule="exact"/>
        <w:rPr>
          <w:sz w:val="20"/>
          <w:szCs w:val="20"/>
          <w:color w:val="auto"/>
        </w:rPr>
      </w:pPr>
    </w:p>
    <w:p>
      <w:pPr>
        <w:ind w:left="980" w:hanging="648"/>
        <w:spacing w:after="0"/>
        <w:tabs>
          <w:tab w:leader="none" w:pos="9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and Executive Officer Cashless Exercises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not arrange with brokers to administer cashless exercises on behalf of directors and executive officers of the Company. Directors and executive officers of the Company may use the cashless exercise feature of their equity awards only if (i) the director or officer retains a broker independently of the Company, (ii) the Company’s involvement is limited to confirming that it will deliver the stock promptly upon payment of the exercise price, (iii) the director or officer uses a “T+2” cashless exercise arrangement, in which the Company agrees to deliver stock against the payment of the purchase price on the same day the sale of the stock underlying the equity award settles and (iv) the director or officer otherwise complies with this Policy. Under a T+2 cashless exercise, a broker, the issuer, and the issuer’s transfer agent work together to make all transactions settle simultaneously. This approach is to avoid any inference that the Company has “extended credit” in the form of a personal loan to the director or executive officer. Questions about cashless exercises should be directed to the Chief Financial Officer.</w:t>
      </w:r>
    </w:p>
    <w:p>
      <w:pPr>
        <w:spacing w:after="0" w:line="148" w:lineRule="exact"/>
        <w:rPr>
          <w:sz w:val="20"/>
          <w:szCs w:val="20"/>
          <w:color w:val="auto"/>
        </w:rPr>
      </w:pPr>
    </w:p>
    <w:p>
      <w:pPr>
        <w:ind w:left="980" w:hanging="648"/>
        <w:spacing w:after="0"/>
        <w:tabs>
          <w:tab w:leader="none" w:pos="9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Partnership Distributions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RULE 10B5-1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7" w:name="page258"/>
    <w:bookmarkEnd w:id="257"/>
    <w:p>
      <w:pPr>
        <w:ind w:left="980" w:hanging="648"/>
        <w:spacing w:after="0"/>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Rule 10b5-1 presents an opportunity for insiders to establish arrangements to sell (or purchase) Company stock without the restrictions of trading windows and blackout periods, even when there is undisclosed material information. Rule 10b5-1 will protect Covered Persons from insider trading liability under Rule 10b5-1 for transactions under a previously established contract, plan or instruction to trade in the Company’s stock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entered into in good faith and in accordance with the terms of Rule 10b5-1 and all applicable state laws and will be exempt from the trading restrictions set forth in this Policy. The initiation of, and any modification to, any such Trading Plan will be deemed to be a transaction in the Company’s securities, and such initiation or modification is subject to all limitations and prohibitions relating to transactions in the Company’s securities. Each such Trading Plan, and any modification thereof, must be submitted to and pre-approved by the Company’s Chief Financial Officer, or such other person as the Board of Directors may designate from time to time (the “</w:t>
      </w:r>
      <w:r>
        <w:rPr>
          <w:rFonts w:ascii="Times New Roman" w:cs="Times New Roman" w:eastAsia="Times New Roman" w:hAnsi="Times New Roman"/>
          <w:sz w:val="18"/>
          <w:szCs w:val="18"/>
          <w:b w:val="1"/>
          <w:bCs w:val="1"/>
          <w:i w:val="1"/>
          <w:iCs w:val="1"/>
          <w:color w:val="auto"/>
        </w:rPr>
        <w:t>Authorizing Officer</w:t>
      </w:r>
      <w:r>
        <w:rPr>
          <w:rFonts w:ascii="Times New Roman" w:cs="Times New Roman" w:eastAsia="Times New Roman" w:hAnsi="Times New Roman"/>
          <w:sz w:val="18"/>
          <w:szCs w:val="18"/>
          <w:color w:val="auto"/>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initiating the Trading Plan, not the Company or the Authorizing Officer.</w:t>
      </w:r>
    </w:p>
    <w:p>
      <w:pPr>
        <w:spacing w:after="0" w:line="14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Trading Plans do not exempt individuals from complying with Section 16 short-swing profit rules or liability. Furthermore, Trading Plans only provide an “affirmative defense” in the event there is an insider trading lawsuit. It does not prevent someone from bringing a lawsuit.</w:t>
      </w:r>
    </w:p>
    <w:p>
      <w:pPr>
        <w:spacing w:after="0" w:line="14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Covered Persons may enter into a Trading Plan only when he or she is not in possession of material, non-public information, and only during a trading window period outside of the trading blackout period. Although transactions effected under a Trading Plan will not require further pre-clearance at the time of the trade, any transaction (including the quantity and price) made pursuant to a Trading Plan of a Section 16 reporting person must be reported to the Company promptly on the day of each trade to permit the Company’s filing coordinator to assist in the preparation and filing of a required Form 4. However, the ultimate responsibility, and liability, for timely filing remains with the Section 16 reporting person. 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 the Company’s securities. Failure to discontinue purchases and sales as directed shall constitute a violation of the terms of this Section VI and result in a loss of the exemption set forth herein.</w:t>
      </w:r>
    </w:p>
    <w:p>
      <w:pPr>
        <w:spacing w:after="0" w:line="1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Covered Persons may adopt Trading Plans with brokers that outline a pre-set plan for trading of the Company’s stock, including the exercise of options. Trades pursuant to a Trading Plan generally may occur at any time. However, the Company requires a cooling-off period of 30 calendar days between the establishment of a Trading Plan and commencement of any transactions under such plan. An individual may adopt more than one Trading Plan. Please review the following description of how a Trading Plan works.</w:t>
      </w:r>
    </w:p>
    <w:p>
      <w:pPr>
        <w:spacing w:after="0" w:line="13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Rule 10b5-1, an individual’s purchase or sale of securities will not be “on the basis of” material, non-public information if:</w:t>
      </w:r>
    </w:p>
    <w:p>
      <w:pPr>
        <w:spacing w:after="0" w:line="135" w:lineRule="exact"/>
        <w:rPr>
          <w:sz w:val="20"/>
          <w:szCs w:val="20"/>
          <w:color w:val="auto"/>
        </w:rPr>
      </w:pPr>
    </w:p>
    <w:p>
      <w:pPr>
        <w:jc w:val="both"/>
        <w:ind w:left="1300" w:hanging="320"/>
        <w:spacing w:after="0" w:line="266"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before becoming aware of the information, the individual enters into a binding contract to purchase or sell the securities, provides instructions to another person to sell the securities or adopts a written plan for trading the securities (i.e., the Trading Plan).</w:t>
      </w:r>
    </w:p>
    <w:p>
      <w:pPr>
        <w:spacing w:after="0" w:line="13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Trading Plan must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8" w:name="page259"/>
    <w:bookmarkEnd w:id="258"/>
    <w:p>
      <w:pPr>
        <w:ind w:left="1960" w:right="20" w:hanging="332"/>
        <w:spacing w:after="0" w:line="282" w:lineRule="auto"/>
        <w:tabs>
          <w:tab w:leader="none" w:pos="196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purchased or sold, the price at which the securities are to be purchased or sold and the date on which the securities are to be purchased or sold;</w:t>
      </w:r>
    </w:p>
    <w:p>
      <w:pPr>
        <w:spacing w:after="0" w:line="12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6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computer program for determining the amount, price and date of the transactions; or</w:t>
      </w:r>
    </w:p>
    <w:p>
      <w:pPr>
        <w:spacing w:after="0" w:line="134"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individual from exercising any subsequent influence over the purchase or sale of the Company’s stock under the Trading Plan in question.</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purchase or sale must occur pursuant to the Trading Plan and the individual must not enter into a corresponding hedging transaction or alter or deviate from the Trading Plan. For clarity, the requirements of this Section VI.A do not apply to any Trading Plan entered into by a venture capital partnership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spacing w:after="0" w:line="14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and Amendments to Trading Plans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Revocation of Trading Plans should occur only in unusual circumstances. Effectiveness of any revocation or amendment of a Trading Plan will be subject to the prior review and approval of the Authorizing Officer. Revocation is effected upon written notice to the broker. Once a Trading Plan has been revoked, the participant should wait at least 30 calendar days before trading outside of a Trading Plan and 180 calendar days before establishing a new Trading Plan.</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person acting in good faith may amend a prior Trading Plan so long as such amendments are made outside of a quarterly trading blackout period and at a time when the Trading Plan participant does not possess material, non-public information. Plan amendments must not take effect for at least 30 calendar days after the plan amendments are made.</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Under certain circumstances, a Trading Plan </w:t>
      </w:r>
      <w:r>
        <w:rPr>
          <w:rFonts w:ascii="Times New Roman" w:cs="Times New Roman" w:eastAsia="Times New Roman" w:hAnsi="Times New Roman"/>
          <w:sz w:val="18"/>
          <w:szCs w:val="18"/>
          <w:i w:val="1"/>
          <w:iCs w:val="1"/>
          <w:color w:val="auto"/>
        </w:rPr>
        <w:t>must</w:t>
      </w:r>
      <w:r>
        <w:rPr>
          <w:rFonts w:ascii="Times New Roman" w:cs="Times New Roman" w:eastAsia="Times New Roman" w:hAnsi="Times New Roman"/>
          <w:sz w:val="18"/>
          <w:szCs w:val="18"/>
          <w:color w:val="auto"/>
        </w:rPr>
        <w:t xml:space="preserve"> be revoked. This may include circumstances such as the announcement of a merger or the occurrence of an event that would cause the transaction either to violate the law or to have an adverse effect on the Company. The Authorizing Officer or administrator of the Company’s stock plans is authorized to notify the broker in such circumstances, thereby insulating the insider in the event of revocation.</w:t>
      </w:r>
    </w:p>
    <w:p>
      <w:pPr>
        <w:spacing w:after="0" w:line="141" w:lineRule="exact"/>
        <w:rPr>
          <w:sz w:val="20"/>
          <w:szCs w:val="20"/>
          <w:color w:val="auto"/>
        </w:rPr>
      </w:pPr>
    </w:p>
    <w:p>
      <w:pPr>
        <w:ind w:left="980" w:hanging="648"/>
        <w:spacing w:after="0"/>
        <w:tabs>
          <w:tab w:leader="none" w:pos="9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Plans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non-discretionary Trading Plans are preferred, discretionary Trading Plans, where the discretion or control over trading is transferred to a broker, are permitted if pre-approved by the Authorizing Officer.</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Authorizing Officer of the Company must pre-approve any Trading Plan, arrangement or trading instructions, etc., involving potential sales or purchases of the Company’s stock or option exercises, including but not limited to, blind trusts, discretionary accounts with banks or brokers, or limit orders. The actual transactions effected pursuant to a pre-approved Trading Plan will not be subject to further pre- clearance for transactions in the Company’s stock once the Trading Plan or other arrangement has been pre-approved.</w:t>
      </w:r>
    </w:p>
    <w:p>
      <w:pPr>
        <w:spacing w:after="0" w:line="143" w:lineRule="exact"/>
        <w:rPr>
          <w:sz w:val="20"/>
          <w:szCs w:val="20"/>
          <w:color w:val="auto"/>
        </w:rPr>
      </w:pPr>
    </w:p>
    <w:p>
      <w:pPr>
        <w:ind w:left="980" w:hanging="648"/>
        <w:spacing w:after="0"/>
        <w:tabs>
          <w:tab w:leader="none" w:pos="9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(if Required)</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required, an SEC Form 144 will be filled out and filed by the individual/brokerage firm in accordance with the existing rules regarding Form 144 filings. A footnote at the bottom of the Form 144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59" w:name="page260"/>
    <w:bookmarkEnd w:id="259"/>
    <w:p>
      <w:pPr>
        <w:spacing w:after="0"/>
        <w:tabs>
          <w:tab w:leader="none" w:pos="8640" w:val="left"/>
        </w:tabs>
        <w:rPr>
          <w:sz w:val="20"/>
          <w:szCs w:val="20"/>
          <w:color w:val="auto"/>
        </w:rPr>
      </w:pPr>
      <w:r>
        <w:rPr>
          <w:rFonts w:ascii="Times New Roman" w:cs="Times New Roman" w:eastAsia="Times New Roman" w:hAnsi="Times New Roman"/>
          <w:sz w:val="18"/>
          <w:szCs w:val="18"/>
          <w:color w:val="auto"/>
        </w:rPr>
        <w:t>should indicate that the trades “are in accordance with a Trading Plan that complies with Rule 10b5-1 and expires</w:t>
      </w:r>
      <w:r>
        <w:rPr>
          <w:sz w:val="20"/>
          <w:szCs w:val="20"/>
          <w:color w:val="auto"/>
        </w:rPr>
        <w:tab/>
      </w:r>
      <w:r>
        <w:rPr>
          <w:rFonts w:ascii="Times New Roman" w:cs="Times New Roman" w:eastAsia="Times New Roman" w:hAnsi="Times New Roman"/>
          <w:sz w:val="18"/>
          <w:szCs w:val="18"/>
          <w:color w:val="auto"/>
        </w:rPr>
        <w:t>.” For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-7620</wp:posOffset>
            </wp:positionV>
            <wp:extent cx="2171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6">
                      <a:extLst>
                        <a:ext uri="{28A0092B-C50C-407E-A947-70E740481C1C}"/>
                      </a:extLst>
                    </a:blip>
                    <a:srcRect/>
                    <a:stretch>
                      <a:fillRect/>
                    </a:stretch>
                  </pic:blipFill>
                  <pic:spPr bwMode="auto">
                    <a:xfrm>
                      <a:off x="0" y="0"/>
                      <a:ext cx="217170" cy="8890"/>
                    </a:xfrm>
                    <a:prstGeom prst="rect">
                      <a:avLst/>
                    </a:prstGeom>
                    <a:noFill/>
                  </pic:spPr>
                </pic:pic>
              </a:graphicData>
            </a:graphic>
          </wp:anchor>
        </w:drawing>
      </w: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reporting persons, Form 4s should be filed before the end of the second business day following the date that the broker, dealer or plan administrator informs the individual that a transaction was executed, provided that the date of such notification is not later than the third business day following the trade date. A similar footnote should be placed at the bottom of the Form 4 as outlined above.</w:t>
      </w:r>
    </w:p>
    <w:p>
      <w:pPr>
        <w:spacing w:after="0" w:line="145" w:lineRule="exact"/>
        <w:rPr>
          <w:sz w:val="20"/>
          <w:szCs w:val="20"/>
          <w:color w:val="auto"/>
        </w:rPr>
      </w:pPr>
    </w:p>
    <w:p>
      <w:pPr>
        <w:ind w:left="980" w:hanging="648"/>
        <w:spacing w:after="0"/>
        <w:tabs>
          <w:tab w:leader="none" w:pos="9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Exercises of options for cash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stock plans will fill in the number of shares and the date of exercise on the previously signed exercise form. The insider should not be involved with this part of the exercise.</w:t>
      </w:r>
    </w:p>
    <w:p>
      <w:pPr>
        <w:spacing w:after="0" w:line="162" w:lineRule="exact"/>
        <w:rPr>
          <w:sz w:val="20"/>
          <w:szCs w:val="20"/>
          <w:color w:val="auto"/>
        </w:rPr>
      </w:pPr>
    </w:p>
    <w:p>
      <w:pPr>
        <w:ind w:left="980" w:hanging="648"/>
        <w:spacing w:after="0"/>
        <w:tabs>
          <w:tab w:leader="none" w:pos="9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a Trading Plan</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an open trading window, trades differing from Trading Plan instructions that are already in place are allowed as long as the Trading Plan continues to be followed.</w:t>
      </w:r>
    </w:p>
    <w:p>
      <w:pPr>
        <w:spacing w:after="0" w:line="121" w:lineRule="exact"/>
        <w:rPr>
          <w:sz w:val="20"/>
          <w:szCs w:val="20"/>
          <w:color w:val="auto"/>
        </w:rPr>
      </w:pPr>
    </w:p>
    <w:p>
      <w:pPr>
        <w:ind w:left="980" w:hanging="648"/>
        <w:spacing w:after="0"/>
        <w:tabs>
          <w:tab w:leader="none" w:pos="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Announcements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make a public announcement that Trading Plans are being implemented in accordance with Rule 10b5-1. It will consider in each case whether a public announcement of a particular Trading Plan should be made. It may also make public announcements or respond to inquiries from the media as transactions are made under a Trading Plan.</w:t>
      </w:r>
    </w:p>
    <w:p>
      <w:pPr>
        <w:spacing w:after="0" w:line="135" w:lineRule="exact"/>
        <w:rPr>
          <w:sz w:val="20"/>
          <w:szCs w:val="20"/>
          <w:color w:val="auto"/>
        </w:rPr>
      </w:pPr>
    </w:p>
    <w:p>
      <w:pPr>
        <w:ind w:left="980" w:hanging="648"/>
        <w:spacing w:after="0"/>
        <w:tabs>
          <w:tab w:leader="none" w:pos="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Transactions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transactions prohibited under Section V of this Policy, including among others short sales and hedging transactions, may not be carried out through a Trading Plan or other arrangement or trading instruction involving potential sales or purchases of the Company’s securities.</w:t>
      </w:r>
    </w:p>
    <w:p>
      <w:pPr>
        <w:spacing w:after="0" w:line="149" w:lineRule="exact"/>
        <w:rPr>
          <w:sz w:val="20"/>
          <w:szCs w:val="20"/>
          <w:color w:val="auto"/>
        </w:rPr>
      </w:pPr>
    </w:p>
    <w:p>
      <w:pPr>
        <w:ind w:left="980" w:hanging="648"/>
        <w:spacing w:after="0"/>
        <w:tabs>
          <w:tab w:leader="none" w:pos="9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None of the Company, the Chief Executive Officer, the Chief Financial Officer, the Authorizing Officer, the other Company Personnel or any other person will have any liability for any delay in reviewing, or refusal of, a Trading Plan submitted pursuant to this Section VI or a request for pre- clearance submitted pursuant to Section IV of this Policy. Notwithstanding any review of a Trading Plan pursuant to this Section VI or pre-clearance of a transaction pursuant to Section IV of this Policy, none of the Company, the Chief Financial Officer, the Authorizing Officer, the other Company Personnel or any other person assumes any liability for the legality or consequences of such Trading Plan or transaction to the person engaging in or adopting such Trading Plan or transaction.</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EXECUTION AND RETURN OF CERTIFICATION OF COMPLIANCE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reading this Policy and on an annual basis, all Company Personnel should execute and return to the Company’s Chief Financial Officer the Certification of Compliance form attached hereto as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260" w:name="page261"/>
    <w:bookmarkEnd w:id="260"/>
    <w:p>
      <w:pPr>
        <w:jc w:val="center"/>
        <w:ind w:right="-440"/>
        <w:spacing w:after="0"/>
        <w:rPr>
          <w:sz w:val="20"/>
          <w:szCs w:val="20"/>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August 12, 2020</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877" w:right="1440"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OF COMPLIANCE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INSIDER TRADING COMPLIANCE POLICY OF BIOXCEL THERAPEUTICS, INC.</w:t>
      </w:r>
    </w:p>
    <w:p>
      <w:pPr>
        <w:spacing w:after="0" w:line="18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have received, reviewed and understand the above-referenced Insider Trading Compliance Policy and undertake, as a condition to my present and continued employment with (or, if I am not an employee, affiliation with) BioXcel Therapeutics, Inc., to comply fully with the policies and procedures contained therein.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30861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771525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-127635</wp:posOffset>
            </wp:positionV>
            <wp:extent cx="30861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262" w:name="page263"/>
    <w:bookmarkEnd w:id="262"/>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1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Pre-Clearance Persons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1034415</wp:posOffset>
            </wp:positionV>
            <wp:extent cx="629221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263" w:name="page264"/>
    <w:bookmarkEnd w:id="263"/>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18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Persons Subject to Quarterly Blackout Periods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873" w:right="1440"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OnkosXcel Therapeutics, LLC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OnkosXcel Employee Holdings, LLC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65" w:name="page266"/>
    <w:bookmarkEnd w:id="26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333333"/>
        </w:rPr>
        <w:t>Consent of Independent Registered Public Accounting Firm</w:t>
      </w:r>
    </w:p>
    <w:p>
      <w:pPr>
        <w:spacing w:after="0" w:line="2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520" w:right="239" w:hanging="656"/>
        <w:spacing w:after="0" w:line="297" w:lineRule="auto"/>
        <w:tabs>
          <w:tab w:leader="none" w:pos="1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Nos. 333-265277, 333-275261, 333-276488 and 333-284224) of BioXcel Therapeutics, Inc., and</w:t>
      </w:r>
    </w:p>
    <w:p>
      <w:pPr>
        <w:spacing w:after="0" w:line="162" w:lineRule="exact"/>
        <w:rPr>
          <w:rFonts w:ascii="Times New Roman" w:cs="Times New Roman" w:eastAsia="Times New Roman" w:hAnsi="Times New Roman"/>
          <w:sz w:val="18"/>
          <w:szCs w:val="18"/>
          <w:color w:val="auto"/>
        </w:rPr>
      </w:pPr>
    </w:p>
    <w:p>
      <w:pPr>
        <w:jc w:val="both"/>
        <w:ind w:left="1520" w:right="239" w:hanging="656"/>
        <w:spacing w:after="0" w:line="281" w:lineRule="auto"/>
        <w:tabs>
          <w:tab w:leader="none" w:pos="1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333-235282, 333-238580, 333-266922, 333-270652 and 333-278492) pertaining to the 2017 Equity Incentive Plan and the 2020 Incentive Award Plan and 2020 Employee Stock Purchase Plan of BioXcel Therapeutics, Inc.</w:t>
      </w:r>
    </w:p>
    <w:p>
      <w:pPr>
        <w:spacing w:after="0" w:line="110" w:lineRule="exact"/>
        <w:rPr>
          <w:sz w:val="20"/>
          <w:szCs w:val="20"/>
          <w:color w:val="auto"/>
        </w:rPr>
      </w:pPr>
    </w:p>
    <w:p>
      <w:pPr>
        <w:jc w:val="both"/>
        <w:ind w:left="540" w:right="219"/>
        <w:spacing w:after="0" w:line="266" w:lineRule="auto"/>
        <w:rPr>
          <w:sz w:val="20"/>
          <w:szCs w:val="20"/>
          <w:color w:val="auto"/>
        </w:rPr>
      </w:pPr>
      <w:r>
        <w:rPr>
          <w:rFonts w:ascii="Times New Roman" w:cs="Times New Roman" w:eastAsia="Times New Roman" w:hAnsi="Times New Roman"/>
          <w:sz w:val="18"/>
          <w:szCs w:val="18"/>
          <w:color w:val="auto"/>
        </w:rPr>
        <w:t>of our report dated March 28, 2025, with respect to the consolidated financial statements of BioXcel Therapeutics, Inc. included in this Annual Report (Form 10-K) of BioXcel Therapeutics, Inc. for the year ended December 31, 2024.</w:t>
      </w:r>
    </w:p>
    <w:p>
      <w:pPr>
        <w:spacing w:after="0" w:line="2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348615</wp:posOffset>
            </wp:positionV>
            <wp:extent cx="524637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6">
                      <a:extLst>
                        <a:ext uri="{28A0092B-C50C-407E-A947-70E740481C1C}"/>
                      </a:extLst>
                    </a:blip>
                    <a:srcRect/>
                    <a:stretch>
                      <a:fillRect/>
                    </a:stretch>
                  </pic:blipFill>
                  <pic:spPr bwMode="auto">
                    <a:xfrm>
                      <a:off x="0" y="0"/>
                      <a:ext cx="524637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6" w:name="page267"/>
    <w:bookmarkEnd w:id="26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Vimal Mehta, Ph.D., certify that:</w:t>
      </w:r>
    </w:p>
    <w:p>
      <w:pPr>
        <w:spacing w:after="0" w:line="239" w:lineRule="exact"/>
        <w:rPr>
          <w:sz w:val="20"/>
          <w:szCs w:val="20"/>
          <w:color w:val="auto"/>
        </w:rPr>
      </w:pPr>
    </w:p>
    <w:p>
      <w:pPr>
        <w:ind w:left="540" w:right="699" w:hanging="318"/>
        <w:spacing w:after="0" w:line="297"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BioXcel Therapeutics, Inc.;</w:t>
      </w:r>
    </w:p>
    <w:p>
      <w:pPr>
        <w:spacing w:after="0" w:line="162" w:lineRule="exact"/>
        <w:rPr>
          <w:rFonts w:ascii="Times New Roman" w:cs="Times New Roman" w:eastAsia="Times New Roman" w:hAnsi="Times New Roman"/>
          <w:sz w:val="18"/>
          <w:szCs w:val="18"/>
          <w:color w:val="auto"/>
        </w:rPr>
      </w:pPr>
    </w:p>
    <w:p>
      <w:pPr>
        <w:ind w:left="540" w:right="459" w:hanging="318"/>
        <w:spacing w:after="0" w:line="281"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40" w:right="339" w:hanging="318"/>
        <w:spacing w:after="0" w:line="281"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8"/>
          <w:szCs w:val="18"/>
          <w:color w:val="auto"/>
        </w:rPr>
      </w:pPr>
    </w:p>
    <w:p>
      <w:pPr>
        <w:ind w:left="540" w:right="359" w:hanging="318"/>
        <w:spacing w:after="0" w:line="281"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40" w:right="299" w:hanging="332"/>
        <w:spacing w:after="0" w:line="271" w:lineRule="auto"/>
        <w:tabs>
          <w:tab w:leader="none" w:pos="10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ind w:left="1040" w:right="299" w:hanging="332"/>
        <w:spacing w:after="0" w:line="276" w:lineRule="auto"/>
        <w:tabs>
          <w:tab w:leader="none" w:pos="10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left="1040" w:right="219" w:hanging="332"/>
        <w:spacing w:after="0" w:line="281" w:lineRule="auto"/>
        <w:tabs>
          <w:tab w:leader="none" w:pos="10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8"/>
          <w:szCs w:val="18"/>
          <w:color w:val="auto"/>
        </w:rPr>
      </w:pPr>
    </w:p>
    <w:p>
      <w:pPr>
        <w:ind w:left="1040" w:right="279" w:hanging="332"/>
        <w:spacing w:after="0" w:line="276" w:lineRule="auto"/>
        <w:tabs>
          <w:tab w:leader="none" w:pos="10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Times New Roman" w:cs="Times New Roman" w:eastAsia="Times New Roman" w:hAnsi="Times New Roman"/>
          <w:sz w:val="18"/>
          <w:szCs w:val="18"/>
          <w:color w:val="auto"/>
        </w:rPr>
      </w:pPr>
    </w:p>
    <w:p>
      <w:pPr>
        <w:ind w:left="540" w:right="519" w:hanging="318"/>
        <w:spacing w:after="0" w:line="281" w:lineRule="auto"/>
        <w:tabs>
          <w:tab w:leader="none" w:pos="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040" w:right="279" w:hanging="332"/>
        <w:spacing w:after="0" w:line="281" w:lineRule="auto"/>
        <w:tabs>
          <w:tab w:leader="none" w:pos="10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left="1040" w:right="399" w:hanging="332"/>
        <w:spacing w:after="0" w:line="297" w:lineRule="auto"/>
        <w:tabs>
          <w:tab w:leader="none" w:pos="104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5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Vimal Mehta, Ph.D.</w:t>
            </w: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67" w:name="page268"/>
    <w:bookmarkEnd w:id="26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Richard Steinhart, certify that:</w:t>
      </w:r>
    </w:p>
    <w:p>
      <w:pPr>
        <w:spacing w:after="0" w:line="239" w:lineRule="exact"/>
        <w:rPr>
          <w:sz w:val="20"/>
          <w:szCs w:val="20"/>
          <w:color w:val="auto"/>
        </w:rPr>
      </w:pPr>
    </w:p>
    <w:p>
      <w:pPr>
        <w:ind w:left="540" w:right="699" w:hanging="318"/>
        <w:spacing w:after="0" w:line="297"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BioXcel Therapeutics, Inc.;</w:t>
      </w:r>
    </w:p>
    <w:p>
      <w:pPr>
        <w:spacing w:after="0" w:line="176" w:lineRule="exact"/>
        <w:rPr>
          <w:rFonts w:ascii="Times New Roman" w:cs="Times New Roman" w:eastAsia="Times New Roman" w:hAnsi="Times New Roman"/>
          <w:sz w:val="18"/>
          <w:szCs w:val="18"/>
          <w:color w:val="auto"/>
        </w:rPr>
      </w:pPr>
    </w:p>
    <w:p>
      <w:pPr>
        <w:ind w:left="540" w:right="459" w:hanging="318"/>
        <w:spacing w:after="0" w:line="281"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40" w:right="339" w:hanging="318"/>
        <w:spacing w:after="0" w:line="281"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540" w:right="359" w:hanging="318"/>
        <w:spacing w:after="0" w:line="281"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8"/>
          <w:szCs w:val="18"/>
          <w:color w:val="auto"/>
        </w:rPr>
      </w:pPr>
    </w:p>
    <w:p>
      <w:pPr>
        <w:ind w:left="1180" w:right="239" w:hanging="323"/>
        <w:spacing w:after="0" w:line="271" w:lineRule="auto"/>
        <w:tabs>
          <w:tab w:leader="none" w:pos="1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9" w:lineRule="exact"/>
        <w:rPr>
          <w:rFonts w:ascii="Times New Roman" w:cs="Times New Roman" w:eastAsia="Times New Roman" w:hAnsi="Times New Roman"/>
          <w:sz w:val="18"/>
          <w:szCs w:val="18"/>
          <w:color w:val="auto"/>
        </w:rPr>
      </w:pPr>
    </w:p>
    <w:p>
      <w:pPr>
        <w:ind w:left="1180" w:right="239" w:hanging="323"/>
        <w:spacing w:after="0" w:line="276" w:lineRule="auto"/>
        <w:tabs>
          <w:tab w:leader="none" w:pos="1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left="1180" w:right="339" w:hanging="323"/>
        <w:spacing w:after="0" w:line="281" w:lineRule="auto"/>
        <w:tabs>
          <w:tab w:leader="none" w:pos="1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ind w:left="1180" w:right="279" w:hanging="323"/>
        <w:spacing w:after="0" w:line="276" w:lineRule="auto"/>
        <w:tabs>
          <w:tab w:leader="none" w:pos="1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Times New Roman" w:cs="Times New Roman" w:eastAsia="Times New Roman" w:hAnsi="Times New Roman"/>
          <w:sz w:val="18"/>
          <w:szCs w:val="18"/>
          <w:color w:val="auto"/>
        </w:rPr>
      </w:pPr>
    </w:p>
    <w:p>
      <w:pPr>
        <w:ind w:left="540" w:right="519" w:hanging="318"/>
        <w:spacing w:after="0" w:line="281"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left="1180" w:right="479" w:hanging="323"/>
        <w:spacing w:after="0" w:line="281" w:lineRule="auto"/>
        <w:tabs>
          <w:tab w:leader="none" w:pos="1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3" w:lineRule="exact"/>
        <w:rPr>
          <w:rFonts w:ascii="Times New Roman" w:cs="Times New Roman" w:eastAsia="Times New Roman" w:hAnsi="Times New Roman"/>
          <w:sz w:val="18"/>
          <w:szCs w:val="18"/>
          <w:color w:val="auto"/>
        </w:rPr>
      </w:pPr>
    </w:p>
    <w:p>
      <w:pPr>
        <w:ind w:left="1180" w:right="259" w:hanging="323"/>
        <w:spacing w:after="0" w:line="297" w:lineRule="auto"/>
        <w:tabs>
          <w:tab w:leader="none" w:pos="11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5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Richard Steinhart</w:t>
            </w:r>
          </w:p>
        </w:tc>
      </w:tr>
      <w:tr>
        <w:trPr>
          <w:trHeight w:val="211"/>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Steinhart</w:t>
            </w:r>
          </w:p>
        </w:tc>
      </w:tr>
      <w:tr>
        <w:trPr>
          <w:trHeight w:val="229"/>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74"/>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68" w:name="page269"/>
    <w:bookmarkEnd w:id="2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568960</wp:posOffset>
            </wp:positionV>
            <wp:extent cx="5452110"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right="27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BioXcel Therapeutics, Inc. (the “Company”) for the fiscal year ended December 31,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1040" w:right="899" w:hanging="332"/>
        <w:spacing w:after="0" w:line="297" w:lineRule="auto"/>
        <w:tabs>
          <w:tab w:leader="none" w:pos="10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040" w:right="339" w:hanging="332"/>
        <w:spacing w:after="0" w:line="297" w:lineRule="auto"/>
        <w:tabs>
          <w:tab w:leader="none" w:pos="10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24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March 28, 2025</w:t>
            </w:r>
          </w:p>
        </w:tc>
        <w:tc>
          <w:tcPr>
            <w:tcW w:w="574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By:  /s/ Vimal Mehta</w:t>
            </w:r>
          </w:p>
        </w:tc>
      </w:tr>
      <w:tr>
        <w:trPr>
          <w:trHeight w:val="211"/>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Vimal Mehta, Ph.D.</w:t>
            </w:r>
          </w:p>
        </w:tc>
      </w:tr>
      <w:tr>
        <w:trPr>
          <w:trHeight w:val="229"/>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270" w:name="page271"/>
    <w:bookmarkEnd w:id="27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right="27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on Form 10-K of BioXcel Therapeutics, Inc. (the “Company”) for the fiscal year ended December 31, 2024,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1040" w:right="899" w:hanging="332"/>
        <w:spacing w:after="0" w:line="297" w:lineRule="auto"/>
        <w:tabs>
          <w:tab w:leader="none" w:pos="10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1040" w:right="339" w:hanging="332"/>
        <w:spacing w:after="0" w:line="297" w:lineRule="auto"/>
        <w:tabs>
          <w:tab w:leader="none" w:pos="10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tabs>
          <w:tab w:leader="none" w:pos="4480" w:val="left"/>
        </w:tabs>
        <w:rPr>
          <w:sz w:val="20"/>
          <w:szCs w:val="20"/>
          <w:color w:val="auto"/>
        </w:rPr>
      </w:pPr>
      <w:r>
        <w:rPr>
          <w:rFonts w:ascii="Times New Roman" w:cs="Times New Roman" w:eastAsia="Times New Roman" w:hAnsi="Times New Roman"/>
          <w:sz w:val="18"/>
          <w:szCs w:val="18"/>
          <w:color w:val="auto"/>
        </w:rPr>
        <w:t>Date: March 28, 2025</w:t>
      </w:r>
      <w:r>
        <w:rPr>
          <w:sz w:val="20"/>
          <w:szCs w:val="20"/>
          <w:color w:val="auto"/>
        </w:rPr>
        <w:tab/>
      </w:r>
      <w:r>
        <w:rPr>
          <w:rFonts w:ascii="Times New Roman" w:cs="Times New Roman" w:eastAsia="Times New Roman" w:hAnsi="Times New Roman"/>
          <w:sz w:val="18"/>
          <w:szCs w:val="18"/>
          <w:color w:val="auto"/>
        </w:rPr>
        <w:t>By: /s/ Richard Steinhart</w:t>
      </w:r>
    </w:p>
    <w:p>
      <w:pPr>
        <w:spacing w:after="0" w:line="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-127635</wp:posOffset>
            </wp:positionV>
            <wp:extent cx="25031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8">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494665</wp:posOffset>
            </wp:positionV>
            <wp:extent cx="545211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1)"/>
      <w:numFmt w:val="lowerRoman"/>
      <w:start w:val="2"/>
    </w:lvl>
  </w:abstractNum>
  <w:abstractNum w:abstractNumId="11">
    <w:nsid w:val="885E1B"/>
    <w:multiLevelType w:val="hybridMultilevel"/>
    <w:lvl w:ilvl="0">
      <w:lvlJc w:val="left"/>
      <w:lvlText w:val="(%1)"/>
      <w:numFmt w:val="lowerRoman"/>
      <w:start w:val="2"/>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1"/>
      <w:numFmt w:val="upperLetter"/>
      <w:start w:val="35"/>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1)"/>
      <w:numFmt w:val="decimal"/>
      <w:start w:val="2"/>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1"/>
      <w:numFmt w:val="upperLetter"/>
      <w:start w:val="35"/>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1)"/>
      <w:numFmt w:val="decimal"/>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1)"/>
      <w:numFmt w:val="lowerRoman"/>
      <w:start w:val="2"/>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1)"/>
      <w:numFmt w:val="lowerLetter"/>
      <w:start w:val="1"/>
    </w:lvl>
  </w:abstractNum>
  <w:abstractNum w:abstractNumId="65">
    <w:nsid w:val="5C10FE21"/>
    <w:multiLevelType w:val="hybridMultilevel"/>
    <w:lvl w:ilvl="0">
      <w:lvlJc w:val="left"/>
      <w:lvlText w:val="(%1)"/>
      <w:numFmt w:val="lowerLetter"/>
      <w:start w:val="2"/>
    </w:lvl>
  </w:abstractNum>
  <w:abstractNum w:abstractNumId="66">
    <w:nsid w:val="E7FFA2B"/>
    <w:multiLevelType w:val="hybridMultilevel"/>
    <w:lvl w:ilvl="0">
      <w:lvlJc w:val="left"/>
      <w:lvlText w:val="&amp;"/>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1)"/>
      <w:numFmt w:val="decimal"/>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1)"/>
      <w:numFmt w:val="decimal"/>
      <w:start w:val="1"/>
    </w:lvl>
  </w:abstractNum>
  <w:abstractNum w:abstractNumId="77">
    <w:nsid w:val="6AA7B75C"/>
    <w:multiLevelType w:val="hybridMultilevel"/>
    <w:lvl w:ilvl="0">
      <w:lvlJc w:val="left"/>
      <w:lvlText w:val="(%1)"/>
      <w:numFmt w:val="decimal"/>
      <w:start w:val="13"/>
    </w:lvl>
  </w:abstractNum>
  <w:abstractNum w:abstractNumId="78">
    <w:nsid w:val="1DF029D3"/>
    <w:multiLevelType w:val="hybridMultilevel"/>
    <w:lvl w:ilvl="0">
      <w:lvlJc w:val="left"/>
      <w:lvlText w:val="(%1)"/>
      <w:numFmt w:val="decimal"/>
      <w:start w:val="1"/>
    </w:lvl>
  </w:abstractNum>
  <w:abstractNum w:abstractNumId="79">
    <w:nsid w:val="5675FF36"/>
    <w:multiLevelType w:val="hybridMultilevel"/>
    <w:lvl w:ilvl="0">
      <w:lvlJc w:val="left"/>
      <w:lvlText w:val="(%1)"/>
      <w:numFmt w:val="decimal"/>
      <w:start w:val="1"/>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1"/>
      <w:numFmt w:val="decimal"/>
      <w:start w:val="104"/>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amp;"/>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
      <w:numFmt w:val="bullet"/>
      <w:start w:val="1"/>
    </w:lvl>
  </w:abstractNum>
  <w:abstractNum w:abstractNumId="88">
    <w:nsid w:val="5915FF32"/>
    <w:multiLevelType w:val="hybridMultilevel"/>
    <w:lvl w:ilvl="0">
      <w:lvlJc w:val="left"/>
      <w:lvlText w:val="(%1)"/>
      <w:numFmt w:val="lowerRoman"/>
      <w:start w:val="4"/>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1)"/>
      <w:numFmt w:val="lowerLetter"/>
      <w:start w:val="25"/>
    </w:lvl>
  </w:abstractNum>
  <w:abstractNum w:abstractNumId="91">
    <w:nsid w:val="2C6E4AFD"/>
    <w:multiLevelType w:val="hybridMultilevel"/>
    <w:lvl w:ilvl="0">
      <w:lvlJc w:val="left"/>
      <w:lvlText w:val="%1."/>
      <w:numFmt w:val="decimal"/>
      <w:start w:val="1"/>
    </w:lvl>
    <w:lvl w:ilvl="1">
      <w:lvlJc w:val="left"/>
      <w:lvlText w:val="(%2)"/>
      <w:numFmt w:val="lowerLetter"/>
      <w:start w:val="1"/>
    </w:lvl>
  </w:abstractNum>
  <w:abstractNum w:abstractNumId="92">
    <w:nsid w:val="17A1B582"/>
    <w:multiLevelType w:val="hybridMultilevel"/>
    <w:lvl w:ilvl="0">
      <w:lvlJc w:val="left"/>
      <w:lvlText w:val="%1"/>
      <w:numFmt w:val="decimal"/>
      <w:start w:val="1"/>
    </w:lvl>
    <w:lvl w:ilvl="1">
      <w:lvlJc w:val="left"/>
      <w:lvlText w:val="(%2)"/>
      <w:numFmt w:val="lowerLetter"/>
      <w:start w:val="4"/>
    </w:lvl>
  </w:abstractNum>
  <w:abstractNum w:abstractNumId="93">
    <w:nsid w:val="4DF72E4E"/>
    <w:multiLevelType w:val="hybridMultilevel"/>
    <w:lvl w:ilvl="0">
      <w:lvlJc w:val="left"/>
      <w:lvlText w:val="%1."/>
      <w:numFmt w:val="decimal"/>
      <w:start w:val="2"/>
    </w:lvl>
    <w:lvl w:ilvl="1">
      <w:lvlJc w:val="left"/>
      <w:lvlText w:val="%2"/>
      <w:numFmt w:val="lowerLetter"/>
      <w:start w:val="1"/>
    </w:lvl>
  </w:abstractNum>
  <w:abstractNum w:abstractNumId="94">
    <w:nsid w:val="5046B5A9"/>
    <w:multiLevelType w:val="hybridMultilevel"/>
    <w:lvl w:ilvl="0">
      <w:lvlJc w:val="left"/>
      <w:lvlText w:val="%1."/>
      <w:numFmt w:val="decimal"/>
      <w:start w:val="4"/>
    </w:lvl>
    <w:lvl w:ilvl="1">
      <w:lvlJc w:val="left"/>
      <w:lvlText w:val="(%2)"/>
      <w:numFmt w:val="lowerLetter"/>
      <w:start w:val="1"/>
    </w:lvl>
  </w:abstractNum>
  <w:abstractNum w:abstractNumId="95">
    <w:nsid w:val="5D888A08"/>
    <w:multiLevelType w:val="hybridMultilevel"/>
    <w:lvl w:ilvl="0">
      <w:lvlJc w:val="left"/>
      <w:lvlText w:val="%1"/>
      <w:numFmt w:val="decimal"/>
      <w:start w:val="1"/>
    </w:lvl>
    <w:lvl w:ilvl="1">
      <w:lvlJc w:val="left"/>
      <w:lvlText w:val="(%2)"/>
      <w:numFmt w:val="lowerLetter"/>
      <w:start w:val="2"/>
    </w:lvl>
  </w:abstractNum>
  <w:abstractNum w:abstractNumId="96">
    <w:nsid w:val="2A082C70"/>
    <w:multiLevelType w:val="hybridMultilevel"/>
    <w:lvl w:ilvl="0">
      <w:lvlJc w:val="left"/>
      <w:lvlText w:val="%1."/>
      <w:numFmt w:val="decimal"/>
      <w:start w:val="6"/>
    </w:lvl>
    <w:lvl w:ilvl="1">
      <w:lvlJc w:val="left"/>
      <w:lvlText w:val="(%2)"/>
      <w:numFmt w:val="lowerLetter"/>
      <w:start w:val="1"/>
    </w:lvl>
  </w:abstractNum>
  <w:abstractNum w:abstractNumId="97">
    <w:nsid w:val="5EC6AFD4"/>
    <w:multiLevelType w:val="hybridMultilevel"/>
    <w:lvl w:ilvl="0">
      <w:lvlJc w:val="left"/>
      <w:lvlText w:val="%1"/>
      <w:numFmt w:val="decimal"/>
      <w:start w:val="1"/>
    </w:lvl>
    <w:lvl w:ilvl="1">
      <w:lvlJc w:val="left"/>
      <w:lvlText w:val="(%2)"/>
      <w:numFmt w:val="lowerLetter"/>
      <w:start w:val="2"/>
    </w:lvl>
  </w:abstractNum>
  <w:abstractNum w:abstractNumId="98">
    <w:nsid w:val="19E21BB2"/>
    <w:multiLevelType w:val="hybridMultilevel"/>
    <w:lvl w:ilvl="0">
      <w:lvlJc w:val="left"/>
      <w:lvlText w:val="%1."/>
      <w:numFmt w:val="decimal"/>
      <w:start w:val="7"/>
    </w:lvl>
    <w:lvl w:ilvl="1">
      <w:lvlJc w:val="left"/>
      <w:lvlText w:val="(%2)"/>
      <w:numFmt w:val="lowerLetter"/>
      <w:start w:val="1"/>
    </w:lvl>
  </w:abstractNum>
  <w:abstractNum w:abstractNumId="99">
    <w:nsid w:val="75E0858A"/>
    <w:multiLevelType w:val="hybridMultilevel"/>
    <w:lvl w:ilvl="0">
      <w:lvlJc w:val="left"/>
      <w:lvlText w:val="(%1)"/>
      <w:numFmt w:val="lowerRoman"/>
      <w:start w:val="4"/>
    </w:lvl>
    <w:lvl w:ilvl="1">
      <w:lvlJc w:val="left"/>
      <w:lvlText w:val="(%2)"/>
      <w:numFmt w:val="lowerLetter"/>
      <w:start w:val="2"/>
    </w:lvl>
  </w:abstractNum>
  <w:abstractNum w:abstractNumId="100">
    <w:nsid w:val="57A61A29"/>
    <w:multiLevelType w:val="hybridMultilevel"/>
    <w:lvl w:ilvl="0">
      <w:lvlJc w:val="left"/>
      <w:lvlText w:val="(%1)"/>
      <w:numFmt w:val="lowerRoman"/>
      <w:start w:val="3"/>
    </w:lvl>
    <w:lvl w:ilvl="1">
      <w:lvlJc w:val="left"/>
      <w:lvlText w:val="%2"/>
      <w:numFmt w:val="lowerLetter"/>
      <w:start w:val="1"/>
    </w:lvl>
  </w:abstractNum>
  <w:abstractNum w:abstractNumId="101">
    <w:nsid w:val="5399C654"/>
    <w:multiLevelType w:val="hybridMultilevel"/>
    <w:lvl w:ilvl="0">
      <w:lvlJc w:val="left"/>
      <w:lvlText w:val="(%1)"/>
      <w:numFmt w:val="lowerLetter"/>
      <w:start w:val="9"/>
    </w:lvl>
    <w:lvl w:ilvl="1">
      <w:lvlJc w:val="left"/>
      <w:lvlText w:val="(%2)"/>
      <w:numFmt w:val="lowerLetter"/>
      <w:start w:val="4"/>
    </w:lvl>
  </w:abstractNum>
  <w:abstractNum w:abstractNumId="102">
    <w:nsid w:val="20EE13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103">
    <w:nsid w:val="4427069A"/>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8"/>
    </w:lvl>
  </w:abstractNum>
  <w:abstractNum w:abstractNumId="104">
    <w:nsid w:val="B37E80A"/>
    <w:multiLevelType w:val="hybridMultilevel"/>
    <w:lvl w:ilvl="0">
      <w:lvlJc w:val="left"/>
      <w:lvlText w:val="%1."/>
      <w:numFmt w:val="decimal"/>
      <w:start w:val="11"/>
    </w:lvl>
    <w:lvl w:ilvl="1">
      <w:lvlJc w:val="left"/>
      <w:lvlText w:val="(%2)"/>
      <w:numFmt w:val="lowerLetter"/>
      <w:start w:val="1"/>
    </w:lvl>
  </w:abstractNum>
  <w:abstractNum w:abstractNumId="105">
    <w:nsid w:val="2157F6BC"/>
    <w:multiLevelType w:val="hybridMultilevel"/>
    <w:lvl w:ilvl="0">
      <w:lvlJc w:val="left"/>
      <w:lvlText w:val="%1"/>
      <w:numFmt w:val="decimal"/>
      <w:start w:val="1"/>
    </w:lvl>
    <w:lvl w:ilvl="1">
      <w:lvlJc w:val="left"/>
      <w:lvlText w:val="(%2)"/>
      <w:numFmt w:val="lowerLetter"/>
      <w:start w:val="2"/>
    </w:lvl>
  </w:abstractNum>
  <w:abstractNum w:abstractNumId="106">
    <w:nsid w:val="704E1DD5"/>
    <w:multiLevelType w:val="hybridMultilevel"/>
    <w:lvl w:ilvl="0">
      <w:lvlJc w:val="left"/>
      <w:lvlText w:val="%1."/>
      <w:numFmt w:val="decimal"/>
      <w:start w:val="12"/>
    </w:lvl>
    <w:lvl w:ilvl="1">
      <w:lvlJc w:val="left"/>
      <w:lvlText w:val="%2"/>
      <w:numFmt w:val="lowerLetter"/>
      <w:start w:val="1"/>
    </w:lvl>
  </w:abstractNum>
  <w:abstractNum w:abstractNumId="107">
    <w:nsid w:val="57D2F10E"/>
    <w:multiLevelType w:val="hybridMultilevel"/>
    <w:lvl w:ilvl="0">
      <w:lvlJc w:val="left"/>
      <w:lvlText w:val="%1."/>
      <w:numFmt w:val="decimal"/>
      <w:start w:val="14"/>
    </w:lvl>
    <w:lvl w:ilvl="1">
      <w:lvlJc w:val="left"/>
      <w:lvlText w:val="(%2)"/>
      <w:numFmt w:val="lowerLetter"/>
      <w:start w:val="1"/>
    </w:lvl>
  </w:abstractNum>
  <w:abstractNum w:abstractNumId="108">
    <w:nsid w:val="BFFAE18"/>
    <w:multiLevelType w:val="hybridMultilevel"/>
    <w:lvl w:ilvl="0">
      <w:lvlJc w:val="left"/>
      <w:lvlText w:val="(%1)"/>
      <w:numFmt w:val="lowerLetter"/>
      <w:start w:val="4"/>
    </w:lvl>
  </w:abstractNum>
  <w:abstractNum w:abstractNumId="109">
    <w:nsid w:val="E3E47A8"/>
    <w:multiLevelType w:val="hybridMultilevel"/>
    <w:lvl w:ilvl="0">
      <w:lvlJc w:val="left"/>
      <w:lvlText w:val="(%1)"/>
      <w:numFmt w:val="decimal"/>
      <w:start w:val="1"/>
    </w:lvl>
  </w:abstractNum>
  <w:abstractNum w:abstractNumId="110">
    <w:nsid w:val="2E48F044"/>
    <w:multiLevelType w:val="hybridMultilevel"/>
    <w:lvl w:ilvl="0">
      <w:lvlJc w:val="left"/>
      <w:lvlText w:val="(%1)"/>
      <w:numFmt w:val="decimal"/>
      <w:start w:val="3"/>
    </w:lvl>
    <w:lvl w:ilvl="1">
      <w:lvlJc w:val="left"/>
      <w:lvlText w:val="☐"/>
      <w:numFmt w:val="bullet"/>
      <w:start w:val="1"/>
    </w:lvl>
  </w:abstractNum>
  <w:abstractNum w:abstractNumId="111">
    <w:nsid w:val="49D0FEAC"/>
    <w:multiLevelType w:val="hybridMultilevel"/>
    <w:lvl w:ilvl="0">
      <w:lvlJc w:val="left"/>
      <w:lvlText w:val="%1."/>
      <w:numFmt w:val="decimal"/>
      <w:start w:val="1"/>
    </w:lvl>
    <w:lvl w:ilvl="1">
      <w:lvlJc w:val="left"/>
      <w:lvlText w:val="(%2)"/>
      <w:numFmt w:val="lowerLetter"/>
      <w:start w:val="1"/>
    </w:lvl>
  </w:abstractNum>
  <w:abstractNum w:abstractNumId="112">
    <w:nsid w:val="4BEE5A5B"/>
    <w:multiLevelType w:val="hybridMultilevel"/>
    <w:lvl w:ilvl="0">
      <w:lvlJc w:val="left"/>
      <w:lvlText w:val="%1"/>
      <w:numFmt w:val="decimal"/>
      <w:start w:val="1"/>
    </w:lvl>
    <w:lvl w:ilvl="1">
      <w:lvlJc w:val="left"/>
      <w:lvlText w:val="(%2)"/>
      <w:numFmt w:val="lowerLetter"/>
      <w:start w:val="3"/>
    </w:lvl>
  </w:abstractNum>
  <w:abstractNum w:abstractNumId="113">
    <w:nsid w:val="5551B9F3"/>
    <w:multiLevelType w:val="hybridMultilevel"/>
    <w:lvl w:ilvl="0">
      <w:lvlJc w:val="left"/>
      <w:lvlText w:val="%1."/>
      <w:numFmt w:val="decimal"/>
      <w:start w:val="6"/>
    </w:lvl>
    <w:lvl w:ilvl="1">
      <w:lvlJc w:val="left"/>
      <w:lvlText w:val="(%2)"/>
      <w:numFmt w:val="lowerLetter"/>
      <w:start w:val="1"/>
    </w:lvl>
  </w:abstractNum>
  <w:abstractNum w:abstractNumId="114">
    <w:nsid w:val="24F6AB8E"/>
    <w:multiLevelType w:val="hybridMultilevel"/>
    <w:lvl w:ilvl="0">
      <w:lvlJc w:val="left"/>
      <w:lvlText w:val="%1."/>
      <w:numFmt w:val="decimal"/>
      <w:start w:val="8"/>
    </w:lvl>
    <w:lvl w:ilvl="1">
      <w:lvlJc w:val="left"/>
      <w:lvlText w:val="(%2)"/>
      <w:numFmt w:val="lowerLetter"/>
      <w:start w:val="1"/>
    </w:lvl>
  </w:abstractNum>
  <w:abstractNum w:abstractNumId="115">
    <w:nsid w:val="634C574C"/>
    <w:multiLevelType w:val="hybridMultilevel"/>
    <w:lvl w:ilvl="0">
      <w:lvlJc w:val="left"/>
      <w:lvlText w:val="%1"/>
      <w:numFmt w:val="decimal"/>
      <w:start w:val="1"/>
    </w:lvl>
    <w:lvl w:ilvl="1">
      <w:lvlJc w:val="left"/>
      <w:lvlText w:val="(%2)"/>
      <w:numFmt w:val="lowerLetter"/>
      <w:start w:val="3"/>
    </w:lvl>
  </w:abstractNum>
  <w:abstractNum w:abstractNumId="116">
    <w:nsid w:val="24E99DD7"/>
    <w:multiLevelType w:val="hybridMultilevel"/>
    <w:lvl w:ilvl="0">
      <w:lvlJc w:val="left"/>
      <w:lvlText w:val="%1."/>
      <w:numFmt w:val="decimal"/>
      <w:start w:val="9"/>
    </w:lvl>
    <w:lvl w:ilvl="1">
      <w:lvlJc w:val="left"/>
      <w:lvlText w:val="(%2)"/>
      <w:numFmt w:val="lowerLetter"/>
      <w:start w:val="1"/>
    </w:lvl>
  </w:abstractNum>
  <w:abstractNum w:abstractNumId="117">
    <w:nsid w:val="2A31B62D"/>
    <w:multiLevelType w:val="hybridMultilevel"/>
    <w:lvl w:ilvl="0">
      <w:lvlJc w:val="left"/>
      <w:lvlText w:val="%1."/>
      <w:numFmt w:val="upperLetter"/>
      <w:start w:val="8"/>
    </w:lvl>
    <w:lvl w:ilvl="1">
      <w:lvlJc w:val="left"/>
      <w:lvlText w:val="●"/>
      <w:numFmt w:val="bullet"/>
      <w:start w:val="1"/>
    </w:lvl>
  </w:abstractNum>
  <w:abstractNum w:abstractNumId="118">
    <w:nsid w:val="1849C29B"/>
    <w:multiLevelType w:val="hybridMultilevel"/>
    <w:lvl w:ilvl="0">
      <w:lvlJc w:val="left"/>
      <w:lvlText w:val="%1."/>
      <w:numFmt w:val="upperLetter"/>
      <w:start w:val="35"/>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1."/>
      <w:numFmt w:val="upperLetter"/>
      <w:start w:val="61"/>
    </w:lvl>
  </w:abstractNum>
  <w:abstractNum w:abstractNumId="122">
    <w:nsid w:val="2A6DE806"/>
    <w:multiLevelType w:val="hybridMultilevel"/>
    <w:lvl w:ilvl="0">
      <w:lvlJc w:val="left"/>
      <w:lvlText w:val="%1."/>
      <w:numFmt w:val="upperLetter"/>
    </w:lvl>
    <w:lvl w:ilvl="1">
      <w:lvlJc w:val="left"/>
      <w:lvlText w:val="●"/>
      <w:numFmt w:val="bullet"/>
      <w:start w:val="1"/>
    </w:lvl>
  </w:abstractNum>
  <w:abstractNum w:abstractNumId="123">
    <w:nsid w:val="1816F8C4"/>
    <w:multiLevelType w:val="hybridMultilevel"/>
    <w:lvl w:ilvl="0">
      <w:lvlJc w:val="left"/>
      <w:lvlText w:val="●"/>
      <w:numFmt w:val="bullet"/>
      <w:start w:val="1"/>
    </w:lvl>
  </w:abstractNum>
  <w:abstractNum w:abstractNumId="124">
    <w:nsid w:val="37DF2233"/>
    <w:multiLevelType w:val="hybridMultilevel"/>
    <w:lvl w:ilvl="0">
      <w:lvlJc w:val="left"/>
      <w:lvlText w:val="%1."/>
      <w:numFmt w:val="upperLetter"/>
      <w:start w:val="2"/>
    </w:lvl>
  </w:abstractNum>
  <w:abstractNum w:abstractNumId="125">
    <w:nsid w:val="7AB49DAF"/>
    <w:multiLevelType w:val="hybridMultilevel"/>
    <w:lvl w:ilvl="0">
      <w:lvlJc w:val="left"/>
      <w:lvlText w:val="%1."/>
      <w:numFmt w:val="upperLetter"/>
      <w:start w:val="3"/>
    </w:lvl>
  </w:abstractNum>
  <w:abstractNum w:abstractNumId="126">
    <w:nsid w:val="759F82CD"/>
    <w:multiLevelType w:val="hybridMultilevel"/>
    <w:lvl w:ilvl="0">
      <w:lvlJc w:val="left"/>
      <w:lvlText w:val="%1."/>
      <w:numFmt w:val="upperLetter"/>
      <w:start w:val="4"/>
    </w:lvl>
  </w:abstractNum>
  <w:abstractNum w:abstractNumId="127">
    <w:nsid w:val="61E74EA3"/>
    <w:multiLevelType w:val="hybridMultilevel"/>
    <w:lvl w:ilvl="0">
      <w:lvlJc w:val="left"/>
      <w:lvlText w:val="%1."/>
      <w:numFmt w:val="upperLetter"/>
      <w:start w:val="5"/>
    </w:lvl>
  </w:abstractNum>
  <w:abstractNum w:abstractNumId="128">
    <w:nsid w:val="597B4D84"/>
    <w:multiLevelType w:val="hybridMultilevel"/>
    <w:lvl w:ilvl="0">
      <w:lvlJc w:val="left"/>
      <w:lvlText w:val="●"/>
      <w:numFmt w:val="bullet"/>
      <w:start w:val="1"/>
    </w:lvl>
  </w:abstractNum>
  <w:abstractNum w:abstractNumId="129">
    <w:nsid w:val="F819E7F"/>
    <w:multiLevelType w:val="hybridMultilevel"/>
    <w:lvl w:ilvl="0">
      <w:lvlJc w:val="left"/>
      <w:lvlText w:val="%1."/>
      <w:numFmt w:val="upperLetter"/>
      <w:start w:val="6"/>
    </w:lvl>
  </w:abstractNum>
  <w:abstractNum w:abstractNumId="130">
    <w:nsid w:val="57C7D42D"/>
    <w:multiLevelType w:val="hybridMultilevel"/>
    <w:lvl w:ilvl="0">
      <w:lvlJc w:val="left"/>
      <w:lvlText w:val="%1."/>
      <w:numFmt w:val="upperLetter"/>
      <w:start w:val="7"/>
    </w:lvl>
    <w:lvl w:ilvl="1">
      <w:lvlJc w:val="left"/>
      <w:lvlText w:val="●"/>
      <w:numFmt w:val="bullet"/>
      <w:start w:val="1"/>
    </w:lvl>
  </w:abstractNum>
  <w:abstractNum w:abstractNumId="131">
    <w:nsid w:val="312167AD"/>
    <w:multiLevelType w:val="hybridMultilevel"/>
    <w:lvl w:ilvl="0">
      <w:lvlJc w:val="left"/>
      <w:lvlText w:val="%1."/>
      <w:numFmt w:val="upperLetter"/>
      <w:start w:val="8"/>
    </w:lvl>
  </w:abstractNum>
  <w:abstractNum w:abstractNumId="132">
    <w:nsid w:val="631B64D4"/>
    <w:multiLevelType w:val="hybridMultilevel"/>
    <w:lvl w:ilvl="0">
      <w:lvlJc w:val="left"/>
      <w:lvlText w:val="%1."/>
      <w:numFmt w:val="upperLetter"/>
      <w:start w:val="1"/>
    </w:lvl>
  </w:abstractNum>
  <w:abstractNum w:abstractNumId="133">
    <w:nsid w:val="78B5E776"/>
    <w:multiLevelType w:val="hybridMultilevel"/>
    <w:lvl w:ilvl="0">
      <w:lvlJc w:val="left"/>
      <w:lvlText w:val="%1."/>
      <w:numFmt w:val="upperLetter"/>
      <w:start w:val="2"/>
    </w:lvl>
  </w:abstractNum>
  <w:abstractNum w:abstractNumId="134">
    <w:nsid w:val="75486E47"/>
    <w:multiLevelType w:val="hybridMultilevel"/>
    <w:lvl w:ilvl="0">
      <w:lvlJc w:val="left"/>
      <w:lvlText w:val="%1."/>
      <w:numFmt w:val="upperLetter"/>
      <w:start w:val="3"/>
    </w:lvl>
  </w:abstractNum>
  <w:abstractNum w:abstractNumId="135">
    <w:nsid w:val="6E534CDE"/>
    <w:multiLevelType w:val="hybridMultilevel"/>
    <w:lvl w:ilvl="0">
      <w:lvlJc w:val="left"/>
      <w:lvlText w:val="%1."/>
      <w:numFmt w:val="upperLetter"/>
      <w:start w:val="4"/>
    </w:lvl>
    <w:lvl w:ilvl="1">
      <w:lvlJc w:val="left"/>
      <w:lvlText w:val="%2."/>
      <w:numFmt w:val="decimal"/>
      <w:start w:val="1"/>
    </w:lvl>
  </w:abstractNum>
  <w:abstractNum w:abstractNumId="136">
    <w:nsid w:val="1A0DDE32"/>
    <w:multiLevelType w:val="hybridMultilevel"/>
    <w:lvl w:ilvl="0">
      <w:lvlJc w:val="left"/>
      <w:lvlText w:val="%1."/>
      <w:numFmt w:val="decimal"/>
      <w:start w:val="2"/>
    </w:lvl>
  </w:abstractNum>
  <w:abstractNum w:abstractNumId="137">
    <w:nsid w:val="65968C1C"/>
    <w:multiLevelType w:val="hybridMultilevel"/>
    <w:lvl w:ilvl="0">
      <w:lvlJc w:val="left"/>
      <w:lvlText w:val="%1."/>
      <w:numFmt w:val="upperLetter"/>
      <w:start w:val="5"/>
    </w:lvl>
  </w:abstractNum>
  <w:abstractNum w:abstractNumId="138">
    <w:nsid w:val="46263DEC"/>
    <w:multiLevelType w:val="hybridMultilevel"/>
    <w:lvl w:ilvl="0">
      <w:lvlJc w:val="left"/>
      <w:lvlText w:val="●"/>
      <w:numFmt w:val="bullet"/>
      <w:start w:val="1"/>
    </w:lvl>
  </w:abstractNum>
  <w:abstractNum w:abstractNumId="139">
    <w:nsid w:val="260D8C4A"/>
    <w:multiLevelType w:val="hybridMultilevel"/>
    <w:lvl w:ilvl="0">
      <w:lvlJc w:val="left"/>
      <w:lvlText w:val="%1."/>
      <w:numFmt w:val="upperLetter"/>
      <w:start w:val="22"/>
    </w:lvl>
  </w:abstractNum>
  <w:abstractNum w:abstractNumId="140">
    <w:nsid w:val="73D4D3C4"/>
    <w:multiLevelType w:val="hybridMultilevel"/>
    <w:lvl w:ilvl="0">
      <w:lvlJc w:val="left"/>
      <w:lvlText w:val="%1."/>
      <w:numFmt w:val="upperLetter"/>
      <w:start w:val="1"/>
    </w:lvl>
  </w:abstractNum>
  <w:abstractNum w:abstractNumId="141">
    <w:nsid w:val="746F2E30"/>
    <w:multiLevelType w:val="hybridMultilevel"/>
    <w:lvl w:ilvl="0">
      <w:lvlJc w:val="left"/>
      <w:lvlText w:val="%1."/>
      <w:numFmt w:val="upperLetter"/>
      <w:start w:val="2"/>
    </w:lvl>
  </w:abstractNum>
  <w:abstractNum w:abstractNumId="142">
    <w:nsid w:val="6FDE8AF6"/>
    <w:multiLevelType w:val="hybridMultilevel"/>
    <w:lvl w:ilvl="0">
      <w:lvlJc w:val="left"/>
      <w:lvlText w:val="%1."/>
      <w:numFmt w:val="upperLetter"/>
      <w:start w:val="3"/>
    </w:lvl>
  </w:abstractNum>
  <w:abstractNum w:abstractNumId="143">
    <w:nsid w:val="3FC32E20"/>
    <w:multiLevelType w:val="hybridMultilevel"/>
    <w:lvl w:ilvl="0">
      <w:lvlJc w:val="left"/>
      <w:lvlText w:val="%1."/>
      <w:numFmt w:val="upperLetter"/>
      <w:start w:val="4"/>
    </w:lvl>
  </w:abstractNum>
  <w:abstractNum w:abstractNumId="144">
    <w:nsid w:val="49C0E823"/>
    <w:multiLevelType w:val="hybridMultilevel"/>
    <w:lvl w:ilvl="0">
      <w:lvlJc w:val="left"/>
      <w:lvlText w:val="%1."/>
      <w:numFmt w:val="upperLetter"/>
      <w:start w:val="5"/>
    </w:lvl>
  </w:abstractNum>
  <w:abstractNum w:abstractNumId="145">
    <w:nsid w:val="14D53685"/>
    <w:multiLevelType w:val="hybridMultilevel"/>
    <w:lvl w:ilvl="0">
      <w:lvlJc w:val="left"/>
      <w:lvlText w:val="%1."/>
      <w:numFmt w:val="upperLetter"/>
      <w:start w:val="6"/>
    </w:lvl>
  </w:abstractNum>
  <w:abstractNum w:abstractNumId="146">
    <w:nsid w:val="230F856C"/>
    <w:multiLevelType w:val="hybridMultilevel"/>
    <w:lvl w:ilvl="0">
      <w:lvlJc w:val="left"/>
      <w:lvlText w:val="%1."/>
      <w:numFmt w:val="upperLetter"/>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49">
    <w:nsid w:val="3B594807"/>
    <w:multiLevelType w:val="hybridMultilevel"/>
    <w:lvl w:ilvl="0">
      <w:lvlJc w:val="left"/>
      <w:lvlText w:val="%1."/>
      <w:numFmt w:val="upperLetter"/>
      <w:start w:val="3"/>
    </w:lvl>
  </w:abstractNum>
  <w:abstractNum w:abstractNumId="150">
    <w:nsid w:val="6CAA2304"/>
    <w:multiLevelType w:val="hybridMultilevel"/>
    <w:lvl w:ilvl="0">
      <w:lvlJc w:val="left"/>
      <w:lvlText w:val="%1."/>
      <w:numFmt w:val="upperLetter"/>
      <w:start w:val="4"/>
    </w:lvl>
  </w:abstractNum>
  <w:abstractNum w:abstractNumId="151">
    <w:nsid w:val="3F7C2FF4"/>
    <w:multiLevelType w:val="hybridMultilevel"/>
    <w:lvl w:ilvl="0">
      <w:lvlJc w:val="left"/>
      <w:lvlText w:val="%1."/>
      <w:numFmt w:val="upperLetter"/>
      <w:start w:val="5"/>
    </w:lvl>
  </w:abstractNum>
  <w:abstractNum w:abstractNumId="152">
    <w:nsid w:val="25413BEC"/>
    <w:multiLevelType w:val="hybridMultilevel"/>
    <w:lvl w:ilvl="0">
      <w:lvlJc w:val="left"/>
      <w:lvlText w:val="%1."/>
      <w:numFmt w:val="upperLetter"/>
      <w:start w:val="6"/>
    </w:lvl>
  </w:abstractNum>
  <w:abstractNum w:abstractNumId="153">
    <w:nsid w:val="17180B0B"/>
    <w:multiLevelType w:val="hybridMultilevel"/>
    <w:lvl w:ilvl="0">
      <w:lvlJc w:val="left"/>
      <w:lvlText w:val="%1."/>
      <w:numFmt w:val="upperLetter"/>
      <w:start w:val="7"/>
    </w:lvl>
  </w:abstractNum>
  <w:abstractNum w:abstractNumId="154">
    <w:nsid w:val="579328B9"/>
    <w:multiLevelType w:val="hybridMultilevel"/>
    <w:lvl w:ilvl="0">
      <w:lvlJc w:val="left"/>
      <w:lvlText w:val="%1."/>
      <w:numFmt w:val="upperLetter"/>
      <w:start w:val="8"/>
    </w:lvl>
  </w:abstractNum>
  <w:abstractNum w:abstractNumId="155">
    <w:nsid w:val="5D205E20"/>
    <w:multiLevelType w:val="hybridMultilevel"/>
    <w:lvl w:ilvl="0">
      <w:lvlJc w:val="left"/>
      <w:lvlText w:val="%1."/>
      <w:numFmt w:val="upperLetter"/>
      <w:start w:val="9"/>
    </w:lvl>
  </w:abstractNum>
  <w:abstractNum w:abstractNumId="156">
    <w:nsid w:val="11CCA8BA"/>
    <w:multiLevelType w:val="hybridMultilevel"/>
    <w:lvl w:ilvl="0">
      <w:lvlJc w:val="left"/>
      <w:lvlText w:val="(%1)"/>
      <w:numFmt w:val="decimal"/>
      <w:start w:val="1"/>
    </w:lvl>
  </w:abstractNum>
  <w:abstractNum w:abstractNumId="157">
    <w:nsid w:val="4D32AB86"/>
    <w:multiLevelType w:val="hybridMultilevel"/>
    <w:lvl w:ilvl="0">
      <w:lvlJc w:val="left"/>
      <w:lvlText w:val="%1."/>
      <w:numFmt w:val="decimal"/>
      <w:start w:val="1"/>
    </w:lvl>
    <w:lvl w:ilvl="1">
      <w:lvlJc w:val="left"/>
      <w:lvlText w:val="%2."/>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94" Type="http://schemas.openxmlformats.org/officeDocument/2006/relationships/image" Target="media/image178.png"/><Relationship Id="rId229" Type="http://schemas.openxmlformats.org/officeDocument/2006/relationships/image" Target="media/image179.png"/><Relationship Id="rId233" Type="http://schemas.openxmlformats.org/officeDocument/2006/relationships/image" Target="media/image180.png"/><Relationship Id="rId240" Type="http://schemas.openxmlformats.org/officeDocument/2006/relationships/image" Target="media/image181.png"/><Relationship Id="rId241" Type="http://schemas.openxmlformats.org/officeDocument/2006/relationships/image" Target="media/image182.png"/><Relationship Id="rId242" Type="http://schemas.openxmlformats.org/officeDocument/2006/relationships/image" Target="media/image183.png"/><Relationship Id="rId243" Type="http://schemas.openxmlformats.org/officeDocument/2006/relationships/image" Target="media/image184.png"/><Relationship Id="rId244" Type="http://schemas.openxmlformats.org/officeDocument/2006/relationships/image" Target="media/image185.png"/><Relationship Id="rId245" Type="http://schemas.openxmlformats.org/officeDocument/2006/relationships/image" Target="media/image186.png"/><Relationship Id="rId246" Type="http://schemas.openxmlformats.org/officeDocument/2006/relationships/image" Target="media/image187.png"/><Relationship Id="rId247" Type="http://schemas.openxmlformats.org/officeDocument/2006/relationships/image" Target="media/image188.png"/><Relationship Id="rId248" Type="http://schemas.openxmlformats.org/officeDocument/2006/relationships/image" Target="media/image189.png"/><Relationship Id="rId249" Type="http://schemas.openxmlformats.org/officeDocument/2006/relationships/image" Target="media/image190.png"/><Relationship Id="rId250" Type="http://schemas.openxmlformats.org/officeDocument/2006/relationships/image" Target="media/image191.png"/><Relationship Id="rId251" Type="http://schemas.openxmlformats.org/officeDocument/2006/relationships/image" Target="media/image192.png"/><Relationship Id="rId252" Type="http://schemas.openxmlformats.org/officeDocument/2006/relationships/image" Target="media/image193.png"/><Relationship Id="rId253" Type="http://schemas.openxmlformats.org/officeDocument/2006/relationships/image" Target="media/image194.png"/><Relationship Id="rId254" Type="http://schemas.openxmlformats.org/officeDocument/2006/relationships/image" Target="media/image195.png"/><Relationship Id="rId255" Type="http://schemas.openxmlformats.org/officeDocument/2006/relationships/image" Target="media/image196.png"/><Relationship Id="rId256" Type="http://schemas.openxmlformats.org/officeDocument/2006/relationships/image" Target="media/image197.png"/><Relationship Id="rId257" Type="http://schemas.openxmlformats.org/officeDocument/2006/relationships/image" Target="media/image198.png"/><Relationship Id="rId258" Type="http://schemas.openxmlformats.org/officeDocument/2006/relationships/image" Target="media/image199.png"/><Relationship Id="rId259" Type="http://schemas.openxmlformats.org/officeDocument/2006/relationships/image" Target="media/image200.png"/><Relationship Id="rId260" Type="http://schemas.openxmlformats.org/officeDocument/2006/relationships/image" Target="media/image201.png"/><Relationship Id="rId261" Type="http://schemas.openxmlformats.org/officeDocument/2006/relationships/image" Target="media/image202.png"/><Relationship Id="rId262" Type="http://schemas.openxmlformats.org/officeDocument/2006/relationships/image" Target="media/image203.png"/><Relationship Id="rId263" Type="http://schemas.openxmlformats.org/officeDocument/2006/relationships/image" Target="media/image204.png"/><Relationship Id="rId264" Type="http://schemas.openxmlformats.org/officeDocument/2006/relationships/image" Target="media/image205.png"/><Relationship Id="rId265" Type="http://schemas.openxmlformats.org/officeDocument/2006/relationships/image" Target="media/image206.png"/><Relationship Id="rId266" Type="http://schemas.openxmlformats.org/officeDocument/2006/relationships/image" Target="media/image207.png"/><Relationship Id="rId267" Type="http://schemas.openxmlformats.org/officeDocument/2006/relationships/image" Target="media/image208.png"/><Relationship Id="rId268" Type="http://schemas.openxmlformats.org/officeDocument/2006/relationships/image" Target="media/image209.png"/><Relationship Id="rId269" Type="http://schemas.openxmlformats.org/officeDocument/2006/relationships/image" Target="media/image210.png"/><Relationship Id="rId270" Type="http://schemas.openxmlformats.org/officeDocument/2006/relationships/image" Target="media/image211.png"/><Relationship Id="rId271" Type="http://schemas.openxmlformats.org/officeDocument/2006/relationships/image" Target="media/image212.png"/><Relationship Id="rId272" Type="http://schemas.openxmlformats.org/officeDocument/2006/relationships/image" Target="media/image213.png"/><Relationship Id="rId273" Type="http://schemas.openxmlformats.org/officeDocument/2006/relationships/image" Target="media/image214.png"/><Relationship Id="rId274" Type="http://schemas.openxmlformats.org/officeDocument/2006/relationships/image" Target="media/image215.png"/><Relationship Id="rId275" Type="http://schemas.openxmlformats.org/officeDocument/2006/relationships/image" Target="media/image216.png"/><Relationship Id="rId276" Type="http://schemas.openxmlformats.org/officeDocument/2006/relationships/image" Target="media/image217.png"/><Relationship Id="rId277" Type="http://schemas.openxmlformats.org/officeDocument/2006/relationships/image" Target="media/image218.png"/><Relationship Id="rId278" Type="http://schemas.openxmlformats.org/officeDocument/2006/relationships/image" Target="media/image219.png"/><Relationship Id="rId279" Type="http://schemas.openxmlformats.org/officeDocument/2006/relationships/image" Target="media/image220.png"/><Relationship Id="rId280" Type="http://schemas.openxmlformats.org/officeDocument/2006/relationships/image" Target="media/image221.png"/><Relationship Id="rId281"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4"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89" Type="http://schemas.openxmlformats.org/officeDocument/2006/relationships/image" Target="media/image230.png"/><Relationship Id="rId290" Type="http://schemas.openxmlformats.org/officeDocument/2006/relationships/image" Target="media/image231.png"/><Relationship Id="rId291" Type="http://schemas.openxmlformats.org/officeDocument/2006/relationships/image" Target="media/image232.png"/><Relationship Id="rId292" Type="http://schemas.openxmlformats.org/officeDocument/2006/relationships/image" Target="media/image233.jpeg"/><Relationship Id="rId293" Type="http://schemas.openxmlformats.org/officeDocument/2006/relationships/image" Target="media/image234.png"/><Relationship Id="rId294" Type="http://schemas.openxmlformats.org/officeDocument/2006/relationships/image" Target="media/image235.png"/><Relationship Id="rId295" Type="http://schemas.openxmlformats.org/officeDocument/2006/relationships/image" Target="media/image236.png"/><Relationship Id="rId296" Type="http://schemas.openxmlformats.org/officeDocument/2006/relationships/image" Target="media/image237.png"/><Relationship Id="rId297" Type="http://schemas.openxmlformats.org/officeDocument/2006/relationships/image" Target="media/image238.png"/><Relationship Id="rId298" Type="http://schemas.openxmlformats.org/officeDocument/2006/relationships/image" Target="media/image239.png"/><Relationship Id="rId299" Type="http://schemas.openxmlformats.org/officeDocument/2006/relationships/image" Target="media/image240.png"/><Relationship Id="rId300" Type="http://schemas.openxmlformats.org/officeDocument/2006/relationships/image" Target="media/image241.png"/><Relationship Id="rId301" Type="http://schemas.openxmlformats.org/officeDocument/2006/relationships/image" Target="media/image242.png"/><Relationship Id="rId302" Type="http://schemas.openxmlformats.org/officeDocument/2006/relationships/image" Target="media/image243.png"/><Relationship Id="rId303" Type="http://schemas.openxmlformats.org/officeDocument/2006/relationships/image" Target="media/image244.png"/><Relationship Id="rId304" Type="http://schemas.openxmlformats.org/officeDocument/2006/relationships/image" Target="media/image245.png"/><Relationship Id="rId305" Type="http://schemas.openxmlformats.org/officeDocument/2006/relationships/image" Target="media/image246.png"/><Relationship Id="rId306" Type="http://schemas.openxmlformats.org/officeDocument/2006/relationships/image" Target="media/image247.png"/><Relationship Id="rId307" Type="http://schemas.openxmlformats.org/officeDocument/2006/relationships/image" Target="media/image248.png"/><Relationship Id="rId308" Type="http://schemas.openxmlformats.org/officeDocument/2006/relationships/image" Target="media/image249.png"/><Relationship Id="rId309" Type="http://schemas.openxmlformats.org/officeDocument/2006/relationships/image" Target="media/image250.png"/><Relationship Id="rId310" Type="http://schemas.openxmlformats.org/officeDocument/2006/relationships/image" Target="media/image251.png"/><Relationship Id="rId311" Type="http://schemas.openxmlformats.org/officeDocument/2006/relationships/image" Target="media/image252.png"/><Relationship Id="rId312" Type="http://schemas.openxmlformats.org/officeDocument/2006/relationships/image" Target="media/image253.png"/><Relationship Id="rId313" Type="http://schemas.openxmlformats.org/officeDocument/2006/relationships/image" Target="media/image254.png"/><Relationship Id="rId314" Type="http://schemas.openxmlformats.org/officeDocument/2006/relationships/image" Target="media/image255.png"/><Relationship Id="rId315" Type="http://schemas.openxmlformats.org/officeDocument/2006/relationships/image" Target="media/image256.png"/><Relationship Id="rId316" Type="http://schemas.openxmlformats.org/officeDocument/2006/relationships/image" Target="media/image257.png"/><Relationship Id="rId317" Type="http://schemas.openxmlformats.org/officeDocument/2006/relationships/image" Target="media/image258.png"/><Relationship Id="rId318" Type="http://schemas.openxmlformats.org/officeDocument/2006/relationships/image" Target="media/image259.png"/><Relationship Id="rId319" Type="http://schemas.openxmlformats.org/officeDocument/2006/relationships/image" Target="media/image260.png"/><Relationship Id="rId320" Type="http://schemas.openxmlformats.org/officeDocument/2006/relationships/image" Target="media/image261.png"/><Relationship Id="rId321" Type="http://schemas.openxmlformats.org/officeDocument/2006/relationships/image" Target="media/image262.png"/><Relationship Id="rId322" Type="http://schemas.openxmlformats.org/officeDocument/2006/relationships/image" Target="media/image263.png"/><Relationship Id="rId323" Type="http://schemas.openxmlformats.org/officeDocument/2006/relationships/image" Target="media/image264.png"/><Relationship Id="rId324" Type="http://schemas.openxmlformats.org/officeDocument/2006/relationships/image" Target="media/image265.png"/><Relationship Id="rId325" Type="http://schemas.openxmlformats.org/officeDocument/2006/relationships/image" Target="media/image266.png"/><Relationship Id="rId326" Type="http://schemas.openxmlformats.org/officeDocument/2006/relationships/image" Target="media/image267.png"/><Relationship Id="rId327" Type="http://schemas.openxmlformats.org/officeDocument/2006/relationships/image" Target="media/image268.png"/><Relationship Id="rId328" Type="http://schemas.openxmlformats.org/officeDocument/2006/relationships/image" Target="media/image269.png"/><Relationship Id="rId329" Type="http://schemas.openxmlformats.org/officeDocument/2006/relationships/image" Target="media/image270.png"/><Relationship Id="rId330" Type="http://schemas.openxmlformats.org/officeDocument/2006/relationships/image" Target="media/image271.png"/><Relationship Id="rId331" Type="http://schemas.openxmlformats.org/officeDocument/2006/relationships/image" Target="media/image272.png"/><Relationship Id="rId332" Type="http://schemas.openxmlformats.org/officeDocument/2006/relationships/image" Target="media/image273.png"/><Relationship Id="rId333" Type="http://schemas.openxmlformats.org/officeDocument/2006/relationships/image" Target="media/image274.png"/><Relationship Id="rId334" Type="http://schemas.openxmlformats.org/officeDocument/2006/relationships/image" Target="media/image275.png"/><Relationship Id="rId335" Type="http://schemas.openxmlformats.org/officeDocument/2006/relationships/image" Target="media/image276.png"/><Relationship Id="rId336" Type="http://schemas.openxmlformats.org/officeDocument/2006/relationships/image" Target="media/image277.png"/><Relationship Id="rId337" Type="http://schemas.openxmlformats.org/officeDocument/2006/relationships/image" Target="media/image278.png"/><Relationship Id="rId338" Type="http://schemas.openxmlformats.org/officeDocument/2006/relationships/image" Target="media/image279.png"/><Relationship Id="rId339" Type="http://schemas.openxmlformats.org/officeDocument/2006/relationships/image" Target="media/image280.png"/><Relationship Id="rId340" Type="http://schemas.openxmlformats.org/officeDocument/2006/relationships/image" Target="media/image281.png"/><Relationship Id="rId341" Type="http://schemas.openxmlformats.org/officeDocument/2006/relationships/image" Target="media/image282.png"/><Relationship Id="rId342" Type="http://schemas.openxmlformats.org/officeDocument/2006/relationships/image" Target="media/image283.png"/><Relationship Id="rId343" Type="http://schemas.openxmlformats.org/officeDocument/2006/relationships/image" Target="media/image284.png"/><Relationship Id="rId344" Type="http://schemas.openxmlformats.org/officeDocument/2006/relationships/image" Target="media/image285.png"/><Relationship Id="rId345" Type="http://schemas.openxmlformats.org/officeDocument/2006/relationships/image" Target="media/image286.png"/><Relationship Id="rId346" Type="http://schemas.openxmlformats.org/officeDocument/2006/relationships/image" Target="media/image287.png"/><Relationship Id="rId347" Type="http://schemas.openxmlformats.org/officeDocument/2006/relationships/image" Target="media/image288.png"/><Relationship Id="rId348" Type="http://schemas.openxmlformats.org/officeDocument/2006/relationships/image" Target="media/image289.png"/><Relationship Id="rId349" Type="http://schemas.openxmlformats.org/officeDocument/2006/relationships/image" Target="media/image290.png"/><Relationship Id="rId350" Type="http://schemas.openxmlformats.org/officeDocument/2006/relationships/image" Target="media/image291.png"/><Relationship Id="rId351" Type="http://schemas.openxmlformats.org/officeDocument/2006/relationships/image" Target="media/image292.png"/><Relationship Id="rId352" Type="http://schemas.openxmlformats.org/officeDocument/2006/relationships/image" Target="media/image293.png"/><Relationship Id="rId353" Type="http://schemas.openxmlformats.org/officeDocument/2006/relationships/image" Target="media/image294.png"/><Relationship Id="rId354" Type="http://schemas.openxmlformats.org/officeDocument/2006/relationships/image" Target="media/image295.png"/><Relationship Id="rId355" Type="http://schemas.openxmlformats.org/officeDocument/2006/relationships/image" Target="media/image296.png"/><Relationship Id="rId356" Type="http://schemas.openxmlformats.org/officeDocument/2006/relationships/image" Target="media/image297.png"/><Relationship Id="rId357" Type="http://schemas.openxmlformats.org/officeDocument/2006/relationships/image" Target="media/image298.png"/><Relationship Id="rId358" Type="http://schemas.openxmlformats.org/officeDocument/2006/relationships/image" Target="media/image299.png"/><Relationship Id="rId359" Type="http://schemas.openxmlformats.org/officeDocument/2006/relationships/image" Target="media/image300.png"/><Relationship Id="rId360" Type="http://schemas.openxmlformats.org/officeDocument/2006/relationships/image" Target="media/image301.png"/><Relationship Id="rId361" Type="http://schemas.openxmlformats.org/officeDocument/2006/relationships/image" Target="media/image302.png"/><Relationship Id="rId362" Type="http://schemas.openxmlformats.org/officeDocument/2006/relationships/image" Target="media/image303.png"/><Relationship Id="rId363" Type="http://schemas.openxmlformats.org/officeDocument/2006/relationships/image" Target="media/image304.png"/><Relationship Id="rId364" Type="http://schemas.openxmlformats.org/officeDocument/2006/relationships/image" Target="media/image305.png"/><Relationship Id="rId365" Type="http://schemas.openxmlformats.org/officeDocument/2006/relationships/image" Target="media/image306.png"/><Relationship Id="rId366" Type="http://schemas.openxmlformats.org/officeDocument/2006/relationships/image" Target="media/image307.png"/><Relationship Id="rId367" Type="http://schemas.openxmlformats.org/officeDocument/2006/relationships/image" Target="media/image308.png"/><Relationship Id="rId368" Type="http://schemas.openxmlformats.org/officeDocument/2006/relationships/image" Target="media/image309.png"/><Relationship Id="rId369" Type="http://schemas.openxmlformats.org/officeDocument/2006/relationships/image" Target="media/image310.png"/><Relationship Id="rId370" Type="http://schemas.openxmlformats.org/officeDocument/2006/relationships/image" Target="media/image311.png"/><Relationship Id="rId371" Type="http://schemas.openxmlformats.org/officeDocument/2006/relationships/image" Target="media/image312.png"/><Relationship Id="rId372" Type="http://schemas.openxmlformats.org/officeDocument/2006/relationships/image" Target="media/image313.png"/><Relationship Id="rId373" Type="http://schemas.openxmlformats.org/officeDocument/2006/relationships/image" Target="media/image314.png"/><Relationship Id="rId374" Type="http://schemas.openxmlformats.org/officeDocument/2006/relationships/image" Target="media/image315.png"/><Relationship Id="rId375" Type="http://schemas.openxmlformats.org/officeDocument/2006/relationships/image" Target="media/image316.png"/><Relationship Id="rId376" Type="http://schemas.openxmlformats.org/officeDocument/2006/relationships/image" Target="media/image317.png"/><Relationship Id="rId377" Type="http://schemas.openxmlformats.org/officeDocument/2006/relationships/image" Target="media/image318.png"/><Relationship Id="rId378" Type="http://schemas.openxmlformats.org/officeDocument/2006/relationships/image" Target="media/image319.png"/><Relationship Id="rId379" Type="http://schemas.openxmlformats.org/officeDocument/2006/relationships/image" Target="media/image320.png"/><Relationship Id="rId380" Type="http://schemas.openxmlformats.org/officeDocument/2006/relationships/image" Target="media/image321.png"/><Relationship Id="rId381" Type="http://schemas.openxmlformats.org/officeDocument/2006/relationships/image" Target="media/image322.png"/><Relationship Id="rId382" Type="http://schemas.openxmlformats.org/officeDocument/2006/relationships/image" Target="media/image323.png"/><Relationship Id="rId383" Type="http://schemas.openxmlformats.org/officeDocument/2006/relationships/image" Target="media/image324.png"/><Relationship Id="rId384" Type="http://schemas.openxmlformats.org/officeDocument/2006/relationships/image" Target="media/image325.png"/><Relationship Id="rId385" Type="http://schemas.openxmlformats.org/officeDocument/2006/relationships/image" Target="media/image326.png"/><Relationship Id="rId386" Type="http://schemas.openxmlformats.org/officeDocument/2006/relationships/image" Target="media/image327.png"/><Relationship Id="rId387" Type="http://schemas.openxmlformats.org/officeDocument/2006/relationships/image" Target="media/image328.png"/><Relationship Id="rId388" Type="http://schemas.openxmlformats.org/officeDocument/2006/relationships/image" Target="media/image329.png"/><Relationship Id="rId389" Type="http://schemas.openxmlformats.org/officeDocument/2006/relationships/image" Target="media/image330.png"/><Relationship Id="rId168" Type="http://schemas.openxmlformats.org/officeDocument/2006/relationships/hyperlink" Target="https://www.sec.gov/Archives/edgar/data/1720893/000155837024003784/btai-20231231xex97d1.htm" TargetMode="External"/><Relationship Id="rId186" Type="http://schemas.openxmlformats.org/officeDocument/2006/relationships/hyperlink" Target="http://www.sec.gov/Archives/edgar/data/1720893/000110465918016770/a18-8090_1ex3d1.htm" TargetMode="External"/><Relationship Id="rId187" Type="http://schemas.openxmlformats.org/officeDocument/2006/relationships/hyperlink" Target="https://www.sec.gov/Archives/edgar/data/1720893/000110465924070503/tm249625d6_ex3-1.htm" TargetMode="External"/><Relationship Id="rId188" Type="http://schemas.openxmlformats.org/officeDocument/2006/relationships/hyperlink" Target="https://www.sec.gov/Archives/edgar/data/1720893/000110465925009906/tm255604d1_ex3-1.htm" TargetMode="External"/><Relationship Id="rId189" Type="http://schemas.openxmlformats.org/officeDocument/2006/relationships/hyperlink" Target="http://www.sec.gov/Archives/edgar/data/1720893/000110465918016770/a18-8090_1ex3d2.htm" TargetMode="External"/><Relationship Id="rId190" Type="http://schemas.openxmlformats.org/officeDocument/2006/relationships/hyperlink" Target="http://www.sec.gov/Archives/edgar/data/1720893/000104746918001032/a2234645zex-4_2.htm#Exhibit:http://www.sec.gov/Archives/edgar/data/1720893/000104746918001032/a2234645zex-4_2.htm" TargetMode="External"/><Relationship Id="rId191" Type="http://schemas.openxmlformats.org/officeDocument/2006/relationships/hyperlink" Target="https://www.sec.gov/Archives/edgar/data/1720893/000110465923123807/tm2332261d1_ex4-1.htm" TargetMode="External"/><Relationship Id="rId192" Type="http://schemas.openxmlformats.org/officeDocument/2006/relationships/hyperlink" Target="https://www.sec.gov/Archives/edgar/data/1720893/000110465923123807/tm2332261d1_ex4-2.htm" TargetMode="External"/><Relationship Id="rId193" Type="http://schemas.openxmlformats.org/officeDocument/2006/relationships/hyperlink" Target="https://www.sec.gov/Archives/edgar/data/1720893/000110465924038441/tm249625d2_ex4-1.htm" TargetMode="External"/><Relationship Id="rId195" Type="http://schemas.openxmlformats.org/officeDocument/2006/relationships/hyperlink" Target="https://www.sec.gov/Archives/edgar/data/1720893/000110465924038441/tm249625d2_ex4-2.htm" TargetMode="External"/><Relationship Id="rId196" Type="http://schemas.openxmlformats.org/officeDocument/2006/relationships/hyperlink" Target="https://www.sec.gov/Archives/edgar/data/1720893/000110465924121582/tm2428677d2_ex4-1.htm" TargetMode="External"/><Relationship Id="rId197" Type="http://schemas.openxmlformats.org/officeDocument/2006/relationships/hyperlink" Target="https://www.sec.gov/Archives/edgar/data/1720893/000110465924122587/tm2428677d4_ex4-1.htm" TargetMode="External"/><Relationship Id="rId198" Type="http://schemas.openxmlformats.org/officeDocument/2006/relationships/hyperlink" Target="https://www.sec.gov/Archives/edgar/data/1720893/000110465924122587/tm2428677d4_ex4-2.htm" TargetMode="External"/><Relationship Id="rId199" Type="http://schemas.openxmlformats.org/officeDocument/2006/relationships/hyperlink" Target="https://www.sec.gov/Archives/edgar/data/1720893/000110465925002583/tm251419d2_ex4-3.htm" TargetMode="External"/><Relationship Id="rId200" Type="http://schemas.openxmlformats.org/officeDocument/2006/relationships/hyperlink" Target="https://www.sec.gov/Archives/edgar/data/1720893/000155837024003784/btai-20231231xex4d6.htm" TargetMode="External"/><Relationship Id="rId201" Type="http://schemas.openxmlformats.org/officeDocument/2006/relationships/hyperlink" Target="https://www.sec.gov/Archives/edgar/data/1720893/000110465924121582/tm2428677d2_ex4-2.htm" TargetMode="External"/><Relationship Id="rId202" Type="http://schemas.openxmlformats.org/officeDocument/2006/relationships/hyperlink" Target="https://www.sec.gov/Archives/edgar/data/1720893/000155837020002196/btai-20191231ex102ae7793.htm" TargetMode="External"/><Relationship Id="rId203" Type="http://schemas.openxmlformats.org/officeDocument/2006/relationships/hyperlink" Target="https://www.sec.gov/Archives/edgar/data/1720893/000155837021002916/btai-20201231ex1034633bc.htm" TargetMode="External"/><Relationship Id="rId204" Type="http://schemas.openxmlformats.org/officeDocument/2006/relationships/hyperlink" Target="https://www.sec.gov/Archives/edgar/data/1720893/000155837023008597/btai-20230331xex10d2.htm" TargetMode="External"/><Relationship Id="rId205" Type="http://schemas.openxmlformats.org/officeDocument/2006/relationships/hyperlink" Target="http://www.sec.gov/Archives/edgar/data/1720893/000104746918000756/a2234454zex-10_2.htm" TargetMode="External"/><Relationship Id="rId206" Type="http://schemas.openxmlformats.org/officeDocument/2006/relationships/hyperlink" Target="http://www.sec.gov/Archives/edgar/data/1720893/000110465918053383/a18-21149_1ex10d1.htm" TargetMode="External"/><Relationship Id="rId207" Type="http://schemas.openxmlformats.org/officeDocument/2006/relationships/hyperlink" Target="https://www.sec.gov/Archives/edgar/data/1720893/000155837020013632/btai-20200930ex1018d184a.htm" TargetMode="External"/><Relationship Id="rId208" Type="http://schemas.openxmlformats.org/officeDocument/2006/relationships/hyperlink" Target="http://www.sec.gov/Archives/edgar/data/1720893/000104746918000756/a2234454zex-10_3.htm" TargetMode="External"/><Relationship Id="rId209" Type="http://schemas.openxmlformats.org/officeDocument/2006/relationships/hyperlink" Target="http://www.sec.gov/Archives/edgar/data/1720893/000104746918000756/a2234454zex-10_4.htm" TargetMode="External"/><Relationship Id="rId210" Type="http://schemas.openxmlformats.org/officeDocument/2006/relationships/hyperlink" Target="http://www.sec.gov/Archives/edgar/data/1720893/000104746918000756/a2234454zex-10_5.htm" TargetMode="External"/><Relationship Id="rId211" Type="http://schemas.openxmlformats.org/officeDocument/2006/relationships/hyperlink" Target="https://www.sec.gov/Archives/edgar/data/1720893/000155837020010611/btai-20200630ex101dd8d33.htm" TargetMode="External"/><Relationship Id="rId212" Type="http://schemas.openxmlformats.org/officeDocument/2006/relationships/hyperlink" Target="https://www.sec.gov/Archives/edgar/data/1720893/000110465920064759/tm2020394d1_ex10-2.htm" TargetMode="External"/><Relationship Id="rId213" Type="http://schemas.openxmlformats.org/officeDocument/2006/relationships/hyperlink" Target="http://www.sec.gov/Archives/edgar/data/1720893/000104746918000756/a2234454zex-10_6.htm" TargetMode="External"/><Relationship Id="rId214" Type="http://schemas.openxmlformats.org/officeDocument/2006/relationships/hyperlink" Target="http://www.sec.gov/Archives/edgar/data/1720893/000110465918016770/a18-8090_1ex10d1.htm" TargetMode="External"/><Relationship Id="rId215" Type="http://schemas.openxmlformats.org/officeDocument/2006/relationships/hyperlink" Target="https://www.sec.gov/Archives/edgar/data/1720893/000110465925001869/tm252221d1_ex10-1.htm" TargetMode="External"/><Relationship Id="rId216" Type="http://schemas.openxmlformats.org/officeDocument/2006/relationships/hyperlink" Target="http://www.sec.gov/Archives/edgar/data/1720893/000104746918000756/a2234454zex-10_11.htm" TargetMode="External"/><Relationship Id="rId217" Type="http://schemas.openxmlformats.org/officeDocument/2006/relationships/hyperlink" Target="https://www.sec.gov/Archives/edgar/data/1720893/000110465925001869/tm252221d1_ex10-3.htm" TargetMode="External"/><Relationship Id="rId218" Type="http://schemas.openxmlformats.org/officeDocument/2006/relationships/hyperlink" Target="http://www.sec.gov/Archives/edgar/data/1720893/000104746918000756/a2234454zex-10_12.htm" TargetMode="External"/><Relationship Id="rId219" Type="http://schemas.openxmlformats.org/officeDocument/2006/relationships/hyperlink" Target="https://www.sec.gov/Archives/edgar/data/1720893/000110465925001869/tm252221d1_ex10-2.htm" TargetMode="External"/><Relationship Id="rId220" Type="http://schemas.openxmlformats.org/officeDocument/2006/relationships/hyperlink" Target="http://www.sec.gov/Archives/edgar/data/1720893/000110465918038902/a18-14962_1ex10d1.htm" TargetMode="External"/><Relationship Id="rId221" Type="http://schemas.openxmlformats.org/officeDocument/2006/relationships/hyperlink" Target="https://www.sec.gov/Archives/edgar/data/0001720893/000155837021002916/btai-20201231ex101943a8b.htm" TargetMode="External"/><Relationship Id="rId222" Type="http://schemas.openxmlformats.org/officeDocument/2006/relationships/hyperlink" Target="https://www.sec.gov/Archives/edgar/data/1720893/000110465924107327/tm2425903d1_ex10-1.htm" TargetMode="External"/><Relationship Id="rId223" Type="http://schemas.openxmlformats.org/officeDocument/2006/relationships/hyperlink" Target="https://www.sec.gov/Archives/edgar/data/1720893/000110465924107327/tm2425903d1_ex10-2.htm" TargetMode="External"/><Relationship Id="rId224" Type="http://schemas.openxmlformats.org/officeDocument/2006/relationships/hyperlink" Target="https://www.sec.gov/Archives/edgar/data/1720893/000155837022013353/btai-20220630xex10d4.htm" TargetMode="External"/><Relationship Id="rId225" Type="http://schemas.openxmlformats.org/officeDocument/2006/relationships/hyperlink" Target="https://www.sec.gov/Archives/edgar/data/1720893/000155837022007805/btai-20220331xex10d1.htm" TargetMode="External"/><Relationship Id="rId226" Type="http://schemas.openxmlformats.org/officeDocument/2006/relationships/hyperlink" Target="https://www.sec.gov/Archives/edgar/data/1720893/000155837022013353/btai-20220630xex10d1.htm" TargetMode="External"/><Relationship Id="rId227" Type="http://schemas.openxmlformats.org/officeDocument/2006/relationships/hyperlink" Target="https://www.sec.gov/Archives/edgar/data/1720893/000155837023018917/btai-20230930xex10d2.htm" TargetMode="External"/><Relationship Id="rId228" Type="http://schemas.openxmlformats.org/officeDocument/2006/relationships/hyperlink" Target="https://www.sec.gov/Archives/edgar/data/1720893/000110465924012333/tm244487d1_ex10-1.htm" TargetMode="External"/><Relationship Id="rId230" Type="http://schemas.openxmlformats.org/officeDocument/2006/relationships/hyperlink" Target="https://www.sec.gov/Archives/edgar/data/1720893/000110465924014028/tm244487d3_ex10-1.htm" TargetMode="External"/><Relationship Id="rId231" Type="http://schemas.openxmlformats.org/officeDocument/2006/relationships/hyperlink" Target="https://www.sec.gov/Archives/edgar/data/1720893/000155837024003784/btai-20231231xex10d224.htm" TargetMode="External"/><Relationship Id="rId232" Type="http://schemas.openxmlformats.org/officeDocument/2006/relationships/hyperlink" Target="https://www.sec.gov/Archives/edgar/data/1720893/000110465924121582/tm2428677d2_ex10-1.htm" TargetMode="External"/><Relationship Id="rId234" Type="http://schemas.openxmlformats.org/officeDocument/2006/relationships/hyperlink" Target="https://www.sec.gov/Archives/edgar/data/1720893/000155837022013353/btai-20220630xex10d3.htm" TargetMode="External"/><Relationship Id="rId235" Type="http://schemas.openxmlformats.org/officeDocument/2006/relationships/hyperlink" Target="https://www.sec.gov/Archives/edgar/data/1720893/000155837024010967/btai-20240630xex10d1.htm" TargetMode="External"/><Relationship Id="rId236" Type="http://schemas.openxmlformats.org/officeDocument/2006/relationships/hyperlink" Target="https://www.sec.gov/Archives/edgar/data/1720893/000110465922092973/tm2223745d1_ex10-1.htm" TargetMode="External"/><Relationship Id="rId237" Type="http://schemas.openxmlformats.org/officeDocument/2006/relationships/hyperlink" Target="https://www.sec.gov/Archives/edgar/data/1720893/000110465922092973/tm2223745d1_ex10-2.htm" TargetMode="External"/><Relationship Id="rId238" Type="http://schemas.openxmlformats.org/officeDocument/2006/relationships/hyperlink" Target="https://www.sec.gov/Archives/edgar/data/1720893/000155837023008597/btai-20230331xex10d3.htm" TargetMode="External"/><Relationship Id="rId239" Type="http://schemas.openxmlformats.org/officeDocument/2006/relationships/hyperlink" Target="https://www.sec.gov/Archives/edgar/data/1720893/000110465923103556/tm232681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2025-03-28T15:35:35Z</dcterms:created>
  <dcterms:modified xsi:type="dcterms:W3CDTF">2025-03-28T15:35:35Z</dcterms:modified>
</cp:coreProperties>
</file>