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15, 2025</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BioXcel Therapeutics,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70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001-38410</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82-1386754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00" w:right="339" w:bottom="144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555 Long Wharf Drive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Haven, CT 06511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(475) 238-6837</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ectPr>
          <w:pgSz w:w="11900" w:h="16838" w:orient="portrait"/>
          <w:cols w:equalWidth="0" w:num="1">
            <w:col w:w="11240"/>
          </w:cols>
          <w:pgMar w:left="320" w:top="700" w:right="339" w:bottom="1440" w:gutter="0" w:footer="0" w:header="0"/>
          <w:type w:val="continuous"/>
        </w:sectPr>
      </w:pPr>
    </w:p>
    <w:p>
      <w:pPr>
        <w:spacing w:after="0" w:line="21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28"/>
        </w:trPr>
        <w:tc>
          <w:tcPr>
            <w:tcW w:w="3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w:t>
            </w:r>
          </w:p>
        </w:tc>
        <w:tc>
          <w:tcPr>
            <w:tcW w:w="220" w:type="dxa"/>
            <w:vAlign w:val="bottom"/>
          </w:tcPr>
          <w:p>
            <w:pPr>
              <w:spacing w:after="0"/>
              <w:rPr>
                <w:sz w:val="19"/>
                <w:szCs w:val="19"/>
                <w:color w:val="auto"/>
              </w:rPr>
            </w:pPr>
          </w:p>
        </w:tc>
        <w:tc>
          <w:tcPr>
            <w:tcW w:w="3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BTAI</w:t>
            </w:r>
          </w:p>
        </w:tc>
        <w:tc>
          <w:tcPr>
            <w:tcW w:w="240" w:type="dxa"/>
            <w:vAlign w:val="bottom"/>
          </w:tcPr>
          <w:p>
            <w:pPr>
              <w:spacing w:after="0"/>
              <w:rPr>
                <w:sz w:val="19"/>
                <w:szCs w:val="19"/>
                <w:color w:val="auto"/>
              </w:rPr>
            </w:pPr>
          </w:p>
        </w:tc>
        <w:tc>
          <w:tcPr>
            <w:tcW w:w="3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type w:val="continuous"/>
        </w:sectPr>
      </w:pPr>
    </w:p>
    <w:bookmarkStart w:id="1" w:name="page2"/>
    <w:bookmarkEnd w:id="1"/>
    <w:p>
      <w:pPr>
        <w:ind w:left="1140" w:right="80" w:hanging="1133"/>
        <w:spacing w:after="0" w:line="28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January 15, 2025, the Board of Directors (the “Board”) of BioXcel Therapeutics, Inc. (the "Company") increased the size of the Board from seven to eight directors.</w:t>
      </w:r>
    </w:p>
    <w:p>
      <w:pPr>
        <w:spacing w:after="0" w:line="16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On January 15, 2025, the Board appointed Dr. Rajiv Patni to the Board, effective January 15, 2025. Dr. Patni will serve as a Class II director for a term expiring at the Company’s annual meeting of stockholders to be held in 2026 and until his successor is duly elected and qualified or his earlier death, disqualification, resignation or removal.</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Dr. Patni is a biopharmaceuticals industry veteran with extensive experience in global product development in a diverse set of therapeutic areas, including cardiology, diabetology, hepatology, neurology, and benign hematology.</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Since September 2024, Dr. Patni has served as the Chief Executive Officer of Judo Bio, a biopharmaceutical development company focused on pioneering oligonucleotide medicines delivered to the kidney. He previously served as Chief Research and Development Officer at Reata Pharmaceuticals, a commercial-stage company acquired by Biogen and he is currently serving as a board member of Quince Therapeutics, Inc. (Nasdaq: QNCX). Previously, Dr. Patni also served as Chief Medical Officer at several public, commercial-stage biopharmaceutical companies – Global Blood Therapeutics, Portola Pharmaceuticals, and Adamas Pharmaceuticals, until their acquisitions by larger companies. Earlier in his career, Dr. Patni held roles of increasing responsibility at Pfizer, Roche, and Actelion. Dr. Patni received his M.D. from the Icahn School of Medicine at Mount Sinai in New York City as part of an accelerated B.S./M.D. program. He completed an internal medicine residency and adult cardiology fellowship at the Albert Einstein College of Medicine, also in New York City, where he continued as an attending physician-scientist before joining the biopharmaceutical industry. The Board believes that Dr. Patni’s extensive experience in biopharmaceutical product development will provide valuable contributions to the Board.</w:t>
      </w:r>
    </w:p>
    <w:p>
      <w:pPr>
        <w:spacing w:after="0" w:line="18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Dr. Patni is eligible to participate in the Company’s Non-Employee Director Compensation Program, which provides for annual compensation in the form of cash and equity-based awards.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effective with his commencement of service on January 15, 2025 (the “initial award grant date”), Dr. Patni will be entitled to receive an option to purchase 44,000 shares of the Company’s common stock, with an exercise price of $0.3465, which award will vest and become exercisable in three substantially equal installments on each of the first three anniversaries of the initial award grant date, subject to Dr. Patni’s continued service as a non-employee director through each such vesting.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Patni is expected to enter into the Company’s standard indemnification agreement for directors and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January 16, 2025</w:t>
      </w:r>
      <w:r>
        <w:rPr>
          <w:sz w:val="20"/>
          <w:szCs w:val="20"/>
          <w:color w:val="auto"/>
        </w:rPr>
        <w:tab/>
      </w:r>
      <w:r>
        <w:rPr>
          <w:rFonts w:ascii="Times New Roman" w:cs="Times New Roman" w:eastAsia="Times New Roman" w:hAnsi="Times New Roman"/>
          <w:sz w:val="17"/>
          <w:szCs w:val="17"/>
          <w:b w:val="1"/>
          <w:bCs w:val="1"/>
          <w:color w:val="auto"/>
        </w:rPr>
        <w:t>BIOXCEL THERAPEUTICS, INC.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Javier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Javier Rodriguez</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2025-01-16T07:07:30Z</dcterms:created>
  <dcterms:modified xsi:type="dcterms:W3CDTF">2025-01-16T07:07:30Z</dcterms:modified>
</cp:coreProperties>
</file>