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650176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1765"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410845</wp:posOffset>
            </wp:positionV>
            <wp:extent cx="6501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1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118745</wp:posOffset>
            </wp:positionV>
            <wp:extent cx="162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24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132715</wp:posOffset>
            </wp:positionV>
            <wp:extent cx="1627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95" w:lineRule="exact"/>
        <w:rPr>
          <w:sz w:val="24"/>
          <w:szCs w:val="24"/>
          <w:color w:val="auto"/>
        </w:rPr>
      </w:pPr>
    </w:p>
    <w:p>
      <w:pPr>
        <w:ind w:left="740" w:hanging="446"/>
        <w:spacing w:after="0"/>
        <w:tabs>
          <w:tab w:leader="none" w:pos="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8" w:lineRule="exact"/>
        <w:rPr>
          <w:rFonts w:ascii="MS PGothic" w:cs="MS PGothic" w:eastAsia="MS PGothic" w:hAnsi="MS PGothic"/>
          <w:sz w:val="16"/>
          <w:szCs w:val="16"/>
          <w:color w:val="auto"/>
          <w:highlight w:val="black"/>
        </w:rPr>
      </w:pPr>
    </w:p>
    <w:p>
      <w:pPr>
        <w:ind w:left="320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quarterly period ended September 30, 2023</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740" w:hanging="446"/>
        <w:spacing w:after="0"/>
        <w:tabs>
          <w:tab w:leader="none" w:pos="7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1500" w:type="dxa"/>
        <w:tblCellMar>
          <w:top w:w="0" w:type="dxa"/>
          <w:left w:w="0" w:type="dxa"/>
          <w:bottom w:w="0" w:type="dxa"/>
          <w:right w:w="0" w:type="dxa"/>
        </w:tblCellMar>
      </w:tblPr>
      <w:tr>
        <w:trPr>
          <w:trHeight w:val="228"/>
        </w:trPr>
        <w:tc>
          <w:tcPr>
            <w:tcW w:w="5400" w:type="dxa"/>
            <w:vAlign w:val="bottom"/>
            <w:gridSpan w:val="3"/>
          </w:tcPr>
          <w:p>
            <w:pPr>
              <w:ind w:left="200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3"/>
        </w:trPr>
        <w:tc>
          <w:tcPr>
            <w:tcW w:w="2340" w:type="dxa"/>
            <w:vAlign w:val="bottom"/>
          </w:tcPr>
          <w:p>
            <w:pPr>
              <w:spacing w:after="0"/>
              <w:rPr>
                <w:sz w:val="20"/>
                <w:szCs w:val="20"/>
                <w:color w:val="auto"/>
              </w:rPr>
            </w:pPr>
          </w:p>
        </w:tc>
        <w:tc>
          <w:tcPr>
            <w:tcW w:w="3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6"/>
        </w:trPr>
        <w:tc>
          <w:tcPr>
            <w:tcW w:w="5400" w:type="dxa"/>
            <w:vAlign w:val="bottom"/>
            <w:gridSpan w:val="3"/>
          </w:tcPr>
          <w:p>
            <w:pPr>
              <w:jc w:val="center"/>
              <w:ind w:left="1784"/>
              <w:spacing w:after="0"/>
              <w:rPr>
                <w:sz w:val="20"/>
                <w:szCs w:val="20"/>
                <w:color w:val="auto"/>
              </w:rPr>
            </w:pPr>
            <w:r>
              <w:rPr>
                <w:rFonts w:ascii="Arial" w:cs="Arial" w:eastAsia="Arial" w:hAnsi="Arial"/>
                <w:sz w:val="25"/>
                <w:szCs w:val="25"/>
                <w:b w:val="1"/>
                <w:bCs w:val="1"/>
                <w:color w:val="auto"/>
                <w:w w:val="89"/>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400" w:type="dxa"/>
            <w:vAlign w:val="bottom"/>
            <w:gridSpan w:val="3"/>
          </w:tcPr>
          <w:p>
            <w:pPr>
              <w:jc w:val="center"/>
              <w:ind w:left="1784"/>
              <w:spacing w:after="0"/>
              <w:rPr>
                <w:sz w:val="20"/>
                <w:szCs w:val="20"/>
                <w:color w:val="auto"/>
              </w:rPr>
            </w:pPr>
            <w:r>
              <w:rPr>
                <w:rFonts w:ascii="Arial" w:cs="Arial" w:eastAsia="Arial" w:hAnsi="Arial"/>
                <w:sz w:val="14"/>
                <w:szCs w:val="14"/>
                <w:color w:val="auto"/>
                <w:w w:val="90"/>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40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1"/>
              </w:rPr>
              <w:t>Delaware</w:t>
            </w:r>
          </w:p>
        </w:tc>
        <w:tc>
          <w:tcPr>
            <w:tcW w:w="1360" w:type="dxa"/>
            <w:vAlign w:val="bottom"/>
          </w:tcPr>
          <w:p>
            <w:pPr>
              <w:jc w:val="right"/>
              <w:ind w:right="107"/>
              <w:spacing w:after="0"/>
              <w:rPr>
                <w:sz w:val="20"/>
                <w:szCs w:val="20"/>
                <w:color w:val="auto"/>
              </w:rPr>
            </w:pPr>
            <w:r>
              <w:rPr>
                <w:rFonts w:ascii="Arial" w:cs="Arial" w:eastAsia="Arial" w:hAnsi="Arial"/>
                <w:sz w:val="14"/>
                <w:szCs w:val="14"/>
                <w:b w:val="1"/>
                <w:bCs w:val="1"/>
                <w:color w:val="auto"/>
              </w:rPr>
              <w:t>82-1386754</w:t>
            </w:r>
          </w:p>
        </w:tc>
        <w:tc>
          <w:tcPr>
            <w:tcW w:w="0" w:type="dxa"/>
            <w:vAlign w:val="bottom"/>
          </w:tcPr>
          <w:p>
            <w:pPr>
              <w:spacing w:after="0"/>
              <w:rPr>
                <w:sz w:val="1"/>
                <w:szCs w:val="1"/>
                <w:color w:val="auto"/>
              </w:rPr>
            </w:pPr>
          </w:p>
        </w:tc>
      </w:tr>
      <w:tr>
        <w:trPr>
          <w:trHeight w:val="145"/>
        </w:trPr>
        <w:tc>
          <w:tcPr>
            <w:tcW w:w="5400" w:type="dxa"/>
            <w:vAlign w:val="bottom"/>
            <w:gridSpan w:val="3"/>
          </w:tcPr>
          <w:p>
            <w:pPr>
              <w:jc w:val="center"/>
              <w:ind w:right="3160"/>
              <w:spacing w:after="0" w:line="145" w:lineRule="exact"/>
              <w:rPr>
                <w:sz w:val="20"/>
                <w:szCs w:val="20"/>
                <w:color w:val="auto"/>
              </w:rPr>
            </w:pPr>
            <w:r>
              <w:rPr>
                <w:rFonts w:ascii="Arial" w:cs="Arial" w:eastAsia="Arial" w:hAnsi="Arial"/>
                <w:sz w:val="14"/>
                <w:szCs w:val="14"/>
                <w:color w:val="auto"/>
                <w:w w:val="93"/>
              </w:rPr>
              <w:t>(State or other jurisdiction of</w:t>
            </w:r>
          </w:p>
        </w:tc>
        <w:tc>
          <w:tcPr>
            <w:tcW w:w="1360" w:type="dxa"/>
            <w:vAlign w:val="bottom"/>
          </w:tcPr>
          <w:p>
            <w:pPr>
              <w:jc w:val="center"/>
              <w:ind w:left="247"/>
              <w:spacing w:after="0" w:line="145" w:lineRule="exact"/>
              <w:rPr>
                <w:sz w:val="20"/>
                <w:szCs w:val="20"/>
                <w:color w:val="auto"/>
              </w:rPr>
            </w:pPr>
            <w:r>
              <w:rPr>
                <w:rFonts w:ascii="Arial" w:cs="Arial" w:eastAsia="Arial" w:hAnsi="Arial"/>
                <w:sz w:val="14"/>
                <w:szCs w:val="14"/>
                <w:color w:val="auto"/>
                <w:w w:val="93"/>
              </w:rPr>
              <w:t>(I.R.S. Employer</w:t>
            </w:r>
          </w:p>
        </w:tc>
        <w:tc>
          <w:tcPr>
            <w:tcW w:w="0" w:type="dxa"/>
            <w:vAlign w:val="bottom"/>
          </w:tcPr>
          <w:p>
            <w:pPr>
              <w:spacing w:after="0"/>
              <w:rPr>
                <w:sz w:val="1"/>
                <w:szCs w:val="1"/>
                <w:color w:val="auto"/>
              </w:rPr>
            </w:pPr>
          </w:p>
        </w:tc>
      </w:tr>
      <w:tr>
        <w:trPr>
          <w:trHeight w:val="179"/>
        </w:trPr>
        <w:tc>
          <w:tcPr>
            <w:tcW w:w="540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47"/>
              <w:spacing w:after="0"/>
              <w:rPr>
                <w:sz w:val="20"/>
                <w:szCs w:val="20"/>
                <w:color w:val="auto"/>
              </w:rPr>
            </w:pPr>
            <w:r>
              <w:rPr>
                <w:rFonts w:ascii="Arial" w:cs="Arial" w:eastAsia="Arial" w:hAnsi="Arial"/>
                <w:sz w:val="14"/>
                <w:szCs w:val="14"/>
                <w:color w:val="auto"/>
                <w:w w:val="95"/>
              </w:rPr>
              <w:t>Identification No.)</w:t>
            </w:r>
          </w:p>
        </w:tc>
        <w:tc>
          <w:tcPr>
            <w:tcW w:w="0" w:type="dxa"/>
            <w:vAlign w:val="bottom"/>
          </w:tcPr>
          <w:p>
            <w:pPr>
              <w:spacing w:after="0"/>
              <w:rPr>
                <w:sz w:val="1"/>
                <w:szCs w:val="1"/>
                <w:color w:val="auto"/>
              </w:rPr>
            </w:pPr>
          </w:p>
        </w:tc>
      </w:tr>
      <w:tr>
        <w:trPr>
          <w:trHeight w:val="198"/>
        </w:trPr>
        <w:tc>
          <w:tcPr>
            <w:tcW w:w="540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4"/>
              </w:rPr>
              <w:t>555 Long Wharf Drive</w:t>
            </w:r>
          </w:p>
        </w:tc>
        <w:tc>
          <w:tcPr>
            <w:tcW w:w="1360" w:type="dxa"/>
            <w:vAlign w:val="bottom"/>
            <w:vMerge w:val="restart"/>
          </w:tcPr>
          <w:p>
            <w:pPr>
              <w:jc w:val="right"/>
              <w:ind w:right="287"/>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49"/>
        </w:trPr>
        <w:tc>
          <w:tcPr>
            <w:tcW w:w="5400" w:type="dxa"/>
            <w:vAlign w:val="bottom"/>
            <w:gridSpan w:val="3"/>
          </w:tcPr>
          <w:p>
            <w:pPr>
              <w:jc w:val="center"/>
              <w:ind w:right="3160"/>
              <w:spacing w:after="0" w:line="149" w:lineRule="exact"/>
              <w:rPr>
                <w:sz w:val="20"/>
                <w:szCs w:val="20"/>
                <w:color w:val="auto"/>
              </w:rPr>
            </w:pPr>
            <w:r>
              <w:rPr>
                <w:rFonts w:ascii="Arial" w:cs="Arial" w:eastAsia="Arial" w:hAnsi="Arial"/>
                <w:sz w:val="14"/>
                <w:szCs w:val="14"/>
                <w:b w:val="1"/>
                <w:bCs w:val="1"/>
                <w:color w:val="auto"/>
                <w:w w:val="94"/>
              </w:rPr>
              <w:t>New Haven, CT</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400" w:type="dxa"/>
            <w:vAlign w:val="bottom"/>
            <w:gridSpan w:val="3"/>
          </w:tcPr>
          <w:p>
            <w:pPr>
              <w:jc w:val="center"/>
              <w:ind w:right="3160"/>
              <w:spacing w:after="0"/>
              <w:rPr>
                <w:sz w:val="20"/>
                <w:szCs w:val="20"/>
                <w:color w:val="auto"/>
              </w:rPr>
            </w:pPr>
            <w:r>
              <w:rPr>
                <w:rFonts w:ascii="Arial" w:cs="Arial" w:eastAsia="Arial" w:hAnsi="Arial"/>
                <w:sz w:val="14"/>
                <w:szCs w:val="14"/>
                <w:color w:val="auto"/>
                <w:w w:val="93"/>
              </w:rPr>
              <w:t>(Address of principal executive offices)</w:t>
            </w:r>
          </w:p>
        </w:tc>
        <w:tc>
          <w:tcPr>
            <w:tcW w:w="1360" w:type="dxa"/>
            <w:vAlign w:val="bottom"/>
          </w:tcPr>
          <w:p>
            <w:pPr>
              <w:jc w:val="center"/>
              <w:ind w:left="227"/>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02"/>
        </w:trPr>
        <w:tc>
          <w:tcPr>
            <w:tcW w:w="4900" w:type="dxa"/>
            <w:vAlign w:val="bottom"/>
            <w:gridSpan w:val="2"/>
          </w:tcPr>
          <w:p>
            <w:pPr>
              <w:jc w:val="center"/>
              <w:ind w:left="2264"/>
              <w:spacing w:after="0"/>
              <w:rPr>
                <w:sz w:val="20"/>
                <w:szCs w:val="20"/>
                <w:color w:val="auto"/>
              </w:rPr>
            </w:pPr>
            <w:r>
              <w:rPr>
                <w:rFonts w:ascii="Arial" w:cs="Arial" w:eastAsia="Arial" w:hAnsi="Arial"/>
                <w:sz w:val="14"/>
                <w:szCs w:val="14"/>
                <w:b w:val="1"/>
                <w:bCs w:val="1"/>
                <w:color w:val="auto"/>
                <w:w w:val="91"/>
              </w:rPr>
              <w:t>(475) 238-6837</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400" w:type="dxa"/>
            <w:vAlign w:val="bottom"/>
            <w:gridSpan w:val="3"/>
          </w:tcPr>
          <w:p>
            <w:pPr>
              <w:jc w:val="center"/>
              <w:ind w:left="1764"/>
              <w:spacing w:after="0"/>
              <w:rPr>
                <w:sz w:val="20"/>
                <w:szCs w:val="20"/>
                <w:color w:val="auto"/>
              </w:rPr>
            </w:pPr>
            <w:r>
              <w:rPr>
                <w:rFonts w:ascii="Arial" w:cs="Arial" w:eastAsia="Arial" w:hAnsi="Arial"/>
                <w:sz w:val="14"/>
                <w:szCs w:val="14"/>
                <w:color w:val="auto"/>
                <w:w w:val="89"/>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w:t>
      </w:r>
    </w:p>
    <w:p>
      <w:pPr>
        <w:jc w:val="center"/>
        <w:ind w:right="-9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118745</wp:posOffset>
            </wp:positionV>
            <wp:extent cx="1627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36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60"/>
          </w:cols>
          <w:pgMar w:left="820" w:top="653" w:right="919" w:bottom="1440" w:gutter="0" w:footer="0" w:header="0"/>
        </w:sectPr>
      </w:pPr>
    </w:p>
    <w:p>
      <w:pPr>
        <w:spacing w:after="0" w:line="102"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3"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Trading Symbol(s)</w:t>
      </w:r>
    </w:p>
    <w:p>
      <w:pPr>
        <w:spacing w:after="0" w:line="23" w:lineRule="exact"/>
        <w:rPr>
          <w:sz w:val="24"/>
          <w:szCs w:val="24"/>
          <w:color w:val="auto"/>
        </w:rPr>
      </w:pPr>
    </w:p>
    <w:p>
      <w:pPr>
        <w:jc w:val="center"/>
        <w:ind w:right="84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62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4"/>
          <w:szCs w:val="14"/>
          <w:color w:val="auto"/>
        </w:rPr>
        <w:t>Nasdaq Capital Market</w:t>
      </w:r>
    </w:p>
    <w:p>
      <w:pPr>
        <w:spacing w:after="0" w:line="6" w:lineRule="exact"/>
        <w:rPr>
          <w:sz w:val="24"/>
          <w:szCs w:val="24"/>
          <w:color w:val="auto"/>
        </w:rPr>
      </w:pPr>
    </w:p>
    <w:p>
      <w:pPr>
        <w:sectPr>
          <w:pgSz w:w="11900" w:h="16838" w:orient="portrait"/>
          <w:cols w:equalWidth="0" w:num="3">
            <w:col w:w="3540" w:space="720"/>
            <w:col w:w="1960" w:space="720"/>
            <w:col w:w="3220"/>
          </w:cols>
          <w:pgMar w:left="820" w:top="653" w:right="919" w:bottom="1440" w:gutter="0" w:footer="0" w:header="0"/>
          <w:type w:val="continuous"/>
        </w:sectPr>
      </w:pPr>
    </w:p>
    <w:p>
      <w:pPr>
        <w:ind w:left="98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60"/>
          </w:cols>
          <w:pgMar w:left="820" w:top="653" w:right="919" w:bottom="1440" w:gutter="0" w:footer="0" w:header="0"/>
          <w:type w:val="continuous"/>
        </w:sectPr>
      </w:pPr>
    </w:p>
    <w:p>
      <w:pPr>
        <w:spacing w:after="0" w:line="183" w:lineRule="exact"/>
        <w:rPr>
          <w:sz w:val="24"/>
          <w:szCs w:val="24"/>
          <w:color w:val="auto"/>
        </w:rPr>
      </w:pPr>
    </w:p>
    <w:p>
      <w:pPr>
        <w:ind w:right="260"/>
        <w:spacing w:after="0" w:line="18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49" w:lineRule="exact"/>
        <w:rPr>
          <w:sz w:val="24"/>
          <w:szCs w:val="24"/>
          <w:color w:val="auto"/>
        </w:rPr>
      </w:pPr>
    </w:p>
    <w:p>
      <w:pPr>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0"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0160"/>
          </w:cols>
          <w:pgMar w:left="820" w:top="653" w:right="919" w:bottom="1440" w:gutter="0" w:footer="0" w:header="0"/>
          <w:type w:val="continuous"/>
        </w:sectPr>
      </w:pPr>
    </w:p>
    <w:p>
      <w:pPr>
        <w:spacing w:after="0" w:line="55" w:lineRule="exact"/>
        <w:rPr>
          <w:sz w:val="24"/>
          <w:szCs w:val="24"/>
          <w:color w:val="auto"/>
        </w:rPr>
      </w:pPr>
    </w:p>
    <w:p>
      <w:pPr>
        <w:ind w:left="186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89" w:lineRule="exact"/>
        <w:rPr>
          <w:sz w:val="24"/>
          <w:szCs w:val="24"/>
          <w:color w:val="auto"/>
        </w:rPr>
      </w:pPr>
    </w:p>
    <w:p>
      <w:pPr>
        <w:sectPr>
          <w:pgSz w:w="11900" w:h="16838" w:orient="portrait"/>
          <w:cols w:equalWidth="0" w:num="2">
            <w:col w:w="6420" w:space="720"/>
            <w:col w:w="3020"/>
          </w:cols>
          <w:pgMar w:left="820" w:top="653" w:right="919" w:bottom="1440" w:gutter="0" w:footer="0" w:header="0"/>
          <w:type w:val="continuous"/>
        </w:sectPr>
      </w:pPr>
    </w:p>
    <w:p>
      <w:pPr>
        <w:ind w:left="190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41" w:lineRule="exact"/>
        <w:rPr>
          <w:sz w:val="24"/>
          <w:szCs w:val="24"/>
          <w:color w:val="auto"/>
        </w:rPr>
      </w:pPr>
    </w:p>
    <w:p>
      <w:pPr>
        <w:sectPr>
          <w:pgSz w:w="11900" w:h="16838" w:orient="portrait"/>
          <w:cols w:equalWidth="0" w:num="2">
            <w:col w:w="6120" w:space="720"/>
            <w:col w:w="3320"/>
          </w:cols>
          <w:pgMar w:left="820" w:top="653" w:right="919" w:bottom="1440" w:gutter="0" w:footer="0" w:header="0"/>
          <w:type w:val="continuous"/>
        </w:sectPr>
      </w:pPr>
    </w:p>
    <w:p>
      <w:pPr>
        <w:ind w:left="684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60"/>
          </w:cols>
          <w:pgMar w:left="820" w:top="653" w:right="919" w:bottom="1440" w:gutter="0" w:footer="0" w:header="0"/>
          <w:type w:val="continuous"/>
        </w:sectPr>
      </w:pPr>
    </w:p>
    <w:p>
      <w:pPr>
        <w:spacing w:after="0" w:line="229" w:lineRule="exact"/>
        <w:rPr>
          <w:sz w:val="24"/>
          <w:szCs w:val="24"/>
          <w:color w:val="auto"/>
        </w:rPr>
      </w:pPr>
    </w:p>
    <w:p>
      <w:pPr>
        <w:ind w:right="42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November 10, 2023 was 29,272,671.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485140</wp:posOffset>
            </wp:positionV>
            <wp:extent cx="650176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17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6501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1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650176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1765" cy="33655"/>
                    </a:xfrm>
                    <a:prstGeom prst="rect">
                      <a:avLst/>
                    </a:prstGeom>
                    <a:noFill/>
                  </pic:spPr>
                </pic:pic>
              </a:graphicData>
            </a:graphic>
          </wp:anchor>
        </w:drawing>
      </w:r>
    </w:p>
    <w:p>
      <w:pPr>
        <w:sectPr>
          <w:pgSz w:w="11900" w:h="16838" w:orient="portrait"/>
          <w:cols w:equalWidth="0" w:num="1">
            <w:col w:w="10160"/>
          </w:cols>
          <w:pgMar w:left="820" w:top="653" w:right="91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gridSpan w:val="9"/>
          </w:tcPr>
          <w:p>
            <w:pPr>
              <w:jc w:val="center"/>
              <w:ind w:right="2300"/>
              <w:spacing w:after="0"/>
              <w:rPr>
                <w:sz w:val="20"/>
                <w:szCs w:val="20"/>
                <w:color w:val="auto"/>
              </w:rPr>
            </w:pPr>
            <w:r>
              <w:rPr>
                <w:rFonts w:ascii="Arial" w:cs="Arial" w:eastAsia="Arial" w:hAnsi="Arial"/>
                <w:sz w:val="18"/>
                <w:szCs w:val="18"/>
                <w:b w:val="1"/>
                <w:bCs w:val="1"/>
                <w:color w:val="auto"/>
                <w:w w:val="86"/>
              </w:rPr>
              <w:t>Table of Contents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60" w:type="dxa"/>
            <w:vAlign w:val="bottom"/>
            <w:gridSpan w:val="11"/>
            <w:vMerge w:val="restart"/>
          </w:tcPr>
          <w:p>
            <w:pPr>
              <w:jc w:val="center"/>
              <w:ind w:right="1980"/>
              <w:spacing w:after="0"/>
              <w:rPr>
                <w:sz w:val="20"/>
                <w:szCs w:val="20"/>
                <w:color w:val="auto"/>
              </w:rPr>
            </w:pPr>
            <w:r>
              <w:rPr>
                <w:rFonts w:ascii="Arial" w:cs="Arial" w:eastAsia="Arial" w:hAnsi="Arial"/>
                <w:sz w:val="18"/>
                <w:szCs w:val="18"/>
                <w:b w:val="1"/>
                <w:bCs w:val="1"/>
                <w:color w:val="auto"/>
                <w:w w:val="99"/>
              </w:rPr>
              <w:t>PART I - FINANCIAL INFORMATION</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60" w:type="dxa"/>
            <w:vAlign w:val="bottom"/>
            <w:gridSpan w:val="11"/>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gridSpan w:val="21"/>
          </w:tcPr>
          <w:p>
            <w:pPr>
              <w:spacing w:after="0"/>
              <w:rPr>
                <w:sz w:val="20"/>
                <w:szCs w:val="20"/>
                <w:color w:val="auto"/>
              </w:rPr>
            </w:pPr>
            <w:r>
              <w:rPr>
                <w:rFonts w:ascii="Arial" w:cs="Arial" w:eastAsia="Arial" w:hAnsi="Arial"/>
                <w:sz w:val="18"/>
                <w:szCs w:val="18"/>
                <w:color w:val="0000EE"/>
              </w:rPr>
              <w:t>Forward Looking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8"/>
          </w:tcPr>
          <w:p>
            <w:pPr>
              <w:spacing w:after="0" w:line="190" w:lineRule="exact"/>
              <w:rPr>
                <w:sz w:val="20"/>
                <w:szCs w:val="20"/>
                <w:color w:val="auto"/>
              </w:rPr>
            </w:pPr>
            <w:r>
              <w:rPr>
                <w:rFonts w:ascii="Arial" w:cs="Arial" w:eastAsia="Arial" w:hAnsi="Arial"/>
                <w:sz w:val="18"/>
                <w:szCs w:val="18"/>
                <w:color w:val="0000EE"/>
                <w:w w:val="87"/>
              </w:rPr>
              <w:t>Summary Risk Factors</w:t>
            </w:r>
          </w:p>
        </w:tc>
        <w:tc>
          <w:tcPr>
            <w:tcW w:w="420" w:type="dxa"/>
            <w:vAlign w:val="bottom"/>
            <w:tcBorders>
              <w:top w:val="single" w:sz="8" w:color="0000EE"/>
            </w:tcBorders>
            <w:gridSpan w:val="2"/>
          </w:tcPr>
          <w:p>
            <w:pPr>
              <w:spacing w:after="0"/>
              <w:rPr>
                <w:sz w:val="16"/>
                <w:szCs w:val="16"/>
                <w:color w:val="auto"/>
              </w:rPr>
            </w:pPr>
          </w:p>
        </w:tc>
        <w:tc>
          <w:tcPr>
            <w:tcW w:w="5260" w:type="dxa"/>
            <w:vAlign w:val="bottom"/>
            <w:gridSpan w:val="11"/>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1.</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Financial Statements (Unaudited)</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w w:val="97"/>
              </w:rPr>
              <w:t>Condensed Consolidated Balance Sheets as of September 30, 2023 and December 31, 2022</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w w:val="87"/>
              </w:rPr>
              <w:t>Condensed Consolidated Statements of Operations for the three and nine months ended 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40" w:type="dxa"/>
            <w:vAlign w:val="bottom"/>
            <w:tcBorders>
              <w:top w:val="single" w:sz="8" w:color="0000EE"/>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84"/>
              </w:rPr>
              <w:t>2023 and 2022</w:t>
            </w:r>
          </w:p>
        </w:tc>
        <w:tc>
          <w:tcPr>
            <w:tcW w:w="6000" w:type="dxa"/>
            <w:vAlign w:val="bottom"/>
            <w:tcBorders>
              <w:top w:val="single" w:sz="8" w:color="0000EE"/>
            </w:tcBorders>
            <w:gridSpan w:val="13"/>
          </w:tcPr>
          <w:p>
            <w:pPr>
              <w:spacing w:after="0"/>
              <w:rPr>
                <w:sz w:val="16"/>
                <w:szCs w:val="16"/>
                <w:color w:val="auto"/>
              </w:rPr>
            </w:pPr>
          </w:p>
        </w:tc>
        <w:tc>
          <w:tcPr>
            <w:tcW w:w="120" w:type="dxa"/>
            <w:vAlign w:val="bottom"/>
            <w:gridSpan w:val="2"/>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w w:val="92"/>
              </w:rPr>
              <w:t>Condensed Consolidated Statements of Changes in Stockholders’ (Deficit) Equity for the three and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460" w:type="dxa"/>
            <w:vAlign w:val="bottom"/>
            <w:tcBorders>
              <w:top w:val="single" w:sz="8" w:color="0000EE"/>
              <w:bottom w:val="single" w:sz="8" w:color="0000EE"/>
            </w:tcBorders>
            <w:gridSpan w:val="11"/>
          </w:tcPr>
          <w:p>
            <w:pPr>
              <w:spacing w:after="0" w:line="190" w:lineRule="exact"/>
              <w:rPr>
                <w:sz w:val="20"/>
                <w:szCs w:val="20"/>
                <w:color w:val="auto"/>
              </w:rPr>
            </w:pPr>
            <w:r>
              <w:rPr>
                <w:rFonts w:ascii="Arial" w:cs="Arial" w:eastAsia="Arial" w:hAnsi="Arial"/>
                <w:sz w:val="18"/>
                <w:szCs w:val="18"/>
                <w:color w:val="0000EE"/>
                <w:w w:val="85"/>
              </w:rPr>
              <w:t>nine months ended September 30, 2023 and 2022</w:t>
            </w:r>
          </w:p>
        </w:tc>
        <w:tc>
          <w:tcPr>
            <w:tcW w:w="3360" w:type="dxa"/>
            <w:vAlign w:val="bottom"/>
            <w:tcBorders>
              <w:top w:val="single" w:sz="8" w:color="0000EE"/>
            </w:tcBorders>
            <w:gridSpan w:val="5"/>
          </w:tcPr>
          <w:p>
            <w:pPr>
              <w:spacing w:after="0"/>
              <w:rPr>
                <w:sz w:val="16"/>
                <w:szCs w:val="16"/>
                <w:color w:val="auto"/>
              </w:rPr>
            </w:pPr>
          </w:p>
        </w:tc>
        <w:tc>
          <w:tcPr>
            <w:tcW w:w="340" w:type="dxa"/>
            <w:vAlign w:val="bottom"/>
            <w:gridSpan w:val="3"/>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w w:val="87"/>
              </w:rPr>
              <w:t>Condensed Consolidated Statements of Cash Flows for the nine months ended September 30, 2023 and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top w:val="single" w:sz="8" w:color="0000EE"/>
            </w:tcBorders>
            <w:gridSpan w:val="2"/>
          </w:tcPr>
          <w:p>
            <w:pPr>
              <w:ind w:left="100"/>
              <w:spacing w:after="0" w:line="190" w:lineRule="exact"/>
              <w:rPr>
                <w:sz w:val="20"/>
                <w:szCs w:val="20"/>
                <w:color w:val="auto"/>
              </w:rPr>
            </w:pPr>
            <w:r>
              <w:rPr>
                <w:rFonts w:ascii="Arial" w:cs="Arial" w:eastAsia="Arial" w:hAnsi="Arial"/>
                <w:sz w:val="18"/>
                <w:szCs w:val="18"/>
                <w:color w:val="0000EE"/>
                <w:w w:val="79"/>
              </w:rPr>
              <w:t>2022</w:t>
            </w: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Borders>
              <w:bottom w:val="single" w:sz="8" w:color="0000EE"/>
            </w:tcBorders>
            <w:gridSpan w:val="14"/>
          </w:tcPr>
          <w:p>
            <w:pPr>
              <w:spacing w:after="0" w:line="190" w:lineRule="exact"/>
              <w:rPr>
                <w:sz w:val="20"/>
                <w:szCs w:val="20"/>
                <w:color w:val="auto"/>
              </w:rPr>
            </w:pPr>
            <w:r>
              <w:rPr>
                <w:rFonts w:ascii="Arial" w:cs="Arial" w:eastAsia="Arial" w:hAnsi="Arial"/>
                <w:sz w:val="18"/>
                <w:szCs w:val="18"/>
                <w:color w:val="0000EE"/>
                <w:w w:val="86"/>
              </w:rPr>
              <w:t>Notes to Condensed Consolidated Financial Statements</w:t>
            </w:r>
          </w:p>
        </w:tc>
        <w:tc>
          <w:tcPr>
            <w:tcW w:w="3400" w:type="dxa"/>
            <w:vAlign w:val="bottom"/>
            <w:gridSpan w:val="7"/>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2.</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3.</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4.</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Controls and Procedures</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9"/>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9"/>
          </w:tcPr>
          <w:p>
            <w:pPr>
              <w:jc w:val="center"/>
              <w:ind w:right="2280"/>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30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4"/>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2"/>
          </w:tcPr>
          <w:p>
            <w:pPr>
              <w:spacing w:after="0" w:line="190" w:lineRule="exact"/>
              <w:rPr>
                <w:sz w:val="20"/>
                <w:szCs w:val="20"/>
                <w:color w:val="auto"/>
              </w:rPr>
            </w:pPr>
            <w:r>
              <w:rPr>
                <w:rFonts w:ascii="Arial" w:cs="Arial" w:eastAsia="Arial" w:hAnsi="Arial"/>
                <w:sz w:val="18"/>
                <w:szCs w:val="18"/>
                <w:color w:val="0000EE"/>
                <w:w w:val="92"/>
              </w:rPr>
              <w:t>Item 1A.</w:t>
            </w:r>
          </w:p>
        </w:tc>
        <w:tc>
          <w:tcPr>
            <w:tcW w:w="100" w:type="dxa"/>
            <w:vAlign w:val="bottom"/>
          </w:tcPr>
          <w:p>
            <w:pPr>
              <w:spacing w:after="0"/>
              <w:rPr>
                <w:sz w:val="16"/>
                <w:szCs w:val="16"/>
                <w:color w:val="auto"/>
              </w:rPr>
            </w:pP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Risk Factors</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2"/>
          </w:tcPr>
          <w:p>
            <w:pPr>
              <w:spacing w:after="0" w:line="190" w:lineRule="exact"/>
              <w:rPr>
                <w:sz w:val="20"/>
                <w:szCs w:val="20"/>
                <w:color w:val="auto"/>
              </w:rPr>
            </w:pPr>
            <w:r>
              <w:rPr>
                <w:rFonts w:ascii="Arial" w:cs="Arial" w:eastAsia="Arial" w:hAnsi="Arial"/>
                <w:sz w:val="18"/>
                <w:szCs w:val="18"/>
                <w:color w:val="0000EE"/>
              </w:rPr>
              <w:t>Item 2.</w:t>
            </w:r>
          </w:p>
        </w:tc>
        <w:tc>
          <w:tcPr>
            <w:tcW w:w="100" w:type="dxa"/>
            <w:vAlign w:val="bottom"/>
          </w:tcPr>
          <w:p>
            <w:pPr>
              <w:spacing w:after="0"/>
              <w:rPr>
                <w:sz w:val="16"/>
                <w:szCs w:val="16"/>
                <w:color w:val="auto"/>
              </w:rPr>
            </w:pP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w w:val="91"/>
              </w:rPr>
              <w:t>Unregistered Sales of Equity Securities, Use of Proceeds, and Issuer Purchases of Equity Securities</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4700" w:type="dxa"/>
            <w:vAlign w:val="bottom"/>
            <w:gridSpan w:val="7"/>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3.</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Defaults Upon Senior Securities</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4.</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Mine Safety Disclosures</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5.</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Other Information</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2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 w:type="dxa"/>
            <w:vAlign w:val="bottom"/>
            <w:gridSpan w:val="3"/>
          </w:tcPr>
          <w:p>
            <w:pPr>
              <w:spacing w:after="0" w:line="190" w:lineRule="exact"/>
              <w:rPr>
                <w:sz w:val="20"/>
                <w:szCs w:val="20"/>
                <w:color w:val="auto"/>
              </w:rPr>
            </w:pPr>
            <w:r>
              <w:rPr>
                <w:rFonts w:ascii="Arial" w:cs="Arial" w:eastAsia="Arial" w:hAnsi="Arial"/>
                <w:sz w:val="18"/>
                <w:szCs w:val="18"/>
                <w:color w:val="0000EE"/>
              </w:rPr>
              <w:t>Item 6.</w:t>
            </w:r>
          </w:p>
        </w:tc>
        <w:tc>
          <w:tcPr>
            <w:tcW w:w="7300" w:type="dxa"/>
            <w:vAlign w:val="bottom"/>
            <w:gridSpan w:val="21"/>
          </w:tcPr>
          <w:p>
            <w:pPr>
              <w:spacing w:after="0" w:line="190" w:lineRule="exact"/>
              <w:rPr>
                <w:sz w:val="20"/>
                <w:szCs w:val="20"/>
                <w:color w:val="auto"/>
              </w:rPr>
            </w:pPr>
            <w:r>
              <w:rPr>
                <w:rFonts w:ascii="Arial" w:cs="Arial" w:eastAsia="Arial" w:hAnsi="Arial"/>
                <w:sz w:val="18"/>
                <w:szCs w:val="18"/>
                <w:color w:val="0000EE"/>
              </w:rPr>
              <w:t>Exhibits</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7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85"/>
              </w:rPr>
              <w:t>Signatures</w:t>
            </w:r>
          </w:p>
        </w:tc>
        <w:tc>
          <w:tcPr>
            <w:tcW w:w="7260" w:type="dxa"/>
            <w:vAlign w:val="bottom"/>
            <w:gridSpan w:val="20"/>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FORWARD-LOOKING STATEMENTS</w:t>
      </w:r>
    </w:p>
    <w:p>
      <w:pPr>
        <w:spacing w:after="0" w:line="88" w:lineRule="exact"/>
        <w:rPr>
          <w:sz w:val="20"/>
          <w:szCs w:val="20"/>
          <w:color w:val="auto"/>
        </w:rPr>
      </w:pPr>
    </w:p>
    <w:p>
      <w:pPr>
        <w:ind w:left="40" w:right="339" w:firstLine="315"/>
        <w:spacing w:after="0" w:line="256"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strategy for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ind w:left="700" w:hanging="310"/>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strategy relating to, anticipated benefits from, and cost savings from our Reprioritization (as defined herein);</w:t>
      </w:r>
    </w:p>
    <w:p>
      <w:pPr>
        <w:spacing w:after="0" w:line="13" w:lineRule="exact"/>
        <w:rPr>
          <w:rFonts w:ascii="Arial" w:cs="Arial" w:eastAsia="Arial" w:hAnsi="Arial"/>
          <w:sz w:val="16"/>
          <w:szCs w:val="16"/>
          <w:color w:val="auto"/>
        </w:rPr>
      </w:pP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TRANQUILITY II clinical trial;</w:t>
      </w:r>
    </w:p>
    <w:p>
      <w:pPr>
        <w:ind w:left="700" w:hanging="310"/>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restructure or refinance our OFA Facilities (as defined herein) and extend our cash runway;</w:t>
      </w:r>
    </w:p>
    <w:p>
      <w:pPr>
        <w:spacing w:after="0" w:line="13" w:lineRule="exact"/>
        <w:rPr>
          <w:rFonts w:ascii="Arial" w:cs="Arial" w:eastAsia="Arial" w:hAnsi="Arial"/>
          <w:sz w:val="16"/>
          <w:szCs w:val="16"/>
          <w:color w:val="auto"/>
        </w:rPr>
      </w:pP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our product candidates;</w:t>
      </w: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ind w:left="700" w:right="819" w:hanging="310"/>
        <w:spacing w:after="0" w:line="22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 w:lineRule="exact"/>
        <w:rPr>
          <w:rFonts w:ascii="Arial" w:cs="Arial" w:eastAsia="Arial" w:hAnsi="Arial"/>
          <w:sz w:val="18"/>
          <w:szCs w:val="18"/>
          <w:color w:val="auto"/>
        </w:rPr>
      </w:pP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ind w:left="700" w:right="319" w:hanging="310"/>
        <w:spacing w:after="0" w:line="22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including 505(b)(2) regulatory approval, for our product candidates;</w:t>
      </w:r>
    </w:p>
    <w:p>
      <w:pPr>
        <w:spacing w:after="0" w:line="1" w:lineRule="exact"/>
        <w:rPr>
          <w:rFonts w:ascii="Arial" w:cs="Arial" w:eastAsia="Arial" w:hAnsi="Arial"/>
          <w:sz w:val="18"/>
          <w:szCs w:val="18"/>
          <w:color w:val="auto"/>
        </w:rPr>
      </w:pPr>
    </w:p>
    <w:p>
      <w:pPr>
        <w:ind w:left="700" w:right="299" w:hanging="310"/>
        <w:spacing w:after="0" w:line="18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clinical utility, number of prescribers and formulary wins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product candidates for which we receive marketing approval;</w:t>
      </w:r>
    </w:p>
    <w:p>
      <w:pPr>
        <w:spacing w:after="0" w:line="1" w:lineRule="exact"/>
        <w:rPr>
          <w:rFonts w:ascii="Arial" w:cs="Arial" w:eastAsia="Arial" w:hAnsi="Arial"/>
          <w:sz w:val="18"/>
          <w:szCs w:val="18"/>
          <w:color w:val="auto"/>
        </w:rPr>
      </w:pPr>
    </w:p>
    <w:p>
      <w:pPr>
        <w:ind w:left="700" w:right="199" w:hanging="310"/>
        <w:spacing w:after="0" w:line="22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 including the potential benefits from any advertising campaigns;</w:t>
      </w:r>
    </w:p>
    <w:p>
      <w:pPr>
        <w:spacing w:after="0" w:line="1" w:lineRule="exact"/>
        <w:rPr>
          <w:rFonts w:ascii="Arial" w:cs="Arial" w:eastAsia="Arial" w:hAnsi="Arial"/>
          <w:sz w:val="18"/>
          <w:szCs w:val="18"/>
          <w:color w:val="auto"/>
        </w:rPr>
      </w:pPr>
    </w:p>
    <w:p>
      <w:pPr>
        <w:ind w:left="700" w:hanging="310"/>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participation in, and any potential benefits from, events, conferences, presentations and conventions;</w:t>
      </w:r>
    </w:p>
    <w:p>
      <w:pPr>
        <w:spacing w:after="0" w:line="13" w:lineRule="exact"/>
        <w:rPr>
          <w:rFonts w:ascii="Arial" w:cs="Arial" w:eastAsia="Arial" w:hAnsi="Arial"/>
          <w:sz w:val="16"/>
          <w:szCs w:val="16"/>
          <w:color w:val="auto"/>
        </w:rPr>
      </w:pP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ind w:left="700" w:hanging="310"/>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 for additional financing;</w:t>
      </w:r>
    </w:p>
    <w:p>
      <w:pPr>
        <w:spacing w:after="0" w:line="13" w:lineRule="exact"/>
        <w:rPr>
          <w:rFonts w:ascii="Arial" w:cs="Arial" w:eastAsia="Arial" w:hAnsi="Arial"/>
          <w:sz w:val="16"/>
          <w:szCs w:val="16"/>
          <w:color w:val="auto"/>
        </w:rPr>
      </w:pPr>
    </w:p>
    <w:p>
      <w:pPr>
        <w:ind w:left="700" w:right="1239" w:hanging="310"/>
        <w:spacing w:after="0" w:line="22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investments in, or other strategic options for, our subsidiary, OnkosXcel Therapeutics, LLC (“OnkosXcel”);</w:t>
      </w:r>
    </w:p>
    <w:p>
      <w:pPr>
        <w:spacing w:after="0" w:line="1" w:lineRule="exact"/>
        <w:rPr>
          <w:rFonts w:ascii="Arial" w:cs="Arial" w:eastAsia="Arial" w:hAnsi="Arial"/>
          <w:sz w:val="18"/>
          <w:szCs w:val="18"/>
          <w:color w:val="auto"/>
        </w:rPr>
      </w:pP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ind w:left="700" w:hanging="310"/>
        <w:spacing w:after="0" w:line="22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ind w:left="700" w:hanging="31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81" w:lineRule="exact"/>
        <w:rPr>
          <w:sz w:val="20"/>
          <w:szCs w:val="20"/>
          <w:color w:val="auto"/>
        </w:rPr>
      </w:pPr>
    </w:p>
    <w:p>
      <w:pPr>
        <w:ind w:left="40" w:right="159" w:firstLine="315"/>
        <w:spacing w:after="0" w:line="255"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71" w:lineRule="exact"/>
        <w:rPr>
          <w:sz w:val="20"/>
          <w:szCs w:val="20"/>
          <w:color w:val="auto"/>
        </w:rPr>
      </w:pPr>
    </w:p>
    <w:p>
      <w:pPr>
        <w:ind w:left="40" w:right="219" w:firstLine="315"/>
        <w:spacing w:after="0" w:line="273" w:lineRule="auto"/>
        <w:rPr>
          <w:sz w:val="20"/>
          <w:szCs w:val="20"/>
          <w:color w:val="auto"/>
        </w:rPr>
      </w:pPr>
      <w:r>
        <w:rPr>
          <w:rFonts w:ascii="Arial" w:cs="Arial" w:eastAsia="Arial" w:hAnsi="Arial"/>
          <w:sz w:val="16"/>
          <w:szCs w:val="16"/>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spacing w:after="0" w:line="56" w:lineRule="exact"/>
        <w:rPr>
          <w:sz w:val="20"/>
          <w:szCs w:val="20"/>
          <w:color w:val="auto"/>
        </w:rPr>
      </w:pPr>
    </w:p>
    <w:p>
      <w:pPr>
        <w:ind w:left="40" w:right="179" w:firstLine="315"/>
        <w:spacing w:after="0" w:line="265" w:lineRule="auto"/>
        <w:rPr>
          <w:sz w:val="20"/>
          <w:szCs w:val="20"/>
          <w:color w:val="auto"/>
        </w:rPr>
      </w:pPr>
      <w:r>
        <w:rPr>
          <w:rFonts w:ascii="Arial" w:cs="Arial" w:eastAsia="Arial" w:hAnsi="Arial"/>
          <w:sz w:val="16"/>
          <w:szCs w:val="16"/>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Arial" w:cs="Arial" w:eastAsia="Arial" w:hAnsi="Arial"/>
          <w:sz w:val="16"/>
          <w:szCs w:val="16"/>
          <w:i w:val="1"/>
          <w:iCs w:val="1"/>
          <w:color w:val="auto"/>
        </w:rPr>
        <w:t>www.bioxceltherapeutics.com</w:t>
      </w:r>
      <w:r>
        <w:rPr>
          <w:rFonts w:ascii="Arial" w:cs="Arial" w:eastAsia="Arial" w:hAnsi="Arial"/>
          <w:sz w:val="16"/>
          <w:szCs w:val="16"/>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Arial" w:cs="Arial" w:eastAsia="Arial" w:hAnsi="Arial"/>
          <w:sz w:val="16"/>
          <w:szCs w:val="16"/>
          <w:i w:val="1"/>
          <w:iCs w:val="1"/>
          <w:color w:val="auto"/>
        </w:rPr>
        <w:t>www.bioxceltherapeutics.com</w:t>
      </w:r>
      <w:r>
        <w:rPr>
          <w:rFonts w:ascii="Arial" w:cs="Arial" w:eastAsia="Arial" w:hAnsi="Arial"/>
          <w:sz w:val="16"/>
          <w:szCs w:val="16"/>
          <w:color w:val="auto"/>
        </w:rPr>
        <w:t>.</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SUMMARY RISK FACTORS</w:t>
      </w:r>
    </w:p>
    <w:p>
      <w:pPr>
        <w:spacing w:after="0" w:line="167" w:lineRule="exact"/>
        <w:rPr>
          <w:sz w:val="20"/>
          <w:szCs w:val="20"/>
          <w:color w:val="auto"/>
        </w:rPr>
      </w:pPr>
    </w:p>
    <w:p>
      <w:pPr>
        <w:ind w:left="40" w:right="179" w:firstLine="315"/>
        <w:spacing w:after="0" w:line="299"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14" w:lineRule="exact"/>
        <w:rPr>
          <w:sz w:val="20"/>
          <w:szCs w:val="20"/>
          <w:color w:val="auto"/>
        </w:rPr>
      </w:pPr>
    </w:p>
    <w:p>
      <w:pPr>
        <w:ind w:left="700" w:right="179" w:hanging="310"/>
        <w:spacing w:after="0" w:line="324"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and have not generated substantial product revenues to date, which may make it difficult to evaluate the success of our business to date and to assess our future viability.</w:t>
      </w:r>
    </w:p>
    <w:p>
      <w:pPr>
        <w:spacing w:after="0" w:line="107" w:lineRule="exact"/>
        <w:rPr>
          <w:rFonts w:ascii="Arial" w:cs="Arial" w:eastAsia="Arial" w:hAnsi="Arial"/>
          <w:sz w:val="16"/>
          <w:szCs w:val="16"/>
          <w:color w:val="auto"/>
        </w:rPr>
      </w:pPr>
    </w:p>
    <w:p>
      <w:pPr>
        <w:ind w:left="700" w:right="919" w:hanging="310"/>
        <w:spacing w:after="0" w:line="361" w:lineRule="auto"/>
        <w:tabs>
          <w:tab w:leader="none" w:pos="7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incurred significant operating losses since inception and anticipate that we will continue to incur substantial operating losses for the foreseeable future and may never achieve or maintain profitability.</w:t>
      </w:r>
    </w:p>
    <w:p>
      <w:pPr>
        <w:spacing w:after="0" w:line="72" w:lineRule="exact"/>
        <w:rPr>
          <w:rFonts w:ascii="Arial" w:cs="Arial" w:eastAsia="Arial" w:hAnsi="Arial"/>
          <w:sz w:val="15"/>
          <w:szCs w:val="15"/>
          <w:color w:val="auto"/>
        </w:rPr>
      </w:pPr>
    </w:p>
    <w:p>
      <w:pPr>
        <w:ind w:left="700" w:hanging="31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Reprioritization and related reduction in force may not achieve our intended outcome.</w:t>
      </w:r>
    </w:p>
    <w:p>
      <w:pPr>
        <w:spacing w:after="0" w:line="174" w:lineRule="exact"/>
        <w:rPr>
          <w:rFonts w:ascii="Arial" w:cs="Arial" w:eastAsia="Arial" w:hAnsi="Arial"/>
          <w:sz w:val="18"/>
          <w:szCs w:val="18"/>
          <w:color w:val="auto"/>
        </w:rPr>
      </w:pPr>
    </w:p>
    <w:p>
      <w:pPr>
        <w:ind w:left="700" w:right="299" w:hanging="310"/>
        <w:spacing w:after="0" w:line="324"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and if we are unable to raise capital when needed, we could be forced to delay, reduce or eliminate our product development programs or commercialization efforts.</w:t>
      </w:r>
    </w:p>
    <w:p>
      <w:pPr>
        <w:spacing w:after="0" w:line="107" w:lineRule="exact"/>
        <w:rPr>
          <w:rFonts w:ascii="Arial" w:cs="Arial" w:eastAsia="Arial" w:hAnsi="Arial"/>
          <w:sz w:val="16"/>
          <w:szCs w:val="16"/>
          <w:color w:val="auto"/>
        </w:rPr>
      </w:pPr>
    </w:p>
    <w:p>
      <w:pPr>
        <w:ind w:left="700" w:right="139" w:hanging="310"/>
        <w:spacing w:after="0" w:line="299"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14" w:lineRule="exact"/>
        <w:rPr>
          <w:rFonts w:ascii="Arial" w:cs="Arial" w:eastAsia="Arial" w:hAnsi="Arial"/>
          <w:sz w:val="16"/>
          <w:szCs w:val="16"/>
          <w:color w:val="auto"/>
        </w:rPr>
      </w:pPr>
    </w:p>
    <w:p>
      <w:pPr>
        <w:ind w:left="700" w:right="739" w:hanging="310"/>
        <w:spacing w:after="0" w:line="261"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about our ability to continue as a going concern.</w:t>
      </w:r>
    </w:p>
    <w:p>
      <w:pPr>
        <w:spacing w:after="0" w:line="141" w:lineRule="exact"/>
        <w:rPr>
          <w:rFonts w:ascii="Arial" w:cs="Arial" w:eastAsia="Arial" w:hAnsi="Arial"/>
          <w:sz w:val="18"/>
          <w:szCs w:val="18"/>
          <w:color w:val="auto"/>
        </w:rPr>
      </w:pPr>
    </w:p>
    <w:p>
      <w:pPr>
        <w:ind w:left="700" w:right="219" w:hanging="310"/>
        <w:spacing w:after="0" w:line="286"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These developments also subject us to additional risks and uncertainties, including regulatory, stockholder or other actions, loss of investor confidence and negative impacts on the trading price of our common stock.</w:t>
      </w:r>
    </w:p>
    <w:p>
      <w:pPr>
        <w:spacing w:after="0" w:line="139" w:lineRule="exact"/>
        <w:rPr>
          <w:rFonts w:ascii="Arial" w:cs="Arial" w:eastAsia="Arial" w:hAnsi="Arial"/>
          <w:sz w:val="16"/>
          <w:szCs w:val="16"/>
          <w:color w:val="auto"/>
        </w:rPr>
      </w:pPr>
    </w:p>
    <w:p>
      <w:pPr>
        <w:ind w:left="700" w:hanging="31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in drug discovery and drug development.</w:t>
      </w:r>
    </w:p>
    <w:p>
      <w:pPr>
        <w:spacing w:after="0" w:line="164" w:lineRule="exact"/>
        <w:rPr>
          <w:rFonts w:ascii="Arial" w:cs="Arial" w:eastAsia="Arial" w:hAnsi="Arial"/>
          <w:sz w:val="18"/>
          <w:szCs w:val="18"/>
          <w:color w:val="auto"/>
        </w:rPr>
      </w:pPr>
    </w:p>
    <w:p>
      <w:pPr>
        <w:ind w:left="700" w:right="219" w:hanging="310"/>
        <w:spacing w:after="0" w:line="211"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IGALMI</w:t>
      </w:r>
      <w:r>
        <w:rPr>
          <w:rFonts w:ascii="Arial" w:cs="Arial" w:eastAsia="Arial" w:hAnsi="Arial"/>
          <w:sz w:val="26"/>
          <w:szCs w:val="26"/>
          <w:color w:val="auto"/>
          <w:vertAlign w:val="superscript"/>
        </w:rPr>
        <w:t>TM</w:t>
      </w:r>
      <w:r>
        <w:rPr>
          <w:rFonts w:ascii="Arial" w:cs="Arial" w:eastAsia="Arial" w:hAnsi="Arial"/>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our product candidates, either alone or with a collaborator, or if we experience significant delays in doing so, our business could be substantially harmed.</w:t>
      </w:r>
    </w:p>
    <w:p>
      <w:pPr>
        <w:spacing w:after="0" w:line="160" w:lineRule="exact"/>
        <w:rPr>
          <w:rFonts w:ascii="Arial" w:cs="Arial" w:eastAsia="Arial" w:hAnsi="Arial"/>
          <w:sz w:val="18"/>
          <w:szCs w:val="18"/>
          <w:color w:val="auto"/>
        </w:rPr>
      </w:pPr>
    </w:p>
    <w:p>
      <w:pPr>
        <w:jc w:val="both"/>
        <w:ind w:left="700" w:right="299" w:hanging="310"/>
        <w:spacing w:after="0" w:line="252"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2" w:lineRule="exact"/>
        <w:rPr>
          <w:rFonts w:ascii="Arial" w:cs="Arial" w:eastAsia="Arial" w:hAnsi="Arial"/>
          <w:sz w:val="18"/>
          <w:szCs w:val="18"/>
          <w:color w:val="auto"/>
        </w:rPr>
      </w:pPr>
    </w:p>
    <w:p>
      <w:pPr>
        <w:ind w:left="700" w:right="299" w:hanging="310"/>
        <w:spacing w:after="0" w:line="24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53" w:lineRule="exact"/>
        <w:rPr>
          <w:rFonts w:ascii="Arial" w:cs="Arial" w:eastAsia="Arial" w:hAnsi="Arial"/>
          <w:sz w:val="18"/>
          <w:szCs w:val="18"/>
          <w:color w:val="auto"/>
        </w:rPr>
      </w:pPr>
    </w:p>
    <w:p>
      <w:pPr>
        <w:ind w:left="700" w:hanging="31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difficult to design, difficult to conduct and involve an uncertain outcome.</w:t>
      </w:r>
    </w:p>
    <w:p>
      <w:pPr>
        <w:spacing w:after="0" w:line="174" w:lineRule="exact"/>
        <w:rPr>
          <w:rFonts w:ascii="Arial" w:cs="Arial" w:eastAsia="Arial" w:hAnsi="Arial"/>
          <w:sz w:val="18"/>
          <w:szCs w:val="18"/>
          <w:color w:val="auto"/>
        </w:rPr>
      </w:pPr>
    </w:p>
    <w:p>
      <w:pPr>
        <w:jc w:val="both"/>
        <w:ind w:left="700" w:right="259" w:hanging="310"/>
        <w:spacing w:after="0" w:line="361" w:lineRule="auto"/>
        <w:tabs>
          <w:tab w:leader="none" w:pos="7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219" w:hanging="310"/>
        <w:spacing w:after="0" w:line="252"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62" w:lineRule="exact"/>
        <w:rPr>
          <w:rFonts w:ascii="Arial" w:cs="Arial" w:eastAsia="Arial" w:hAnsi="Arial"/>
          <w:sz w:val="18"/>
          <w:szCs w:val="18"/>
          <w:color w:val="auto"/>
        </w:rPr>
      </w:pPr>
    </w:p>
    <w:p>
      <w:pPr>
        <w:ind w:left="700" w:right="159" w:hanging="310"/>
        <w:spacing w:after="0" w:line="24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 Furthermore, EvolverAI and our own AI platform could be disrupted due to a rapidly evolving artificial intelligence (“AI”) environment requiring us to in parallel develop an internal alternate AI engine.</w:t>
      </w:r>
    </w:p>
    <w:p>
      <w:pPr>
        <w:spacing w:after="0" w:line="152" w:lineRule="exact"/>
        <w:rPr>
          <w:rFonts w:ascii="Arial" w:cs="Arial" w:eastAsia="Arial" w:hAnsi="Arial"/>
          <w:sz w:val="18"/>
          <w:szCs w:val="18"/>
          <w:color w:val="auto"/>
        </w:rPr>
      </w:pPr>
    </w:p>
    <w:p>
      <w:pPr>
        <w:ind w:left="700" w:right="159" w:hanging="310"/>
        <w:spacing w:after="0" w:line="290"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p>
    <w:p>
      <w:pPr>
        <w:spacing w:after="0" w:line="122" w:lineRule="exact"/>
        <w:rPr>
          <w:rFonts w:ascii="Arial" w:cs="Arial" w:eastAsia="Arial" w:hAnsi="Arial"/>
          <w:sz w:val="16"/>
          <w:szCs w:val="16"/>
          <w:color w:val="auto"/>
        </w:rPr>
      </w:pPr>
    </w:p>
    <w:p>
      <w:pPr>
        <w:ind w:left="700" w:right="179" w:hanging="310"/>
        <w:spacing w:after="0" w:line="252"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53" w:lineRule="exact"/>
        <w:rPr>
          <w:rFonts w:ascii="Arial" w:cs="Arial" w:eastAsia="Arial" w:hAnsi="Arial"/>
          <w:sz w:val="18"/>
          <w:szCs w:val="18"/>
          <w:color w:val="auto"/>
        </w:rPr>
      </w:pPr>
    </w:p>
    <w:p>
      <w:pPr>
        <w:ind w:left="700" w:right="239" w:hanging="310"/>
        <w:spacing w:after="0" w:line="194"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the FDA approved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for the acute treatment of agitation associated with schizophrenia or bipolar I or II disorder, we still face extensive and ongoing regulatory requirements and obligations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for any product candidates for which we obtain approval.</w:t>
      </w:r>
    </w:p>
    <w:p>
      <w:pPr>
        <w:spacing w:after="0" w:line="160" w:lineRule="exact"/>
        <w:rPr>
          <w:rFonts w:ascii="Arial" w:cs="Arial" w:eastAsia="Arial" w:hAnsi="Arial"/>
          <w:sz w:val="18"/>
          <w:szCs w:val="18"/>
          <w:color w:val="auto"/>
        </w:rPr>
      </w:pPr>
    </w:p>
    <w:p>
      <w:pPr>
        <w:ind w:left="700" w:right="279" w:hanging="310"/>
        <w:spacing w:after="0" w:line="261"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and other regulatory agencies actively enforce the laws and regulations prohibiting the promotion of off-label uses.</w:t>
      </w:r>
    </w:p>
    <w:p>
      <w:pPr>
        <w:spacing w:after="0" w:line="131" w:lineRule="exact"/>
        <w:rPr>
          <w:rFonts w:ascii="Arial" w:cs="Arial" w:eastAsia="Arial" w:hAnsi="Arial"/>
          <w:sz w:val="18"/>
          <w:szCs w:val="18"/>
          <w:color w:val="auto"/>
        </w:rPr>
      </w:pPr>
    </w:p>
    <w:p>
      <w:pPr>
        <w:ind w:left="700" w:right="259" w:hanging="310"/>
        <w:spacing w:after="0" w:line="209"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obtained FDA approval for IGALMI</w:t>
      </w:r>
      <w:r>
        <w:rPr>
          <w:rFonts w:ascii="Arial" w:cs="Arial" w:eastAsia="Arial" w:hAnsi="Arial"/>
          <w:sz w:val="26"/>
          <w:szCs w:val="26"/>
          <w:color w:val="auto"/>
          <w:vertAlign w:val="superscript"/>
        </w:rPr>
        <w:t>TM</w:t>
      </w:r>
      <w:r>
        <w:rPr>
          <w:rFonts w:ascii="Arial" w:cs="Arial" w:eastAsia="Arial" w:hAnsi="Arial"/>
          <w:sz w:val="18"/>
          <w:szCs w:val="18"/>
          <w:color w:val="auto"/>
        </w:rPr>
        <w:t>, our products and product candidates may not be accepted by physicians or the medical community in general.</w:t>
      </w:r>
    </w:p>
    <w:p>
      <w:pPr>
        <w:spacing w:after="0" w:line="173" w:lineRule="exact"/>
        <w:rPr>
          <w:rFonts w:ascii="Arial" w:cs="Arial" w:eastAsia="Arial" w:hAnsi="Arial"/>
          <w:sz w:val="18"/>
          <w:szCs w:val="18"/>
          <w:color w:val="auto"/>
        </w:rPr>
      </w:pPr>
    </w:p>
    <w:p>
      <w:pPr>
        <w:jc w:val="both"/>
        <w:ind w:left="700" w:right="219" w:hanging="310"/>
        <w:spacing w:after="0" w:line="252"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LLC to provide us with certain services for our business. Our business could be adversely affected if BioXcel LLC is unable to provide such services or there is a disruption in its provision of such services.</w:t>
      </w:r>
    </w:p>
    <w:p>
      <w:pPr>
        <w:spacing w:after="0" w:line="149" w:lineRule="exact"/>
        <w:rPr>
          <w:rFonts w:ascii="Arial" w:cs="Arial" w:eastAsia="Arial" w:hAnsi="Arial"/>
          <w:sz w:val="18"/>
          <w:szCs w:val="18"/>
          <w:color w:val="auto"/>
        </w:rPr>
      </w:pPr>
    </w:p>
    <w:p>
      <w:pPr>
        <w:ind w:left="700" w:right="439" w:hanging="310"/>
        <w:spacing w:after="0" w:line="324"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BioXcel LLC has significant influence over the direction of our business, and the concentrated ownership of our common stock will prevent you and other stockholders from influencing significant decisions.</w:t>
      </w:r>
    </w:p>
    <w:p>
      <w:pPr>
        <w:spacing w:after="0" w:line="94" w:lineRule="exact"/>
        <w:rPr>
          <w:rFonts w:ascii="Arial" w:cs="Arial" w:eastAsia="Arial" w:hAnsi="Arial"/>
          <w:sz w:val="16"/>
          <w:szCs w:val="16"/>
          <w:color w:val="auto"/>
        </w:rPr>
      </w:pPr>
    </w:p>
    <w:p>
      <w:pPr>
        <w:jc w:val="both"/>
        <w:ind w:left="700" w:right="919" w:hanging="310"/>
        <w:spacing w:after="0" w:line="21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third parties for the manufacture of our clinical supplies of our product candidates, and our commercial supplies of IGALMI</w:t>
      </w:r>
      <w:r>
        <w:rPr>
          <w:rFonts w:ascii="Arial" w:cs="Arial" w:eastAsia="Arial" w:hAnsi="Arial"/>
          <w:sz w:val="26"/>
          <w:szCs w:val="26"/>
          <w:color w:val="auto"/>
          <w:vertAlign w:val="superscript"/>
        </w:rPr>
        <w:t>TM</w:t>
      </w:r>
      <w:r>
        <w:rPr>
          <w:rFonts w:ascii="Arial" w:cs="Arial" w:eastAsia="Arial" w:hAnsi="Arial"/>
          <w:sz w:val="18"/>
          <w:szCs w:val="18"/>
          <w:color w:val="auto"/>
        </w:rPr>
        <w:t>, and we intend to rely on third parties to produce commercial supplies of any other approved product candidate.</w:t>
      </w:r>
    </w:p>
    <w:p>
      <w:pPr>
        <w:spacing w:after="0" w:line="173" w:lineRule="exact"/>
        <w:rPr>
          <w:rFonts w:ascii="Arial" w:cs="Arial" w:eastAsia="Arial" w:hAnsi="Arial"/>
          <w:sz w:val="18"/>
          <w:szCs w:val="18"/>
          <w:color w:val="auto"/>
        </w:rPr>
      </w:pPr>
    </w:p>
    <w:p>
      <w:pPr>
        <w:ind w:left="700" w:right="539" w:hanging="310"/>
        <w:spacing w:after="0" w:line="324"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Data breaches or cyber-attacks could disrupt our business, operations and information technology systems, and financial results, or result in the loss or exposure of confidential or sensitive Company information.</w:t>
      </w:r>
    </w:p>
    <w:p>
      <w:pPr>
        <w:spacing w:after="0" w:line="94" w:lineRule="exact"/>
        <w:rPr>
          <w:rFonts w:ascii="Arial" w:cs="Arial" w:eastAsia="Arial" w:hAnsi="Arial"/>
          <w:sz w:val="16"/>
          <w:szCs w:val="16"/>
          <w:color w:val="auto"/>
        </w:rPr>
      </w:pPr>
    </w:p>
    <w:p>
      <w:pPr>
        <w:ind w:left="700" w:right="859" w:hanging="310"/>
        <w:spacing w:after="0" w:line="324"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securities class action has been filed against the Company, which could result in significant costs and/or liabilities, and, as a public Company, we continue to be at risk of securities class action litigation.</w:t>
      </w:r>
    </w:p>
    <w:p>
      <w:pPr>
        <w:spacing w:after="0" w:line="94" w:lineRule="exact"/>
        <w:rPr>
          <w:rFonts w:ascii="Arial" w:cs="Arial" w:eastAsia="Arial" w:hAnsi="Arial"/>
          <w:sz w:val="16"/>
          <w:szCs w:val="16"/>
          <w:color w:val="auto"/>
        </w:rPr>
      </w:pPr>
    </w:p>
    <w:p>
      <w:pPr>
        <w:ind w:left="700" w:hanging="310"/>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risks associated with the increased scrutiny relating to environmental, social and governance matters.</w:t>
      </w:r>
    </w:p>
    <w:p>
      <w:pPr>
        <w:spacing w:after="0" w:line="210" w:lineRule="exact"/>
        <w:rPr>
          <w:rFonts w:ascii="Arial" w:cs="Arial" w:eastAsia="Arial" w:hAnsi="Arial"/>
          <w:sz w:val="16"/>
          <w:szCs w:val="16"/>
          <w:color w:val="auto"/>
        </w:rPr>
      </w:pPr>
    </w:p>
    <w:p>
      <w:pPr>
        <w:ind w:left="700" w:hanging="310"/>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80" w:lineRule="exact"/>
        <w:rPr>
          <w:sz w:val="20"/>
          <w:szCs w:val="20"/>
          <w:color w:val="auto"/>
        </w:rPr>
      </w:pPr>
    </w:p>
    <w:p>
      <w:pPr>
        <w:ind w:left="40" w:right="179" w:firstLine="315"/>
        <w:spacing w:after="0" w:line="232"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INDUSTRY AND OTHER DATA</w:t>
      </w:r>
    </w:p>
    <w:p>
      <w:pPr>
        <w:spacing w:after="0" w:line="180" w:lineRule="exact"/>
        <w:rPr>
          <w:sz w:val="20"/>
          <w:szCs w:val="20"/>
          <w:color w:val="auto"/>
        </w:rPr>
      </w:pPr>
    </w:p>
    <w:p>
      <w:pPr>
        <w:ind w:left="40" w:right="179" w:firstLine="315"/>
        <w:spacing w:after="0" w:line="279" w:lineRule="auto"/>
        <w:rPr>
          <w:sz w:val="20"/>
          <w:szCs w:val="20"/>
          <w:color w:val="auto"/>
        </w:rPr>
      </w:pPr>
      <w:r>
        <w:rPr>
          <w:rFonts w:ascii="Arial" w:cs="Arial" w:eastAsia="Arial" w:hAnsi="Arial"/>
          <w:sz w:val="16"/>
          <w:szCs w:val="16"/>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 w:name="page7"/>
    <w:bookmarkEnd w:id="6"/>
    <w:p>
      <w:pPr>
        <w:ind w:left="8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 Financial Statements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BIOXCEL THERAPEUTICS, INC.</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4"/>
              <w:spacing w:after="0" w:line="145" w:lineRule="exact"/>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193,725</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580" w:type="dxa"/>
            <w:vAlign w:val="bottom"/>
          </w:tcPr>
          <w:p>
            <w:pPr>
              <w:ind w:left="24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98,738</w:t>
            </w:r>
          </w:p>
        </w:tc>
        <w:tc>
          <w:tcPr>
            <w:tcW w:w="180" w:type="dxa"/>
            <w:vAlign w:val="bottom"/>
          </w:tcPr>
          <w:p>
            <w:pPr>
              <w:spacing w:after="0"/>
              <w:rPr>
                <w:sz w:val="17"/>
                <w:szCs w:val="17"/>
                <w:color w:val="auto"/>
              </w:rPr>
            </w:pPr>
          </w:p>
        </w:tc>
        <w:tc>
          <w:tcPr>
            <w:tcW w:w="200" w:type="dxa"/>
            <w:vAlign w:val="bottom"/>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202,868</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80" w:type="dxa"/>
            <w:vAlign w:val="bottom"/>
            <w:tcBorders>
              <w:bottom w:val="single" w:sz="8" w:color="CCEEFF"/>
            </w:tcBorders>
          </w:tcPr>
          <w:p>
            <w:pPr>
              <w:spacing w:after="0"/>
              <w:rPr>
                <w:sz w:val="21"/>
                <w:szCs w:val="21"/>
                <w:color w:val="auto"/>
              </w:rPr>
            </w:pPr>
          </w:p>
        </w:tc>
        <w:tc>
          <w:tcPr>
            <w:tcW w:w="6580" w:type="dxa"/>
            <w:vAlign w:val="bottom"/>
            <w:tcBorders>
              <w:bottom w:val="single" w:sz="8" w:color="CCEEFF"/>
            </w:tcBorders>
          </w:tcPr>
          <w:p>
            <w:pPr>
              <w:ind w:left="240"/>
              <w:spacing w:after="0" w:line="203"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100,449</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205,853</w:t>
            </w:r>
          </w:p>
        </w:tc>
        <w:tc>
          <w:tcPr>
            <w:tcW w:w="0" w:type="dxa"/>
            <w:vAlign w:val="bottom"/>
          </w:tcPr>
          <w:p>
            <w:pPr>
              <w:spacing w:after="0"/>
              <w:rPr>
                <w:sz w:val="1"/>
                <w:szCs w:val="1"/>
                <w:color w:val="auto"/>
              </w:rPr>
            </w:pPr>
          </w:p>
        </w:tc>
      </w:tr>
      <w:tr>
        <w:trPr>
          <w:trHeight w:val="190"/>
        </w:trPr>
        <w:tc>
          <w:tcPr>
            <w:tcW w:w="80" w:type="dxa"/>
            <w:vAlign w:val="bottom"/>
            <w:shd w:val="clear" w:color="auto" w:fill="CCEEFF"/>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10,669</w:t>
            </w:r>
          </w:p>
        </w:tc>
        <w:tc>
          <w:tcPr>
            <w:tcW w:w="1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18,669</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0"/>
        </w:trPr>
        <w:tc>
          <w:tcPr>
            <w:tcW w:w="80" w:type="dxa"/>
            <w:vAlign w:val="bottom"/>
            <w:tcBorders>
              <w:bottom w:val="single" w:sz="8" w:color="CCEEFF"/>
            </w:tcBorders>
          </w:tcPr>
          <w:p>
            <w:pPr>
              <w:spacing w:after="0"/>
              <w:rPr>
                <w:sz w:val="18"/>
                <w:szCs w:val="18"/>
                <w:color w:val="auto"/>
              </w:rPr>
            </w:pPr>
          </w:p>
        </w:tc>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658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39,408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32,898</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Long-term portion of operating lease liabilities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99,093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93,051</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658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141,057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129,078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 w:type="dxa"/>
            <w:vAlign w:val="bottom"/>
            <w:shd w:val="clear" w:color="auto" w:fill="CCEEFF"/>
          </w:tcPr>
          <w:p>
            <w:pPr>
              <w:spacing w:after="0"/>
              <w:rPr>
                <w:sz w:val="17"/>
                <w:szCs w:val="17"/>
                <w:color w:val="auto"/>
              </w:rPr>
            </w:pPr>
          </w:p>
        </w:tc>
        <w:tc>
          <w:tcPr>
            <w:tcW w:w="658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w w:val="97"/>
              </w:rPr>
              <w:t>Preferred stock, $0.001 par value, 10,000 shares authorized; no shares issued and</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as of September 30, 2023 and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580" w:type="dxa"/>
            <w:vAlign w:val="bottom"/>
          </w:tcPr>
          <w:p>
            <w:pPr>
              <w:ind w:left="140"/>
              <w:spacing w:after="0" w:line="198" w:lineRule="exact"/>
              <w:rPr>
                <w:sz w:val="20"/>
                <w:szCs w:val="20"/>
                <w:color w:val="auto"/>
              </w:rPr>
            </w:pPr>
            <w:r>
              <w:rPr>
                <w:rFonts w:ascii="Arial" w:cs="Arial" w:eastAsia="Arial" w:hAnsi="Arial"/>
                <w:sz w:val="18"/>
                <w:szCs w:val="18"/>
                <w:color w:val="auto"/>
                <w:w w:val="91"/>
              </w:rPr>
              <w:t>Common stock, $0.001 par value, 100,000 shares authorized as of September 30, 2023</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w w:val="99"/>
              </w:rPr>
              <w:t>and December 31, 2022; 29,273 and 28,147 shares issued and outstanding as of</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September 30, 2023 and December 31, 2022, respectively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1"/>
        </w:trPr>
        <w:tc>
          <w:tcPr>
            <w:tcW w:w="80" w:type="dxa"/>
            <w:vAlign w:val="bottom"/>
            <w:shd w:val="clear" w:color="auto" w:fill="CCEEFF"/>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488,292</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(568,342)</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(411,545)</w:t>
            </w:r>
          </w:p>
        </w:tc>
        <w:tc>
          <w:tcPr>
            <w:tcW w:w="0" w:type="dxa"/>
            <w:vAlign w:val="bottom"/>
          </w:tcPr>
          <w:p>
            <w:pPr>
              <w:spacing w:after="0"/>
              <w:rPr>
                <w:sz w:val="1"/>
                <w:szCs w:val="1"/>
                <w:color w:val="auto"/>
              </w:rPr>
            </w:pPr>
          </w:p>
        </w:tc>
      </w:tr>
      <w:tr>
        <w:trPr>
          <w:trHeight w:val="203"/>
        </w:trPr>
        <w:tc>
          <w:tcPr>
            <w:tcW w:w="80" w:type="dxa"/>
            <w:vAlign w:val="bottom"/>
            <w:tcBorders>
              <w:top w:val="single" w:sz="8" w:color="CCEEFF"/>
            </w:tcBorders>
            <w:shd w:val="clear" w:color="auto" w:fill="CCEEFF"/>
          </w:tcPr>
          <w:p>
            <w:pPr>
              <w:spacing w:after="0"/>
              <w:rPr>
                <w:sz w:val="17"/>
                <w:szCs w:val="17"/>
                <w:color w:val="auto"/>
              </w:rPr>
            </w:pPr>
          </w:p>
        </w:tc>
        <w:tc>
          <w:tcPr>
            <w:tcW w:w="6580" w:type="dxa"/>
            <w:vAlign w:val="bottom"/>
            <w:tcBorders>
              <w:top w:val="single" w:sz="8" w:color="CCEEFF"/>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stockholders' (deficit) equity</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(40,608)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76,775</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580" w:type="dxa"/>
            <w:vAlign w:val="bottom"/>
          </w:tcPr>
          <w:p>
            <w:pPr>
              <w:ind w:left="340"/>
              <w:spacing w:after="0" w:line="203" w:lineRule="exact"/>
              <w:rPr>
                <w:sz w:val="20"/>
                <w:szCs w:val="20"/>
                <w:color w:val="auto"/>
              </w:rPr>
            </w:pPr>
            <w:r>
              <w:rPr>
                <w:rFonts w:ascii="Arial" w:cs="Arial" w:eastAsia="Arial" w:hAnsi="Arial"/>
                <w:sz w:val="18"/>
                <w:szCs w:val="18"/>
                <w:color w:val="auto"/>
              </w:rPr>
              <w:t>Total liabilities and stockholders' (deficit) equity</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100,449</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205,853</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ind w:left="446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66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80" w:type="dxa"/>
            <w:vAlign w:val="bottom"/>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59"/>
          </w:cols>
          <w:pgMar w:left="1400" w:top="508"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Three months ended September 30,</w:t>
            </w:r>
          </w:p>
        </w:tc>
        <w:tc>
          <w:tcPr>
            <w:tcW w:w="14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4"/>
              <w:spacing w:after="0" w:line="138"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4"/>
              <w:spacing w:after="0" w:line="138"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4"/>
              <w:spacing w:after="0" w:line="138"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4"/>
              <w:spacing w:after="0" w:line="138"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13"/>
        </w:trPr>
        <w:tc>
          <w:tcPr>
            <w:tcW w:w="42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revenue, net</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546</w:t>
            </w: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73,810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Borders>
              <w:bottom w:val="single" w:sz="8" w:color="CCEEFF"/>
            </w:tcBorders>
          </w:tcPr>
          <w:p>
            <w:pPr>
              <w:ind w:left="300"/>
              <w:spacing w:after="0" w:line="203" w:lineRule="exact"/>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48,638</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39,127</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152,911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(48,297)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(38,990)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(151,907)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(106,751)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line="203" w:lineRule="exact"/>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(50,486)</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(41,805)</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(156,797)</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(110,949)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0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w w:val="99"/>
              </w:rPr>
              <w:t>Basic and diluted net loss per share attributable to common</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2"/>
              </w:rPr>
              <w:t>Weighted average shares outstanding - basic and diluted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CHANGES IN STOCKHOLDERS’ (DEFICIT) EQUITY</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00" w:type="dxa"/>
            <w:vAlign w:val="bottom"/>
            <w:gridSpan w:val="4"/>
            <w:vMerge w:val="restart"/>
          </w:tcPr>
          <w:p>
            <w:pPr>
              <w:jc w:val="right"/>
              <w:ind w:right="314"/>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paid-in-</w:t>
            </w:r>
          </w:p>
        </w:tc>
        <w:tc>
          <w:tcPr>
            <w:tcW w:w="1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720" w:type="dxa"/>
            <w:vAlign w:val="bottom"/>
          </w:tcPr>
          <w:p>
            <w:pPr>
              <w:jc w:val="right"/>
              <w:ind w:right="75"/>
              <w:spacing w:after="0" w:line="138"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4"/>
              <w:spacing w:after="0" w:line="13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5"/>
              <w:spacing w:after="0" w:line="138"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74"/>
              <w:spacing w:after="0" w:line="13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as of December 31, 2021</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27,980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467,427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(245,788)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221,667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(31,472)</w:t>
            </w:r>
          </w:p>
        </w:tc>
        <w:tc>
          <w:tcPr>
            <w:tcW w:w="0" w:type="dxa"/>
            <w:vAlign w:val="bottom"/>
          </w:tcPr>
          <w:p>
            <w:pPr>
              <w:spacing w:after="0"/>
              <w:rPr>
                <w:sz w:val="1"/>
                <w:szCs w:val="1"/>
                <w:color w:val="auto"/>
              </w:rPr>
            </w:pPr>
          </w:p>
        </w:tc>
      </w:tr>
      <w:tr>
        <w:trPr>
          <w:trHeight w:val="243"/>
        </w:trPr>
        <w:tc>
          <w:tcPr>
            <w:tcW w:w="4100" w:type="dxa"/>
            <w:vAlign w:val="bottom"/>
            <w:gridSpan w:val="2"/>
          </w:tcPr>
          <w:p>
            <w:pPr>
              <w:spacing w:after="0" w:line="203" w:lineRule="exact"/>
              <w:rPr>
                <w:sz w:val="20"/>
                <w:szCs w:val="20"/>
                <w:color w:val="auto"/>
              </w:rPr>
            </w:pPr>
            <w:r>
              <w:rPr>
                <w:rFonts w:ascii="Arial" w:cs="Arial" w:eastAsia="Arial" w:hAnsi="Arial"/>
                <w:sz w:val="18"/>
                <w:szCs w:val="18"/>
                <w:color w:val="auto"/>
              </w:rPr>
              <w:t>Balance as of March 31, 2022</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27,980</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471,252</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(277,260)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194,020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Stock-based compensation</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4,482</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Issuance of stock purchase warrants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(37,672)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as of June 30, 2022</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28,018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479,164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(314,932)</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164,260</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00" w:type="dxa"/>
            <w:vAlign w:val="bottom"/>
            <w:gridSpan w:val="2"/>
            <w:vMerge w:val="continue"/>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4,483</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as of September 30, 2022</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28,023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483,695</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(356,737)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126,986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paid-in-</w:t>
            </w:r>
          </w:p>
        </w:tc>
        <w:tc>
          <w:tcPr>
            <w:tcW w:w="16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720" w:type="dxa"/>
            <w:vAlign w:val="bottom"/>
          </w:tcPr>
          <w:p>
            <w:pPr>
              <w:jc w:val="right"/>
              <w:ind w:right="75"/>
              <w:spacing w:after="0" w:line="138"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4"/>
              <w:spacing w:after="0" w:line="13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5"/>
              <w:spacing w:after="0" w:line="138"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74"/>
              <w:spacing w:after="0" w:line="13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as of December 31, 2022</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28,147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488,292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(411,545)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Issuance of common shares, net of offering costs</w:t>
            </w:r>
          </w:p>
        </w:tc>
        <w:tc>
          <w:tcPr>
            <w:tcW w:w="72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7"/>
              </w:rPr>
              <w:t>Vesting of restricted stock units, net of employee tax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as of March 31, 2023</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29,100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517,317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(464,341)</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53,005</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00" w:type="dxa"/>
            <w:vAlign w:val="bottom"/>
            <w:gridSpan w:val="2"/>
            <w:vMerge w:val="continue"/>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6,124</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Arial" w:cs="Arial" w:eastAsia="Arial" w:hAnsi="Arial"/>
                <w:sz w:val="18"/>
                <w:szCs w:val="18"/>
                <w:color w:val="auto"/>
                <w:w w:val="97"/>
              </w:rPr>
              <w:t>Vesting of restricted stock units, net of employee tax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(53,515)</w:t>
            </w:r>
          </w:p>
        </w:tc>
        <w:tc>
          <w:tcPr>
            <w:tcW w:w="0" w:type="dxa"/>
            <w:vAlign w:val="bottom"/>
          </w:tcPr>
          <w:p>
            <w:pPr>
              <w:spacing w:after="0"/>
              <w:rPr>
                <w:sz w:val="1"/>
                <w:szCs w:val="1"/>
                <w:color w:val="auto"/>
              </w:rPr>
            </w:pPr>
          </w:p>
        </w:tc>
      </w:tr>
      <w:tr>
        <w:trPr>
          <w:trHeight w:val="243"/>
        </w:trPr>
        <w:tc>
          <w:tcPr>
            <w:tcW w:w="4100" w:type="dxa"/>
            <w:vAlign w:val="bottom"/>
            <w:gridSpan w:val="2"/>
          </w:tcPr>
          <w:p>
            <w:pPr>
              <w:spacing w:after="0" w:line="203" w:lineRule="exact"/>
              <w:rPr>
                <w:sz w:val="20"/>
                <w:szCs w:val="20"/>
                <w:color w:val="auto"/>
              </w:rPr>
            </w:pPr>
            <w:r>
              <w:rPr>
                <w:rFonts w:ascii="Arial" w:cs="Arial" w:eastAsia="Arial" w:hAnsi="Arial"/>
                <w:sz w:val="18"/>
                <w:szCs w:val="18"/>
                <w:color w:val="auto"/>
              </w:rPr>
              <w:t>Balance as of June 30, 2023</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29,267</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523,691</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(517,856)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Stock-based compensation</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4,014</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Arial" w:cs="Arial" w:eastAsia="Arial" w:hAnsi="Arial"/>
                <w:sz w:val="18"/>
                <w:szCs w:val="18"/>
                <w:color w:val="auto"/>
                <w:w w:val="97"/>
              </w:rPr>
              <w:t>Vesting of restricted stock units, net of employee tax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(50,486)</w:t>
            </w:r>
          </w:p>
        </w:tc>
        <w:tc>
          <w:tcPr>
            <w:tcW w:w="0" w:type="dxa"/>
            <w:vAlign w:val="bottom"/>
          </w:tcPr>
          <w:p>
            <w:pPr>
              <w:spacing w:after="0"/>
              <w:rPr>
                <w:sz w:val="1"/>
                <w:szCs w:val="1"/>
                <w:color w:val="auto"/>
              </w:rPr>
            </w:pPr>
          </w:p>
        </w:tc>
      </w:tr>
      <w:tr>
        <w:trPr>
          <w:trHeight w:val="203"/>
        </w:trPr>
        <w:tc>
          <w:tcPr>
            <w:tcW w:w="4100" w:type="dxa"/>
            <w:vAlign w:val="bottom"/>
            <w:gridSpan w:val="2"/>
          </w:tcPr>
          <w:p>
            <w:pPr>
              <w:spacing w:after="0" w:line="203" w:lineRule="exact"/>
              <w:rPr>
                <w:sz w:val="20"/>
                <w:szCs w:val="20"/>
                <w:color w:val="auto"/>
              </w:rPr>
            </w:pPr>
            <w:r>
              <w:rPr>
                <w:rFonts w:ascii="Arial" w:cs="Arial" w:eastAsia="Arial" w:hAnsi="Arial"/>
                <w:sz w:val="18"/>
                <w:szCs w:val="18"/>
                <w:color w:val="auto"/>
              </w:rPr>
              <w:t>Balance as of September 30, 2023</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29,273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527,705</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(568,342)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(40,608)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8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(amounts in thousands)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34"/>
              <w:spacing w:after="0" w:line="138"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3"/>
              <w:spacing w:after="0" w:line="138"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OPERATING CASH FLOW ACTIVITIES: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(156,797)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(110,949)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debt discount and amortization of financing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Change in fair value of derivative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Payable-in-kind interest on Credit Agreement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8"/>
                <w:szCs w:val="18"/>
                <w:color w:val="auto"/>
              </w:rPr>
              <w:t>Prepaid expenses, other current assets and other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w w:val="93"/>
              </w:rPr>
              <w:t>Accounts payable, accrued expenses, due to related parties, and other current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 liabilities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line="203" w:lineRule="exact"/>
              <w:rPr>
                <w:sz w:val="20"/>
                <w:szCs w:val="20"/>
                <w:color w:val="auto"/>
              </w:rPr>
            </w:pPr>
            <w:r>
              <w:rPr>
                <w:rFonts w:ascii="Arial" w:cs="Arial" w:eastAsia="Arial" w:hAnsi="Arial"/>
                <w:sz w:val="18"/>
                <w:szCs w:val="18"/>
                <w:color w:val="auto"/>
              </w:rPr>
              <w:t>Net cash used in operating activities</w:t>
            </w: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(128,143)</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INVESTING CASH FLOW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equipment and leasehold improvements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line="203" w:lineRule="exact"/>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FINANCING CASH FLOW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long-term debt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Debt issuance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Offering costs for common stock issuance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Payment of employee tax obligations related to vesting restricted stock units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Exercise of stock options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24,399</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96,187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193,725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 end of the period</w:t>
            </w: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89,961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Issuance of stock purchase warrants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BIOXCEL THERAPEUTICS, INC.</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(amounts in thousands, except per share amounts and where otherwise noted)</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Nature of the Business</w:t>
      </w:r>
    </w:p>
    <w:p>
      <w:pPr>
        <w:spacing w:after="0" w:line="193" w:lineRule="exact"/>
        <w:rPr>
          <w:sz w:val="20"/>
          <w:szCs w:val="20"/>
          <w:color w:val="auto"/>
        </w:rPr>
      </w:pPr>
    </w:p>
    <w:p>
      <w:pPr>
        <w:ind w:left="40" w:right="239" w:firstLine="315"/>
        <w:spacing w:after="0" w:line="281" w:lineRule="auto"/>
        <w:rPr>
          <w:sz w:val="20"/>
          <w:szCs w:val="20"/>
          <w:color w:val="auto"/>
        </w:rPr>
      </w:pPr>
      <w:r>
        <w:rPr>
          <w:rFonts w:ascii="Arial" w:cs="Arial" w:eastAsia="Arial" w:hAnsi="Arial"/>
          <w:sz w:val="16"/>
          <w:szCs w:val="16"/>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unique AI platforms designed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30" w:lineRule="exact"/>
        <w:rPr>
          <w:sz w:val="20"/>
          <w:szCs w:val="20"/>
          <w:color w:val="auto"/>
        </w:rPr>
      </w:pPr>
    </w:p>
    <w:p>
      <w:pPr>
        <w:ind w:left="40" w:right="179" w:firstLine="315"/>
        <w:spacing w:after="0" w:line="249" w:lineRule="auto"/>
        <w:rPr>
          <w:sz w:val="20"/>
          <w:szCs w:val="20"/>
          <w:color w:val="auto"/>
        </w:rPr>
      </w:pPr>
      <w:r>
        <w:rPr>
          <w:rFonts w:ascii="Arial" w:cs="Arial" w:eastAsia="Arial" w:hAnsi="Arial"/>
          <w:sz w:val="18"/>
          <w:szCs w:val="18"/>
          <w:color w:val="auto"/>
        </w:rPr>
        <w:t>As used in these condensed consolidated financial statements, unless otherwise specified or the context otherwise requires, the term “BioXcel LLC” refers to the Company’s former parent and current significant stockholder and its predecessor, BioXcel Corporation. “OnkosXcel” refers to BTI’s wholly owned subsidiary for its advanced immuno-oncology assets, OnkosXcel Therapeutics, LLC.</w:t>
      </w:r>
    </w:p>
    <w:p>
      <w:pPr>
        <w:spacing w:after="0" w:line="143" w:lineRule="exact"/>
        <w:rPr>
          <w:sz w:val="20"/>
          <w:szCs w:val="20"/>
          <w:color w:val="auto"/>
        </w:rPr>
      </w:pPr>
    </w:p>
    <w:p>
      <w:pPr>
        <w:ind w:left="40" w:right="199" w:firstLine="315"/>
        <w:spacing w:after="0" w:line="205" w:lineRule="auto"/>
        <w:rPr>
          <w:sz w:val="20"/>
          <w:szCs w:val="20"/>
          <w:color w:val="auto"/>
        </w:rPr>
      </w:pPr>
      <w:r>
        <w:rPr>
          <w:rFonts w:ascii="Arial" w:cs="Arial" w:eastAsia="Arial" w:hAnsi="Arial"/>
          <w:sz w:val="17"/>
          <w:szCs w:val="17"/>
          <w:color w:val="auto"/>
        </w:rPr>
        <w:t>On April 6, 2022, BTI announced that the U.S. FDA approved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(dexmedetomidine or “Dex”) sublingual film for the acute treatment of agitation associated with schizophrenia or bipolar I or II disorder in adults.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is approved to be self-administrated by patients under the supervision of a healthcare provider. On July 6, 2022, BTI announced that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was commercially available in doses of 120 and 180 micrograms through the Company’s third-party logistics provider and was available for order through wholesalers.</w:t>
      </w:r>
    </w:p>
    <w:p>
      <w:pPr>
        <w:spacing w:after="0" w:line="174" w:lineRule="exact"/>
        <w:rPr>
          <w:sz w:val="20"/>
          <w:szCs w:val="20"/>
          <w:color w:val="auto"/>
        </w:rPr>
      </w:pPr>
    </w:p>
    <w:p>
      <w:pPr>
        <w:ind w:left="40" w:right="159" w:firstLine="315"/>
        <w:spacing w:after="0" w:line="216" w:lineRule="auto"/>
        <w:rPr>
          <w:sz w:val="20"/>
          <w:szCs w:val="20"/>
          <w:color w:val="auto"/>
        </w:rPr>
      </w:pPr>
      <w:r>
        <w:rPr>
          <w:rFonts w:ascii="Arial" w:cs="Arial" w:eastAsia="Arial" w:hAnsi="Arial"/>
          <w:sz w:val="18"/>
          <w:szCs w:val="18"/>
          <w:color w:val="auto"/>
        </w:rPr>
        <w:t>The Company’s most advanced development program is BXCL501. In indications other than those approved by the FDA as IGALMI</w:t>
      </w:r>
      <w:r>
        <w:rPr>
          <w:rFonts w:ascii="Arial" w:cs="Arial" w:eastAsia="Arial" w:hAnsi="Arial"/>
          <w:sz w:val="26"/>
          <w:szCs w:val="26"/>
          <w:color w:val="auto"/>
          <w:vertAlign w:val="superscript"/>
        </w:rPr>
        <w:t>TM</w:t>
      </w:r>
      <w:r>
        <w:rPr>
          <w:rFonts w:ascii="Arial" w:cs="Arial" w:eastAsia="Arial" w:hAnsi="Arial"/>
          <w:sz w:val="18"/>
          <w:szCs w:val="18"/>
          <w:color w:val="auto"/>
        </w:rPr>
        <w:t>, BXCL501 is an investigational proprietary, orally dissolving film formulation of Dex for the treatment of agitation associated with psychiatric and neurological disorders.</w:t>
      </w:r>
    </w:p>
    <w:p>
      <w:pPr>
        <w:spacing w:after="0" w:line="160" w:lineRule="exact"/>
        <w:rPr>
          <w:sz w:val="20"/>
          <w:szCs w:val="20"/>
          <w:color w:val="auto"/>
        </w:rPr>
      </w:pPr>
    </w:p>
    <w:p>
      <w:pPr>
        <w:ind w:left="40" w:right="239" w:firstLine="315"/>
        <w:spacing w:after="0" w:line="252" w:lineRule="auto"/>
        <w:rPr>
          <w:sz w:val="20"/>
          <w:szCs w:val="20"/>
          <w:color w:val="auto"/>
        </w:rPr>
      </w:pPr>
      <w:r>
        <w:rPr>
          <w:rFonts w:ascii="Arial" w:cs="Arial" w:eastAsia="Arial" w:hAnsi="Arial"/>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50" w:lineRule="exact"/>
        <w:rPr>
          <w:sz w:val="20"/>
          <w:szCs w:val="20"/>
          <w:color w:val="auto"/>
        </w:rPr>
      </w:pPr>
    </w:p>
    <w:p>
      <w:pPr>
        <w:ind w:left="40" w:right="279" w:firstLine="315"/>
        <w:spacing w:after="0" w:line="261" w:lineRule="auto"/>
        <w:rPr>
          <w:sz w:val="20"/>
          <w:szCs w:val="20"/>
          <w:color w:val="auto"/>
        </w:rPr>
      </w:pPr>
      <w:r>
        <w:rPr>
          <w:rFonts w:ascii="Arial" w:cs="Arial" w:eastAsia="Arial" w:hAnsi="Arial"/>
          <w:sz w:val="18"/>
          <w:szCs w:val="18"/>
          <w:color w:val="auto"/>
        </w:rPr>
        <w:t>BTI was incorporated under the laws of the State of Delaware on March 29, 2017. The Company’s principal office is in New Haven, Connecticut.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Basis of Presentation</w:t>
      </w:r>
    </w:p>
    <w:p>
      <w:pPr>
        <w:spacing w:after="0" w:line="180" w:lineRule="exact"/>
        <w:rPr>
          <w:sz w:val="20"/>
          <w:szCs w:val="20"/>
          <w:color w:val="auto"/>
        </w:rPr>
      </w:pPr>
    </w:p>
    <w:p>
      <w:pPr>
        <w:ind w:left="40" w:right="199" w:firstLine="315"/>
        <w:spacing w:after="0" w:line="279" w:lineRule="auto"/>
        <w:rPr>
          <w:sz w:val="20"/>
          <w:szCs w:val="20"/>
          <w:color w:val="auto"/>
        </w:rPr>
      </w:pPr>
      <w:r>
        <w:rPr>
          <w:rFonts w:ascii="Arial" w:cs="Arial" w:eastAsia="Arial" w:hAnsi="Arial"/>
          <w:sz w:val="16"/>
          <w:szCs w:val="16"/>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2023, the results of its operations for the three and nine months ended September 30, 2023 and 2022 and its cash flows for the nine months ended September 30, 2023 and 2022. The results for the three and nine months ended September 30, 2023 are not necessarily indicative of results to be expected for the year ending December 31, 2023, any other interim periods or any future year or period. The accompanying unaudited interim condensed consolidated financial statements of the Company should be read in conjunction with the audited financial statements and notes</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719"/>
        <w:spacing w:after="0" w:line="261" w:lineRule="auto"/>
        <w:rPr>
          <w:sz w:val="20"/>
          <w:szCs w:val="20"/>
          <w:color w:val="auto"/>
        </w:rPr>
      </w:pPr>
      <w:r>
        <w:rPr>
          <w:rFonts w:ascii="Arial" w:cs="Arial" w:eastAsia="Arial" w:hAnsi="Arial"/>
          <w:sz w:val="18"/>
          <w:szCs w:val="18"/>
          <w:color w:val="auto"/>
        </w:rPr>
        <w:t>thereto included in the Company’s Annual Report on Form 10-K for the year ended December 31, 2022 filed with the Securities and Exchange Commission on March 16, 2023.</w:t>
      </w:r>
    </w:p>
    <w:p>
      <w:pPr>
        <w:spacing w:after="0" w:line="154" w:lineRule="exact"/>
        <w:rPr>
          <w:sz w:val="20"/>
          <w:szCs w:val="20"/>
          <w:color w:val="auto"/>
        </w:rPr>
      </w:pPr>
    </w:p>
    <w:p>
      <w:pPr>
        <w:ind w:left="40" w:right="279" w:firstLine="315"/>
        <w:spacing w:after="0" w:line="252" w:lineRule="auto"/>
        <w:rPr>
          <w:sz w:val="20"/>
          <w:szCs w:val="20"/>
          <w:color w:val="auto"/>
        </w:rPr>
      </w:pPr>
      <w:r>
        <w:rPr>
          <w:rFonts w:ascii="Arial" w:cs="Arial" w:eastAsia="Arial" w:hAnsi="Arial"/>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2023, the Company had cash and cash equivalents of $89,961 and an accumulated deficit of</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$568,342. BTI has incurred substantial net losses and negative cash flows from operating activities in nearly every fiscal</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period since inception and expects this trend to continue for the foreseeable future. The Company recognized net losses of</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$50,486 and $41,805 for the three months ended September 30, 2023 and 2022, respectively, and $156,797 and $110,949 for</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nine months ended September 30, 2023 and 2022, respectively, and had net cash used in operating activities of $128,143</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$96,702 for the nine months ended September 30, 2023 and 2022, respectively.</w:t>
      </w:r>
    </w:p>
    <w:p>
      <w:pPr>
        <w:spacing w:after="0" w:line="162" w:lineRule="exact"/>
        <w:rPr>
          <w:sz w:val="20"/>
          <w:szCs w:val="20"/>
          <w:color w:val="auto"/>
        </w:rPr>
      </w:pPr>
    </w:p>
    <w:p>
      <w:pPr>
        <w:ind w:left="40" w:right="239" w:firstLine="315"/>
        <w:spacing w:after="0" w:line="345" w:lineRule="auto"/>
        <w:rPr>
          <w:sz w:val="20"/>
          <w:szCs w:val="20"/>
          <w:color w:val="auto"/>
        </w:rPr>
      </w:pPr>
      <w:r>
        <w:rPr>
          <w:rFonts w:ascii="Arial" w:cs="Arial" w:eastAsia="Arial" w:hAnsi="Arial"/>
          <w:sz w:val="15"/>
          <w:szCs w:val="15"/>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58" w:lineRule="exact"/>
        <w:rPr>
          <w:sz w:val="20"/>
          <w:szCs w:val="20"/>
          <w:color w:val="auto"/>
        </w:rPr>
      </w:pPr>
    </w:p>
    <w:p>
      <w:pPr>
        <w:ind w:left="40" w:right="299" w:firstLine="315"/>
        <w:spacing w:after="0" w:line="294" w:lineRule="auto"/>
        <w:rPr>
          <w:sz w:val="20"/>
          <w:szCs w:val="20"/>
          <w:color w:val="auto"/>
        </w:rPr>
      </w:pPr>
      <w:r>
        <w:rPr>
          <w:rFonts w:ascii="Arial" w:cs="Arial" w:eastAsia="Arial" w:hAnsi="Arial"/>
          <w:sz w:val="16"/>
          <w:szCs w:val="16"/>
          <w:color w:val="auto"/>
        </w:rPr>
        <w:t xml:space="preserve">The Company’s history of significant losses, its negative cash flows from operations, potential near-term, increased covenant-driven payments under its OFA Facilities (as defined in Note 9, </w:t>
      </w:r>
      <w:r>
        <w:rPr>
          <w:rFonts w:ascii="Arial" w:cs="Arial" w:eastAsia="Arial" w:hAnsi="Arial"/>
          <w:sz w:val="16"/>
          <w:szCs w:val="16"/>
          <w:i w:val="1"/>
          <w:iCs w:val="1"/>
          <w:color w:val="auto"/>
        </w:rPr>
        <w:t>Debt and Credit Facilities</w:t>
      </w:r>
      <w:r>
        <w:rPr>
          <w:rFonts w:ascii="Arial" w:cs="Arial" w:eastAsia="Arial" w:hAnsi="Arial"/>
          <w:sz w:val="16"/>
          <w:szCs w:val="16"/>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107" w:lineRule="exact"/>
        <w:rPr>
          <w:sz w:val="20"/>
          <w:szCs w:val="20"/>
          <w:color w:val="auto"/>
        </w:rPr>
      </w:pPr>
    </w:p>
    <w:p>
      <w:pPr>
        <w:ind w:left="40" w:right="139" w:firstLine="315"/>
        <w:spacing w:after="0" w:line="291" w:lineRule="auto"/>
        <w:rPr>
          <w:sz w:val="20"/>
          <w:szCs w:val="20"/>
          <w:color w:val="auto"/>
        </w:rPr>
      </w:pPr>
      <w:r>
        <w:rPr>
          <w:rFonts w:ascii="Arial" w:cs="Arial" w:eastAsia="Arial" w:hAnsi="Arial"/>
          <w:sz w:val="16"/>
          <w:szCs w:val="16"/>
          <w:color w:val="auto"/>
        </w:rPr>
        <w:t xml:space="preserve">This going concern evaluation takes into consideration the potential mitigating effect of management’s Reprioritization (as defined in Note 4, </w:t>
      </w:r>
      <w:r>
        <w:rPr>
          <w:rFonts w:ascii="Arial" w:cs="Arial" w:eastAsia="Arial" w:hAnsi="Arial"/>
          <w:sz w:val="16"/>
          <w:szCs w:val="16"/>
          <w:i w:val="1"/>
          <w:iCs w:val="1"/>
          <w:color w:val="auto"/>
        </w:rPr>
        <w:t>Restructuring</w:t>
      </w:r>
      <w:r>
        <w:rPr>
          <w:rFonts w:ascii="Arial" w:cs="Arial" w:eastAsia="Arial" w:hAnsi="Arial"/>
          <w:sz w:val="16"/>
          <w:szCs w:val="16"/>
          <w:color w:val="auto"/>
        </w:rPr>
        <w:t>).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will not mitigate the entity’s ability to continue as a going concern within one year after the date that the financial statements are issued.</w:t>
      </w:r>
    </w:p>
    <w:p>
      <w:pPr>
        <w:spacing w:after="0" w:line="96" w:lineRule="exact"/>
        <w:rPr>
          <w:sz w:val="20"/>
          <w:szCs w:val="20"/>
          <w:color w:val="auto"/>
        </w:rPr>
      </w:pPr>
    </w:p>
    <w:p>
      <w:pPr>
        <w:ind w:left="40" w:right="259" w:firstLine="315"/>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amendments to or restructuring of the OFA Facilities or other potential sources of debt or equity capital.</w:t>
      </w:r>
    </w:p>
    <w:p>
      <w:pPr>
        <w:spacing w:after="0" w:line="123" w:lineRule="exact"/>
        <w:rPr>
          <w:sz w:val="20"/>
          <w:szCs w:val="20"/>
          <w:color w:val="auto"/>
        </w:rPr>
      </w:pPr>
    </w:p>
    <w:p>
      <w:pPr>
        <w:ind w:left="40" w:right="279" w:firstLine="315"/>
        <w:spacing w:after="0" w:line="299" w:lineRule="auto"/>
        <w:rPr>
          <w:sz w:val="20"/>
          <w:szCs w:val="20"/>
          <w:color w:val="auto"/>
        </w:rPr>
      </w:pPr>
      <w:r>
        <w:rPr>
          <w:rFonts w:ascii="Arial" w:cs="Arial" w:eastAsia="Arial" w:hAnsi="Arial"/>
          <w:sz w:val="16"/>
          <w:szCs w:val="16"/>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89" w:lineRule="exact"/>
        <w:rPr>
          <w:sz w:val="20"/>
          <w:szCs w:val="20"/>
          <w:color w:val="auto"/>
        </w:rPr>
      </w:pPr>
    </w:p>
    <w:p>
      <w:pPr>
        <w:ind w:left="700" w:hanging="31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funding through the sale of the Company’s equity securities;</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funding through third-party investments in or other strategic options for OnkosXcel;</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funding through debt financing and/or restructuring of its existing OFA Facilities;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hanging="31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collaborations with potential partners to advance the Company’s product pipeline;</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collaborations with potential marketing partners;</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overhead and headcount to focus on core priorities; and/or</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40" w:lineRule="exact"/>
        <w:rPr>
          <w:sz w:val="20"/>
          <w:szCs w:val="20"/>
          <w:color w:val="auto"/>
        </w:rPr>
      </w:pPr>
    </w:p>
    <w:p>
      <w:pPr>
        <w:ind w:left="40" w:right="279" w:firstLine="315"/>
        <w:spacing w:after="0" w:line="259" w:lineRule="auto"/>
        <w:rPr>
          <w:sz w:val="20"/>
          <w:szCs w:val="20"/>
          <w:color w:val="auto"/>
        </w:rPr>
      </w:pPr>
      <w:r>
        <w:rPr>
          <w:rFonts w:ascii="Arial" w:cs="Arial" w:eastAsia="Arial" w:hAnsi="Arial"/>
          <w:sz w:val="18"/>
          <w:szCs w:val="18"/>
          <w:color w:val="auto"/>
        </w:rPr>
        <w:t>If the Company is unable to raise capital when needed or on acceptable terms, refinance or restructure its existing OFA Facilities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left="40" w:right="399" w:firstLine="315"/>
        <w:spacing w:after="0" w:line="290"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amounts reported in the condensed consolidated financial statements and notes thereto. Although these estimates are based on the Company’s knowledge of current events and actions it may undertake in the future, actual results may ultimately materially differ from these estimates.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Cash and Cash Equivalents</w:t>
      </w:r>
    </w:p>
    <w:p>
      <w:pPr>
        <w:spacing w:after="0" w:line="180" w:lineRule="exact"/>
        <w:rPr>
          <w:sz w:val="20"/>
          <w:szCs w:val="20"/>
          <w:color w:val="auto"/>
        </w:rPr>
      </w:pPr>
    </w:p>
    <w:p>
      <w:pPr>
        <w:ind w:left="40" w:right="519" w:firstLine="315"/>
        <w:spacing w:after="0" w:line="290"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September 30, 2023 and December 31, 2022,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Accounts Receivable, Net</w:t>
      </w:r>
    </w:p>
    <w:p>
      <w:pPr>
        <w:spacing w:after="0" w:line="171" w:lineRule="exact"/>
        <w:rPr>
          <w:sz w:val="20"/>
          <w:szCs w:val="20"/>
          <w:color w:val="auto"/>
        </w:rPr>
      </w:pPr>
    </w:p>
    <w:p>
      <w:pPr>
        <w:ind w:left="40" w:right="259" w:firstLine="315"/>
        <w:spacing w:after="0" w:line="286" w:lineRule="auto"/>
        <w:rPr>
          <w:sz w:val="20"/>
          <w:szCs w:val="20"/>
          <w:color w:val="auto"/>
        </w:rPr>
      </w:pPr>
      <w:r>
        <w:rPr>
          <w:rFonts w:ascii="Arial" w:cs="Arial" w:eastAsia="Arial" w:hAnsi="Arial"/>
          <w:sz w:val="15"/>
          <w:szCs w:val="15"/>
          <w:color w:val="auto"/>
        </w:rPr>
        <w:t>Accounts receivable arise from sales of IGALMI</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September 30, 2023, the Company determined that an allowance for credit losses was not required.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Concentrations of Credit Risk</w:t>
      </w:r>
    </w:p>
    <w:p>
      <w:pPr>
        <w:spacing w:after="0" w:line="184" w:lineRule="exact"/>
        <w:rPr>
          <w:sz w:val="20"/>
          <w:szCs w:val="20"/>
          <w:color w:val="auto"/>
        </w:rPr>
      </w:pPr>
    </w:p>
    <w:p>
      <w:pPr>
        <w:ind w:left="40" w:right="159" w:firstLine="315"/>
        <w:spacing w:after="0" w:line="228" w:lineRule="auto"/>
        <w:rPr>
          <w:sz w:val="20"/>
          <w:szCs w:val="20"/>
          <w:color w:val="auto"/>
        </w:rPr>
      </w:pPr>
      <w:r>
        <w:rPr>
          <w:rFonts w:ascii="Arial" w:cs="Arial" w:eastAsia="Arial" w:hAnsi="Arial"/>
          <w:sz w:val="18"/>
          <w:szCs w:val="18"/>
          <w:color w:val="auto"/>
        </w:rPr>
        <w:t>The Company sells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through a drop-ship program under which orders from hospitals and similar health care institutions are processed through wholesalers, but shipments of the product are sent directly to the individual hospitals and similar health care institutions. BTI also contracts directly with certain hospitals, and intermediaries such as group purchasing organizations (“GPOs”). All trade accounts receivables are due from the distributor that fulfills orders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Inventory</w:t>
      </w:r>
    </w:p>
    <w:p>
      <w:pPr>
        <w:spacing w:after="0" w:line="193" w:lineRule="exact"/>
        <w:rPr>
          <w:sz w:val="20"/>
          <w:szCs w:val="20"/>
          <w:color w:val="auto"/>
        </w:rPr>
      </w:pPr>
    </w:p>
    <w:p>
      <w:pPr>
        <w:ind w:left="40" w:right="559" w:firstLine="315"/>
        <w:spacing w:after="0" w:line="261" w:lineRule="auto"/>
        <w:rPr>
          <w:sz w:val="20"/>
          <w:szCs w:val="20"/>
          <w:color w:val="auto"/>
        </w:rPr>
      </w:pPr>
      <w:r>
        <w:rPr>
          <w:rFonts w:ascii="Arial" w:cs="Arial" w:eastAsia="Arial" w:hAnsi="Arial"/>
          <w:sz w:val="18"/>
          <w:szCs w:val="18"/>
          <w:color w:val="auto"/>
        </w:rPr>
        <w:t>Inventory is stated at the lower of cost or net realizable value. Cost of inventory is determined on a first-in, first-out basis.</w:t>
      </w:r>
    </w:p>
    <w:p>
      <w:pPr>
        <w:spacing w:after="0" w:line="141" w:lineRule="exact"/>
        <w:rPr>
          <w:sz w:val="20"/>
          <w:szCs w:val="20"/>
          <w:color w:val="auto"/>
        </w:rPr>
      </w:pPr>
    </w:p>
    <w:p>
      <w:pPr>
        <w:ind w:left="40" w:right="299" w:firstLine="315"/>
        <w:spacing w:after="0" w:line="249" w:lineRule="auto"/>
        <w:rPr>
          <w:sz w:val="20"/>
          <w:szCs w:val="20"/>
          <w:color w:val="auto"/>
        </w:rPr>
      </w:pPr>
      <w:r>
        <w:rPr>
          <w:rFonts w:ascii="Arial" w:cs="Arial" w:eastAsia="Arial" w:hAnsi="Arial"/>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Condensed Consolidated Statements of Operations.</w:t>
      </w:r>
    </w:p>
    <w:p>
      <w:pPr>
        <w:spacing w:after="0" w:line="153" w:lineRule="exact"/>
        <w:rPr>
          <w:sz w:val="20"/>
          <w:szCs w:val="20"/>
          <w:color w:val="auto"/>
        </w:rPr>
      </w:pPr>
    </w:p>
    <w:p>
      <w:pPr>
        <w:ind w:left="40" w:right="299" w:firstLine="315"/>
        <w:spacing w:after="0" w:line="286" w:lineRule="auto"/>
        <w:rPr>
          <w:sz w:val="20"/>
          <w:szCs w:val="20"/>
          <w:color w:val="auto"/>
        </w:rPr>
      </w:pPr>
      <w:r>
        <w:rPr>
          <w:rFonts w:ascii="Arial" w:cs="Arial" w:eastAsia="Arial" w:hAnsi="Arial"/>
          <w:sz w:val="16"/>
          <w:szCs w:val="16"/>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are recorded within Cost of goods sold in the Condensed Consolidated Statements of Operations. The determination of whether inventory costs will be realizable requires estimates by management. If actual market conditions are less favorable than projected, write-downs of inventory may be required.</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Deferred Initial Public Offering Costs</w:t>
      </w:r>
    </w:p>
    <w:p>
      <w:pPr>
        <w:spacing w:after="0" w:line="180" w:lineRule="exact"/>
        <w:rPr>
          <w:sz w:val="20"/>
          <w:szCs w:val="20"/>
          <w:color w:val="auto"/>
        </w:rPr>
      </w:pPr>
    </w:p>
    <w:p>
      <w:pPr>
        <w:ind w:left="40" w:right="239" w:firstLine="315"/>
        <w:spacing w:after="0" w:line="290" w:lineRule="auto"/>
        <w:rPr>
          <w:sz w:val="20"/>
          <w:szCs w:val="20"/>
          <w:color w:val="auto"/>
        </w:rPr>
      </w:pPr>
      <w:r>
        <w:rPr>
          <w:rFonts w:ascii="Arial" w:cs="Arial" w:eastAsia="Arial" w:hAnsi="Arial"/>
          <w:sz w:val="16"/>
          <w:szCs w:val="16"/>
          <w:color w:val="auto"/>
        </w:rPr>
        <w:t>Deferred initial public offering costs of $2,570, consisted of legal, accounting, and other costs that were directly related to the Company’s proposed initial public offering of OnkosXcel. These costs were charged to the Condensed Consolidated Statements of Operations during the three-month period ended September 30, 2023 as the initial public offering was delayed for an extended period of time. The costs were recorded as Selling, general and administrative expenses.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Property and Equipment</w:t>
      </w:r>
    </w:p>
    <w:p>
      <w:pPr>
        <w:spacing w:after="0" w:line="193" w:lineRule="exact"/>
        <w:rPr>
          <w:sz w:val="20"/>
          <w:szCs w:val="20"/>
          <w:color w:val="auto"/>
        </w:rPr>
      </w:pPr>
    </w:p>
    <w:p>
      <w:pPr>
        <w:ind w:left="40" w:right="659" w:firstLine="315"/>
        <w:spacing w:after="0" w:line="261" w:lineRule="auto"/>
        <w:rPr>
          <w:sz w:val="20"/>
          <w:szCs w:val="20"/>
          <w:color w:val="auto"/>
        </w:rPr>
      </w:pPr>
      <w:r>
        <w:rPr>
          <w:rFonts w:ascii="Arial" w:cs="Arial" w:eastAsia="Arial" w:hAnsi="Arial"/>
          <w:sz w:val="18"/>
          <w:szCs w:val="18"/>
          <w:color w:val="auto"/>
        </w:rPr>
        <w:t>Property and equipment are recorded at cost and depreciated over the shorter of their remaining lease term or their estimated useful life on a straight-line basis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Furniture</w:t>
            </w:r>
          </w:p>
        </w:tc>
        <w:tc>
          <w:tcPr>
            <w:tcW w:w="506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198" w:lineRule="exact"/>
        <w:rPr>
          <w:sz w:val="20"/>
          <w:szCs w:val="20"/>
          <w:color w:val="auto"/>
        </w:rPr>
      </w:pPr>
    </w:p>
    <w:p>
      <w:pPr>
        <w:ind w:left="40" w:right="319" w:firstLine="315"/>
        <w:spacing w:after="0" w:line="290" w:lineRule="auto"/>
        <w:rPr>
          <w:sz w:val="20"/>
          <w:szCs w:val="20"/>
          <w:color w:val="auto"/>
        </w:rPr>
      </w:pPr>
      <w:r>
        <w:rPr>
          <w:rFonts w:ascii="Arial" w:cs="Arial" w:eastAsia="Arial" w:hAnsi="Arial"/>
          <w:sz w:val="16"/>
          <w:szCs w:val="16"/>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Selling, general and administrative expenses in the Condensed Consolidated Statements of Operations.</w:t>
      </w:r>
    </w:p>
    <w:p>
      <w:pPr>
        <w:spacing w:after="0" w:line="123" w:lineRule="exact"/>
        <w:rPr>
          <w:sz w:val="20"/>
          <w:szCs w:val="20"/>
          <w:color w:val="auto"/>
        </w:rPr>
      </w:pPr>
    </w:p>
    <w:p>
      <w:pPr>
        <w:ind w:left="40" w:right="139" w:firstLine="315"/>
        <w:spacing w:after="0" w:line="296" w:lineRule="auto"/>
        <w:rPr>
          <w:sz w:val="20"/>
          <w:szCs w:val="20"/>
          <w:color w:val="auto"/>
        </w:rPr>
      </w:pPr>
      <w:r>
        <w:rPr>
          <w:rFonts w:ascii="Arial" w:cs="Arial" w:eastAsia="Arial" w:hAnsi="Arial"/>
          <w:sz w:val="15"/>
          <w:szCs w:val="15"/>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to be disposed of are reported at the lower of the carrying amount or the fair value less costs to sell.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Leases</w:t>
      </w:r>
    </w:p>
    <w:p>
      <w:pPr>
        <w:spacing w:after="0" w:line="180" w:lineRule="exact"/>
        <w:rPr>
          <w:sz w:val="20"/>
          <w:szCs w:val="20"/>
          <w:color w:val="auto"/>
        </w:rPr>
      </w:pPr>
    </w:p>
    <w:p>
      <w:pPr>
        <w:ind w:left="40" w:right="559" w:firstLine="315"/>
        <w:spacing w:after="0" w:line="252"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assets, Other current liabilities, and the Long-term portion of operating lease liabilities in the Condensed Consolidated Balance Sheets.</w:t>
      </w:r>
    </w:p>
    <w:p>
      <w:pPr>
        <w:spacing w:after="0" w:line="150" w:lineRule="exact"/>
        <w:rPr>
          <w:sz w:val="20"/>
          <w:szCs w:val="20"/>
          <w:color w:val="auto"/>
        </w:rPr>
      </w:pPr>
    </w:p>
    <w:p>
      <w:pPr>
        <w:ind w:left="40" w:right="299" w:firstLine="315"/>
        <w:spacing w:after="0" w:line="290" w:lineRule="auto"/>
        <w:rPr>
          <w:sz w:val="20"/>
          <w:szCs w:val="20"/>
          <w:color w:val="auto"/>
        </w:rPr>
      </w:pPr>
      <w:r>
        <w:rPr>
          <w:rFonts w:ascii="Arial" w:cs="Arial" w:eastAsia="Arial" w:hAnsi="Arial"/>
          <w:sz w:val="16"/>
          <w:szCs w:val="16"/>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315" w:lineRule="auto"/>
        <w:rPr>
          <w:sz w:val="20"/>
          <w:szCs w:val="20"/>
          <w:color w:val="auto"/>
        </w:rPr>
      </w:pPr>
      <w:r>
        <w:rPr>
          <w:rFonts w:ascii="Arial" w:cs="Arial" w:eastAsia="Arial" w:hAnsi="Arial"/>
          <w:sz w:val="15"/>
          <w:szCs w:val="15"/>
          <w:color w:val="auto"/>
        </w:rPr>
        <w:t>borrowing rate based on the information available at commencement date in determining the present value of lease 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and Detachable Warrants</w:t>
      </w:r>
    </w:p>
    <w:p>
      <w:pPr>
        <w:spacing w:after="0" w:line="180" w:lineRule="exact"/>
        <w:rPr>
          <w:sz w:val="20"/>
          <w:szCs w:val="20"/>
          <w:color w:val="auto"/>
        </w:rPr>
      </w:pPr>
    </w:p>
    <w:p>
      <w:pPr>
        <w:ind w:left="40" w:right="139" w:firstLine="315"/>
        <w:spacing w:after="0" w:line="280" w:lineRule="auto"/>
        <w:rPr>
          <w:sz w:val="20"/>
          <w:szCs w:val="20"/>
          <w:color w:val="auto"/>
        </w:rPr>
      </w:pPr>
      <w:r>
        <w:rPr>
          <w:rFonts w:ascii="Arial" w:cs="Arial" w:eastAsia="Arial" w:hAnsi="Arial"/>
          <w:sz w:val="16"/>
          <w:szCs w:val="16"/>
          <w:color w:val="auto"/>
        </w:rPr>
        <w:t>Detachable warrants are evaluated for classification as either equity instruments, derivative liabilities, or liabilities depending on the specific terms of the warrant agreement.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Arial" w:cs="Arial" w:eastAsia="Arial" w:hAnsi="Arial"/>
          <w:sz w:val="16"/>
          <w:szCs w:val="16"/>
          <w:i w:val="1"/>
          <w:iCs w:val="1"/>
          <w:color w:val="auto"/>
        </w:rPr>
        <w:t>Derivative Assets and Liabilities</w:t>
      </w:r>
      <w:r>
        <w:rPr>
          <w:rFonts w:ascii="Arial" w:cs="Arial" w:eastAsia="Arial" w:hAnsi="Arial"/>
          <w:sz w:val="16"/>
          <w:szCs w:val="16"/>
          <w:color w:val="auto"/>
        </w:rPr>
        <w:t>” section of this Note and as a debt discount.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spacing w:after="0" w:line="132"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Derivative Assets and Liabilities</w:t>
      </w:r>
    </w:p>
    <w:p>
      <w:pPr>
        <w:spacing w:after="0" w:line="180" w:lineRule="exact"/>
        <w:rPr>
          <w:sz w:val="20"/>
          <w:szCs w:val="20"/>
          <w:color w:val="auto"/>
        </w:rPr>
      </w:pPr>
    </w:p>
    <w:p>
      <w:pPr>
        <w:ind w:left="40" w:right="439" w:firstLine="315"/>
        <w:spacing w:after="0" w:line="290" w:lineRule="auto"/>
        <w:rPr>
          <w:sz w:val="20"/>
          <w:szCs w:val="20"/>
          <w:color w:val="auto"/>
        </w:rPr>
      </w:pPr>
      <w:r>
        <w:rPr>
          <w:rFonts w:ascii="Arial" w:cs="Arial" w:eastAsia="Arial" w:hAnsi="Arial"/>
          <w:sz w:val="16"/>
          <w:szCs w:val="16"/>
          <w:color w:val="auto"/>
        </w:rPr>
        <w:t>Derivative assets and liabilities are recorded on the Company`s Condensed Consolidated Balance Sheets at their fair value on the date of issuance and are revalued on each balance sheet date until such instruments are settled or expire, with changes in the fair value between reporting periods recorded as other income or expense within Other income, net in the Condensed Consolidated Statements of Operations.</w:t>
      </w:r>
    </w:p>
    <w:p>
      <w:pPr>
        <w:spacing w:after="0" w:line="123" w:lineRule="exact"/>
        <w:rPr>
          <w:sz w:val="20"/>
          <w:szCs w:val="20"/>
          <w:color w:val="auto"/>
        </w:rPr>
      </w:pPr>
    </w:p>
    <w:p>
      <w:pPr>
        <w:ind w:left="40" w:right="199" w:firstLine="315"/>
        <w:spacing w:after="0" w:line="299" w:lineRule="auto"/>
        <w:rPr>
          <w:sz w:val="20"/>
          <w:szCs w:val="20"/>
          <w:color w:val="auto"/>
        </w:rPr>
      </w:pPr>
      <w:r>
        <w:rPr>
          <w:rFonts w:ascii="Arial" w:cs="Arial" w:eastAsia="Arial" w:hAnsi="Arial"/>
          <w:sz w:val="16"/>
          <w:szCs w:val="16"/>
          <w:color w:val="auto"/>
        </w:rPr>
        <w:t>The Company does not use derivative instruments for speculative purposes or to hedge exposures to cash flow or market risks. Certain financing facilities entered into by the Company include freestanding financial instruments and/or embedded features that require separate accounting as derivative assets and/or liabilities.</w:t>
      </w:r>
    </w:p>
    <w:p>
      <w:pPr>
        <w:spacing w:after="0" w:line="127" w:lineRule="exact"/>
        <w:rPr>
          <w:sz w:val="20"/>
          <w:szCs w:val="20"/>
          <w:color w:val="auto"/>
        </w:rPr>
      </w:pPr>
    </w:p>
    <w:p>
      <w:pPr>
        <w:ind w:left="40" w:right="499" w:firstLine="315"/>
        <w:spacing w:after="0" w:line="261"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revenues consist of product sales of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105" w:lineRule="exact"/>
        <w:rPr>
          <w:sz w:val="20"/>
          <w:szCs w:val="20"/>
          <w:color w:val="auto"/>
        </w:rPr>
      </w:pPr>
    </w:p>
    <w:p>
      <w:pPr>
        <w:ind w:left="40" w:right="219" w:firstLine="315"/>
        <w:spacing w:after="0" w:line="280" w:lineRule="auto"/>
        <w:rPr>
          <w:sz w:val="20"/>
          <w:szCs w:val="20"/>
          <w:color w:val="auto"/>
        </w:rPr>
      </w:pPr>
      <w:r>
        <w:rPr>
          <w:rFonts w:ascii="Arial" w:cs="Arial" w:eastAsia="Arial" w:hAnsi="Arial"/>
          <w:sz w:val="16"/>
          <w:szCs w:val="16"/>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99" w:firstLine="315"/>
        <w:spacing w:after="0" w:line="282" w:lineRule="auto"/>
        <w:rPr>
          <w:sz w:val="20"/>
          <w:szCs w:val="20"/>
          <w:color w:val="auto"/>
        </w:rPr>
      </w:pPr>
      <w:r>
        <w:rPr>
          <w:rFonts w:ascii="Arial" w:cs="Arial" w:eastAsia="Arial" w:hAnsi="Arial"/>
          <w:sz w:val="16"/>
          <w:szCs w:val="16"/>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43" w:lineRule="exact"/>
        <w:rPr>
          <w:sz w:val="20"/>
          <w:szCs w:val="20"/>
          <w:color w:val="auto"/>
        </w:rPr>
      </w:pPr>
    </w:p>
    <w:p>
      <w:pPr>
        <w:ind w:left="40" w:right="179" w:firstLine="315"/>
        <w:spacing w:after="0" w:line="290" w:lineRule="auto"/>
        <w:rPr>
          <w:sz w:val="20"/>
          <w:szCs w:val="20"/>
          <w:color w:val="auto"/>
        </w:rPr>
      </w:pPr>
      <w:r>
        <w:rPr>
          <w:rFonts w:ascii="Arial" w:cs="Arial" w:eastAsia="Arial" w:hAnsi="Arial"/>
          <w:sz w:val="16"/>
          <w:szCs w:val="16"/>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13" w:lineRule="exact"/>
        <w:rPr>
          <w:sz w:val="20"/>
          <w:szCs w:val="20"/>
          <w:color w:val="auto"/>
        </w:rPr>
      </w:pPr>
    </w:p>
    <w:p>
      <w:pPr>
        <w:jc w:val="both"/>
        <w:ind w:left="40" w:right="239" w:firstLine="315"/>
        <w:spacing w:after="0" w:line="219" w:lineRule="auto"/>
        <w:rPr>
          <w:sz w:val="20"/>
          <w:szCs w:val="20"/>
          <w:color w:val="auto"/>
        </w:rPr>
      </w:pPr>
      <w:r>
        <w:rPr>
          <w:rFonts w:ascii="Arial" w:cs="Arial" w:eastAsia="Arial" w:hAnsi="Arial"/>
          <w:sz w:val="18"/>
          <w:szCs w:val="18"/>
          <w:color w:val="auto"/>
        </w:rPr>
        <w:t>BTI distributes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 through arrangements with a distributor, wholesalers, and GPOs. The distributor and wholesalers help process and fulfill orders from hospitals on the Company’s behalf. The Company believes the hospitals are its customers.</w:t>
      </w:r>
    </w:p>
    <w:p>
      <w:pPr>
        <w:spacing w:after="0" w:line="161" w:lineRule="exact"/>
        <w:rPr>
          <w:sz w:val="20"/>
          <w:szCs w:val="20"/>
          <w:color w:val="auto"/>
        </w:rPr>
      </w:pPr>
    </w:p>
    <w:p>
      <w:pPr>
        <w:ind w:left="40" w:right="139" w:firstLine="315"/>
        <w:spacing w:after="0" w:line="285" w:lineRule="auto"/>
        <w:rPr>
          <w:sz w:val="20"/>
          <w:szCs w:val="20"/>
          <w:color w:val="auto"/>
        </w:rPr>
      </w:pPr>
      <w:r>
        <w:rPr>
          <w:rFonts w:ascii="Arial" w:cs="Arial" w:eastAsia="Arial" w:hAnsi="Arial"/>
          <w:sz w:val="15"/>
          <w:szCs w:val="15"/>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condensed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Condensed Consolidated Statements of Operations. Under the Company’s current product sales arrangements, BTI does not have contract assets (unbilled receivables), as it generally invoices its customer at the time of revenue recognition.</w:t>
      </w:r>
    </w:p>
    <w:p>
      <w:pPr>
        <w:spacing w:after="0" w:line="134" w:lineRule="exact"/>
        <w:rPr>
          <w:sz w:val="20"/>
          <w:szCs w:val="20"/>
          <w:color w:val="auto"/>
        </w:rPr>
      </w:pPr>
    </w:p>
    <w:p>
      <w:pPr>
        <w:ind w:left="40" w:right="179" w:firstLine="315"/>
        <w:spacing w:after="0" w:line="230" w:lineRule="auto"/>
        <w:rPr>
          <w:sz w:val="20"/>
          <w:szCs w:val="20"/>
          <w:color w:val="auto"/>
        </w:rPr>
      </w:pPr>
      <w:r>
        <w:rPr>
          <w:rFonts w:ascii="Arial" w:cs="Arial" w:eastAsia="Arial" w:hAnsi="Arial"/>
          <w:sz w:val="18"/>
          <w:szCs w:val="18"/>
          <w:color w:val="auto"/>
        </w:rPr>
        <w:t>BTI sells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at wholesale acquisition cost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Trade Discounts and Allowances</w:t>
      </w:r>
    </w:p>
    <w:p>
      <w:pPr>
        <w:spacing w:after="0" w:line="174" w:lineRule="exact"/>
        <w:rPr>
          <w:sz w:val="20"/>
          <w:szCs w:val="20"/>
          <w:color w:val="auto"/>
        </w:rPr>
      </w:pPr>
    </w:p>
    <w:p>
      <w:pPr>
        <w:ind w:left="40" w:right="339" w:firstLine="315"/>
        <w:spacing w:after="0" w:line="249" w:lineRule="auto"/>
        <w:rPr>
          <w:sz w:val="20"/>
          <w:szCs w:val="20"/>
          <w:color w:val="auto"/>
        </w:rPr>
      </w:pPr>
      <w:r>
        <w:rPr>
          <w:rFonts w:ascii="Arial" w:cs="Arial" w:eastAsia="Arial" w:hAnsi="Arial"/>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Government Rebates</w:t>
      </w:r>
    </w:p>
    <w:p>
      <w:pPr>
        <w:spacing w:after="0" w:line="165" w:lineRule="exact"/>
        <w:rPr>
          <w:sz w:val="20"/>
          <w:szCs w:val="20"/>
          <w:color w:val="auto"/>
        </w:rPr>
      </w:pPr>
    </w:p>
    <w:p>
      <w:pPr>
        <w:ind w:left="40" w:right="179" w:firstLine="315"/>
        <w:spacing w:after="0" w:line="252" w:lineRule="auto"/>
        <w:rPr>
          <w:sz w:val="20"/>
          <w:szCs w:val="20"/>
          <w:color w:val="auto"/>
        </w:rPr>
      </w:pPr>
      <w:r>
        <w:rPr>
          <w:rFonts w:ascii="Arial" w:cs="Arial" w:eastAsia="Arial" w:hAnsi="Arial"/>
          <w:sz w:val="16"/>
          <w:szCs w:val="16"/>
          <w:color w:val="auto"/>
        </w:rPr>
        <w:t>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color w:val="auto"/>
        </w:rPr>
        <w:t>revenue and accounts receivable at the time it recognizes the related revenue; other government rebates are recognized as an accrued liability at the time BTI recognizes the related revenue.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Chargebacks</w:t>
      </w:r>
    </w:p>
    <w:p>
      <w:pPr>
        <w:spacing w:after="0" w:line="174" w:lineRule="exact"/>
        <w:rPr>
          <w:sz w:val="20"/>
          <w:szCs w:val="20"/>
          <w:color w:val="auto"/>
        </w:rPr>
      </w:pPr>
    </w:p>
    <w:p>
      <w:pPr>
        <w:ind w:left="40" w:right="239" w:firstLine="315"/>
        <w:spacing w:after="0" w:line="299" w:lineRule="auto"/>
        <w:rPr>
          <w:sz w:val="20"/>
          <w:szCs w:val="20"/>
          <w:color w:val="auto"/>
        </w:rPr>
      </w:pPr>
      <w:r>
        <w:rPr>
          <w:rFonts w:ascii="Arial" w:cs="Arial" w:eastAsia="Arial" w:hAnsi="Arial"/>
          <w:sz w:val="16"/>
          <w:szCs w:val="16"/>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Product Returns</w:t>
      </w:r>
    </w:p>
    <w:p>
      <w:pPr>
        <w:spacing w:after="0" w:line="187" w:lineRule="exact"/>
        <w:rPr>
          <w:sz w:val="20"/>
          <w:szCs w:val="20"/>
          <w:color w:val="auto"/>
        </w:rPr>
      </w:pPr>
    </w:p>
    <w:p>
      <w:pPr>
        <w:ind w:left="40" w:right="279" w:firstLine="315"/>
        <w:spacing w:after="0" w:line="286" w:lineRule="auto"/>
        <w:rPr>
          <w:sz w:val="20"/>
          <w:szCs w:val="20"/>
          <w:color w:val="auto"/>
        </w:rPr>
      </w:pPr>
      <w:r>
        <w:rPr>
          <w:rFonts w:ascii="Arial" w:cs="Arial" w:eastAsia="Arial" w:hAnsi="Arial"/>
          <w:sz w:val="16"/>
          <w:szCs w:val="16"/>
          <w:color w:val="auto"/>
        </w:rPr>
        <w:t>The Company provides contractual return rights to its customers including the right to return product within six months of product expiration and up to twelve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26" w:lineRule="exact"/>
        <w:rPr>
          <w:sz w:val="20"/>
          <w:szCs w:val="20"/>
          <w:color w:val="auto"/>
        </w:rPr>
      </w:pPr>
    </w:p>
    <w:p>
      <w:pPr>
        <w:ind w:left="40" w:right="179" w:firstLine="315"/>
        <w:spacing w:after="0" w:line="249" w:lineRule="auto"/>
        <w:rPr>
          <w:sz w:val="20"/>
          <w:szCs w:val="20"/>
          <w:color w:val="auto"/>
        </w:rPr>
      </w:pPr>
      <w:r>
        <w:rPr>
          <w:rFonts w:ascii="Arial" w:cs="Arial" w:eastAsia="Arial" w:hAnsi="Arial"/>
          <w:sz w:val="18"/>
          <w:szCs w:val="18"/>
          <w:color w:val="auto"/>
        </w:rPr>
        <w:t>BTI classifies all fees paid to the distributor, other than those discussed above and those related to warehouse operations, as Selling, general and administrative expenses on its Condensed Consolidated Statements of Operations. Fees paid to the distributor for warehouse operations are classified as Cost of goods sold on BTI’s Condensed Consolidated Statements of Operations.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Cost of Goods Sold</w:t>
      </w:r>
    </w:p>
    <w:p>
      <w:pPr>
        <w:spacing w:after="0" w:line="193" w:lineRule="exact"/>
        <w:rPr>
          <w:sz w:val="20"/>
          <w:szCs w:val="20"/>
          <w:color w:val="auto"/>
        </w:rPr>
      </w:pPr>
    </w:p>
    <w:p>
      <w:pPr>
        <w:jc w:val="both"/>
        <w:ind w:left="40" w:right="179" w:firstLine="315"/>
        <w:spacing w:after="0" w:line="252" w:lineRule="auto"/>
        <w:rPr>
          <w:sz w:val="20"/>
          <w:szCs w:val="20"/>
          <w:color w:val="auto"/>
        </w:rPr>
      </w:pPr>
      <w:r>
        <w:rPr>
          <w:rFonts w:ascii="Arial" w:cs="Arial" w:eastAsia="Arial" w:hAnsi="Arial"/>
          <w:sz w:val="18"/>
          <w:szCs w:val="18"/>
          <w:color w:val="auto"/>
        </w:rPr>
        <w:t>Cost of goods sold includes the cost of producing and distributing inventories that are related to product revenues during the respective period. Cost of goods sold also includes costs related to excess or obsolete inventory, as well as costs related to warehouse operations paid to distributors.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ind w:left="40" w:right="179" w:firstLine="315"/>
        <w:spacing w:after="0" w:line="284" w:lineRule="auto"/>
        <w:rPr>
          <w:sz w:val="20"/>
          <w:szCs w:val="20"/>
          <w:color w:val="auto"/>
        </w:rPr>
      </w:pPr>
      <w:r>
        <w:rPr>
          <w:rFonts w:ascii="Arial" w:cs="Arial" w:eastAsia="Arial" w:hAnsi="Arial"/>
          <w:sz w:val="16"/>
          <w:szCs w:val="16"/>
          <w:color w:val="auto"/>
        </w:rPr>
        <w:t>The Company measures and recognizes stock-based compensation expense based on estimated fair value for all share-based awards made to employees, non-employee service providers, and directors, including stock options and restricted stock units (“RSUs”).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39" w:lineRule="exact"/>
        <w:rPr>
          <w:sz w:val="20"/>
          <w:szCs w:val="20"/>
          <w:color w:val="auto"/>
        </w:rPr>
      </w:pPr>
    </w:p>
    <w:p>
      <w:pPr>
        <w:ind w:left="40" w:right="179" w:firstLine="315"/>
        <w:spacing w:after="0" w:line="286" w:lineRule="auto"/>
        <w:rPr>
          <w:sz w:val="20"/>
          <w:szCs w:val="20"/>
          <w:color w:val="auto"/>
        </w:rPr>
      </w:pPr>
      <w:r>
        <w:rPr>
          <w:rFonts w:ascii="Arial" w:cs="Arial" w:eastAsia="Arial" w:hAnsi="Arial"/>
          <w:sz w:val="16"/>
          <w:szCs w:val="16"/>
          <w:color w:val="auto"/>
        </w:rPr>
        <w:t>The Company’s stock-based awards are valued at fair value on the date of grant and that fair value is recognized as an expense in the Condensed Consolidated Statements of Operations over the requisite service period using the accelerated attribution method. The estimated fair value of RSUs is based on the Company’s closing stock price on the grant date or third-party valuation if related to a subsidiary. The estimated fair value of stock-option and profit unit awards was determined using the Black-Scholes pricing model on the date of grant.</w:t>
      </w:r>
    </w:p>
    <w:p>
      <w:pPr>
        <w:spacing w:after="0" w:line="126" w:lineRule="exact"/>
        <w:rPr>
          <w:sz w:val="20"/>
          <w:szCs w:val="20"/>
          <w:color w:val="auto"/>
        </w:rPr>
      </w:pPr>
    </w:p>
    <w:p>
      <w:pPr>
        <w:ind w:left="40" w:right="339" w:firstLine="315"/>
        <w:spacing w:after="0" w:line="290" w:lineRule="auto"/>
        <w:rPr>
          <w:sz w:val="20"/>
          <w:szCs w:val="20"/>
          <w:color w:val="auto"/>
        </w:rPr>
      </w:pPr>
      <w:r>
        <w:rPr>
          <w:rFonts w:ascii="Arial" w:cs="Arial" w:eastAsia="Arial" w:hAnsi="Arial"/>
          <w:sz w:val="16"/>
          <w:szCs w:val="16"/>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Research and Development Costs</w:t>
      </w:r>
    </w:p>
    <w:p>
      <w:pPr>
        <w:spacing w:after="0" w:line="193" w:lineRule="exact"/>
        <w:rPr>
          <w:sz w:val="20"/>
          <w:szCs w:val="20"/>
          <w:color w:val="auto"/>
        </w:rPr>
      </w:pPr>
    </w:p>
    <w:p>
      <w:pPr>
        <w:ind w:left="40" w:right="139" w:firstLine="315"/>
        <w:spacing w:after="0" w:line="286" w:lineRule="auto"/>
        <w:rPr>
          <w:sz w:val="20"/>
          <w:szCs w:val="20"/>
          <w:color w:val="auto"/>
        </w:rPr>
      </w:pPr>
      <w:r>
        <w:rPr>
          <w:rFonts w:ascii="Arial" w:cs="Arial" w:eastAsia="Arial" w:hAnsi="Arial"/>
          <w:sz w:val="16"/>
          <w:szCs w:val="16"/>
          <w:color w:val="auto"/>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estimates the progress toward completion of the research or development objectives and, depending on the amount and timing of payments to the service providers may record net prepaid or accrued expense for associated research and</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799"/>
        <w:spacing w:after="0" w:line="261" w:lineRule="auto"/>
        <w:rPr>
          <w:sz w:val="20"/>
          <w:szCs w:val="20"/>
          <w:color w:val="auto"/>
        </w:rPr>
      </w:pPr>
      <w:r>
        <w:rPr>
          <w:rFonts w:ascii="Arial" w:cs="Arial" w:eastAsia="Arial" w:hAnsi="Arial"/>
          <w:sz w:val="18"/>
          <w:szCs w:val="18"/>
          <w:color w:val="auto"/>
        </w:rPr>
        <w:t>development costs. Such estimates are subject to change as additional information becomes available. The Company expenses research and development costs as incurred.</w:t>
      </w:r>
    </w:p>
    <w:p>
      <w:pPr>
        <w:spacing w:after="0" w:line="154" w:lineRule="exact"/>
        <w:rPr>
          <w:sz w:val="20"/>
          <w:szCs w:val="20"/>
          <w:color w:val="auto"/>
        </w:rPr>
      </w:pPr>
    </w:p>
    <w:p>
      <w:pPr>
        <w:ind w:left="40" w:right="139" w:firstLine="315"/>
        <w:spacing w:after="0" w:line="290" w:lineRule="auto"/>
        <w:rPr>
          <w:sz w:val="20"/>
          <w:szCs w:val="20"/>
          <w:color w:val="auto"/>
        </w:rPr>
      </w:pPr>
      <w:r>
        <w:rPr>
          <w:rFonts w:ascii="Arial" w:cs="Arial" w:eastAsia="Arial" w:hAnsi="Arial"/>
          <w:sz w:val="16"/>
          <w:szCs w:val="16"/>
          <w:color w:val="auto"/>
        </w:rPr>
        <w:t>Most of the Company’s service providers invoice BTI monthly in arrears for services performed. The Company estimates its accrued expenses as of each balance sheet date in the condensed consolidated financial statements based on facts and circumstances known to management at that time. BTI management periodically confirms the accuracy of the Company’s estimates with the service providers and makes adjustments if necessary.</w:t>
      </w:r>
    </w:p>
    <w:p>
      <w:pPr>
        <w:spacing w:after="0" w:line="123" w:lineRule="exact"/>
        <w:rPr>
          <w:sz w:val="20"/>
          <w:szCs w:val="20"/>
          <w:color w:val="auto"/>
        </w:rPr>
      </w:pPr>
    </w:p>
    <w:p>
      <w:pPr>
        <w:ind w:left="40" w:right="159" w:firstLine="315"/>
        <w:spacing w:after="0" w:line="299" w:lineRule="auto"/>
        <w:rPr>
          <w:sz w:val="20"/>
          <w:szCs w:val="20"/>
          <w:color w:val="auto"/>
        </w:rPr>
      </w:pPr>
      <w:r>
        <w:rPr>
          <w:rFonts w:ascii="Arial" w:cs="Arial" w:eastAsia="Arial" w:hAnsi="Arial"/>
          <w:sz w:val="16"/>
          <w:szCs w:val="16"/>
          <w:color w:val="auto"/>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Patent Costs</w:t>
      </w:r>
    </w:p>
    <w:p>
      <w:pPr>
        <w:spacing w:after="0" w:line="193" w:lineRule="exact"/>
        <w:rPr>
          <w:sz w:val="20"/>
          <w:szCs w:val="20"/>
          <w:color w:val="auto"/>
        </w:rPr>
      </w:pPr>
    </w:p>
    <w:p>
      <w:pPr>
        <w:ind w:left="40" w:right="179" w:firstLine="315"/>
        <w:spacing w:after="0" w:line="252" w:lineRule="auto"/>
        <w:rPr>
          <w:sz w:val="20"/>
          <w:szCs w:val="20"/>
          <w:color w:val="auto"/>
        </w:rPr>
      </w:pPr>
      <w:r>
        <w:rPr>
          <w:rFonts w:ascii="Arial" w:cs="Arial" w:eastAsia="Arial" w:hAnsi="Arial"/>
          <w:sz w:val="18"/>
          <w:szCs w:val="18"/>
          <w:color w:val="auto"/>
        </w:rPr>
        <w:t>Costs related to filing and pursuing patent applications are recorded in Selling, general and administrative expenses in the Condensed Consolidated Statements of Operations and are expensed as incurred since recoverability of such expenditures is uncertain.</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0" w:lineRule="exact"/>
        <w:rPr>
          <w:sz w:val="20"/>
          <w:szCs w:val="20"/>
          <w:color w:val="auto"/>
        </w:rPr>
      </w:pPr>
    </w:p>
    <w:p>
      <w:pPr>
        <w:ind w:left="40" w:right="139" w:firstLine="315"/>
        <w:spacing w:after="0" w:line="302" w:lineRule="auto"/>
        <w:rPr>
          <w:sz w:val="20"/>
          <w:szCs w:val="20"/>
          <w:color w:val="auto"/>
        </w:rPr>
      </w:pPr>
      <w:r>
        <w:rPr>
          <w:rFonts w:ascii="Arial" w:cs="Arial" w:eastAsia="Arial" w:hAnsi="Arial"/>
          <w:sz w:val="15"/>
          <w:szCs w:val="15"/>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30" w:lineRule="exact"/>
        <w:rPr>
          <w:sz w:val="20"/>
          <w:szCs w:val="20"/>
          <w:color w:val="auto"/>
        </w:rPr>
      </w:pPr>
    </w:p>
    <w:p>
      <w:pPr>
        <w:ind w:left="700" w:right="599" w:hanging="310"/>
        <w:spacing w:after="0" w:line="26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41" w:lineRule="exact"/>
        <w:rPr>
          <w:rFonts w:ascii="Arial" w:cs="Arial" w:eastAsia="Arial" w:hAnsi="Arial"/>
          <w:sz w:val="18"/>
          <w:szCs w:val="18"/>
          <w:color w:val="auto"/>
        </w:rPr>
      </w:pPr>
    </w:p>
    <w:p>
      <w:pPr>
        <w:ind w:left="700" w:right="219" w:hanging="310"/>
        <w:spacing w:after="0" w:line="284"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26" w:lineRule="exact"/>
        <w:rPr>
          <w:rFonts w:ascii="Arial" w:cs="Arial" w:eastAsia="Arial" w:hAnsi="Arial"/>
          <w:sz w:val="16"/>
          <w:szCs w:val="16"/>
          <w:color w:val="auto"/>
        </w:rPr>
      </w:pPr>
    </w:p>
    <w:p>
      <w:pPr>
        <w:jc w:val="both"/>
        <w:ind w:left="700" w:right="539" w:hanging="310"/>
        <w:spacing w:after="0" w:line="299"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27" w:lineRule="exact"/>
        <w:rPr>
          <w:sz w:val="20"/>
          <w:szCs w:val="20"/>
          <w:color w:val="auto"/>
        </w:rPr>
      </w:pPr>
    </w:p>
    <w:p>
      <w:pPr>
        <w:ind w:left="40" w:right="499" w:firstLine="315"/>
        <w:spacing w:after="0" w:line="361" w:lineRule="auto"/>
        <w:rPr>
          <w:sz w:val="20"/>
          <w:szCs w:val="20"/>
          <w:color w:val="auto"/>
        </w:rPr>
      </w:pPr>
      <w:r>
        <w:rPr>
          <w:rFonts w:ascii="Arial" w:cs="Arial" w:eastAsia="Arial" w:hAnsi="Arial"/>
          <w:sz w:val="15"/>
          <w:szCs w:val="15"/>
          <w:color w:val="auto"/>
        </w:rPr>
        <w:t>In determining fair value, the Company utilizes valuation techniques that maximize the use of observable inputs and minimize the use of unobservable inputs, as well as considering counterparty credit risk in its assessment of fair value.</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Earnings (Loss) Per Share</w:t>
      </w:r>
    </w:p>
    <w:p>
      <w:pPr>
        <w:spacing w:after="0" w:line="180" w:lineRule="exact"/>
        <w:rPr>
          <w:sz w:val="20"/>
          <w:szCs w:val="20"/>
          <w:color w:val="auto"/>
        </w:rPr>
      </w:pPr>
    </w:p>
    <w:p>
      <w:pPr>
        <w:ind w:left="40" w:right="379" w:firstLine="315"/>
        <w:spacing w:after="0" w:line="248" w:lineRule="auto"/>
        <w:rPr>
          <w:sz w:val="20"/>
          <w:szCs w:val="20"/>
          <w:color w:val="auto"/>
        </w:rPr>
      </w:pPr>
      <w:r>
        <w:rPr>
          <w:rFonts w:ascii="Arial" w:cs="Arial" w:eastAsia="Arial" w:hAnsi="Arial"/>
          <w:sz w:val="18"/>
          <w:szCs w:val="18"/>
          <w:color w:val="auto"/>
        </w:rPr>
        <w:t>Earnings (loss) per share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Segment Information</w:t>
      </w:r>
    </w:p>
    <w:p>
      <w:pPr>
        <w:spacing w:after="0" w:line="193" w:lineRule="exact"/>
        <w:rPr>
          <w:sz w:val="20"/>
          <w:szCs w:val="20"/>
          <w:color w:val="auto"/>
        </w:rPr>
      </w:pPr>
    </w:p>
    <w:p>
      <w:pPr>
        <w:ind w:left="40" w:right="359" w:firstLine="315"/>
        <w:spacing w:after="0" w:line="290" w:lineRule="auto"/>
        <w:rPr>
          <w:sz w:val="20"/>
          <w:szCs w:val="20"/>
          <w:color w:val="auto"/>
        </w:rPr>
      </w:pPr>
      <w:r>
        <w:rPr>
          <w:rFonts w:ascii="Arial" w:cs="Arial" w:eastAsia="Arial" w:hAnsi="Arial"/>
          <w:sz w:val="16"/>
          <w:szCs w:val="16"/>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 Accounting Pronouncements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7"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and subsequent amendments to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(collectively, “Topic 326”). Topic 326 requires measurement and recognition of expected credit losses for financial assets held. Topic 326 was to be effective for reporting periods beginning after December 15, 2019, with early adoption permitted. In November 2019, the FASB issued ASU No. 2019-10,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 (Topic 815), and Leases (Topic 842) - Effective Dates</w:t>
      </w:r>
      <w:r>
        <w:rPr>
          <w:rFonts w:ascii="Arial" w:cs="Arial" w:eastAsia="Arial" w:hAnsi="Arial"/>
          <w:sz w:val="16"/>
          <w:szCs w:val="16"/>
          <w:color w:val="auto"/>
        </w:rPr>
        <w:t>, which deferred the effective dates of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326 for the Company, until fiscal year 2023. The adoption of Topic 326 on January 1, 2023 did not have a material impact on the Company’s condensed consolidated financial statements.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Restructuring</w:t>
      </w:r>
    </w:p>
    <w:p>
      <w:pPr>
        <w:spacing w:after="0" w:line="180" w:lineRule="exact"/>
        <w:rPr>
          <w:sz w:val="20"/>
          <w:szCs w:val="20"/>
          <w:color w:val="auto"/>
        </w:rPr>
      </w:pPr>
    </w:p>
    <w:p>
      <w:pPr>
        <w:ind w:left="40" w:right="279" w:firstLine="315"/>
        <w:spacing w:after="0" w:line="270" w:lineRule="auto"/>
        <w:rPr>
          <w:sz w:val="20"/>
          <w:szCs w:val="20"/>
          <w:color w:val="auto"/>
        </w:rPr>
      </w:pPr>
      <w:r>
        <w:rPr>
          <w:rFonts w:ascii="Arial" w:cs="Arial" w:eastAsia="Arial" w:hAnsi="Arial"/>
          <w:sz w:val="16"/>
          <w:szCs w:val="16"/>
          <w:color w:val="auto"/>
        </w:rPr>
        <w:t>On August 8, 2023, the Company’s Board of Directors approved a broad-based strategic reprioritization (the “Reprioritization”). The Company took actions to reduce certain operational and workforce expenses that were no longer deemed core to ongoing operations in order to extend its cash runway and drive innovation and growth in high potential clinical development and value creating opportunities. These actions included a shift in commercial strategy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part of this strategy, the Company’s Board of Directors approved a reduction of approximately 60% of the Company’s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workforce. The Company notified impacted employees on August 14, 2023 and recorded restructuring costs of</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$4,163 in the three-month period ended September 30, 2023. These costs consisted of severance and benefit costs of $4,063</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contract termination costs of $100, all of which are expected to be paid in cash. The Company paid $149 of severance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benefit costs and $100 of contract termination costs during the three-month period ended September 30, 2023. Accrued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restructuring costs of $3,914 are included in accrued expenses in the Condensed Consolidated Balance Sheets as of</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September 30, 2023. The remaining costs are expected to be paid primarily during the fourth quarter of 2023. The estimated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costs that the Company expects to incur and the expected timing to complete the Reprioritization are subject to a number of</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assumptions, and actual results may differ. The Company may also incur other cash or non-cash charges not currently</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contemplated due to events that may occur as a result of, or in association with, the Reprioritization.</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Inventory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consists of the following:</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200" w:type="dxa"/>
            <w:vAlign w:val="bottom"/>
          </w:tcPr>
          <w:p>
            <w:pPr>
              <w:jc w:val="right"/>
              <w:ind w:right="21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Work-in-process</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2820" w:type="dxa"/>
            <w:vAlign w:val="bottom"/>
          </w:tcPr>
          <w:p>
            <w:pPr>
              <w:ind w:left="220"/>
              <w:spacing w:after="0" w:line="203" w:lineRule="exact"/>
              <w:rPr>
                <w:sz w:val="20"/>
                <w:szCs w:val="20"/>
                <w:color w:val="auto"/>
              </w:rPr>
            </w:pPr>
            <w:r>
              <w:rPr>
                <w:rFonts w:ascii="Arial" w:cs="Arial" w:eastAsia="Arial" w:hAnsi="Arial"/>
                <w:sz w:val="18"/>
                <w:szCs w:val="18"/>
                <w:color w:val="auto"/>
              </w:rPr>
              <w:t>Total inventory</w:t>
            </w:r>
          </w:p>
        </w:tc>
        <w:tc>
          <w:tcPr>
            <w:tcW w:w="30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2,018</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40" w:type="dxa"/>
            <w:vAlign w:val="bottom"/>
            <w:vMerge w:val="restart"/>
          </w:tcPr>
          <w:p>
            <w:pPr>
              <w:jc w:val="right"/>
              <w:ind w:right="1252"/>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28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8"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419" w:firstLine="315"/>
        <w:spacing w:after="0" w:line="261" w:lineRule="auto"/>
        <w:rPr>
          <w:sz w:val="20"/>
          <w:szCs w:val="20"/>
          <w:color w:val="auto"/>
        </w:rPr>
      </w:pPr>
      <w:r>
        <w:rPr>
          <w:rFonts w:ascii="Arial" w:cs="Arial" w:eastAsia="Arial" w:hAnsi="Arial"/>
          <w:sz w:val="18"/>
          <w:szCs w:val="18"/>
          <w:color w:val="auto"/>
        </w:rPr>
        <w:t>The Company recorded inventory write-downs of $495 for the three and nine months ended September 30, 2023. No inventory write-downs were recorded in 2022.</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Property and Equipment, Net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consists of the following:</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equipment</w:t>
            </w:r>
          </w:p>
        </w:tc>
        <w:tc>
          <w:tcPr>
            <w:tcW w:w="22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Furniture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200"/>
              <w:spacing w:after="0" w:line="203" w:lineRule="exact"/>
              <w:rPr>
                <w:sz w:val="20"/>
                <w:szCs w:val="20"/>
                <w:color w:val="auto"/>
              </w:rPr>
            </w:pPr>
            <w:r>
              <w:rPr>
                <w:rFonts w:ascii="Arial" w:cs="Arial" w:eastAsia="Arial" w:hAnsi="Arial"/>
                <w:sz w:val="18"/>
                <w:szCs w:val="18"/>
                <w:color w:val="auto"/>
              </w:rPr>
              <w:t>Total property and equipment</w:t>
            </w:r>
          </w:p>
        </w:tc>
        <w:tc>
          <w:tcPr>
            <w:tcW w:w="202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1,977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200"/>
              <w:spacing w:after="0" w:line="203" w:lineRule="exact"/>
              <w:rPr>
                <w:sz w:val="20"/>
                <w:szCs w:val="20"/>
                <w:color w:val="auto"/>
              </w:rPr>
            </w:pPr>
            <w:r>
              <w:rPr>
                <w:rFonts w:ascii="Arial" w:cs="Arial" w:eastAsia="Arial" w:hAnsi="Arial"/>
                <w:sz w:val="18"/>
                <w:szCs w:val="18"/>
                <w:color w:val="auto"/>
              </w:rPr>
              <w:t>Total property and equipment, net</w:t>
            </w:r>
          </w:p>
        </w:tc>
        <w:tc>
          <w:tcPr>
            <w:tcW w:w="202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315"/>
        <w:spacing w:after="0" w:line="261" w:lineRule="auto"/>
        <w:rPr>
          <w:sz w:val="20"/>
          <w:szCs w:val="20"/>
          <w:color w:val="auto"/>
        </w:rPr>
      </w:pPr>
      <w:r>
        <w:rPr>
          <w:rFonts w:ascii="Arial" w:cs="Arial" w:eastAsia="Arial" w:hAnsi="Arial"/>
          <w:sz w:val="18"/>
          <w:szCs w:val="18"/>
          <w:color w:val="auto"/>
        </w:rPr>
        <w:t>Depreciation expense was $79 and $85 for the three months ended September 30, 2023 and 2022, respectively, and $240 and $246 for the nine months ended September 30, 2023 and 2022, respectively.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Accrued Expenses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 consist of the following:</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8"/>
              </w:rPr>
              <w:t>September 30, 2023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4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Accrued taxes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restructuring costs</w:t>
            </w: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Total accrued expenses</w:t>
            </w:r>
          </w:p>
        </w:tc>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26,610</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Transactions with BioXcel LLC</w:t>
      </w:r>
    </w:p>
    <w:p>
      <w:pPr>
        <w:spacing w:after="0" w:line="180" w:lineRule="exact"/>
        <w:rPr>
          <w:sz w:val="20"/>
          <w:szCs w:val="20"/>
          <w:color w:val="auto"/>
        </w:rPr>
      </w:pPr>
    </w:p>
    <w:p>
      <w:pPr>
        <w:jc w:val="both"/>
        <w:ind w:left="40" w:right="239" w:firstLine="315"/>
        <w:spacing w:after="0" w:line="327" w:lineRule="auto"/>
        <w:rPr>
          <w:sz w:val="20"/>
          <w:szCs w:val="20"/>
          <w:color w:val="auto"/>
        </w:rPr>
      </w:pPr>
      <w:r>
        <w:rPr>
          <w:rFonts w:ascii="Arial" w:cs="Arial" w:eastAsia="Arial" w:hAnsi="Arial"/>
          <w:sz w:val="15"/>
          <w:szCs w:val="15"/>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97"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419" w:firstLine="315"/>
        <w:spacing w:after="0" w:line="261" w:lineRule="auto"/>
        <w:rPr>
          <w:sz w:val="20"/>
          <w:szCs w:val="20"/>
          <w:color w:val="auto"/>
        </w:rPr>
      </w:pPr>
      <w:r>
        <w:rPr>
          <w:rFonts w:ascii="Arial" w:cs="Arial" w:eastAsia="Arial" w:hAnsi="Arial"/>
          <w:sz w:val="18"/>
          <w:szCs w:val="18"/>
          <w:color w:val="auto"/>
        </w:rPr>
        <w:t>Service charges recorded under the Services Agreement for the three and nine months ended September 30, 2023 and 2022 were as follows: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280" w:type="dxa"/>
            <w:vAlign w:val="bottom"/>
          </w:tcPr>
          <w:p>
            <w:pPr>
              <w:spacing w:after="0"/>
              <w:rPr>
                <w:sz w:val="14"/>
                <w:szCs w:val="14"/>
                <w:color w:val="auto"/>
              </w:rPr>
            </w:pPr>
          </w:p>
        </w:tc>
        <w:tc>
          <w:tcPr>
            <w:tcW w:w="23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Three months ended September 30,</w:t>
            </w:r>
          </w:p>
        </w:tc>
        <w:tc>
          <w:tcPr>
            <w:tcW w:w="218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17"/>
        </w:trPr>
        <w:tc>
          <w:tcPr>
            <w:tcW w:w="4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r>
      <w:tr>
        <w:trPr>
          <w:trHeight w:val="217"/>
        </w:trPr>
        <w:tc>
          <w:tcPr>
            <w:tcW w:w="4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3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4"/>
        </w:trPr>
        <w:tc>
          <w:tcPr>
            <w:tcW w:w="4280" w:type="dxa"/>
            <w:vAlign w:val="bottom"/>
            <w:tcBorders>
              <w:bottom w:val="single" w:sz="8" w:color="CCEEFF"/>
            </w:tcBorders>
            <w:shd w:val="clear" w:color="auto" w:fill="CCEEFF"/>
          </w:tcPr>
          <w:p>
            <w:pPr>
              <w:ind w:left="220"/>
              <w:spacing w:after="0" w:line="204" w:lineRule="exact"/>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501"/>
              <w:spacing w:after="0" w:line="204"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424</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1,139</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1,076</w:t>
            </w:r>
          </w:p>
        </w:tc>
      </w:tr>
      <w:tr>
        <w:trPr>
          <w:trHeight w:val="20"/>
        </w:trPr>
        <w:tc>
          <w:tcPr>
            <w:tcW w:w="4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539" w:firstLine="315"/>
        <w:spacing w:after="0" w:line="261" w:lineRule="auto"/>
        <w:rPr>
          <w:sz w:val="20"/>
          <w:szCs w:val="20"/>
          <w:color w:val="auto"/>
        </w:rPr>
      </w:pPr>
      <w:r>
        <w:rPr>
          <w:rFonts w:ascii="Arial" w:cs="Arial" w:eastAsia="Arial" w:hAnsi="Arial"/>
          <w:sz w:val="18"/>
          <w:szCs w:val="18"/>
          <w:color w:val="auto"/>
        </w:rPr>
        <w:t>As of September 30, 2023, $621 of service charges related to the Services Agreement are included in Due to related parties in the Company’s Condensed Consolidated Balance Sheets.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Debt and Credit Facilities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Debt, net of unamortized discounts and financing costs, consists of the following:</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September 30, 2023</w:t>
            </w:r>
          </w:p>
        </w:tc>
        <w:tc>
          <w:tcPr>
            <w:tcW w:w="100" w:type="dxa"/>
            <w:vAlign w:val="bottom"/>
          </w:tcPr>
          <w:p>
            <w:pPr>
              <w:spacing w:after="0"/>
              <w:rPr>
                <w:sz w:val="14"/>
                <w:szCs w:val="14"/>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December 31, 2022</w:t>
            </w:r>
          </w:p>
        </w:tc>
      </w:tr>
      <w:tr>
        <w:trPr>
          <w:trHeight w:val="203"/>
        </w:trPr>
        <w:tc>
          <w:tcPr>
            <w:tcW w:w="59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Interest Financing Agreement ("RIFA")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RIFA accrued interest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2,041</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RIFA payments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3"/>
        </w:trPr>
        <w:tc>
          <w:tcPr>
            <w:tcW w:w="5900" w:type="dxa"/>
            <w:vAlign w:val="bottom"/>
          </w:tcPr>
          <w:p>
            <w:pPr>
              <w:ind w:left="220"/>
              <w:spacing w:after="0" w:line="203" w:lineRule="exact"/>
              <w:rPr>
                <w:sz w:val="20"/>
                <w:szCs w:val="20"/>
                <w:color w:val="auto"/>
              </w:rPr>
            </w:pPr>
            <w:r>
              <w:rPr>
                <w:rFonts w:ascii="Arial" w:cs="Arial" w:eastAsia="Arial" w:hAnsi="Arial"/>
                <w:sz w:val="18"/>
                <w:szCs w:val="18"/>
                <w:color w:val="auto"/>
              </w:rPr>
              <w:t>RIFA debt liability</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34,941</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32,031</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Estimated Portion of RIFA debt liability to be paid within one-year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03"/>
        </w:trPr>
        <w:tc>
          <w:tcPr>
            <w:tcW w:w="5900" w:type="dxa"/>
            <w:vAlign w:val="bottom"/>
          </w:tcPr>
          <w:p>
            <w:pPr>
              <w:ind w:left="220"/>
              <w:spacing w:after="0" w:line="203" w:lineRule="exact"/>
              <w:rPr>
                <w:sz w:val="20"/>
                <w:szCs w:val="20"/>
                <w:color w:val="auto"/>
              </w:rPr>
            </w:pPr>
            <w:r>
              <w:rPr>
                <w:rFonts w:ascii="Arial" w:cs="Arial" w:eastAsia="Arial" w:hAnsi="Arial"/>
                <w:sz w:val="18"/>
                <w:szCs w:val="18"/>
                <w:color w:val="auto"/>
              </w:rPr>
              <w:t>RIFA long-term debt liability</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34,391</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30,630</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 and Guaranty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0"/>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Payable-in-kind interest on Credit Agreement and Guaranty</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03"/>
        </w:trPr>
        <w:tc>
          <w:tcPr>
            <w:tcW w:w="59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long-term debt liability</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106,413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101,437</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Unamortized debt discounts and issuance costs</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(8,386)</w:t>
            </w:r>
          </w:p>
        </w:tc>
      </w:tr>
      <w:tr>
        <w:trPr>
          <w:trHeight w:val="203"/>
        </w:trPr>
        <w:tc>
          <w:tcPr>
            <w:tcW w:w="5900" w:type="dxa"/>
            <w:vAlign w:val="bottom"/>
            <w:tcBorders>
              <w:top w:val="single" w:sz="8" w:color="CCEEFF"/>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99,093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93,051</w:t>
            </w: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39" w:firstLine="315"/>
        <w:spacing w:after="0" w:line="265" w:lineRule="auto"/>
        <w:rPr>
          <w:sz w:val="20"/>
          <w:szCs w:val="20"/>
          <w:color w:val="auto"/>
        </w:rPr>
      </w:pPr>
      <w:r>
        <w:rPr>
          <w:rFonts w:ascii="Arial" w:cs="Arial" w:eastAsia="Arial" w:hAnsi="Arial"/>
          <w:sz w:val="16"/>
          <w:szCs w:val="16"/>
          <w:color w:val="auto"/>
        </w:rPr>
        <w:t>On April 19, 2022 (the “Effective Date”), the Company entered into two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(as amended from time to time, the “RIFA”; and together with the Credit Agreement, the “OFA Facilities”) by and among the Company, the purchasers party thereto (the “Purchasers”) and OFA as administrative agent. Under the OFA Facilities, the Lenders and the Purchasers agreed to, in aggregate between the two OFA Facilities, provide up to $260,000 in gross funding to support the Company’s commercial activities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the OFA Facilities is provided below.</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Credit Agreement</w:t>
      </w:r>
    </w:p>
    <w:p>
      <w:pPr>
        <w:spacing w:after="0" w:line="193" w:lineRule="exact"/>
        <w:rPr>
          <w:sz w:val="20"/>
          <w:szCs w:val="20"/>
          <w:color w:val="auto"/>
        </w:rPr>
      </w:pPr>
    </w:p>
    <w:p>
      <w:pPr>
        <w:ind w:left="40" w:right="279" w:firstLine="315"/>
        <w:spacing w:after="0" w:line="286" w:lineRule="auto"/>
        <w:rPr>
          <w:sz w:val="20"/>
          <w:szCs w:val="20"/>
          <w:color w:val="auto"/>
        </w:rPr>
      </w:pPr>
      <w:r>
        <w:rPr>
          <w:rFonts w:ascii="Arial" w:cs="Arial" w:eastAsia="Arial" w:hAnsi="Arial"/>
          <w:sz w:val="16"/>
          <w:szCs w:val="16"/>
          <w:color w:val="auto"/>
        </w:rPr>
        <w:t>The Credit Agreement provides up to $135,000 in senior secured term loans, of which the initial Tranche A of $70,000 was funded on April 28, 2022, and the remaining tranches may be borrowed at the Company’s option prior to December 31, 2024, subject to satisfaction of certain conditions, including regulatory and financial milestones. Tranche B of the Credit Agreement is $35,000 and is available upon satisfaction of certain conditions, including receipt of certain regulatory and financial milestones. Tranche C of the Credit Agreement is $30,000 and is available upon</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359"/>
        <w:spacing w:after="0" w:line="249" w:lineRule="auto"/>
        <w:rPr>
          <w:sz w:val="20"/>
          <w:szCs w:val="20"/>
          <w:color w:val="auto"/>
        </w:rPr>
      </w:pPr>
      <w:r>
        <w:rPr>
          <w:rFonts w:ascii="Arial" w:cs="Arial" w:eastAsia="Arial" w:hAnsi="Arial"/>
          <w:sz w:val="18"/>
          <w:szCs w:val="18"/>
          <w:color w:val="auto"/>
        </w:rPr>
        <w:t xml:space="preserve">satisfaction of certain conditions, including specified minimum net sales of the Company attributable to sales of BXCL501 for a trailing consecutive 12-month period. As of September 30, 2023, $65,000 remained available under the Credit Agreement, subject to achievement of the specified conditions and milestones.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information on the amendment to the Credit Agreement.</w:t>
      </w:r>
    </w:p>
    <w:p>
      <w:pPr>
        <w:spacing w:after="0" w:line="166" w:lineRule="exact"/>
        <w:rPr>
          <w:sz w:val="20"/>
          <w:szCs w:val="20"/>
          <w:color w:val="auto"/>
        </w:rPr>
      </w:pPr>
    </w:p>
    <w:p>
      <w:pPr>
        <w:ind w:left="40" w:right="179" w:firstLine="315"/>
        <w:spacing w:after="0" w:line="278" w:lineRule="auto"/>
        <w:rPr>
          <w:sz w:val="20"/>
          <w:szCs w:val="20"/>
          <w:color w:val="auto"/>
        </w:rPr>
      </w:pPr>
      <w:r>
        <w:rPr>
          <w:rFonts w:ascii="Arial" w:cs="Arial" w:eastAsia="Arial" w:hAnsi="Arial"/>
          <w:sz w:val="16"/>
          <w:szCs w:val="16"/>
          <w:color w:val="auto"/>
        </w:rPr>
        <w:t>The loans under the Credit Agreement do not amortize and mature on the fifth anniversary of the Effective Date; provided that the Company may, at its option, extend the maturity date to the sixth anniversary if, prior to December 31, 2024, the Company receives and satisfies certain conditions including receipt of certain regulatory and financial milestones. Borrowings under the Credit Agreement are issued at a 200-basis point original issue discount and bear interest at a fixed annual rate of 10.25%, payable quarterly. Of such interest, 225-basis points per annum is, at the Company’s option, payable in kind by capitalizing and adding such interest to the outstanding principal amount of loans from the first payment date on which such interest is owed through, and including, the third anniversary of such payment date, unless, with respect to any payment date, the Company elects to pay all or a portion of such interest in cash. The Company is required to pay a ticking fee equal to 0.75% per annum on the undrawn amount of the commitments, payable quarterly commencing 120 days after the funding of the Tranche A term loan through the termination of the commitments, which is expensed as incurred and recognized as Interest expense in the Condensed Consolidated Statements of Operations. The Company may voluntarily prepay the Credit Agreement at any time subject to a prepayment fee.</w:t>
      </w:r>
    </w:p>
    <w:p>
      <w:pPr>
        <w:spacing w:after="0" w:line="137" w:lineRule="exact"/>
        <w:rPr>
          <w:sz w:val="20"/>
          <w:szCs w:val="20"/>
          <w:color w:val="auto"/>
        </w:rPr>
      </w:pPr>
    </w:p>
    <w:p>
      <w:pPr>
        <w:ind w:left="40" w:right="139" w:firstLine="315"/>
        <w:spacing w:after="0" w:line="284" w:lineRule="auto"/>
        <w:rPr>
          <w:sz w:val="20"/>
          <w:szCs w:val="20"/>
          <w:color w:val="auto"/>
        </w:rPr>
      </w:pPr>
      <w:r>
        <w:rPr>
          <w:rFonts w:ascii="Arial" w:cs="Arial" w:eastAsia="Arial" w:hAnsi="Arial"/>
          <w:sz w:val="16"/>
          <w:szCs w:val="16"/>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26" w:lineRule="exact"/>
        <w:rPr>
          <w:sz w:val="20"/>
          <w:szCs w:val="20"/>
          <w:color w:val="auto"/>
        </w:rPr>
      </w:pPr>
    </w:p>
    <w:p>
      <w:pPr>
        <w:ind w:left="40" w:right="159" w:firstLine="315"/>
        <w:spacing w:after="0" w:line="295" w:lineRule="auto"/>
        <w:rPr>
          <w:sz w:val="20"/>
          <w:szCs w:val="20"/>
          <w:color w:val="auto"/>
        </w:rPr>
      </w:pPr>
      <w:r>
        <w:rPr>
          <w:rFonts w:ascii="Arial" w:cs="Arial" w:eastAsia="Arial" w:hAnsi="Arial"/>
          <w:sz w:val="15"/>
          <w:szCs w:val="15"/>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$15,000 from the Effective Date until the date on which the second tranche of loans are funded (the “Step-Up Date”) and (b) $20,000 from and after the Step-Up Date, provided, in the case of (a) and (b), that following any Permitted BXCL701 Release Event (as defined below), such amount will increase by $12,500, and following such time as unaffiliated third parties hold ownership of at least 30% of the equity interests in the BXCL701 Subsidiaries (as defined below), such amount will increase by an additional $5,000 (provided, that such amount will in no event exceed 50% of the aggregate amount of loans outstanding at any time); and (ii) a minimum revenue test, measured quarterly beginning with the Company’s fiscal quarter ending on December 31, 2023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 For the Revenue Covenant Measurement Testing Dates ending December 31, 2023, March 31, 2024, June 30, 2024 and September 30, 2024, shortfalls under the Revenue Covenant, as described above, could result in a revenue cure payment of up to $7,316, $10,636, $14,313, and $22,406, respectively, plus aggregate prepayment fees of up to $1,900. The Company is only permitted to make cure payments for shortfalls under the Revenue Covenant</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439"/>
        <w:spacing w:after="0" w:line="249" w:lineRule="auto"/>
        <w:rPr>
          <w:sz w:val="20"/>
          <w:szCs w:val="20"/>
          <w:color w:val="auto"/>
        </w:rPr>
      </w:pPr>
      <w:r>
        <w:rPr>
          <w:rFonts w:ascii="Arial" w:cs="Arial" w:eastAsia="Arial" w:hAnsi="Arial"/>
          <w:sz w:val="18"/>
          <w:szCs w:val="18"/>
          <w:color w:val="auto"/>
        </w:rPr>
        <w:t>up to three times during the term of the Credit Agreement. Subsequent to such three opportunities to cure a breach of the Revenue Covenant, which could be fully utilized as early as the payment due for the quarter ended June 30, 2024, the Company would default on the Credit Agreement if it is unable to satisfy the Revenue Covenant for any subsequent fiscal quarter.</w:t>
      </w:r>
    </w:p>
    <w:p>
      <w:pPr>
        <w:spacing w:after="0" w:line="166" w:lineRule="exact"/>
        <w:rPr>
          <w:sz w:val="20"/>
          <w:szCs w:val="20"/>
          <w:color w:val="auto"/>
        </w:rPr>
      </w:pPr>
    </w:p>
    <w:p>
      <w:pPr>
        <w:ind w:left="40" w:right="159" w:firstLine="315"/>
        <w:spacing w:after="0" w:line="278" w:lineRule="auto"/>
        <w:rPr>
          <w:sz w:val="20"/>
          <w:szCs w:val="20"/>
          <w:color w:val="auto"/>
        </w:rPr>
      </w:pPr>
      <w:r>
        <w:rPr>
          <w:rFonts w:ascii="Arial" w:cs="Arial" w:eastAsia="Arial" w:hAnsi="Arial"/>
          <w:sz w:val="16"/>
          <w:szCs w:val="16"/>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(“Permitted BXCL701 Release Events”), including an initial public offering by the BXCL701 Subsidiaries or the ownership by unaffiliated third parties of at least 20% of the equity interests in the BXCL701 Subsidiaries.</w:t>
      </w:r>
    </w:p>
    <w:p>
      <w:pPr>
        <w:spacing w:after="0" w:line="137" w:lineRule="exact"/>
        <w:rPr>
          <w:sz w:val="20"/>
          <w:szCs w:val="20"/>
          <w:color w:val="auto"/>
        </w:rPr>
      </w:pPr>
    </w:p>
    <w:p>
      <w:pPr>
        <w:ind w:left="40" w:right="319" w:firstLine="315"/>
        <w:spacing w:after="0" w:line="249" w:lineRule="auto"/>
        <w:rPr>
          <w:sz w:val="20"/>
          <w:szCs w:val="20"/>
          <w:color w:val="auto"/>
        </w:rPr>
      </w:pPr>
      <w:r>
        <w:rPr>
          <w:rFonts w:ascii="Arial" w:cs="Arial" w:eastAsia="Arial" w:hAnsi="Arial"/>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w:t>
      </w:r>
    </w:p>
    <w:p>
      <w:pPr>
        <w:spacing w:after="0" w:line="153" w:lineRule="exact"/>
        <w:rPr>
          <w:sz w:val="20"/>
          <w:szCs w:val="20"/>
          <w:color w:val="auto"/>
        </w:rPr>
      </w:pPr>
    </w:p>
    <w:p>
      <w:pPr>
        <w:ind w:left="40" w:right="419" w:firstLine="315"/>
        <w:spacing w:after="0" w:line="248" w:lineRule="auto"/>
        <w:rPr>
          <w:sz w:val="20"/>
          <w:szCs w:val="20"/>
          <w:color w:val="auto"/>
        </w:rPr>
      </w:pPr>
      <w:r>
        <w:rPr>
          <w:rFonts w:ascii="Arial" w:cs="Arial" w:eastAsia="Arial" w:hAnsi="Arial"/>
          <w:sz w:val="18"/>
          <w:szCs w:val="18"/>
          <w:color w:val="auto"/>
        </w:rPr>
        <w:t>In certain circumstances, events of default are subject to customary cure periods. The Credit Agreement also contains certain regulatory-related events of defaults,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Interest Financing Agreement</w:t>
      </w:r>
    </w:p>
    <w:p>
      <w:pPr>
        <w:spacing w:after="0" w:line="171" w:lineRule="exact"/>
        <w:rPr>
          <w:sz w:val="20"/>
          <w:szCs w:val="20"/>
          <w:color w:val="auto"/>
        </w:rPr>
      </w:pPr>
    </w:p>
    <w:p>
      <w:pPr>
        <w:ind w:left="40" w:right="299" w:firstLine="315"/>
        <w:spacing w:after="0" w:line="280" w:lineRule="auto"/>
        <w:rPr>
          <w:sz w:val="20"/>
          <w:szCs w:val="20"/>
          <w:color w:val="auto"/>
        </w:rPr>
      </w:pPr>
      <w:r>
        <w:rPr>
          <w:rFonts w:ascii="Arial" w:cs="Arial" w:eastAsia="Arial" w:hAnsi="Arial"/>
          <w:sz w:val="15"/>
          <w:szCs w:val="15"/>
          <w:color w:val="auto"/>
        </w:rPr>
        <w:t>The RIFA provides up to $120,000 in financing in exchange for a capped revenue interest on net sales of IGALMI</w:t>
      </w:r>
      <w:r>
        <w:rPr>
          <w:rFonts w:ascii="Arial" w:cs="Arial" w:eastAsia="Arial" w:hAnsi="Arial"/>
          <w:sz w:val="22"/>
          <w:szCs w:val="22"/>
          <w:color w:val="auto"/>
          <w:vertAlign w:val="superscript"/>
        </w:rPr>
        <w:t>TM</w:t>
      </w:r>
      <w:r>
        <w:rPr>
          <w:rFonts w:ascii="Arial" w:cs="Arial" w:eastAsia="Arial" w:hAnsi="Arial"/>
          <w:sz w:val="15"/>
          <w:szCs w:val="15"/>
          <w:color w:val="auto"/>
        </w:rPr>
        <w:t>, and other future BXCL501 products, if any, that receive regulatory approval for sale. The initial Tranche A of $30,000 was funded on July 8, 2022, and the remaining tranches may be borrowed at the Company’s option prior to December 31, 2024, subject to satisfaction of certain conditions, including certain regulatory, patent, and financial milestones. The effective interest rate on the RIFA as of September 30, 2023 and December 31, 2022, was approximately 11% and 14%, respectively.</w:t>
      </w:r>
    </w:p>
    <w:p>
      <w:pPr>
        <w:spacing w:after="0" w:line="132" w:lineRule="exact"/>
        <w:rPr>
          <w:sz w:val="20"/>
          <w:szCs w:val="20"/>
          <w:color w:val="auto"/>
        </w:rPr>
      </w:pPr>
    </w:p>
    <w:p>
      <w:pPr>
        <w:ind w:left="40" w:right="139" w:firstLine="315"/>
        <w:spacing w:after="0" w:line="242" w:lineRule="auto"/>
        <w:rPr>
          <w:sz w:val="20"/>
          <w:szCs w:val="20"/>
          <w:color w:val="auto"/>
        </w:rPr>
      </w:pPr>
      <w:r>
        <w:rPr>
          <w:rFonts w:ascii="Arial" w:cs="Arial" w:eastAsia="Arial" w:hAnsi="Arial"/>
          <w:sz w:val="16"/>
          <w:szCs w:val="16"/>
          <w:color w:val="auto"/>
        </w:rPr>
        <w:t>Under the terms of the RIFA, the Purchasers will receive tiered revenue interest payments on U.S. net sales of IGALMI</w:t>
      </w:r>
      <w:r>
        <w:rPr>
          <w:rFonts w:ascii="Arial" w:cs="Arial" w:eastAsia="Arial" w:hAnsi="Arial"/>
          <w:sz w:val="24"/>
          <w:szCs w:val="24"/>
          <w:color w:val="auto"/>
          <w:vertAlign w:val="superscript"/>
        </w:rPr>
        <w:t>TM</w:t>
      </w:r>
      <w:r>
        <w:rPr>
          <w:rFonts w:ascii="Arial" w:cs="Arial" w:eastAsia="Arial" w:hAnsi="Arial"/>
          <w:sz w:val="16"/>
          <w:szCs w:val="16"/>
          <w:color w:val="auto"/>
        </w:rPr>
        <w:t>, and other future BXCL501 products, if any, that receive regulatory approval for sale, equal to a royalty ranging from 0.375% to 7.750% of net sales of IGALMI</w:t>
      </w:r>
      <w:r>
        <w:rPr>
          <w:rFonts w:ascii="Arial" w:cs="Arial" w:eastAsia="Arial" w:hAnsi="Arial"/>
          <w:sz w:val="24"/>
          <w:szCs w:val="24"/>
          <w:color w:val="auto"/>
          <w:vertAlign w:val="superscript"/>
        </w:rPr>
        <w:t>TM</w:t>
      </w:r>
      <w:r>
        <w:rPr>
          <w:rFonts w:ascii="Arial" w:cs="Arial" w:eastAsia="Arial" w:hAnsi="Arial"/>
          <w:sz w:val="16"/>
          <w:szCs w:val="16"/>
          <w:color w:val="auto"/>
        </w:rPr>
        <w:t>, and other future BXCL501 products, if any, approved for sale in the U.S., subject to a hard cap equal to 1.75x the total amount funded. In addition, if the conditions to the second tranche of the financing provided under the RIFA have been met, once payments equal to the hard cap have been received by the Purchasers, the Company will be required to make revenue interest payments equal to a flat 0.375% royalty on U.S. net sales of IGALMI</w:t>
      </w:r>
      <w:r>
        <w:rPr>
          <w:rFonts w:ascii="Arial" w:cs="Arial" w:eastAsia="Arial" w:hAnsi="Arial"/>
          <w:sz w:val="24"/>
          <w:szCs w:val="24"/>
          <w:color w:val="auto"/>
          <w:vertAlign w:val="superscript"/>
        </w:rPr>
        <w:t>TM</w:t>
      </w:r>
      <w:r>
        <w:rPr>
          <w:rFonts w:ascii="Arial" w:cs="Arial" w:eastAsia="Arial" w:hAnsi="Arial"/>
          <w:sz w:val="16"/>
          <w:szCs w:val="16"/>
          <w:color w:val="auto"/>
        </w:rPr>
        <w:t>, and other future BXCL501 products, if any, that receive regulatory approval for sale, through and including March 31, 2036 (the “Tail Royalty”). The Company is also required to make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 Revenue interest payments due under the RIFA are payable quarterly based on net sales.</w:t>
      </w:r>
    </w:p>
    <w:p>
      <w:pPr>
        <w:spacing w:after="0" w:line="178" w:lineRule="exact"/>
        <w:rPr>
          <w:sz w:val="20"/>
          <w:szCs w:val="20"/>
          <w:color w:val="auto"/>
        </w:rPr>
      </w:pPr>
    </w:p>
    <w:p>
      <w:pPr>
        <w:ind w:left="40" w:right="159" w:firstLine="315"/>
        <w:spacing w:after="0" w:line="299" w:lineRule="auto"/>
        <w:rPr>
          <w:sz w:val="20"/>
          <w:szCs w:val="20"/>
          <w:color w:val="auto"/>
        </w:rPr>
      </w:pPr>
      <w:r>
        <w:rPr>
          <w:rFonts w:ascii="Arial" w:cs="Arial" w:eastAsia="Arial" w:hAnsi="Arial"/>
          <w:sz w:val="16"/>
          <w:szCs w:val="16"/>
          <w:color w:val="auto"/>
        </w:rPr>
        <w:t>Any time after the initial funding of the RIFA, BTI has the right (the “BTI Call Option”), but not the obligation, to buy out the Purchasers’ interests in the revenue interest payments at an agreed upon repurchase price. The BTI Call Option can be exercised in year one, two, three and thereafter at a multiple of the Purchasers invested capital of 1.225x,</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579"/>
        <w:spacing w:after="0" w:line="261" w:lineRule="auto"/>
        <w:rPr>
          <w:sz w:val="20"/>
          <w:szCs w:val="20"/>
          <w:color w:val="auto"/>
        </w:rPr>
      </w:pPr>
      <w:r>
        <w:rPr>
          <w:rFonts w:ascii="Arial" w:cs="Arial" w:eastAsia="Arial" w:hAnsi="Arial"/>
          <w:sz w:val="18"/>
          <w:szCs w:val="18"/>
          <w:color w:val="auto"/>
        </w:rPr>
        <w:t>1.375x, 1.525x and 2.25x, respectively. The Purchasers will not be entitled to any Tail Royalty if the BTI Call Option is exercised before the third anniversary of the Effective Date.</w:t>
      </w:r>
    </w:p>
    <w:p>
      <w:pPr>
        <w:spacing w:after="0" w:line="154" w:lineRule="exact"/>
        <w:rPr>
          <w:sz w:val="20"/>
          <w:szCs w:val="20"/>
          <w:color w:val="auto"/>
        </w:rPr>
      </w:pPr>
    </w:p>
    <w:p>
      <w:pPr>
        <w:ind w:left="40" w:right="519" w:firstLine="315"/>
        <w:spacing w:after="0" w:line="284" w:lineRule="auto"/>
        <w:rPr>
          <w:sz w:val="20"/>
          <w:szCs w:val="20"/>
          <w:color w:val="auto"/>
        </w:rPr>
      </w:pPr>
      <w:r>
        <w:rPr>
          <w:rFonts w:ascii="Arial" w:cs="Arial" w:eastAsia="Arial" w:hAnsi="Arial"/>
          <w:sz w:val="16"/>
          <w:szCs w:val="16"/>
          <w:color w:val="auto"/>
        </w:rPr>
        <w:t>The Company’s obligations under the RIFA are secured, subject to customary permitted liens and other agreed upon exceptions and subject to an intercreditor agreement between OFA for the Credit Agreement and RIFA, by a perfected security interest in (i) accounts receivable arising from net sales of BXCL501 products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spacing w:after="0" w:line="126" w:lineRule="exact"/>
        <w:rPr>
          <w:sz w:val="20"/>
          <w:szCs w:val="20"/>
          <w:color w:val="auto"/>
        </w:rPr>
      </w:pPr>
    </w:p>
    <w:p>
      <w:pPr>
        <w:ind w:left="40" w:right="139" w:firstLine="315"/>
        <w:spacing w:after="0" w:line="246" w:lineRule="auto"/>
        <w:rPr>
          <w:sz w:val="20"/>
          <w:szCs w:val="20"/>
          <w:color w:val="auto"/>
        </w:rPr>
      </w:pPr>
      <w:r>
        <w:rPr>
          <w:rFonts w:ascii="Arial" w:cs="Arial" w:eastAsia="Arial" w:hAnsi="Arial"/>
          <w:sz w:val="18"/>
          <w:szCs w:val="18"/>
          <w:color w:val="auto"/>
        </w:rPr>
        <w:t>The RIFA contains customary representations and warranties and certain restrictions on the Company’s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the Company to repurchase the Purchasers’ interests in the revenue interest payments at an agreed upon repurchase price.</w:t>
      </w:r>
    </w:p>
    <w:p>
      <w:pPr>
        <w:spacing w:after="0" w:line="158" w:lineRule="exact"/>
        <w:rPr>
          <w:sz w:val="20"/>
          <w:szCs w:val="20"/>
          <w:color w:val="auto"/>
        </w:rPr>
      </w:pPr>
    </w:p>
    <w:p>
      <w:pPr>
        <w:ind w:left="40" w:right="139" w:firstLine="315"/>
        <w:spacing w:after="0" w:line="249" w:lineRule="auto"/>
        <w:rPr>
          <w:sz w:val="20"/>
          <w:szCs w:val="20"/>
          <w:color w:val="auto"/>
        </w:rPr>
      </w:pPr>
      <w:r>
        <w:rPr>
          <w:rFonts w:ascii="Arial" w:cs="Arial" w:eastAsia="Arial" w:hAnsi="Arial"/>
          <w:sz w:val="18"/>
          <w:szCs w:val="18"/>
          <w:color w:val="auto"/>
        </w:rPr>
        <w:t>Tranche B and C of the RIFA are each $45,000 and are available upon satisfaction of certain conditions, including receipt of certain regulatory and patent-related milestones and specified minimum net sales of BXCL501 during any consecutive 12-month period. As of September 30, 2023, $90,000 remained available under the RIFA, subject to achievement of the specified conditions and milestones.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currently expect to satisfy the conditions necessary to draw Tranches B or C.</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Warrants and Equity Investment Right</w:t>
      </w:r>
    </w:p>
    <w:p>
      <w:pPr>
        <w:spacing w:after="0" w:line="180" w:lineRule="exact"/>
        <w:rPr>
          <w:sz w:val="20"/>
          <w:szCs w:val="20"/>
          <w:color w:val="auto"/>
        </w:rPr>
      </w:pPr>
    </w:p>
    <w:p>
      <w:pPr>
        <w:ind w:left="40" w:right="219" w:firstLine="315"/>
        <w:spacing w:after="0" w:line="279" w:lineRule="auto"/>
        <w:rPr>
          <w:sz w:val="20"/>
          <w:szCs w:val="20"/>
          <w:color w:val="auto"/>
        </w:rPr>
      </w:pPr>
      <w:r>
        <w:rPr>
          <w:rFonts w:ascii="Arial" w:cs="Arial" w:eastAsia="Arial" w:hAnsi="Arial"/>
          <w:sz w:val="16"/>
          <w:szCs w:val="16"/>
          <w:color w:val="auto"/>
        </w:rPr>
        <w:t>In connection with the Credit Agreement, on the Effective Date, the Company granted warrants to the Lenders to purchase up to 278 shares of its common stock (the “BTI Warrants”) at an exercise price of $20.04 per share. The BTI Warrants will expire on April 19, 2029, are freely transferable and may be net exercised at the holder’s election. In addition, pursuant to the Credit Agreement, the Lenders have the right to purchase shares of the Company’s common stock after the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with the Lenders and filed a registration statement on Form S-3 to register the shares issuable upon exercise of the BTI Warrants and, if issued, the shares related to the Equity Investment Right, for resale. The maximum shares of BTI common stock issuable under the BTI Warrants and Lenders’ Equity Investment Right is 5,593.</w:t>
      </w:r>
    </w:p>
    <w:p>
      <w:pPr>
        <w:spacing w:after="0" w:line="148" w:lineRule="exact"/>
        <w:rPr>
          <w:sz w:val="20"/>
          <w:szCs w:val="20"/>
          <w:color w:val="auto"/>
        </w:rPr>
      </w:pPr>
    </w:p>
    <w:p>
      <w:pPr>
        <w:ind w:left="40" w:right="179" w:firstLine="315"/>
        <w:spacing w:after="0" w:line="298" w:lineRule="auto"/>
        <w:rPr>
          <w:sz w:val="20"/>
          <w:szCs w:val="20"/>
          <w:color w:val="auto"/>
        </w:rPr>
      </w:pPr>
      <w:r>
        <w:rPr>
          <w:rFonts w:ascii="Arial" w:cs="Arial" w:eastAsia="Arial" w:hAnsi="Arial"/>
          <w:sz w:val="15"/>
          <w:szCs w:val="15"/>
          <w:color w:val="auto"/>
        </w:rPr>
        <w:t>As part of the Credit Agreement, OnkosXcel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579" w:firstLine="315"/>
        <w:spacing w:after="0" w:line="261" w:lineRule="auto"/>
        <w:rPr>
          <w:sz w:val="20"/>
          <w:szCs w:val="20"/>
          <w:color w:val="auto"/>
        </w:rPr>
      </w:pPr>
      <w:r>
        <w:rPr>
          <w:rFonts w:ascii="Arial" w:cs="Arial" w:eastAsia="Arial" w:hAnsi="Arial"/>
          <w:sz w:val="18"/>
          <w:szCs w:val="18"/>
          <w:color w:val="auto"/>
        </w:rPr>
        <w:t>Maturities of debt, excluding the impacts of any mandatory payments pursuant to the Revenue Covenant or to meet minimum royalty levels, are expected to be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 2023</w:t>
            </w:r>
          </w:p>
        </w:tc>
      </w:tr>
      <w:tr>
        <w:trPr>
          <w:trHeight w:val="203"/>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18"/>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741</w:t>
            </w:r>
          </w:p>
        </w:tc>
        <w:tc>
          <w:tcPr>
            <w:tcW w:w="28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8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18"/>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5,633</w:t>
            </w:r>
          </w:p>
        </w:tc>
        <w:tc>
          <w:tcPr>
            <w:tcW w:w="28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93,907</w:t>
            </w:r>
          </w:p>
        </w:tc>
        <w:tc>
          <w:tcPr>
            <w:tcW w:w="280" w:type="dxa"/>
            <w:vAlign w:val="bottom"/>
            <w:shd w:val="clear" w:color="auto" w:fill="CCEEFF"/>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18"/>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5,022</w:t>
            </w:r>
          </w:p>
        </w:tc>
        <w:tc>
          <w:tcPr>
            <w:tcW w:w="280" w:type="dxa"/>
            <w:vAlign w:val="bottom"/>
          </w:tcPr>
          <w:p>
            <w:pPr>
              <w:spacing w:after="0"/>
              <w:rPr>
                <w:sz w:val="19"/>
                <w:szCs w:val="19"/>
                <w:color w:val="auto"/>
              </w:rPr>
            </w:pPr>
          </w:p>
        </w:tc>
      </w:tr>
      <w:tr>
        <w:trPr>
          <w:trHeight w:val="408"/>
        </w:trPr>
        <w:tc>
          <w:tcPr>
            <w:tcW w:w="4660" w:type="dxa"/>
            <w:vAlign w:val="bottom"/>
          </w:tcPr>
          <w:p>
            <w:pPr>
              <w:ind w:left="320"/>
              <w:spacing w:after="0"/>
              <w:rPr>
                <w:sz w:val="20"/>
                <w:szCs w:val="20"/>
                <w:color w:val="auto"/>
              </w:rPr>
            </w:pPr>
            <w:r>
              <w:rPr>
                <w:rFonts w:ascii="Arial" w:cs="Arial" w:eastAsia="Arial" w:hAnsi="Arial"/>
                <w:sz w:val="18"/>
                <w:szCs w:val="18"/>
                <w:color w:val="auto"/>
              </w:rPr>
              <w:t>Interest expense was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1"/>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90"/>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r>
      <w:tr>
        <w:trPr>
          <w:trHeight w:val="203"/>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4,755</w:t>
            </w:r>
          </w:p>
        </w:tc>
      </w:tr>
      <w:tr>
        <w:trPr>
          <w:trHeight w:val="21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Accretion of debt discount and amortization of financing costs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538</w:t>
            </w:r>
          </w:p>
        </w:tc>
      </w:tr>
      <w:tr>
        <w:trPr>
          <w:trHeight w:val="203"/>
        </w:trPr>
        <w:tc>
          <w:tcPr>
            <w:tcW w:w="466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3,252</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9,879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5,293</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80" w:lineRule="exact"/>
        <w:rPr>
          <w:sz w:val="20"/>
          <w:szCs w:val="20"/>
          <w:color w:val="auto"/>
        </w:rPr>
      </w:pPr>
    </w:p>
    <w:p>
      <w:pPr>
        <w:ind w:left="40" w:right="159" w:firstLine="391"/>
        <w:spacing w:after="0" w:line="280" w:lineRule="auto"/>
        <w:rPr>
          <w:sz w:val="20"/>
          <w:szCs w:val="20"/>
          <w:color w:val="auto"/>
        </w:rPr>
      </w:pPr>
      <w:r>
        <w:rPr>
          <w:rFonts w:ascii="Arial" w:cs="Arial" w:eastAsia="Arial" w:hAnsi="Arial"/>
          <w:sz w:val="16"/>
          <w:szCs w:val="16"/>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net in the Company’s Condensed Consolidated Statements of Operations.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Common Stock Financing Activities</w:t>
      </w:r>
    </w:p>
    <w:p>
      <w:pPr>
        <w:spacing w:after="0" w:line="193" w:lineRule="exact"/>
        <w:rPr>
          <w:sz w:val="20"/>
          <w:szCs w:val="20"/>
          <w:color w:val="auto"/>
        </w:rPr>
      </w:pPr>
    </w:p>
    <w:p>
      <w:pPr>
        <w:ind w:left="40" w:right="199" w:firstLine="315"/>
        <w:spacing w:after="0" w:line="286" w:lineRule="auto"/>
        <w:rPr>
          <w:sz w:val="20"/>
          <w:szCs w:val="20"/>
          <w:color w:val="auto"/>
        </w:rPr>
      </w:pPr>
      <w:r>
        <w:rPr>
          <w:rFonts w:ascii="Arial" w:cs="Arial" w:eastAsia="Arial" w:hAnsi="Arial"/>
          <w:sz w:val="16"/>
          <w:szCs w:val="16"/>
          <w:color w:val="auto"/>
        </w:rPr>
        <w:t>In May 2021, the Company entered into an Open Market Sale Agreement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The Company sold 756 shares under the Sale Agreement with Jefferies in the first nine months of 2023 for net proceeds of $23,918, net of offering costs of $739. There were no sales under the Sale Agreement in 2022.</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Stock-Based Compensation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2017 Equity Incentive Plan</w:t>
      </w:r>
    </w:p>
    <w:p>
      <w:pPr>
        <w:spacing w:after="0" w:line="180" w:lineRule="exact"/>
        <w:rPr>
          <w:sz w:val="20"/>
          <w:szCs w:val="20"/>
          <w:color w:val="auto"/>
        </w:rPr>
      </w:pPr>
    </w:p>
    <w:p>
      <w:pPr>
        <w:jc w:val="both"/>
        <w:ind w:left="40" w:right="319" w:firstLine="315"/>
        <w:spacing w:after="0" w:line="252" w:lineRule="auto"/>
        <w:rPr>
          <w:sz w:val="20"/>
          <w:szCs w:val="20"/>
          <w:color w:val="auto"/>
        </w:rPr>
      </w:pPr>
      <w:r>
        <w:rPr>
          <w:rFonts w:ascii="Arial" w:cs="Arial" w:eastAsia="Arial" w:hAnsi="Arial"/>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2020 Incentive Award Plan</w:t>
      </w:r>
    </w:p>
    <w:p>
      <w:pPr>
        <w:spacing w:after="0" w:line="180" w:lineRule="exact"/>
        <w:rPr>
          <w:sz w:val="20"/>
          <w:szCs w:val="20"/>
          <w:color w:val="auto"/>
        </w:rPr>
      </w:pPr>
    </w:p>
    <w:p>
      <w:pPr>
        <w:ind w:left="40" w:right="359" w:firstLine="315"/>
        <w:spacing w:after="0" w:line="324" w:lineRule="auto"/>
        <w:rPr>
          <w:sz w:val="20"/>
          <w:szCs w:val="20"/>
          <w:color w:val="auto"/>
        </w:rPr>
      </w:pPr>
      <w:r>
        <w:rPr>
          <w:rFonts w:ascii="Arial" w:cs="Arial" w:eastAsia="Arial" w:hAnsi="Arial"/>
          <w:sz w:val="16"/>
          <w:szCs w:val="16"/>
          <w:color w:val="auto"/>
        </w:rPr>
        <w:t>The Company’s 2020 Plan was approved and became effective at the Company’s 2020 annual meeting of stockholders on May 20, 2020, and unless earlier terminated by the Board of Directors, will remain in effect until</w:t>
      </w:r>
    </w:p>
    <w:p>
      <w:pPr>
        <w:sectPr>
          <w:pgSz w:w="11900" w:h="16838" w:orient="portrait"/>
          <w:cols w:equalWidth="0" w:num="1">
            <w:col w:w="9019"/>
          </w:cols>
          <w:pgMar w:left="1440" w:top="508" w:right="1440" w:bottom="1440" w:gutter="0" w:footer="0" w:header="0"/>
        </w:sect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spacing w:after="0" w:line="279" w:lineRule="auto"/>
        <w:rPr>
          <w:sz w:val="20"/>
          <w:szCs w:val="20"/>
          <w:color w:val="auto"/>
        </w:rPr>
      </w:pPr>
      <w:r>
        <w:rPr>
          <w:rFonts w:ascii="Arial" w:cs="Arial" w:eastAsia="Arial" w:hAnsi="Arial"/>
          <w:sz w:val="16"/>
          <w:szCs w:val="16"/>
          <w:color w:val="auto"/>
        </w:rPr>
        <w:t>March 26, 2030. The 2020 Plan originally authorized for issuance the sum of (i) 911 shares of the Company’s common stock and (ii) 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1,126 shares and 1,119 shares on January 1, 2023 and 2022, respectively.</w:t>
      </w:r>
    </w:p>
    <w:p>
      <w:pPr>
        <w:spacing w:after="0" w:line="145" w:lineRule="exact"/>
        <w:rPr>
          <w:sz w:val="20"/>
          <w:szCs w:val="20"/>
          <w:color w:val="auto"/>
        </w:rPr>
      </w:pPr>
    </w:p>
    <w:p>
      <w:pPr>
        <w:ind w:left="40" w:right="439" w:firstLine="315"/>
        <w:spacing w:after="0" w:line="261" w:lineRule="auto"/>
        <w:rPr>
          <w:sz w:val="20"/>
          <w:szCs w:val="20"/>
          <w:color w:val="auto"/>
        </w:rPr>
      </w:pPr>
      <w:r>
        <w:rPr>
          <w:rFonts w:ascii="Arial" w:cs="Arial" w:eastAsia="Arial" w:hAnsi="Arial"/>
          <w:sz w:val="18"/>
          <w:szCs w:val="18"/>
          <w:color w:val="auto"/>
        </w:rPr>
        <w:t>Stock-based awards granted under the 2020 Plan have a term of ten years. The vesting schedule of all awards granted under the 2020 Plan is determined by the Board of Directors, which is generally four years.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September 30, 2023, there were 669 shares available to be granted under the 2020 Plan.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Restricted stock units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activity relating to BTI RSUs.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60" w:type="dxa"/>
            <w:vAlign w:val="bottom"/>
          </w:tcPr>
          <w:p>
            <w:pPr>
              <w:jc w:val="right"/>
              <w:ind w:right="318"/>
              <w:spacing w:after="0"/>
              <w:rPr>
                <w:sz w:val="20"/>
                <w:szCs w:val="20"/>
                <w:color w:val="auto"/>
              </w:rPr>
            </w:pPr>
            <w:r>
              <w:rPr>
                <w:rFonts w:ascii="Arial" w:cs="Arial" w:eastAsia="Arial" w:hAnsi="Arial"/>
                <w:sz w:val="14"/>
                <w:szCs w:val="14"/>
                <w:b w:val="1"/>
                <w:bCs w:val="1"/>
                <w:color w:val="auto"/>
              </w:rPr>
              <w:t>Number of</w:t>
            </w:r>
          </w:p>
        </w:tc>
      </w:tr>
      <w:tr>
        <w:trPr>
          <w:trHeight w:val="167"/>
        </w:trPr>
        <w:tc>
          <w:tcPr>
            <w:tcW w:w="7380" w:type="dxa"/>
            <w:vAlign w:val="bottom"/>
          </w:tcPr>
          <w:p>
            <w:pPr>
              <w:spacing w:after="0"/>
              <w:rPr>
                <w:sz w:val="14"/>
                <w:szCs w:val="14"/>
                <w:color w:val="auto"/>
              </w:rPr>
            </w:pPr>
          </w:p>
        </w:tc>
        <w:tc>
          <w:tcPr>
            <w:tcW w:w="14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shares</w:t>
            </w:r>
          </w:p>
        </w:tc>
      </w:tr>
      <w:tr>
        <w:trPr>
          <w:trHeight w:val="138"/>
        </w:trPr>
        <w:tc>
          <w:tcPr>
            <w:tcW w:w="73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0"/>
        </w:trPr>
        <w:tc>
          <w:tcPr>
            <w:tcW w:w="73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3"/>
        </w:trPr>
        <w:tc>
          <w:tcPr>
            <w:tcW w:w="7380" w:type="dxa"/>
            <w:vAlign w:val="bottom"/>
          </w:tcPr>
          <w:p>
            <w:pPr>
              <w:spacing w:after="0" w:line="203" w:lineRule="exact"/>
              <w:rPr>
                <w:sz w:val="20"/>
                <w:szCs w:val="20"/>
                <w:color w:val="auto"/>
              </w:rPr>
            </w:pPr>
            <w:r>
              <w:rPr>
                <w:rFonts w:ascii="Arial" w:cs="Arial" w:eastAsia="Arial" w:hAnsi="Arial"/>
                <w:sz w:val="18"/>
                <w:szCs w:val="18"/>
                <w:color w:val="auto"/>
              </w:rPr>
              <w:t>Outstanding as of September 30, 2023</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w:t>
            </w:r>
          </w:p>
        </w:tc>
      </w:tr>
      <w:tr>
        <w:trPr>
          <w:trHeight w:val="20"/>
        </w:trPr>
        <w:tc>
          <w:tcPr>
            <w:tcW w:w="7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nine months ended September 30, 2023, the Company granted 133 time-based RSUs to certain employees.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 of the RSUs vest over four years, with 25% vesting at the one-year anniversary of the grant date and the balance vesting</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ratably over the remaining 12 quarters of the vesting period. The average grant date fair value per share for the RSUs was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$19.62. Unrecognized stock-based compensation expense related to these awards was approximately $2,255 as of September</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30, 2023.</w:t>
      </w:r>
    </w:p>
    <w:p>
      <w:pPr>
        <w:spacing w:after="0" w:line="162" w:lineRule="exact"/>
        <w:rPr>
          <w:sz w:val="20"/>
          <w:szCs w:val="20"/>
          <w:color w:val="auto"/>
        </w:rPr>
      </w:pPr>
    </w:p>
    <w:p>
      <w:pPr>
        <w:ind w:left="40" w:right="239" w:firstLine="315"/>
        <w:spacing w:after="0" w:line="282" w:lineRule="auto"/>
        <w:rPr>
          <w:sz w:val="20"/>
          <w:szCs w:val="20"/>
          <w:color w:val="auto"/>
        </w:rPr>
      </w:pPr>
      <w:r>
        <w:rPr>
          <w:rFonts w:ascii="Arial" w:cs="Arial" w:eastAsia="Arial" w:hAnsi="Arial"/>
          <w:sz w:val="16"/>
          <w:szCs w:val="16"/>
          <w:color w:val="auto"/>
        </w:rPr>
        <w:t>During the nine months ended September 30, 2022, the Company granted 122 (119, net of forfeitures) time-based RSUs to certain employees and consultants. The majority of RSUs granted to employees vest over four years, with 25% vesting at the one-year anniversary of the grant date and the balance vesting ratably over the remaining 12 quarters of the vesting period. There were 25 RSUs granted to employees in May 2022 which fully vested at the one-year anniversary of the grant date. RSUs granted to a third-party consultant vest 50% on each of the first and second anniversaries of the grant date. The average grant date fair value per share for the RSUs during 2022 was $13.97. Unrecognized stock-based compensation expense related to these awards was approximately $841 as of September 30, 2023.</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OnkosXcel profit sharing units</w:t>
      </w:r>
    </w:p>
    <w:p>
      <w:pPr>
        <w:spacing w:after="0" w:line="193" w:lineRule="exact"/>
        <w:rPr>
          <w:sz w:val="20"/>
          <w:szCs w:val="20"/>
          <w:color w:val="auto"/>
        </w:rPr>
      </w:pPr>
    </w:p>
    <w:p>
      <w:pPr>
        <w:ind w:left="40" w:right="379" w:firstLine="315"/>
        <w:spacing w:after="0" w:line="261" w:lineRule="auto"/>
        <w:rPr>
          <w:sz w:val="20"/>
          <w:szCs w:val="20"/>
          <w:color w:val="auto"/>
        </w:rPr>
      </w:pPr>
      <w:r>
        <w:rPr>
          <w:rFonts w:ascii="Arial" w:cs="Arial" w:eastAsia="Arial" w:hAnsi="Arial"/>
          <w:sz w:val="18"/>
          <w:szCs w:val="18"/>
          <w:color w:val="auto"/>
        </w:rPr>
        <w:t>The table below summarizes activity relating to profits interests (the “profit sharing units” or “PSUs”) associated with OnkosXcel.</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Weighted average</w:t>
            </w:r>
          </w:p>
        </w:tc>
      </w:tr>
      <w:tr>
        <w:trPr>
          <w:trHeight w:val="210"/>
        </w:trPr>
        <w:tc>
          <w:tcPr>
            <w:tcW w:w="59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price per unit</w:t>
            </w:r>
          </w:p>
        </w:tc>
      </w:tr>
      <w:tr>
        <w:trPr>
          <w:trHeight w:val="195"/>
        </w:trPr>
        <w:tc>
          <w:tcPr>
            <w:tcW w:w="5900" w:type="dxa"/>
            <w:vAlign w:val="bottom"/>
          </w:tcPr>
          <w:p>
            <w:pPr>
              <w:spacing w:after="0"/>
              <w:rPr>
                <w:sz w:val="16"/>
                <w:szCs w:val="16"/>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13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(in whole dollars)</w:t>
            </w:r>
          </w:p>
        </w:tc>
      </w:tr>
      <w:tr>
        <w:trPr>
          <w:trHeight w:val="203"/>
        </w:trPr>
        <w:tc>
          <w:tcPr>
            <w:tcW w:w="59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r>
      <w:tr>
        <w:trPr>
          <w:trHeight w:val="210"/>
        </w:trPr>
        <w:tc>
          <w:tcPr>
            <w:tcW w:w="59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10,176</w:t>
            </w:r>
          </w:p>
        </w:tc>
      </w:tr>
      <w:tr>
        <w:trPr>
          <w:trHeight w:val="21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r>
      <w:tr>
        <w:trPr>
          <w:trHeight w:val="210"/>
        </w:trPr>
        <w:tc>
          <w:tcPr>
            <w:tcW w:w="59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5,506</w:t>
            </w:r>
          </w:p>
        </w:tc>
      </w:tr>
      <w:tr>
        <w:trPr>
          <w:trHeight w:val="203"/>
        </w:trPr>
        <w:tc>
          <w:tcPr>
            <w:tcW w:w="59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as of September 30, 2023</w:t>
            </w:r>
          </w:p>
        </w:tc>
        <w:tc>
          <w:tcPr>
            <w:tcW w:w="1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0"/>
        </w:trPr>
        <w:tc>
          <w:tcPr>
            <w:tcW w:w="5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as of September 30,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r>
      <w:tr>
        <w:trPr>
          <w:trHeight w:val="20"/>
        </w:trPr>
        <w:tc>
          <w:tcPr>
            <w:tcW w:w="5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39" w:firstLine="315"/>
        <w:spacing w:after="0" w:line="290" w:lineRule="auto"/>
        <w:rPr>
          <w:sz w:val="20"/>
          <w:szCs w:val="20"/>
          <w:color w:val="auto"/>
        </w:rPr>
      </w:pPr>
      <w:r>
        <w:rPr>
          <w:rFonts w:ascii="Arial" w:cs="Arial" w:eastAsia="Arial" w:hAnsi="Arial"/>
          <w:sz w:val="16"/>
          <w:szCs w:val="16"/>
          <w:color w:val="auto"/>
        </w:rPr>
        <w:t>The Company granted 1,340 individual (not in thousands) time-based PSUs related to OnkosXcel to certain employees and consultants of the Company in consideration for services provided to OnkosXcel. The PSUs represent indirect equity interests in OnkosXcel. All PSUs, other than those granted to certain executive employees of the Company, vest ratably over 48 months. PSUs granted to certain executive employees of the Company, vest ratably over 24 months.</w:t>
      </w:r>
    </w:p>
    <w:p>
      <w:pPr>
        <w:spacing w:after="0" w:line="123" w:lineRule="exact"/>
        <w:rPr>
          <w:sz w:val="20"/>
          <w:szCs w:val="20"/>
          <w:color w:val="auto"/>
        </w:rPr>
      </w:pPr>
    </w:p>
    <w:p>
      <w:pPr>
        <w:ind w:left="40" w:right="459" w:firstLine="315"/>
        <w:spacing w:after="0" w:line="261" w:lineRule="auto"/>
        <w:rPr>
          <w:sz w:val="20"/>
          <w:szCs w:val="20"/>
          <w:color w:val="auto"/>
        </w:rPr>
      </w:pPr>
      <w:r>
        <w:rPr>
          <w:rFonts w:ascii="Arial" w:cs="Arial" w:eastAsia="Arial" w:hAnsi="Arial"/>
          <w:sz w:val="18"/>
          <w:szCs w:val="18"/>
          <w:color w:val="auto"/>
        </w:rPr>
        <w:t>The fair values of PSUs granted during 2023 of $8 per unit were estimated at the date of grant using a Black-Scholes option pricing model and assumptions below.</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464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2023 grant profit share</w:t>
            </w:r>
          </w:p>
        </w:tc>
      </w:tr>
      <w:tr>
        <w:trPr>
          <w:trHeight w:val="228"/>
        </w:trPr>
        <w:tc>
          <w:tcPr>
            <w:tcW w:w="4200" w:type="dxa"/>
            <w:vAlign w:val="bottom"/>
          </w:tcPr>
          <w:p>
            <w:pPr>
              <w:spacing w:after="0"/>
              <w:rPr>
                <w:sz w:val="19"/>
                <w:szCs w:val="19"/>
                <w:color w:val="auto"/>
              </w:rPr>
            </w:pPr>
          </w:p>
        </w:tc>
        <w:tc>
          <w:tcPr>
            <w:tcW w:w="464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unit valuation inputs</w:t>
            </w:r>
          </w:p>
        </w:tc>
      </w:tr>
      <w:tr>
        <w:trPr>
          <w:trHeight w:val="211"/>
        </w:trPr>
        <w:tc>
          <w:tcPr>
            <w:tcW w:w="4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2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87"/>
              </w:rPr>
              <w:t>%</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3620" w:type="dxa"/>
            <w:vAlign w:val="bottom"/>
          </w:tcPr>
          <w:p>
            <w:pPr>
              <w:jc w:val="right"/>
              <w:spacing w:after="0"/>
              <w:rPr>
                <w:sz w:val="20"/>
                <w:szCs w:val="20"/>
                <w:color w:val="auto"/>
              </w:rPr>
            </w:pPr>
            <w:r>
              <w:rPr>
                <w:rFonts w:ascii="Arial" w:cs="Arial" w:eastAsia="Arial" w:hAnsi="Arial"/>
                <w:sz w:val="18"/>
                <w:szCs w:val="18"/>
                <w:color w:val="auto"/>
              </w:rPr>
              <w:t>3.6</w:t>
            </w:r>
          </w:p>
        </w:tc>
        <w:tc>
          <w:tcPr>
            <w:tcW w:w="1020" w:type="dxa"/>
            <w:vAlign w:val="bottom"/>
          </w:tcPr>
          <w:p>
            <w:pPr>
              <w:jc w:val="right"/>
              <w:ind w:right="772"/>
              <w:spacing w:after="0"/>
              <w:rPr>
                <w:sz w:val="20"/>
                <w:szCs w:val="20"/>
                <w:color w:val="auto"/>
              </w:rPr>
            </w:pPr>
            <w:r>
              <w:rPr>
                <w:rFonts w:ascii="Arial" w:cs="Arial" w:eastAsia="Arial" w:hAnsi="Arial"/>
                <w:sz w:val="18"/>
                <w:szCs w:val="18"/>
                <w:color w:val="auto"/>
                <w:w w:val="87"/>
              </w:rPr>
              <w:t>%</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64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 %</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Expected term</w:t>
            </w:r>
          </w:p>
        </w:tc>
        <w:tc>
          <w:tcPr>
            <w:tcW w:w="3620" w:type="dxa"/>
            <w:vAlign w:val="bottom"/>
          </w:tcPr>
          <w:p>
            <w:pPr>
              <w:jc w:val="right"/>
              <w:spacing w:after="0"/>
              <w:rPr>
                <w:sz w:val="20"/>
                <w:szCs w:val="20"/>
                <w:color w:val="auto"/>
              </w:rPr>
            </w:pPr>
            <w:r>
              <w:rPr>
                <w:rFonts w:ascii="Arial" w:cs="Arial" w:eastAsia="Arial" w:hAnsi="Arial"/>
                <w:sz w:val="18"/>
                <w:szCs w:val="18"/>
                <w:color w:val="auto"/>
              </w:rPr>
              <w:t>5.8</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6"/>
              </w:rPr>
              <w:t>years</w:t>
            </w:r>
          </w:p>
        </w:tc>
      </w:tr>
    </w:tbl>
    <w:p>
      <w:pPr>
        <w:spacing w:after="0" w:line="186" w:lineRule="exact"/>
        <w:rPr>
          <w:sz w:val="20"/>
          <w:szCs w:val="20"/>
          <w:color w:val="auto"/>
        </w:rPr>
      </w:pPr>
    </w:p>
    <w:p>
      <w:pPr>
        <w:ind w:left="360" w:right="1019"/>
        <w:spacing w:after="0" w:line="441" w:lineRule="auto"/>
        <w:rPr>
          <w:sz w:val="20"/>
          <w:szCs w:val="20"/>
          <w:color w:val="auto"/>
        </w:rPr>
      </w:pPr>
      <w:r>
        <w:rPr>
          <w:rFonts w:ascii="Arial" w:cs="Arial" w:eastAsia="Arial" w:hAnsi="Arial"/>
          <w:sz w:val="18"/>
          <w:szCs w:val="18"/>
          <w:color w:val="auto"/>
        </w:rPr>
        <w:t xml:space="preserve">Unrecognized stock-based compensation expense related to these awards was $3,203 at September 30, 2023. </w:t>
      </w:r>
      <w:r>
        <w:rPr>
          <w:rFonts w:ascii="Arial" w:cs="Arial" w:eastAsia="Arial" w:hAnsi="Arial"/>
          <w:sz w:val="18"/>
          <w:szCs w:val="18"/>
          <w:b w:val="1"/>
          <w:bCs w:val="1"/>
          <w:color w:val="auto"/>
        </w:rPr>
        <w:t>OnkosXcel restricted stock units</w:t>
      </w:r>
    </w:p>
    <w:p>
      <w:pPr>
        <w:spacing w:after="0" w:line="2" w:lineRule="exact"/>
        <w:rPr>
          <w:sz w:val="20"/>
          <w:szCs w:val="20"/>
          <w:color w:val="auto"/>
        </w:rPr>
      </w:pPr>
    </w:p>
    <w:p>
      <w:pPr>
        <w:jc w:val="both"/>
        <w:ind w:left="40" w:right="639" w:firstLine="315"/>
        <w:spacing w:after="0" w:line="261" w:lineRule="auto"/>
        <w:rPr>
          <w:sz w:val="20"/>
          <w:szCs w:val="20"/>
          <w:color w:val="auto"/>
        </w:rPr>
      </w:pPr>
      <w:r>
        <w:rPr>
          <w:rFonts w:ascii="Arial" w:cs="Arial" w:eastAsia="Arial" w:hAnsi="Arial"/>
          <w:sz w:val="18"/>
          <w:szCs w:val="18"/>
          <w:color w:val="auto"/>
        </w:rPr>
        <w:t>The table below summarizes activity relating to restricted stock units associated with OnkosXcel (the “OnkosXcel RSUs”).</w:t>
      </w: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380" w:type="dxa"/>
            <w:vAlign w:val="bottom"/>
          </w:tcPr>
          <w:p>
            <w:pPr>
              <w:spacing w:after="0"/>
              <w:rPr>
                <w:sz w:val="15"/>
                <w:szCs w:val="15"/>
                <w:color w:val="auto"/>
              </w:rPr>
            </w:pPr>
          </w:p>
        </w:tc>
        <w:tc>
          <w:tcPr>
            <w:tcW w:w="1460" w:type="dxa"/>
            <w:vAlign w:val="bottom"/>
          </w:tcPr>
          <w:p>
            <w:pPr>
              <w:jc w:val="right"/>
              <w:ind w:right="319"/>
              <w:spacing w:after="0"/>
              <w:rPr>
                <w:sz w:val="20"/>
                <w:szCs w:val="20"/>
                <w:color w:val="auto"/>
              </w:rPr>
            </w:pPr>
            <w:r>
              <w:rPr>
                <w:rFonts w:ascii="Arial" w:cs="Arial" w:eastAsia="Arial" w:hAnsi="Arial"/>
                <w:sz w:val="14"/>
                <w:szCs w:val="14"/>
                <w:b w:val="1"/>
                <w:bCs w:val="1"/>
                <w:color w:val="auto"/>
              </w:rPr>
              <w:t>Number of</w:t>
            </w:r>
          </w:p>
        </w:tc>
      </w:tr>
      <w:tr>
        <w:trPr>
          <w:trHeight w:val="208"/>
        </w:trPr>
        <w:tc>
          <w:tcPr>
            <w:tcW w:w="7380" w:type="dxa"/>
            <w:vAlign w:val="bottom"/>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units</w:t>
            </w:r>
          </w:p>
        </w:tc>
      </w:tr>
      <w:tr>
        <w:trPr>
          <w:trHeight w:val="203"/>
        </w:trPr>
        <w:tc>
          <w:tcPr>
            <w:tcW w:w="7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Granted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03"/>
        </w:trPr>
        <w:tc>
          <w:tcPr>
            <w:tcW w:w="738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as of September 30, 2023</w:t>
            </w:r>
          </w:p>
        </w:tc>
        <w:tc>
          <w:tcPr>
            <w:tcW w:w="1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r>
      <w:tr>
        <w:trPr>
          <w:trHeight w:val="20"/>
        </w:trPr>
        <w:tc>
          <w:tcPr>
            <w:tcW w:w="7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0" w:right="279" w:firstLine="315"/>
        <w:spacing w:after="0" w:line="299" w:lineRule="auto"/>
        <w:rPr>
          <w:sz w:val="20"/>
          <w:szCs w:val="20"/>
          <w:color w:val="auto"/>
        </w:rPr>
      </w:pPr>
      <w:r>
        <w:rPr>
          <w:rFonts w:ascii="Arial" w:cs="Arial" w:eastAsia="Arial" w:hAnsi="Arial"/>
          <w:sz w:val="16"/>
          <w:szCs w:val="16"/>
          <w:color w:val="auto"/>
        </w:rPr>
        <w:t>During the nine months ended September 30, 2023, the Company granted 225 individual (not in thousands) OnkosXcel RSUs to certain employees. 125 of the OnkosXcel RSUs vest upon the earlier to occur of (a) 180 days after an initial public offering of OnkosXcel, or (b) a change in control of OnkosXcel. The remaining OnkosXcel RSUs vest</w:t>
      </w:r>
    </w:p>
    <w:p>
      <w:pPr>
        <w:sectPr>
          <w:pgSz w:w="11900" w:h="16838" w:orient="portrait"/>
          <w:cols w:equalWidth="0" w:num="1">
            <w:col w:w="9019"/>
          </w:cols>
          <w:pgMar w:left="1440" w:top="508" w:right="1440" w:bottom="1440" w:gutter="0" w:footer="0" w:header="0"/>
        </w:sect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spacing w:after="0" w:line="249" w:lineRule="auto"/>
        <w:rPr>
          <w:sz w:val="20"/>
          <w:szCs w:val="20"/>
          <w:color w:val="auto"/>
        </w:rPr>
      </w:pPr>
      <w:r>
        <w:rPr>
          <w:rFonts w:ascii="Arial" w:cs="Arial" w:eastAsia="Arial" w:hAnsi="Arial"/>
          <w:sz w:val="18"/>
          <w:szCs w:val="18"/>
          <w:color w:val="auto"/>
        </w:rPr>
        <w:t>over four years, with 25% vesting at the one-year anniversary of the grant date and the balance vesting ratably over the remaining 12 quarters of the vesting period. The weighted average grant date fair value per unit for the OnkosXcel RSUs was approximately $10. Unrecognized stock-based compensation expense related to these awards was approximately $2,151 as of September 30, 2023.</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 options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the Company’s stock option activity for the nine months ended September 30, 2023 is presented below.</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Weighted average</w:t>
            </w:r>
          </w:p>
        </w:tc>
      </w:tr>
      <w:tr>
        <w:trPr>
          <w:trHeight w:val="167"/>
        </w:trPr>
        <w:tc>
          <w:tcPr>
            <w:tcW w:w="550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price per share</w:t>
            </w:r>
          </w:p>
        </w:tc>
      </w:tr>
      <w:tr>
        <w:trPr>
          <w:trHeight w:val="138"/>
        </w:trPr>
        <w:tc>
          <w:tcPr>
            <w:tcW w:w="55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60" w:type="dxa"/>
            <w:vAlign w:val="bottom"/>
            <w:shd w:val="clear" w:color="auto" w:fill="CCEEFF"/>
          </w:tcPr>
          <w:p>
            <w:pPr>
              <w:spacing w:after="0"/>
              <w:rPr>
                <w:sz w:val="18"/>
                <w:szCs w:val="18"/>
                <w:color w:val="auto"/>
              </w:rPr>
            </w:pPr>
          </w:p>
        </w:tc>
      </w:tr>
      <w:tr>
        <w:trPr>
          <w:trHeight w:val="210"/>
        </w:trPr>
        <w:tc>
          <w:tcPr>
            <w:tcW w:w="55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19.60</w:t>
            </w:r>
          </w:p>
        </w:tc>
        <w:tc>
          <w:tcPr>
            <w:tcW w:w="260" w:type="dxa"/>
            <w:vAlign w:val="bottom"/>
          </w:tcPr>
          <w:p>
            <w:pPr>
              <w:spacing w:after="0"/>
              <w:rPr>
                <w:sz w:val="18"/>
                <w:szCs w:val="18"/>
                <w:color w:val="auto"/>
              </w:rPr>
            </w:pPr>
          </w:p>
        </w:tc>
      </w:tr>
      <w:tr>
        <w:trPr>
          <w:trHeight w:val="21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60" w:type="dxa"/>
            <w:vAlign w:val="bottom"/>
            <w:shd w:val="clear" w:color="auto" w:fill="CCEEFF"/>
          </w:tcPr>
          <w:p>
            <w:pPr>
              <w:spacing w:after="0"/>
              <w:rPr>
                <w:sz w:val="18"/>
                <w:szCs w:val="18"/>
                <w:color w:val="auto"/>
              </w:rPr>
            </w:pPr>
          </w:p>
        </w:tc>
      </w:tr>
      <w:tr>
        <w:trPr>
          <w:trHeight w:val="210"/>
        </w:trPr>
        <w:tc>
          <w:tcPr>
            <w:tcW w:w="550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Pr>
          <w:p>
            <w:pPr>
              <w:spacing w:after="0"/>
              <w:rPr>
                <w:sz w:val="18"/>
                <w:szCs w:val="18"/>
                <w:color w:val="auto"/>
              </w:rPr>
            </w:pPr>
          </w:p>
        </w:tc>
      </w:tr>
      <w:tr>
        <w:trPr>
          <w:trHeight w:val="21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r>
      <w:tr>
        <w:trPr>
          <w:trHeight w:val="243"/>
        </w:trPr>
        <w:tc>
          <w:tcPr>
            <w:tcW w:w="55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as of September 30, 2023</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5,497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18.51</w:t>
            </w:r>
          </w:p>
        </w:tc>
        <w:tc>
          <w:tcPr>
            <w:tcW w:w="260" w:type="dxa"/>
            <w:vAlign w:val="bottom"/>
            <w:tcBorders>
              <w:bottom w:val="single" w:sz="8" w:color="CCEEFF"/>
            </w:tcBorders>
          </w:tcPr>
          <w:p>
            <w:pPr>
              <w:spacing w:after="0"/>
              <w:rPr>
                <w:sz w:val="21"/>
                <w:szCs w:val="21"/>
                <w:color w:val="auto"/>
              </w:rPr>
            </w:pPr>
          </w:p>
        </w:tc>
      </w:tr>
      <w:tr>
        <w:trPr>
          <w:trHeight w:val="190"/>
        </w:trPr>
        <w:tc>
          <w:tcPr>
            <w:tcW w:w="5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Options vested and exercisable as of September 30, 2023</w:t>
            </w:r>
          </w:p>
        </w:tc>
        <w:tc>
          <w:tcPr>
            <w:tcW w:w="1060" w:type="dxa"/>
            <w:vAlign w:val="bottom"/>
          </w:tcPr>
          <w:p>
            <w:pPr>
              <w:jc w:val="right"/>
              <w:spacing w:after="0"/>
              <w:rPr>
                <w:sz w:val="20"/>
                <w:szCs w:val="20"/>
                <w:color w:val="auto"/>
              </w:rPr>
            </w:pPr>
            <w:r>
              <w:rPr>
                <w:rFonts w:ascii="Arial" w:cs="Arial" w:eastAsia="Arial" w:hAnsi="Arial"/>
                <w:sz w:val="18"/>
                <w:szCs w:val="18"/>
                <w:color w:val="auto"/>
              </w:rPr>
              <w:t>3,381</w:t>
            </w:r>
          </w:p>
        </w:tc>
        <w:tc>
          <w:tcPr>
            <w:tcW w:w="2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16.93</w:t>
            </w:r>
          </w:p>
        </w:tc>
        <w:tc>
          <w:tcPr>
            <w:tcW w:w="260" w:type="dxa"/>
            <w:vAlign w:val="bottom"/>
          </w:tcPr>
          <w:p>
            <w:pPr>
              <w:spacing w:after="0"/>
              <w:rPr>
                <w:sz w:val="19"/>
                <w:szCs w:val="19"/>
                <w:color w:val="auto"/>
              </w:rPr>
            </w:pPr>
          </w:p>
        </w:tc>
      </w:tr>
    </w:tbl>
    <w:p>
      <w:pPr>
        <w:spacing w:after="0" w:line="186" w:lineRule="exact"/>
        <w:rPr>
          <w:sz w:val="20"/>
          <w:szCs w:val="20"/>
          <w:color w:val="auto"/>
        </w:rPr>
      </w:pPr>
    </w:p>
    <w:p>
      <w:pPr>
        <w:ind w:left="40" w:right="239" w:firstLine="315"/>
        <w:spacing w:after="0" w:line="252" w:lineRule="auto"/>
        <w:rPr>
          <w:sz w:val="20"/>
          <w:szCs w:val="20"/>
          <w:color w:val="auto"/>
        </w:rPr>
      </w:pPr>
      <w:r>
        <w:rPr>
          <w:rFonts w:ascii="Arial" w:cs="Arial" w:eastAsia="Arial" w:hAnsi="Arial"/>
          <w:sz w:val="18"/>
          <w:szCs w:val="18"/>
          <w:color w:val="auto"/>
        </w:rPr>
        <w:t>As of September 30, 2023, the intrinsic value of options outstanding was $2,628. The intrinsic value for stock options is calculated based on the difference between the exercise prices of the underlying awards and the quoted stock price of the Company’s common stock as of the reporting date.</w:t>
      </w:r>
    </w:p>
    <w:p>
      <w:pPr>
        <w:spacing w:after="0" w:line="163" w:lineRule="exact"/>
        <w:rPr>
          <w:sz w:val="20"/>
          <w:szCs w:val="20"/>
          <w:color w:val="auto"/>
        </w:rPr>
      </w:pPr>
    </w:p>
    <w:p>
      <w:pPr>
        <w:ind w:left="40" w:right="199" w:firstLine="315"/>
        <w:spacing w:after="0" w:line="261" w:lineRule="auto"/>
        <w:rPr>
          <w:sz w:val="20"/>
          <w:szCs w:val="20"/>
          <w:color w:val="auto"/>
        </w:rPr>
      </w:pPr>
      <w:r>
        <w:rPr>
          <w:rFonts w:ascii="Arial" w:cs="Arial" w:eastAsia="Arial" w:hAnsi="Arial"/>
          <w:sz w:val="18"/>
          <w:szCs w:val="18"/>
          <w:color w:val="auto"/>
        </w:rPr>
        <w:t>The total intrinsic value of stock options exercised for the nine months ended September 30, 2023 was $5,928. The total intrinsic value of stock options exercisable as of September 30, 2023 was $2,628.</w:t>
      </w:r>
    </w:p>
    <w:p>
      <w:pPr>
        <w:spacing w:after="0" w:line="141" w:lineRule="exact"/>
        <w:rPr>
          <w:sz w:val="20"/>
          <w:szCs w:val="20"/>
          <w:color w:val="auto"/>
        </w:rPr>
      </w:pPr>
    </w:p>
    <w:p>
      <w:pPr>
        <w:ind w:left="40" w:right="479" w:firstLine="315"/>
        <w:spacing w:after="0" w:line="261" w:lineRule="auto"/>
        <w:rPr>
          <w:sz w:val="20"/>
          <w:szCs w:val="20"/>
          <w:color w:val="auto"/>
        </w:rPr>
      </w:pPr>
      <w:r>
        <w:rPr>
          <w:rFonts w:ascii="Arial" w:cs="Arial" w:eastAsia="Arial" w:hAnsi="Arial"/>
          <w:sz w:val="18"/>
          <w:szCs w:val="18"/>
          <w:color w:val="auto"/>
        </w:rPr>
        <w:t>The weighted average grant date fair value per share of options granted during the nine months ended September 30, 2023 was $15.72.</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 average grant date fair value per share of options vested as of September 30, 2023 was $12.58.</w:t>
      </w:r>
    </w:p>
    <w:p>
      <w:pPr>
        <w:spacing w:after="0" w:line="210" w:lineRule="exact"/>
        <w:rPr>
          <w:sz w:val="20"/>
          <w:szCs w:val="20"/>
          <w:color w:val="auto"/>
        </w:rPr>
      </w:pPr>
    </w:p>
    <w:p>
      <w:pPr>
        <w:ind w:left="40" w:right="599" w:firstLine="315"/>
        <w:spacing w:after="0" w:line="324" w:lineRule="auto"/>
        <w:rPr>
          <w:sz w:val="20"/>
          <w:szCs w:val="20"/>
          <w:color w:val="auto"/>
        </w:rPr>
      </w:pPr>
      <w:r>
        <w:rPr>
          <w:rFonts w:ascii="Arial" w:cs="Arial" w:eastAsia="Arial" w:hAnsi="Arial"/>
          <w:sz w:val="16"/>
          <w:szCs w:val="16"/>
          <w:color w:val="auto"/>
        </w:rPr>
        <w:t>The weighted average remaining contractual life is 5.7 years for options exercisable as of September 30, 2023. The weighted average remaining contractual life was 6.9 years for options outstanding as of September 30, 2023.</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4" w:lineRule="exact"/>
        <w:rPr>
          <w:sz w:val="20"/>
          <w:szCs w:val="20"/>
          <w:color w:val="auto"/>
        </w:rPr>
      </w:pPr>
    </w:p>
    <w:p>
      <w:pPr>
        <w:ind w:left="40" w:right="319" w:firstLine="315"/>
        <w:spacing w:after="0" w:line="261" w:lineRule="auto"/>
        <w:rPr>
          <w:sz w:val="20"/>
          <w:szCs w:val="20"/>
          <w:color w:val="auto"/>
        </w:rPr>
      </w:pPr>
      <w:r>
        <w:rPr>
          <w:rFonts w:ascii="Arial" w:cs="Arial" w:eastAsia="Arial" w:hAnsi="Arial"/>
          <w:sz w:val="18"/>
          <w:szCs w:val="18"/>
          <w:color w:val="auto"/>
        </w:rPr>
        <w:t>The fair value of BTI stock options granted during the nine months ended September 30, 2023 and 2022 was estimated using the Black-Scholes pricing model with the following assumptions: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Nine months ended</w:t>
            </w:r>
          </w:p>
        </w:tc>
        <w:tc>
          <w:tcPr>
            <w:tcW w:w="480" w:type="dxa"/>
            <w:vAlign w:val="bottom"/>
          </w:tcPr>
          <w:p>
            <w:pPr>
              <w:spacing w:after="0"/>
              <w:rPr>
                <w:sz w:val="14"/>
                <w:szCs w:val="14"/>
                <w:color w:val="auto"/>
              </w:rPr>
            </w:pPr>
          </w:p>
        </w:tc>
      </w:tr>
      <w:tr>
        <w:trPr>
          <w:trHeight w:val="167"/>
        </w:trPr>
        <w:tc>
          <w:tcPr>
            <w:tcW w:w="4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September 30, 2023</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September 30, 2022</w:t>
            </w:r>
          </w:p>
        </w:tc>
        <w:tc>
          <w:tcPr>
            <w:tcW w:w="480" w:type="dxa"/>
            <w:vAlign w:val="bottom"/>
            <w:tcBorders>
              <w:bottom w:val="single" w:sz="8" w:color="auto"/>
            </w:tcBorders>
          </w:tcPr>
          <w:p>
            <w:pPr>
              <w:spacing w:after="0"/>
              <w:rPr>
                <w:sz w:val="14"/>
                <w:szCs w:val="14"/>
                <w:color w:val="auto"/>
              </w:rPr>
            </w:pPr>
          </w:p>
        </w:tc>
      </w:tr>
      <w:tr>
        <w:trPr>
          <w:trHeight w:val="138"/>
        </w:trPr>
        <w:tc>
          <w:tcPr>
            <w:tcW w:w="4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years</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96.6</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109.2</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92.7</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96.9</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299"/>
              <w:spacing w:after="0"/>
              <w:rPr>
                <w:sz w:val="20"/>
                <w:szCs w:val="20"/>
                <w:color w:val="auto"/>
              </w:rPr>
            </w:pPr>
            <w:r>
              <w:rPr>
                <w:rFonts w:ascii="Arial" w:cs="Arial" w:eastAsia="Arial" w:hAnsi="Arial"/>
                <w:sz w:val="18"/>
                <w:szCs w:val="18"/>
                <w:color w:val="auto"/>
              </w:rPr>
              <w:t>0.0 %</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19"/>
                <w:szCs w:val="19"/>
                <w:color w:val="auto"/>
              </w:rPr>
            </w:pPr>
          </w:p>
        </w:tc>
        <w:tc>
          <w:tcPr>
            <w:tcW w:w="1000" w:type="dxa"/>
            <w:vAlign w:val="bottom"/>
            <w:gridSpan w:val="2"/>
          </w:tcPr>
          <w:p>
            <w:pPr>
              <w:jc w:val="right"/>
              <w:ind w:right="299"/>
              <w:spacing w:after="0"/>
              <w:rPr>
                <w:sz w:val="20"/>
                <w:szCs w:val="20"/>
                <w:color w:val="auto"/>
              </w:rPr>
            </w:pPr>
            <w:r>
              <w:rPr>
                <w:rFonts w:ascii="Arial" w:cs="Arial" w:eastAsia="Arial" w:hAnsi="Arial"/>
                <w:sz w:val="18"/>
                <w:szCs w:val="18"/>
                <w:color w:val="auto"/>
              </w:rPr>
              <w:t>0.0 %</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0.0 %</w:t>
            </w:r>
          </w:p>
        </w:tc>
      </w:tr>
    </w:tbl>
    <w:p>
      <w:pPr>
        <w:spacing w:after="0" w:line="186" w:lineRule="exact"/>
        <w:rPr>
          <w:sz w:val="20"/>
          <w:szCs w:val="20"/>
          <w:color w:val="auto"/>
        </w:rPr>
      </w:pPr>
    </w:p>
    <w:p>
      <w:pPr>
        <w:ind w:left="40" w:right="279" w:firstLine="315"/>
        <w:spacing w:after="0" w:line="286" w:lineRule="auto"/>
        <w:rPr>
          <w:sz w:val="20"/>
          <w:szCs w:val="20"/>
          <w:color w:val="auto"/>
        </w:rPr>
      </w:pPr>
      <w:r>
        <w:rPr>
          <w:rFonts w:ascii="Arial" w:cs="Arial" w:eastAsia="Arial" w:hAnsi="Arial"/>
          <w:sz w:val="16"/>
          <w:szCs w:val="16"/>
          <w:color w:val="auto"/>
        </w:rPr>
        <w:t>In 2023, the Company began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84" w:lineRule="auto"/>
        <w:rPr>
          <w:sz w:val="20"/>
          <w:szCs w:val="20"/>
          <w:color w:val="auto"/>
        </w:rPr>
      </w:pPr>
      <w:r>
        <w:rPr>
          <w:rFonts w:ascii="Arial" w:cs="Arial" w:eastAsia="Arial" w:hAnsi="Arial"/>
          <w:sz w:val="16"/>
          <w:szCs w:val="16"/>
          <w:color w:val="auto"/>
        </w:rPr>
        <w:t>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39" w:lineRule="exact"/>
        <w:rPr>
          <w:sz w:val="20"/>
          <w:szCs w:val="20"/>
          <w:color w:val="auto"/>
        </w:rPr>
      </w:pPr>
    </w:p>
    <w:p>
      <w:pPr>
        <w:ind w:left="40" w:right="239" w:firstLine="315"/>
        <w:spacing w:after="0" w:line="249" w:lineRule="auto"/>
        <w:rPr>
          <w:sz w:val="20"/>
          <w:szCs w:val="20"/>
          <w:color w:val="auto"/>
        </w:rPr>
      </w:pPr>
      <w:r>
        <w:rPr>
          <w:rFonts w:ascii="Arial" w:cs="Arial" w:eastAsia="Arial" w:hAnsi="Arial"/>
          <w:sz w:val="18"/>
          <w:szCs w:val="18"/>
          <w:color w:val="auto"/>
        </w:rPr>
        <w:t>The Company recognized stock-based compensation expense related to awards issued under the 2017 Plan and the 2020 Plan, as well as the OnkosXcel RSUs and PSUs, of $4,014 and $4,483 for the three months ended September 30, 2023 and 2022, respectively, and $15,015 and $12,790 for the nine months ended September 30, 2023 and 2022, respectively, which were comprised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28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190"/>
        </w:trPr>
        <w:tc>
          <w:tcPr>
            <w:tcW w:w="37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r>
      <w:tr>
        <w:trPr>
          <w:trHeight w:val="210"/>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w:t>
            </w:r>
          </w:p>
        </w:tc>
      </w:tr>
      <w:tr>
        <w:trPr>
          <w:trHeight w:val="203"/>
        </w:trPr>
        <w:tc>
          <w:tcPr>
            <w:tcW w:w="378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4,014</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4,483</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15,015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12,790</w:t>
            </w: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Unrecognized compensation expense related to unvested BTI stock option awards as of September 30, 2023, was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$19,557 and will be recognized over the remaining vesting periods of the underlying awards. The weighted-average period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over which such compensation is expected to be recognized is 1.6 years.</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2020 Employee Stock Purchase Plan</w:t>
      </w:r>
    </w:p>
    <w:p>
      <w:pPr>
        <w:spacing w:after="0" w:line="193"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281 shares and 280 shares on January 1, 2023 and 2022, respectively. To date, no shares have been sold under the ESPP. There were 905 shares available for issuance as of September 30, 2023.</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Leases</w:t>
      </w:r>
    </w:p>
    <w:p>
      <w:pPr>
        <w:spacing w:after="0" w:line="180" w:lineRule="exact"/>
        <w:rPr>
          <w:sz w:val="20"/>
          <w:szCs w:val="20"/>
          <w:color w:val="auto"/>
        </w:rPr>
      </w:pPr>
    </w:p>
    <w:p>
      <w:pPr>
        <w:ind w:left="40" w:right="299" w:firstLine="315"/>
        <w:spacing w:after="0" w:line="252" w:lineRule="auto"/>
        <w:rPr>
          <w:sz w:val="20"/>
          <w:szCs w:val="20"/>
          <w:color w:val="auto"/>
        </w:rPr>
      </w:pPr>
      <w:r>
        <w:rPr>
          <w:rFonts w:ascii="Arial" w:cs="Arial" w:eastAsia="Arial" w:hAnsi="Arial"/>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also leases equipment such as copiers and information technology equipment.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future minimum annual lease payments under operating leases, as of September 30, 2023, are as follows:</w:t>
      </w:r>
    </w:p>
    <w:p>
      <w:pPr>
        <w:spacing w:after="0" w:line="213" w:lineRule="exact"/>
        <w:rPr>
          <w:sz w:val="20"/>
          <w:szCs w:val="20"/>
          <w:color w:val="auto"/>
        </w:rPr>
      </w:pPr>
    </w:p>
    <w:tbl>
      <w:tblPr>
        <w:tblLayout w:type="fixed"/>
        <w:tblInd w:w="840" w:type="dxa"/>
        <w:tblCellMar>
          <w:top w:w="0" w:type="dxa"/>
          <w:left w:w="0" w:type="dxa"/>
          <w:bottom w:w="0" w:type="dxa"/>
          <w:right w:w="0" w:type="dxa"/>
        </w:tblCellMar>
      </w:tblPr>
      <w:tr>
        <w:trPr>
          <w:trHeight w:val="167"/>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Amount</w:t>
            </w:r>
          </w:p>
        </w:tc>
      </w:tr>
      <w:tr>
        <w:trPr>
          <w:trHeight w:val="138"/>
        </w:trPr>
        <w:tc>
          <w:tcPr>
            <w:tcW w:w="6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632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930</w:t>
            </w:r>
          </w:p>
        </w:tc>
      </w:tr>
      <w:tr>
        <w:trPr>
          <w:trHeight w:val="210"/>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Imputed interest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3"/>
        </w:trPr>
        <w:tc>
          <w:tcPr>
            <w:tcW w:w="632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lease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868</w:t>
            </w:r>
          </w:p>
        </w:tc>
      </w:tr>
      <w:tr>
        <w:trPr>
          <w:trHeight w:val="210"/>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 of lease liability</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03"/>
        </w:trPr>
        <w:tc>
          <w:tcPr>
            <w:tcW w:w="6320" w:type="dxa"/>
            <w:vAlign w:val="bottom"/>
            <w:tcBorders>
              <w:bottom w:val="single" w:sz="8" w:color="CCEEFF"/>
            </w:tcBorders>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Long-term portion of operating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379" w:firstLine="315"/>
        <w:spacing w:after="0" w:line="261" w:lineRule="auto"/>
        <w:rPr>
          <w:sz w:val="20"/>
          <w:szCs w:val="20"/>
          <w:color w:val="auto"/>
        </w:rPr>
      </w:pPr>
      <w:r>
        <w:rPr>
          <w:rFonts w:ascii="Arial" w:cs="Arial" w:eastAsia="Arial" w:hAnsi="Arial"/>
          <w:sz w:val="18"/>
          <w:szCs w:val="18"/>
          <w:color w:val="auto"/>
        </w:rPr>
        <w:t>The current portion of the Company’s operating lease liability of $339, as of September 30, 2023, is included in Other current liabilities on the Condensed Consolidated Balance Sheets.</w:t>
      </w:r>
    </w:p>
    <w:p>
      <w:pPr>
        <w:spacing w:after="0" w:line="141" w:lineRule="exact"/>
        <w:rPr>
          <w:sz w:val="20"/>
          <w:szCs w:val="20"/>
          <w:color w:val="auto"/>
        </w:rPr>
      </w:pPr>
    </w:p>
    <w:p>
      <w:pPr>
        <w:ind w:left="40" w:right="319" w:firstLine="315"/>
        <w:spacing w:after="0" w:line="261" w:lineRule="auto"/>
        <w:rPr>
          <w:sz w:val="20"/>
          <w:szCs w:val="20"/>
          <w:color w:val="auto"/>
        </w:rPr>
      </w:pPr>
      <w:r>
        <w:rPr>
          <w:rFonts w:ascii="Arial" w:cs="Arial" w:eastAsia="Arial" w:hAnsi="Arial"/>
          <w:sz w:val="18"/>
          <w:szCs w:val="18"/>
          <w:color w:val="auto"/>
        </w:rPr>
        <w:t>Lease expense was $98 and $114 for the three months ended September 30, 2023 and 2022, respectively, and $294 and $318 for the nine months ended September 30, 2023 and 2022, respectively.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 renewal options are not included in the ROU asset or lease liability.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Fair Value Measurements</w:t>
      </w:r>
    </w:p>
    <w:p>
      <w:pPr>
        <w:spacing w:after="0" w:line="193" w:lineRule="exact"/>
        <w:rPr>
          <w:sz w:val="20"/>
          <w:szCs w:val="20"/>
          <w:color w:val="auto"/>
        </w:rPr>
      </w:pPr>
    </w:p>
    <w:p>
      <w:pPr>
        <w:ind w:left="40" w:right="179" w:firstLine="391"/>
        <w:spacing w:after="0" w:line="252" w:lineRule="auto"/>
        <w:rPr>
          <w:sz w:val="20"/>
          <w:szCs w:val="20"/>
          <w:color w:val="auto"/>
        </w:rPr>
      </w:pPr>
      <w:r>
        <w:rPr>
          <w:rFonts w:ascii="Arial" w:cs="Arial" w:eastAsia="Arial" w:hAnsi="Arial"/>
          <w:sz w:val="18"/>
          <w:szCs w:val="18"/>
          <w:color w:val="auto"/>
        </w:rPr>
        <w:t xml:space="preserve">The Company groups its assets and liabilities measured at fair value in three levels based on the nature of the inputs and assumptions used to determine fair value. 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additional information on the accounting policies related to fair value.</w:t>
      </w:r>
    </w:p>
    <w:p>
      <w:pPr>
        <w:spacing w:after="0" w:line="150" w:lineRule="exact"/>
        <w:rPr>
          <w:sz w:val="20"/>
          <w:szCs w:val="20"/>
          <w:color w:val="auto"/>
        </w:rPr>
      </w:pPr>
    </w:p>
    <w:p>
      <w:pPr>
        <w:ind w:left="40" w:right="179" w:firstLine="391"/>
        <w:spacing w:after="0" w:line="309" w:lineRule="auto"/>
        <w:rPr>
          <w:sz w:val="20"/>
          <w:szCs w:val="20"/>
          <w:color w:val="auto"/>
        </w:rPr>
      </w:pPr>
      <w:r>
        <w:rPr>
          <w:rFonts w:ascii="Arial" w:cs="Arial" w:eastAsia="Arial" w:hAnsi="Arial"/>
          <w:sz w:val="15"/>
          <w:szCs w:val="15"/>
          <w:color w:val="auto"/>
        </w:rPr>
        <w:t>The carrying amounts of cash and cash equivalents, accounts receivable, net, and accounts payable approximate fair value due to the short-term nature of these instruments. As of September 30, 2023 and December 31, 2022, the Company had $83,717 and $191,022, respectively, primarily in money market funds that hold U.S. government cash equivalent instruments (included in cash and cash equivalents) which were valued based on Level 1 inputs. There were no transfers between levels within the hierarchy during the nine months ended September 30, 2023 and the year ended December 31, 2022.</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Derivative liabilities measured at fair value on a recurring basis are summarized below.</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5"/>
          </w:tcPr>
          <w:p>
            <w:pPr>
              <w:jc w:val="right"/>
              <w:ind w:right="23"/>
              <w:spacing w:after="0"/>
              <w:rPr>
                <w:sz w:val="20"/>
                <w:szCs w:val="20"/>
                <w:color w:val="auto"/>
              </w:rPr>
            </w:pPr>
            <w:r>
              <w:rPr>
                <w:rFonts w:ascii="Arial" w:cs="Arial" w:eastAsia="Arial" w:hAnsi="Arial"/>
                <w:sz w:val="14"/>
                <w:szCs w:val="14"/>
                <w:b w:val="1"/>
                <w:bCs w:val="1"/>
                <w:color w:val="auto"/>
                <w:w w:val="89"/>
              </w:rPr>
              <w:t>Nine months ended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5"/>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4"/>
                <w:szCs w:val="14"/>
                <w:b w:val="1"/>
                <w:bCs w:val="1"/>
                <w:color w:val="auto"/>
                <w:w w:val="88"/>
              </w:rPr>
              <w:t>September 30, 2023</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0"/>
        </w:trPr>
        <w:tc>
          <w:tcPr>
            <w:tcW w:w="416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w:t>
            </w:r>
          </w:p>
        </w:tc>
      </w:tr>
      <w:tr>
        <w:trPr>
          <w:trHeight w:val="203"/>
        </w:trPr>
        <w:tc>
          <w:tcPr>
            <w:tcW w:w="4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Equity Investment Right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Derivative liability - OnkosXcel Warrants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03"/>
        </w:trPr>
        <w:tc>
          <w:tcPr>
            <w:tcW w:w="4160" w:type="dxa"/>
            <w:vAlign w:val="bottom"/>
            <w:tcBorders>
              <w:top w:val="single" w:sz="8" w:color="CCEEFF"/>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derivative liabilities</w:t>
            </w: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2,027</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0" w:right="259" w:firstLine="391"/>
        <w:spacing w:after="0" w:line="299" w:lineRule="auto"/>
        <w:rPr>
          <w:sz w:val="20"/>
          <w:szCs w:val="20"/>
          <w:color w:val="auto"/>
        </w:rPr>
      </w:pPr>
      <w:r>
        <w:rPr>
          <w:rFonts w:ascii="Arial" w:cs="Arial" w:eastAsia="Arial" w:hAnsi="Arial"/>
          <w:sz w:val="16"/>
          <w:szCs w:val="16"/>
          <w:color w:val="auto"/>
        </w:rPr>
        <w:t>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0" w:right="259" w:firstLine="391"/>
        <w:spacing w:after="0" w:line="252" w:lineRule="auto"/>
        <w:rPr>
          <w:sz w:val="20"/>
          <w:szCs w:val="20"/>
          <w:color w:val="auto"/>
        </w:rPr>
      </w:pPr>
      <w:r>
        <w:rPr>
          <w:rFonts w:ascii="Arial" w:cs="Arial" w:eastAsia="Arial" w:hAnsi="Arial"/>
          <w:sz w:val="18"/>
          <w:szCs w:val="18"/>
          <w:color w:val="auto"/>
        </w:rPr>
        <w:t>The following table presents changes in Level 3 liabilities measured at fair value for the nine months ended September 30, 2023. Both observable and unobservable inputs were used to determine the fair value of positions that the Company has classified within the Level 3 category.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1"/>
              </w:rPr>
              <w:t>Derivative liabilities</w:t>
            </w:r>
          </w:p>
        </w:tc>
      </w:tr>
      <w:tr>
        <w:trPr>
          <w:trHeight w:val="203"/>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1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03"/>
        </w:trPr>
        <w:tc>
          <w:tcPr>
            <w:tcW w:w="740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 September 30, 2023</w:t>
            </w:r>
          </w:p>
        </w:tc>
        <w:tc>
          <w:tcPr>
            <w:tcW w:w="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2,027</w:t>
            </w: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819" w:firstLine="391"/>
        <w:spacing w:after="0" w:line="324" w:lineRule="auto"/>
        <w:rPr>
          <w:sz w:val="20"/>
          <w:szCs w:val="20"/>
          <w:color w:val="auto"/>
        </w:rPr>
      </w:pPr>
      <w:r>
        <w:rPr>
          <w:rFonts w:ascii="Arial" w:cs="Arial" w:eastAsia="Arial" w:hAnsi="Arial"/>
          <w:sz w:val="16"/>
          <w:szCs w:val="16"/>
          <w:color w:val="auto"/>
        </w:rPr>
        <w:t>The change in fair value of the derivative liabilities was reported in the Condensed Consolidated Statements of Operations as Other income, net, for the three and nine months ended September 30, 2023.</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Inputs used to calculate the estimated fair value of the Equity Investment Right at September 30, 2023 were as follows: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88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Equity Investment Right</w:t>
            </w:r>
          </w:p>
        </w:tc>
      </w:tr>
      <w:tr>
        <w:trPr>
          <w:trHeight w:val="190"/>
        </w:trPr>
        <w:tc>
          <w:tcPr>
            <w:tcW w:w="6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Strike price relative to volume weighted 30-day average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Volatility (annual)</w:t>
            </w:r>
          </w:p>
        </w:tc>
        <w:tc>
          <w:tcPr>
            <w:tcW w:w="1080" w:type="dxa"/>
            <w:vAlign w:val="bottom"/>
          </w:tcPr>
          <w:p>
            <w:pPr>
              <w:jc w:val="right"/>
              <w:spacing w:after="0"/>
              <w:rPr>
                <w:sz w:val="20"/>
                <w:szCs w:val="20"/>
                <w:color w:val="auto"/>
              </w:rPr>
            </w:pPr>
            <w:r>
              <w:rPr>
                <w:rFonts w:ascii="Arial" w:cs="Arial" w:eastAsia="Arial" w:hAnsi="Arial"/>
                <w:sz w:val="18"/>
                <w:szCs w:val="18"/>
                <w:color w:val="auto"/>
              </w:rPr>
              <w:t>97.9</w:t>
            </w:r>
          </w:p>
        </w:tc>
        <w:tc>
          <w:tcPr>
            <w:tcW w:w="8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exercise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Time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880" w:type="dxa"/>
            <w:vAlign w:val="bottom"/>
          </w:tcPr>
          <w:p>
            <w:pPr>
              <w:ind w:left="40"/>
              <w:spacing w:after="0"/>
              <w:rPr>
                <w:sz w:val="20"/>
                <w:szCs w:val="20"/>
                <w:color w:val="auto"/>
              </w:rPr>
            </w:pPr>
            <w:r>
              <w:rPr>
                <w:rFonts w:ascii="Arial" w:cs="Arial" w:eastAsia="Arial" w:hAnsi="Arial"/>
                <w:sz w:val="18"/>
                <w:szCs w:val="18"/>
                <w:color w:val="auto"/>
              </w:rPr>
              <w:t>years</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Estimated premium to 30-day average</w:t>
            </w:r>
          </w:p>
        </w:tc>
        <w:tc>
          <w:tcPr>
            <w:tcW w:w="19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24.5 %</w:t>
            </w: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Discount rate</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88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40" w:right="199" w:firstLine="391"/>
        <w:spacing w:after="0" w:line="249" w:lineRule="auto"/>
        <w:rPr>
          <w:sz w:val="20"/>
          <w:szCs w:val="20"/>
          <w:color w:val="auto"/>
        </w:rPr>
      </w:pPr>
      <w:r>
        <w:rPr>
          <w:rFonts w:ascii="Arial" w:cs="Arial" w:eastAsia="Arial" w:hAnsi="Arial"/>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and the timing and probability of the relevant capital transactions occurring.</w:t>
      </w:r>
    </w:p>
    <w:p>
      <w:pPr>
        <w:spacing w:after="0" w:line="166" w:lineRule="exact"/>
        <w:rPr>
          <w:sz w:val="20"/>
          <w:szCs w:val="20"/>
          <w:color w:val="auto"/>
        </w:rPr>
      </w:pPr>
    </w:p>
    <w:p>
      <w:pPr>
        <w:ind w:left="40" w:right="419" w:firstLine="391"/>
        <w:spacing w:after="0" w:line="252" w:lineRule="auto"/>
        <w:rPr>
          <w:sz w:val="20"/>
          <w:szCs w:val="20"/>
          <w:color w:val="auto"/>
        </w:rPr>
      </w:pPr>
      <w:r>
        <w:rPr>
          <w:rFonts w:ascii="Arial" w:cs="Arial" w:eastAsia="Arial" w:hAnsi="Arial"/>
          <w:sz w:val="18"/>
          <w:szCs w:val="18"/>
          <w:color w:val="auto"/>
        </w:rPr>
        <w:t>The estimated fair value of the Credit Agreement and RIFA as of September 30, 2023, were $56,151 and $28,547, respectively. Both observable and unobservable inputs were used to determine the fair value of long-term debt, which was classified within the Level 3 category.</w:t>
      </w:r>
    </w:p>
    <w:p>
      <w:pPr>
        <w:spacing w:after="0" w:line="150" w:lineRule="exact"/>
        <w:rPr>
          <w:sz w:val="20"/>
          <w:szCs w:val="20"/>
          <w:color w:val="auto"/>
        </w:rPr>
      </w:pPr>
    </w:p>
    <w:p>
      <w:pPr>
        <w:ind w:left="40" w:right="179" w:firstLine="391"/>
        <w:spacing w:after="0" w:line="247" w:lineRule="auto"/>
        <w:rPr>
          <w:sz w:val="20"/>
          <w:szCs w:val="20"/>
          <w:color w:val="auto"/>
        </w:rPr>
      </w:pPr>
      <w:r>
        <w:rPr>
          <w:rFonts w:ascii="Arial" w:cs="Arial" w:eastAsia="Arial" w:hAnsi="Arial"/>
          <w:sz w:val="18"/>
          <w:szCs w:val="18"/>
          <w:color w:val="auto"/>
        </w:rPr>
        <w:t>The fair value of the BTI warrants issued in 2022, which is a non-recurring fair value, were determined as of the date of issuance using a Black-Scholes pricing model and the fair value of $3,245 was recorded as a component of stockholders’ (deficit) equity in Additional-paid-in-capital in the Condensed Consolidated Balance Sheets, with the offset recorded as a discount on the amounts funded under the OFA Facilities. This non-recurring measurement is classified as Level 3. The inputs used were a strike price of $20.04, the Company’s stock price of $14.93, volatility of 95%, term of 7 years and risk-free rate of 2.95%.</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Net Loss Per Share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net loss per share are as follows: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5"/>
                <w:szCs w:val="15"/>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6"/>
                <w:szCs w:val="16"/>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(50,486)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(156,797)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(110,949)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Weighted average shares (denominator)</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1"/>
        </w:trPr>
        <w:tc>
          <w:tcPr>
            <w:tcW w:w="35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8"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779" w:firstLine="315"/>
        <w:spacing w:after="0" w:line="324" w:lineRule="auto"/>
        <w:rPr>
          <w:sz w:val="20"/>
          <w:szCs w:val="20"/>
          <w:color w:val="auto"/>
        </w:rPr>
      </w:pPr>
      <w:r>
        <w:rPr>
          <w:rFonts w:ascii="Arial" w:cs="Arial" w:eastAsia="Arial" w:hAnsi="Arial"/>
          <w:sz w:val="16"/>
          <w:szCs w:val="16"/>
          <w:color w:val="auto"/>
        </w:rPr>
        <w:t>Potentially dilutive securities outstanding consists of stock options and RSUs. The Company had common stock equivalents outstanding as of September 30, 2023 and 2022 of 5,688 and 4,986 shares, respectively.</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93" w:lineRule="exact"/>
        <w:rPr>
          <w:sz w:val="20"/>
          <w:szCs w:val="20"/>
          <w:color w:val="auto"/>
        </w:rPr>
      </w:pPr>
    </w:p>
    <w:p>
      <w:pPr>
        <w:ind w:left="40" w:right="179" w:firstLine="315"/>
        <w:spacing w:after="0" w:line="299"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spacing w:after="0" w:line="114" w:lineRule="exact"/>
        <w:rPr>
          <w:sz w:val="20"/>
          <w:szCs w:val="20"/>
          <w:color w:val="auto"/>
        </w:rPr>
      </w:pPr>
    </w:p>
    <w:p>
      <w:pPr>
        <w:ind w:left="40" w:right="219" w:firstLine="315"/>
        <w:spacing w:after="0" w:line="280" w:lineRule="auto"/>
        <w:rPr>
          <w:sz w:val="20"/>
          <w:szCs w:val="20"/>
          <w:color w:val="auto"/>
        </w:rPr>
      </w:pPr>
      <w:r>
        <w:rPr>
          <w:rFonts w:ascii="Arial" w:cs="Arial" w:eastAsia="Arial" w:hAnsi="Arial"/>
          <w:sz w:val="16"/>
          <w:szCs w:val="16"/>
          <w:color w:val="auto"/>
        </w:rPr>
        <w:t xml:space="preserve">On July 7, 2023, plaintiff Katelyn Martin filed a class action complaint against the Company and certain executives in the United States District Court for the District of Connecticut, captioned </w:t>
      </w:r>
      <w:r>
        <w:rPr>
          <w:rFonts w:ascii="Arial" w:cs="Arial" w:eastAsia="Arial" w:hAnsi="Arial"/>
          <w:sz w:val="16"/>
          <w:szCs w:val="16"/>
          <w:i w:val="1"/>
          <w:iCs w:val="1"/>
          <w:color w:val="auto"/>
        </w:rPr>
        <w:t>Martin v. BioXcel Therapeutics, et al.</w:t>
      </w:r>
      <w:r>
        <w:rPr>
          <w:rFonts w:ascii="Arial" w:cs="Arial" w:eastAsia="Arial" w:hAnsi="Arial"/>
          <w:sz w:val="16"/>
          <w:szCs w:val="16"/>
          <w:color w:val="auto"/>
        </w:rPr>
        <w:t>, 3:23-cv-00915 (D. Conn). The complaints generally allege violations of Sections 10(b) and 20A of the Securities and Exchange Act of 1934 (the “Exchange Act”) and SEC Rule 10b-5 promulgated thereunder, based on certain public statements related to the development of BXCL501, TRANQUILITY II and TRANQUILITY III between December 15, 2021 and June 28, 2023. Pursuant to the Private Securities Litigation Reform Act, seven other investors moved to serve as lead plaintiff and pursue these claims on behalf of a putative class of investors. On October 4, 2023, the court appointed two co-lead plaintiffs and approved of co-lead counsel. At this time, the Company does not believe the claims have merit, but the potential costs and liabilities associated with this litigation are uncertain.</w:t>
      </w:r>
    </w:p>
    <w:p>
      <w:pPr>
        <w:spacing w:after="0" w:line="132" w:lineRule="exact"/>
        <w:rPr>
          <w:sz w:val="20"/>
          <w:szCs w:val="20"/>
          <w:color w:val="auto"/>
        </w:rPr>
      </w:pPr>
    </w:p>
    <w:p>
      <w:pPr>
        <w:ind w:left="40" w:right="199" w:firstLine="315"/>
        <w:spacing w:after="0" w:line="261"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Subsequent Events</w:t>
      </w:r>
    </w:p>
    <w:p>
      <w:pPr>
        <w:spacing w:after="0" w:line="220" w:lineRule="exact"/>
        <w:rPr>
          <w:sz w:val="20"/>
          <w:szCs w:val="20"/>
          <w:color w:val="auto"/>
        </w:rPr>
      </w:pPr>
    </w:p>
    <w:p>
      <w:pPr>
        <w:ind w:left="40" w:right="239" w:firstLine="315"/>
        <w:spacing w:after="0" w:line="261" w:lineRule="auto"/>
        <w:rPr>
          <w:sz w:val="20"/>
          <w:szCs w:val="20"/>
          <w:color w:val="auto"/>
        </w:rPr>
      </w:pPr>
      <w:r>
        <w:rPr>
          <w:rFonts w:ascii="Arial" w:cs="Arial" w:eastAsia="Arial" w:hAnsi="Arial"/>
          <w:sz w:val="18"/>
          <w:szCs w:val="18"/>
          <w:color w:val="auto"/>
        </w:rPr>
        <w:t>The Company paid additional severance and benefit payments of $3,748 during the fourth quarter of 2023 in connection with the Reprioritization.</w:t>
      </w:r>
    </w:p>
    <w:p>
      <w:pPr>
        <w:spacing w:after="0" w:line="181" w:lineRule="exact"/>
        <w:rPr>
          <w:sz w:val="20"/>
          <w:szCs w:val="20"/>
          <w:color w:val="auto"/>
        </w:rPr>
      </w:pPr>
    </w:p>
    <w:p>
      <w:pPr>
        <w:ind w:left="40" w:right="179" w:firstLine="315"/>
        <w:spacing w:after="0" w:line="249" w:lineRule="auto"/>
        <w:rPr>
          <w:sz w:val="20"/>
          <w:szCs w:val="20"/>
          <w:color w:val="auto"/>
        </w:rPr>
      </w:pPr>
      <w:r>
        <w:rPr>
          <w:rFonts w:ascii="Arial" w:cs="Arial" w:eastAsia="Arial" w:hAnsi="Arial"/>
          <w:sz w:val="18"/>
          <w:szCs w:val="18"/>
          <w:color w:val="auto"/>
        </w:rPr>
        <w:t xml:space="preserve">On November 2, 2023, the Company entered into an amendment to the Sale Agreement with Jefferies (as described in Note 11, </w:t>
      </w:r>
      <w:r>
        <w:rPr>
          <w:rFonts w:ascii="Arial" w:cs="Arial" w:eastAsia="Arial" w:hAnsi="Arial"/>
          <w:sz w:val="18"/>
          <w:szCs w:val="18"/>
          <w:i w:val="1"/>
          <w:iCs w:val="1"/>
          <w:color w:val="auto"/>
        </w:rPr>
        <w:t>Common Stock Financing Activities</w:t>
      </w:r>
      <w:r>
        <w:rPr>
          <w:rFonts w:ascii="Arial" w:cs="Arial" w:eastAsia="Arial" w:hAnsi="Arial"/>
          <w:sz w:val="18"/>
          <w:szCs w:val="18"/>
          <w:color w:val="auto"/>
        </w:rPr>
        <w:t>), pursuant to which the Company can offer and sell shares of its common stock, having an aggregate offering price of up to $150,000, from time to time, through an “at the market offering” program under which Jefferies will act as sales agent.</w:t>
      </w:r>
    </w:p>
    <w:p>
      <w:pPr>
        <w:spacing w:after="0" w:line="192" w:lineRule="exact"/>
        <w:rPr>
          <w:sz w:val="20"/>
          <w:szCs w:val="20"/>
          <w:color w:val="auto"/>
        </w:rPr>
      </w:pPr>
    </w:p>
    <w:p>
      <w:pPr>
        <w:ind w:left="40" w:right="219" w:firstLine="315"/>
        <w:spacing w:after="0" w:line="279" w:lineRule="auto"/>
        <w:rPr>
          <w:sz w:val="20"/>
          <w:szCs w:val="20"/>
          <w:color w:val="auto"/>
        </w:rPr>
      </w:pPr>
      <w:r>
        <w:rPr>
          <w:rFonts w:ascii="Arial" w:cs="Arial" w:eastAsia="Arial" w:hAnsi="Arial"/>
          <w:sz w:val="16"/>
          <w:szCs w:val="16"/>
          <w:color w:val="auto"/>
        </w:rPr>
        <w:t>On November 13, 2023, the Company, the lenders party to the Credit Agreement and OFA entered into a Waiver and First Amendment to Credit Agreement and Guaranty (the “First Amendment”) that provides for (i) a waiver and a modification to the covenant in the Credit Agreement regarding investments in OnkosXcel and (ii) an agreement with the parties to further revise key financial terms between the Company, OFA and the Lenders.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will pay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3" w:lineRule="exact"/>
        <w:rPr>
          <w:sz w:val="20"/>
          <w:szCs w:val="20"/>
          <w:color w:val="auto"/>
        </w:rPr>
      </w:pPr>
    </w:p>
    <w:p>
      <w:pPr>
        <w:ind w:left="40" w:right="139" w:firstLine="315"/>
        <w:spacing w:after="0" w:line="27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2022.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BioXcel Therapeutics, Inc. (“BTI” or the “Company”)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43" w:lineRule="exact"/>
        <w:rPr>
          <w:sz w:val="20"/>
          <w:szCs w:val="20"/>
          <w:color w:val="auto"/>
        </w:rPr>
      </w:pPr>
    </w:p>
    <w:p>
      <w:pPr>
        <w:ind w:left="40" w:right="359" w:firstLine="315"/>
        <w:spacing w:after="0" w:line="284" w:lineRule="auto"/>
        <w:rPr>
          <w:sz w:val="20"/>
          <w:szCs w:val="20"/>
          <w:color w:val="auto"/>
        </w:rPr>
      </w:pPr>
      <w:r>
        <w:rPr>
          <w:rFonts w:ascii="Arial" w:cs="Arial" w:eastAsia="Arial" w:hAnsi="Arial"/>
          <w:sz w:val="16"/>
          <w:szCs w:val="16"/>
          <w:color w:val="auto"/>
        </w:rPr>
        <w:t>Our most advanced neuroscience asset is BXCL501. In indications other than those approved by the United States (“U.S.”) Food and Drug Administration (“FDA”) as IGALMI™, BXCL501 is an investigational, proprietary, orally dissolving film formulation of dexmedetomidine (or “Dex”) in development for the treatment of agitation associated with psychiatric and neurological disorders. Our most advanced immuno-oncology asset, BXCL701, is an investigational oral innate immune activator being developed by OnkosXcel Therapeutics as a potential therapy for the treatment of aggressive forms of prostate cancer, pancreatic cancer, and other solid and liquid tumors.</w:t>
      </w:r>
    </w:p>
    <w:p>
      <w:pPr>
        <w:spacing w:after="0" w:line="156" w:lineRule="exact"/>
        <w:rPr>
          <w:sz w:val="20"/>
          <w:szCs w:val="20"/>
          <w:color w:val="auto"/>
        </w:rPr>
      </w:pPr>
    </w:p>
    <w:p>
      <w:pPr>
        <w:ind w:left="40" w:right="359" w:firstLine="315"/>
        <w:spacing w:after="0" w:line="205" w:lineRule="auto"/>
        <w:rPr>
          <w:sz w:val="20"/>
          <w:szCs w:val="20"/>
          <w:color w:val="auto"/>
        </w:rPr>
      </w:pPr>
      <w:r>
        <w:rPr>
          <w:rFonts w:ascii="Arial" w:cs="Arial" w:eastAsia="Arial" w:hAnsi="Arial"/>
          <w:sz w:val="17"/>
          <w:szCs w:val="17"/>
          <w:color w:val="auto"/>
        </w:rPr>
        <w:t>On April 6, 2022, we announced that the FDA approved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(dexmedetomidine) sublingual film for the acute treatment of agitation associated with schizophrenia or bipolar I or II disorder in adults.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is approved to be self-administrated by patients under the supervision of a health care provider. On July 6, 2022, we announced that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was commercially available in doses of 120 and 180 microgram (“mcg”) through the Company’s third-party logistics provider and was available for order through wholesalers.</w:t>
      </w:r>
    </w:p>
    <w:p>
      <w:pPr>
        <w:spacing w:after="0" w:line="201" w:lineRule="exact"/>
        <w:rPr>
          <w:sz w:val="20"/>
          <w:szCs w:val="20"/>
          <w:color w:val="auto"/>
        </w:rPr>
      </w:pPr>
    </w:p>
    <w:p>
      <w:pPr>
        <w:ind w:left="40" w:right="559" w:firstLine="315"/>
        <w:spacing w:after="0" w:line="286" w:lineRule="auto"/>
        <w:rPr>
          <w:sz w:val="20"/>
          <w:szCs w:val="20"/>
          <w:color w:val="auto"/>
        </w:rPr>
      </w:pPr>
      <w:r>
        <w:rPr>
          <w:rFonts w:ascii="Arial" w:cs="Arial" w:eastAsia="Arial" w:hAnsi="Arial"/>
          <w:sz w:val="16"/>
          <w:szCs w:val="16"/>
          <w:color w:val="auto"/>
        </w:rPr>
        <w:t>We are continuing to develop BXCL501 for the acute treatment of agitation associated with bipolar disorders or schizophrenia in the at-home setting and for the acute treatment of agitation (non-daily) associated with dementia due to probable Alzheimer’s disease in the at-home setting and in care facilities. As described further below, we have recently deprioritized certain other indications of BXCL501, including as a potential adjunctive treatment for major depressive disorder (“MDD”), as well as our BXCL701 program.</w:t>
      </w:r>
    </w:p>
    <w:p>
      <w:pPr>
        <w:spacing w:after="0" w:line="166" w:lineRule="exact"/>
        <w:rPr>
          <w:sz w:val="20"/>
          <w:szCs w:val="20"/>
          <w:color w:val="auto"/>
        </w:rPr>
      </w:pPr>
    </w:p>
    <w:p>
      <w:pPr>
        <w:ind w:left="40" w:right="179" w:firstLine="315"/>
        <w:spacing w:after="0" w:line="279" w:lineRule="auto"/>
        <w:rPr>
          <w:sz w:val="20"/>
          <w:szCs w:val="20"/>
          <w:color w:val="auto"/>
        </w:rPr>
      </w:pPr>
      <w:r>
        <w:rPr>
          <w:rFonts w:ascii="Arial" w:cs="Arial" w:eastAsia="Arial" w:hAnsi="Arial"/>
          <w:sz w:val="16"/>
          <w:szCs w:val="16"/>
          <w:color w:val="auto"/>
        </w:rPr>
        <w:t>For our TRANQUILITY program, we have conducted clinical studies evaluating BXCL501 for the acute treatment of agitation associated with mild to moderate dementia in patients with probable Alzheimer’s disease, who reside in assisted living facilities (“ALFs”) and residential care settings and who required minimal assistance with activities of daily living. On June 29, 2023, we announced positive topline data from our TRANQUILITY II trial, as well as information regarding certain investigator misconduct and noncompliance at a clinical trial site. Since that time, we have taken steps to further investigate and evaluate the conduct of the TRANQUILITY II trial. Based on these steps to date, we believe that there have been no further instances of misconduct or fraud or other findings that adversely impact the data integrity or reliability of the eligibility, safety, and efficacy data generated at the clinical trial site in question. Based on these findings, we believe that the positive, statistically significant TRANQUILITY II topline results announced in June 2023 may support a potential supplemental new drug application (“sNDA”) for BXCL501 for the</w:t>
      </w:r>
    </w:p>
    <w:p>
      <w:pPr>
        <w:sectPr>
          <w:pgSz w:w="11900" w:h="16838" w:orient="portrait"/>
          <w:cols w:equalWidth="0" w:num="1">
            <w:col w:w="9019"/>
          </w:cols>
          <w:pgMar w:left="1440" w:top="508" w:right="1440" w:bottom="1440" w:gutter="0" w:footer="0" w:header="0"/>
        </w:sect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99"/>
        <w:spacing w:after="0" w:line="299" w:lineRule="auto"/>
        <w:rPr>
          <w:sz w:val="20"/>
          <w:szCs w:val="20"/>
          <w:color w:val="auto"/>
        </w:rPr>
      </w:pPr>
      <w:r>
        <w:rPr>
          <w:rFonts w:ascii="Arial" w:cs="Arial" w:eastAsia="Arial" w:hAnsi="Arial"/>
          <w:sz w:val="16"/>
          <w:szCs w:val="16"/>
          <w:color w:val="auto"/>
        </w:rPr>
        <w:t>acute treatment of agitation (non-daily) associated with dementia due to probable Alzheimer’s disease. Based on our recent meeting with the FDA regarding the TRANQUILITY program, we plan to conduct an at-home study in this patient population to provide additional support any potential sNDA for this proposed indication.</w:t>
      </w:r>
    </w:p>
    <w:p>
      <w:pPr>
        <w:spacing w:after="0" w:line="154" w:lineRule="exact"/>
        <w:rPr>
          <w:sz w:val="20"/>
          <w:szCs w:val="20"/>
          <w:color w:val="auto"/>
        </w:rPr>
      </w:pPr>
    </w:p>
    <w:p>
      <w:pPr>
        <w:ind w:left="40" w:right="339" w:firstLine="315"/>
        <w:spacing w:after="0" w:line="248" w:lineRule="auto"/>
        <w:rPr>
          <w:sz w:val="20"/>
          <w:szCs w:val="20"/>
          <w:color w:val="auto"/>
        </w:rPr>
      </w:pPr>
      <w:r>
        <w:rPr>
          <w:rFonts w:ascii="Arial" w:cs="Arial" w:eastAsia="Arial" w:hAnsi="Arial"/>
          <w:sz w:val="18"/>
          <w:szCs w:val="18"/>
          <w:color w:val="auto"/>
        </w:rPr>
        <w:t>We had previously been conducting the TRANQUILITY III clinical trial, which was designed to evaluate the potential for BXCL501 to treat acute agitation in patients with moderate to severe dementia associated with probable Alzheimer’s disease living in nursing homes and who require moderate to full assistance with activities of daily living. We paused enrollment in TRANQUILITY III due to the much higher-than-expected background frequency of episodes of agitation experienced by the first several patients enrolled in the study.</w:t>
      </w:r>
    </w:p>
    <w:p>
      <w:pPr>
        <w:spacing w:after="0" w:line="192" w:lineRule="exact"/>
        <w:rPr>
          <w:sz w:val="20"/>
          <w:szCs w:val="20"/>
          <w:color w:val="auto"/>
        </w:rPr>
      </w:pPr>
    </w:p>
    <w:p>
      <w:pPr>
        <w:ind w:left="40" w:right="179" w:firstLine="315"/>
        <w:spacing w:after="0" w:line="252" w:lineRule="auto"/>
        <w:rPr>
          <w:sz w:val="20"/>
          <w:szCs w:val="20"/>
          <w:color w:val="auto"/>
        </w:rPr>
      </w:pPr>
      <w:r>
        <w:rPr>
          <w:rFonts w:ascii="Arial" w:cs="Arial" w:eastAsia="Arial" w:hAnsi="Arial"/>
          <w:sz w:val="18"/>
          <w:szCs w:val="18"/>
          <w:color w:val="auto"/>
        </w:rPr>
        <w:t>In our SERENITY program, we are evaluating BXCL501 for use in the at-home setting for agitation associated with bipolar disorders or schizophrenia. We completed Part 1 of the SERENITY III trial and announced topline results on May 25, 2023.</w:t>
      </w:r>
    </w:p>
    <w:p>
      <w:pPr>
        <w:spacing w:after="0" w:line="189" w:lineRule="exact"/>
        <w:rPr>
          <w:sz w:val="20"/>
          <w:szCs w:val="20"/>
          <w:color w:val="auto"/>
        </w:rPr>
      </w:pPr>
    </w:p>
    <w:p>
      <w:pPr>
        <w:ind w:left="40" w:right="279" w:firstLine="315"/>
        <w:spacing w:after="0" w:line="299" w:lineRule="auto"/>
        <w:rPr>
          <w:sz w:val="20"/>
          <w:szCs w:val="20"/>
          <w:color w:val="auto"/>
        </w:rPr>
      </w:pPr>
      <w:r>
        <w:rPr>
          <w:rFonts w:ascii="Arial" w:cs="Arial" w:eastAsia="Arial" w:hAnsi="Arial"/>
          <w:sz w:val="16"/>
          <w:szCs w:val="16"/>
          <w:color w:val="auto"/>
        </w:rPr>
        <w:t>We reviewed our SERENITY III program with the FDA in a Type C meeting on November 8, 2023 and discussed the data package required to support the planned submission of an sNDA seeking approval of BXCL501 for the acute treatment of agitation associated with bipolar disorders I and II and schizophrenia in the at-home setting.</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Strategic Reprioritization</w:t>
      </w:r>
    </w:p>
    <w:p>
      <w:pPr>
        <w:spacing w:after="0" w:line="220" w:lineRule="exact"/>
        <w:rPr>
          <w:sz w:val="20"/>
          <w:szCs w:val="20"/>
          <w:color w:val="auto"/>
        </w:rPr>
      </w:pPr>
    </w:p>
    <w:p>
      <w:pPr>
        <w:ind w:left="40" w:right="139" w:firstLine="315"/>
        <w:spacing w:after="0" w:line="266" w:lineRule="auto"/>
        <w:rPr>
          <w:sz w:val="20"/>
          <w:szCs w:val="20"/>
          <w:color w:val="auto"/>
        </w:rPr>
      </w:pPr>
      <w:r>
        <w:rPr>
          <w:rFonts w:ascii="Arial" w:cs="Arial" w:eastAsia="Arial" w:hAnsi="Arial"/>
          <w:sz w:val="16"/>
          <w:szCs w:val="16"/>
          <w:color w:val="auto"/>
        </w:rPr>
        <w:t>On August 8, 2023, the Company’s Board of Directors approved a broad-based strategic reprioritization (the “Reprioritization”). The Company determined to take actions to reduce certain operational and workforce expenses no longer deemed core to ongoing operations to extend its cash runway and drive innovation and growth in high-potential clinical development and value-creating opportunities. These actions included a shift in commercial strategy for IGALMI™ in the institutional setting as described under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Revised Commercialization” below, a reduction of in-hospital commercialization expenses, a de-prioritization of programs no longer determined to be core to ongoing operations as described under “Our Neuroscience Clinical Programs” and “Our Immuno-Oncology Clinical Programs,” and a prioritization on at-home treatment setting opportunities for BXCL501. As part of this strategy, the Company’s Board of Directors approved a reduction of approximately 60% of the Company’s current workforce. The Company notified impacted employees of the Reprioritization on August 14, 2023. Annual operating expenses are expected to be reduced by approximately $80,000, and Reprioritization initiatives are expected to extend the Company’s cash runway into mid-2024. The Reprioritization was substantially completed early in the fourth quarter of 2023.</w:t>
      </w:r>
    </w:p>
    <w:p>
      <w:pPr>
        <w:spacing w:after="0" w:line="185"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As a result of the Reprioritization, the Company recorded restructuring costs of $4,163 in the three-month period ended September 30, 2023. These costs consisted of severance and benefit costs of $4,063 and contract termination costs of $100, all of which are expected to be paid in cash. The Company paid $149 of severance and benefit costs and $100 of contract termination costs during the three-month period ended September 30, 2023. Accrued restructuring costs of $3,914 are included in Accrued expenses in the Condensed Consolidated Balance Sheets as of September 30, 2023. The remaining costs are expected to be primarily during the fourth quarter of 2023. The estimated costs that the Company expects to incur and the expected timing to complete the Reprioritization are subject to a number of assumptions, and actual results may differ. The Company may also incur other cash or non-cash charges not currently contemplated due to events that may occur as a result of, or in association with, the Reprioritization.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IGALMI</w:t>
      </w:r>
      <w:r>
        <w:rPr>
          <w:rFonts w:ascii="Arial" w:cs="Arial" w:eastAsia="Arial" w:hAnsi="Arial"/>
          <w:sz w:val="26"/>
          <w:szCs w:val="26"/>
          <w:b w:val="1"/>
          <w:bCs w:val="1"/>
          <w:color w:val="auto"/>
          <w:vertAlign w:val="superscript"/>
        </w:rPr>
        <w:t>TM</w:t>
      </w:r>
      <w:r>
        <w:rPr>
          <w:rFonts w:ascii="Arial" w:cs="Arial" w:eastAsia="Arial" w:hAnsi="Arial"/>
          <w:sz w:val="18"/>
          <w:szCs w:val="18"/>
          <w:b w:val="1"/>
          <w:bCs w:val="1"/>
          <w:color w:val="auto"/>
        </w:rPr>
        <w:t xml:space="preserve"> Revised Commercialization Strategy</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part of the Company’s Reprioritization, the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commercial team shifted focus to a hospital/Integrated</w:t>
      </w:r>
    </w:p>
    <w:p>
      <w:pPr>
        <w:ind w:left="40"/>
        <w:spacing w:after="0"/>
        <w:rPr>
          <w:sz w:val="20"/>
          <w:szCs w:val="20"/>
          <w:color w:val="auto"/>
        </w:rPr>
      </w:pPr>
      <w:r>
        <w:rPr>
          <w:rFonts w:ascii="Arial" w:cs="Arial" w:eastAsia="Arial" w:hAnsi="Arial"/>
          <w:sz w:val="16"/>
          <w:szCs w:val="16"/>
          <w:color w:val="auto"/>
        </w:rPr>
        <w:t>Delivery Network (“IDN”) contracting strategy with a Corporate Account Director (CAD) team. The goal of the realigned</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CAD team is to work with large IDNs and drive sales utilizing a top-down approach.</w:t>
      </w:r>
    </w:p>
    <w:p>
      <w:pPr>
        <w:spacing w:after="0" w:line="202" w:lineRule="exact"/>
        <w:rPr>
          <w:sz w:val="20"/>
          <w:szCs w:val="20"/>
          <w:color w:val="auto"/>
        </w:rPr>
      </w:pPr>
    </w:p>
    <w:p>
      <w:pPr>
        <w:jc w:val="both"/>
        <w:ind w:left="40" w:right="339" w:firstLine="315"/>
        <w:spacing w:after="0" w:line="222" w:lineRule="auto"/>
        <w:rPr>
          <w:sz w:val="20"/>
          <w:szCs w:val="20"/>
          <w:color w:val="auto"/>
        </w:rPr>
      </w:pPr>
      <w:r>
        <w:rPr>
          <w:rFonts w:ascii="Arial" w:cs="Arial" w:eastAsia="Arial" w:hAnsi="Arial"/>
          <w:sz w:val="18"/>
          <w:szCs w:val="18"/>
          <w:color w:val="auto"/>
        </w:rPr>
        <w:t>The realigned CAD team generated $341 in net revenue for the three-month period ended September 30, 2023 through legacy sales and volume-based contracts. Commercial efforts for the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launch were impacted significantly in the three months ended September 30, 2023, due to the reduction in force, which included the elimination of sales, marketing, and commercial operations staff.</w:t>
      </w:r>
    </w:p>
    <w:p>
      <w:pPr>
        <w:sectPr>
          <w:pgSz w:w="11900" w:h="16838" w:orient="portrait"/>
          <w:cols w:equalWidth="0" w:num="1">
            <w:col w:w="9019"/>
          </w:cols>
          <w:pgMar w:left="1440" w:top="5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819" w:firstLine="315"/>
        <w:spacing w:after="0" w:line="261" w:lineRule="auto"/>
        <w:rPr>
          <w:sz w:val="20"/>
          <w:szCs w:val="20"/>
          <w:color w:val="auto"/>
        </w:rPr>
      </w:pPr>
      <w:r>
        <w:rPr>
          <w:rFonts w:ascii="Arial" w:cs="Arial" w:eastAsia="Arial" w:hAnsi="Arial"/>
          <w:sz w:val="18"/>
          <w:szCs w:val="18"/>
          <w:color w:val="auto"/>
        </w:rPr>
        <w:t>Over time, the revised commercial effort is expected to allow the Company to continue to make inroads into the institutional market in a more cost-efficient manner.</w:t>
      </w:r>
    </w:p>
    <w:p>
      <w:pPr>
        <w:spacing w:after="0" w:line="154" w:lineRule="exact"/>
        <w:rPr>
          <w:sz w:val="20"/>
          <w:szCs w:val="20"/>
          <w:color w:val="auto"/>
        </w:rPr>
      </w:pPr>
    </w:p>
    <w:p>
      <w:pPr>
        <w:ind w:left="40" w:right="159" w:firstLine="315"/>
        <w:spacing w:after="0" w:line="216" w:lineRule="auto"/>
        <w:rPr>
          <w:sz w:val="20"/>
          <w:szCs w:val="20"/>
          <w:color w:val="auto"/>
        </w:rPr>
      </w:pPr>
      <w:r>
        <w:rPr>
          <w:rFonts w:ascii="Arial" w:cs="Arial" w:eastAsia="Arial" w:hAnsi="Arial"/>
          <w:sz w:val="17"/>
          <w:szCs w:val="17"/>
          <w:color w:val="auto"/>
        </w:rPr>
        <w:t>On October 30, 2023, we announced that the Centers for Medicare &amp; Medicaid Services (“CMS”) assigned a new J-Code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(J1105). J-Codes are permanent codes used by healthcare providers, commercial insurance plans, and government payers to help standardize the reimbursement process. A J-Code can help simplify claims submission as compared to use of a miscellaneous or unlisted code, which in turn can streamline the billing and reimbursement process. The J-Code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has been published online in the CMS HCPCS Application Summaries and Coding Recommendations, Third Quarter, 2023 HCPCS Coding Cycle. We believe this J-Code will facilitate access to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for patients with agitation associated with bipolar disorder or schizophrenia.</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Neuroscience Clinical Programs</w:t>
      </w:r>
    </w:p>
    <w:p>
      <w:pPr>
        <w:spacing w:after="0" w:line="180" w:lineRule="exact"/>
        <w:rPr>
          <w:sz w:val="20"/>
          <w:szCs w:val="20"/>
          <w:color w:val="auto"/>
        </w:rPr>
      </w:pPr>
    </w:p>
    <w:p>
      <w:pPr>
        <w:ind w:left="40" w:right="219" w:firstLine="631"/>
        <w:spacing w:after="0" w:line="252" w:lineRule="auto"/>
        <w:rPr>
          <w:sz w:val="20"/>
          <w:szCs w:val="20"/>
          <w:color w:val="auto"/>
        </w:rPr>
      </w:pPr>
      <w:r>
        <w:rPr>
          <w:rFonts w:ascii="Arial" w:cs="Arial" w:eastAsia="Arial" w:hAnsi="Arial"/>
          <w:sz w:val="18"/>
          <w:szCs w:val="18"/>
          <w:color w:val="auto"/>
        </w:rPr>
        <w:t>The following is a summary of the status of our major neuroscience clinical development programs as of the date of this Quarterly Report on Form 10-Q. With our Reprioritization announcement on August 14, 2023, some of our trials and programs have been paused or deprioritized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128270</wp:posOffset>
            </wp:positionV>
            <wp:extent cx="5233035" cy="2712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33035"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Neuroscience Program</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BXCL501 Development</w:t>
      </w:r>
    </w:p>
    <w:p>
      <w:pPr>
        <w:spacing w:after="0" w:line="178" w:lineRule="exact"/>
        <w:rPr>
          <w:sz w:val="20"/>
          <w:szCs w:val="20"/>
          <w:color w:val="auto"/>
        </w:rPr>
      </w:pPr>
    </w:p>
    <w:p>
      <w:pPr>
        <w:ind w:left="40" w:right="139" w:firstLine="315"/>
        <w:spacing w:after="0" w:line="238" w:lineRule="auto"/>
        <w:rPr>
          <w:sz w:val="20"/>
          <w:szCs w:val="20"/>
          <w:color w:val="auto"/>
        </w:rPr>
      </w:pPr>
      <w:r>
        <w:rPr>
          <w:rFonts w:ascii="Arial" w:cs="Arial" w:eastAsia="Arial" w:hAnsi="Arial"/>
          <w:sz w:val="17"/>
          <w:szCs w:val="17"/>
          <w:color w:val="auto"/>
        </w:rPr>
        <w:t>In indications other than those approved by the FDA as IGALMI</w:t>
      </w:r>
      <w:r>
        <w:rPr>
          <w:rFonts w:ascii="Arial" w:cs="Arial" w:eastAsia="Arial" w:hAnsi="Arial"/>
          <w:sz w:val="25"/>
          <w:szCs w:val="25"/>
          <w:color w:val="auto"/>
          <w:vertAlign w:val="superscript"/>
        </w:rPr>
        <w:t>TM</w:t>
      </w:r>
      <w:r>
        <w:rPr>
          <w:rFonts w:ascii="Arial" w:cs="Arial" w:eastAsia="Arial" w:hAnsi="Arial"/>
          <w:sz w:val="17"/>
          <w:szCs w:val="17"/>
          <w:color w:val="auto"/>
        </w:rPr>
        <w:t>, BXCL501 remains an investigational, proprietary, orally dissolving film formulation of Dex, a selective alpha-2 receptor agonist, targeting symptoms from stress-related behaviors such as agitation. BXCL501 is our most advanced neuroscience clinical program, being evaluated for the at-home acute treatment of agitation related to bipolar disorders or schizophrenia and for the acute treatment of agitation (non-daily) in patients with dementia due to probable Alzheimer’s disease in care facilities and at-home settings. The Company has recently implemented a shift in commercial strategy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in the institutional setting, a reduction of in-hospital commercialization expenses, a suspension of programs no longer deemed core to the Company’s business, and a shift to focus on the development of BXCL501 for use in the at-home and care facilities in the treatment of acute agitation in schizophrenia and bipolar disorders, and in the treatment of acute agitation (non-daily) associated with dementia due to probable Alzheimer’s disease.</w:t>
      </w:r>
    </w:p>
    <w:p>
      <w:pPr>
        <w:sectPr>
          <w:pgSz w:w="11900" w:h="16838" w:orient="portrait"/>
          <w:cols w:equalWidth="0" w:num="1">
            <w:col w:w="9019"/>
          </w:cols>
          <w:pgMar w:left="1440" w:top="508"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79" w:firstLine="315"/>
        <w:spacing w:after="0" w:line="280" w:lineRule="auto"/>
        <w:rPr>
          <w:sz w:val="20"/>
          <w:szCs w:val="20"/>
          <w:color w:val="auto"/>
        </w:rPr>
      </w:pPr>
      <w:r>
        <w:rPr>
          <w:rFonts w:ascii="Arial" w:cs="Arial" w:eastAsia="Arial" w:hAnsi="Arial"/>
          <w:sz w:val="16"/>
          <w:szCs w:val="16"/>
          <w:color w:val="auto"/>
        </w:rPr>
        <w:t>As a selective adrenergic agent with a sublingual or buccal route of administration, BXCL501 is designed to be easily administered and, compared to medications that may take days or weeks,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 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BXCL501 Clinical Trials</w:t>
      </w:r>
    </w:p>
    <w:p>
      <w:pPr>
        <w:spacing w:after="0" w:line="168" w:lineRule="exact"/>
        <w:rPr>
          <w:sz w:val="20"/>
          <w:szCs w:val="20"/>
          <w:color w:val="auto"/>
        </w:rPr>
      </w:pPr>
    </w:p>
    <w:p>
      <w:pPr>
        <w:ind w:left="40" w:right="659" w:firstLine="315"/>
        <w:spacing w:after="0" w:line="268" w:lineRule="auto"/>
        <w:rPr>
          <w:sz w:val="20"/>
          <w:szCs w:val="20"/>
          <w:color w:val="auto"/>
        </w:rPr>
      </w:pPr>
      <w:r>
        <w:rPr>
          <w:rFonts w:ascii="Arial" w:cs="Arial" w:eastAsia="Arial" w:hAnsi="Arial"/>
          <w:sz w:val="18"/>
          <w:szCs w:val="18"/>
          <w:b w:val="1"/>
          <w:bCs w:val="1"/>
          <w:color w:val="auto"/>
        </w:rPr>
        <w:t>TRANQUILITY Program: Acute Agitation Associated with Dementia due to Probable Alzheimer’s Disease (AAD) (at-home and ALF use)</w:t>
      </w:r>
    </w:p>
    <w:p>
      <w:pPr>
        <w:spacing w:after="0" w:line="135"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On June 29, 2023, we announced positive topline results from TRANQUILITY II, a randomized, double-blind, placebo-controlled, parallel group trial that evaluated the safety and efficacy of BXCL501 for the acute treatment of Alzheimer’s-related agitation in adults 65 years and older in ALFs and residential care settings who required minimal assistance with activities of daily living. The trial dosed 149 patients with mild to moderate dementia. Randomized patients self-administered 40 mcg or 60 mcg of BXCL501 or placebo for agitation episodes that occurred over a 12-week period. The primary endpoint was the change from pre-dose in PEC total score at 2 hours post-dose for the first treated episode of agitation. The key secondary efficacy endpoints were PEC change from pre-dose at 1-hour post-dose of study treatment for the first treated episode of agitation, and PEC change from pre-dose at 30 minutes post-dose of study treatment for the first treated episode of agitation.</w:t>
      </w:r>
    </w:p>
    <w:p>
      <w:pPr>
        <w:spacing w:after="0" w:line="145" w:lineRule="exact"/>
        <w:rPr>
          <w:sz w:val="20"/>
          <w:szCs w:val="20"/>
          <w:color w:val="auto"/>
        </w:rPr>
      </w:pPr>
    </w:p>
    <w:p>
      <w:pPr>
        <w:ind w:left="40" w:right="139" w:firstLine="315"/>
        <w:spacing w:after="0" w:line="286" w:lineRule="auto"/>
        <w:rPr>
          <w:sz w:val="20"/>
          <w:szCs w:val="20"/>
          <w:color w:val="auto"/>
        </w:rPr>
      </w:pPr>
      <w:r>
        <w:rPr>
          <w:rFonts w:ascii="Arial" w:cs="Arial" w:eastAsia="Arial" w:hAnsi="Arial"/>
          <w:sz w:val="16"/>
          <w:szCs w:val="16"/>
          <w:color w:val="auto"/>
        </w:rPr>
        <w:t>The Phase 3 trial met its primary efficacy endpoint with the 60 mcg dose; a statistically significant and clinically meaningful 7.5 point reduction from baseline in Positive and Negative Syndrome Scale-Excitatory Component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26" w:lineRule="exact"/>
        <w:rPr>
          <w:sz w:val="20"/>
          <w:szCs w:val="20"/>
          <w:color w:val="auto"/>
        </w:rPr>
      </w:pPr>
    </w:p>
    <w:p>
      <w:pPr>
        <w:ind w:left="40" w:right="199" w:firstLine="315"/>
        <w:spacing w:after="0" w:line="290" w:lineRule="auto"/>
        <w:rPr>
          <w:sz w:val="20"/>
          <w:szCs w:val="20"/>
          <w:color w:val="auto"/>
        </w:rPr>
      </w:pPr>
      <w:r>
        <w:rPr>
          <w:rFonts w:ascii="Arial" w:cs="Arial" w:eastAsia="Arial" w:hAnsi="Arial"/>
          <w:sz w:val="16"/>
          <w:szCs w:val="16"/>
          <w:color w:val="auto"/>
        </w:rPr>
        <w:t>Efficacy for this dose was supported by several secondary measures, including CGI-Improvement and Agitation-Calmness Evaluation Scale. Most patients (76%) responded to the first 60 mcg dose and were determined to be “Very Much” or “Much Improved” (CGI-I of 1 or 2, respectively) compared to 50% with placebo. The primary endpoint was not met for the 40 mcg dose, with a 5.7 point reduction from baseline in PEC score.</w:t>
      </w:r>
    </w:p>
    <w:p>
      <w:pPr>
        <w:spacing w:after="0" w:line="123" w:lineRule="exact"/>
        <w:rPr>
          <w:sz w:val="20"/>
          <w:szCs w:val="20"/>
          <w:color w:val="auto"/>
        </w:rPr>
      </w:pPr>
    </w:p>
    <w:p>
      <w:pPr>
        <w:ind w:left="40" w:right="279" w:firstLine="315"/>
        <w:spacing w:after="0" w:line="286" w:lineRule="auto"/>
        <w:rPr>
          <w:sz w:val="20"/>
          <w:szCs w:val="20"/>
          <w:color w:val="auto"/>
        </w:rPr>
      </w:pPr>
      <w:r>
        <w:rPr>
          <w:rFonts w:ascii="Arial" w:cs="Arial" w:eastAsia="Arial" w:hAnsi="Arial"/>
          <w:sz w:val="16"/>
          <w:szCs w:val="16"/>
          <w:color w:val="auto"/>
        </w:rPr>
        <w:t>On June 29, 2023, we also announced that we had learned that an investigator in this study who enrolled approximately 40% of the patients engaged in misconduct.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39" w:lineRule="exact"/>
        <w:rPr>
          <w:sz w:val="20"/>
          <w:szCs w:val="20"/>
          <w:color w:val="auto"/>
        </w:rPr>
      </w:pPr>
    </w:p>
    <w:p>
      <w:pPr>
        <w:ind w:left="40" w:right="179" w:firstLine="315"/>
        <w:spacing w:after="0" w:line="304" w:lineRule="auto"/>
        <w:rPr>
          <w:sz w:val="20"/>
          <w:szCs w:val="20"/>
          <w:color w:val="auto"/>
        </w:rPr>
      </w:pPr>
      <w:r>
        <w:rPr>
          <w:rFonts w:ascii="Arial" w:cs="Arial" w:eastAsia="Arial" w:hAnsi="Arial"/>
          <w:sz w:val="15"/>
          <w:szCs w:val="15"/>
          <w:color w:val="auto"/>
        </w:rPr>
        <w:t>Our TRANQUILITY III trial was designed to evaluate the safety and efficacy of BXCL501 in patients residing predominantly in nursing homes with moderate to severe dementia who require moderate or greater assistance with activities of daily living. We halted additional enrollment in this Phase 3 after initial enrolled patients were observed to have more frequent episodes of agitation than originally anticipated, suggesting that agitation may present chronically in this population. Due to the chronic nature of agitation episodes observed in this population thus far, we believe that continued evaluation of BXCL501 in this population would require a different development program targeting more frequent or chronic use. We have chosen to focus our development efforts on the urgent need for episodic treatment in the care facility and at-home setting.</w:t>
      </w:r>
    </w:p>
    <w:p>
      <w:pPr>
        <w:spacing w:after="0" w:line="114" w:lineRule="exact"/>
        <w:rPr>
          <w:sz w:val="20"/>
          <w:szCs w:val="20"/>
          <w:color w:val="auto"/>
        </w:rPr>
      </w:pPr>
    </w:p>
    <w:p>
      <w:pPr>
        <w:ind w:left="40" w:right="299" w:firstLine="315"/>
        <w:spacing w:after="0" w:line="290" w:lineRule="auto"/>
        <w:rPr>
          <w:sz w:val="20"/>
          <w:szCs w:val="20"/>
          <w:color w:val="auto"/>
        </w:rPr>
      </w:pPr>
      <w:r>
        <w:rPr>
          <w:rFonts w:ascii="Arial" w:cs="Arial" w:eastAsia="Arial" w:hAnsi="Arial"/>
          <w:sz w:val="16"/>
          <w:szCs w:val="16"/>
          <w:color w:val="auto"/>
        </w:rPr>
        <w:t>In a Type B/Breakthrough meeting with the FDA on October 11, 2023, we reviewed our TRANQUILITY clinical trial program and discussed the data package required to support submission of an sNDA for the approval of BXCL501 for the acute treatment of agitation in patients with mild to moderate dementia due to probable Alzheimer’s disease in the ALF and at-home settings. Specifically, we sought feedback from the FDA as to whether the current data package</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99"/>
        <w:spacing w:after="0" w:line="279" w:lineRule="auto"/>
        <w:rPr>
          <w:sz w:val="20"/>
          <w:szCs w:val="20"/>
          <w:color w:val="auto"/>
        </w:rPr>
      </w:pPr>
      <w:r>
        <w:rPr>
          <w:rFonts w:ascii="Arial" w:cs="Arial" w:eastAsia="Arial" w:hAnsi="Arial"/>
          <w:sz w:val="16"/>
          <w:szCs w:val="16"/>
          <w:color w:val="auto"/>
        </w:rPr>
        <w:t>consisting of TRANQUILITY I and II, along with the clinical pharmacology and toxicology programs previously discussed with the FDA, was sufficient to support an sNDA submission for the use of BXCL501 to treat agitation in patients with mild to moderate dementia due to probable Alzheimer’s disease in either the at-home or ALF setting, or if not, what additional data would be required. Based on FDA’s feedback, we believe we will need additional data to support a potential sNDA submission for this indication, including the conduct of a new at-home clinical trial. In addition, we believe, based on feedback from the FDA, that such an at-home study would encompass patients with acute episodes of agitation (non-daily) with mild to severe dementia due to probable Alzheimer’s. We are planning for this study to enroll approximately 100 patients aged 65 years and older with mild, moderate, or severe dementia who would self-administer 60 mcg of BXCL501 or placebo whenever agitation episodes occur over a 4-week period. The long-term safety requirements for submission will also be discussed with the FDA based on the frequency of agitation observed in this study.</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SERENITY Program: Agitation Associated with Bipolar Disorders I and II and Schizophrenia (at-home use)</w:t>
      </w:r>
    </w:p>
    <w:p>
      <w:pPr>
        <w:spacing w:after="0" w:line="203" w:lineRule="exact"/>
        <w:rPr>
          <w:sz w:val="20"/>
          <w:szCs w:val="20"/>
          <w:color w:val="auto"/>
        </w:rPr>
      </w:pPr>
    </w:p>
    <w:p>
      <w:pPr>
        <w:ind w:left="40" w:right="179" w:firstLine="315"/>
        <w:spacing w:after="0" w:line="246" w:lineRule="auto"/>
        <w:rPr>
          <w:sz w:val="20"/>
          <w:szCs w:val="20"/>
          <w:color w:val="auto"/>
        </w:rPr>
      </w:pPr>
      <w:r>
        <w:rPr>
          <w:rFonts w:ascii="Arial" w:cs="Arial" w:eastAsia="Arial" w:hAnsi="Arial"/>
          <w:sz w:val="18"/>
          <w:szCs w:val="18"/>
          <w:color w:val="auto"/>
        </w:rPr>
        <w:t>We are currently evaluating the potential at-home use of BXCL501 in patients with agitation associated with bipolar disorders or schizophrenia in our SERENITY III study, which consists of two parts. The first part was comparable to our pivotal SERENITY I and II studies. Using similar inclusion and exclusion criterion under a well-controlled in-patient setting, acutely agitated patients with schizophrenia or bipolar disorders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spacing w:after="0" w:line="171" w:lineRule="exact"/>
        <w:rPr>
          <w:sz w:val="20"/>
          <w:szCs w:val="20"/>
          <w:color w:val="auto"/>
        </w:rPr>
      </w:pPr>
    </w:p>
    <w:p>
      <w:pPr>
        <w:ind w:left="40" w:right="359" w:firstLine="315"/>
        <w:spacing w:after="0" w:line="260" w:lineRule="auto"/>
        <w:rPr>
          <w:sz w:val="20"/>
          <w:szCs w:val="20"/>
          <w:color w:val="auto"/>
        </w:rPr>
      </w:pPr>
      <w:r>
        <w:rPr>
          <w:rFonts w:ascii="Arial" w:cs="Arial" w:eastAsia="Arial" w:hAnsi="Arial"/>
          <w:sz w:val="16"/>
          <w:szCs w:val="16"/>
          <w:color w:val="auto"/>
        </w:rPr>
        <w:t>On May 25, 2023, we reported topline results from Part 1 of the study. Although the trial did not meet its primary efficacy endpoint, we believe the efficacy results, observed with the 60 mcg dose, representing half of the lowest approved dose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for in-patient use (120 mcg), were promising. Specifically, greater than 50% of individuals were responders, defined as those patients who achieved a 40% or greater reduction in PEC score. Further, this population responder rate was consistent and dose-proportionate to the same response rates observed in the larger SERENITY I and II trials. Although the primary efficacy endpoint as a group mean change was not statistically significant at the primary endpoint at 2 hours (p=0.077), BXCL501 statistically separated from placebo at 4 hours (p=0.049).</w:t>
      </w:r>
    </w:p>
    <w:p>
      <w:pPr>
        <w:spacing w:after="0" w:line="148"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SERENITY III Part 2 was initiated using a 60-mcg dose with an optional second 60-mcg dose. Part 2 is primarily intended to evaluate safety of BXCL501 over 12 weeks when used as needed in an at-home setting for episodes of agitation associated with bipolar disorders and schizophrenia. The primary objective is to describe the incidence of treatment-emergent adverse events. The primary endpoint of the trial is a comparison of serious adverse events and treatment-emergent adverse events as compared to placebo, and the secondary endpoints for Part 2 include a number of efficacy assessments. We held a Type C meeting on November 8, 2023 with the FDA to discuss changes to Part 2 of our SERENITY III study. We proposed the evaluation of an 80mcg dose based on previous clinical experience with this dose during our Phase 1b trial in schizophrenia patients with agitation, and pharmacokinetic and pharmacodynamic modeling suggesting that use of an 80 mcg dose of BXCL501 could provide an optimal balance between safety and efficacy for at-home use. Based on feedback from the FDA during the meeting, we intend to evaluate safety in the at-home setting using a 120 mcg dose. The 120 mcg dose has already demonstrated efficacy based on the approved conditions of use for IGALMI (when administered under the supervision of a healthcare provider). We expect to disclose next steps for this development program after the final minutes of the meeting are received from the FDA.</w:t>
      </w:r>
    </w:p>
    <w:p>
      <w:pPr>
        <w:spacing w:after="0" w:line="134" w:lineRule="exact"/>
        <w:rPr>
          <w:sz w:val="20"/>
          <w:szCs w:val="20"/>
          <w:color w:val="auto"/>
        </w:rPr>
      </w:pPr>
    </w:p>
    <w:p>
      <w:pPr>
        <w:ind w:left="40" w:right="259" w:firstLine="315"/>
        <w:spacing w:after="0" w:line="306" w:lineRule="auto"/>
        <w:rPr>
          <w:sz w:val="20"/>
          <w:szCs w:val="20"/>
          <w:color w:val="auto"/>
        </w:rPr>
      </w:pPr>
      <w:r>
        <w:rPr>
          <w:rFonts w:ascii="Arial" w:cs="Arial" w:eastAsia="Arial" w:hAnsi="Arial"/>
          <w:sz w:val="15"/>
          <w:szCs w:val="15"/>
          <w:color w:val="auto"/>
        </w:rPr>
        <w:t>We have also completed a study evaluating the safety, tolerability, and pharmacokinetic characterization of single and multiple doses of BXCL501 in elderly subjects 65 years of age and older in a Phase 1 study. Quetiapine, an anti-psychotic drug widely prescribed in elderly patients, has been included as an active comparator. This study also explored the cognitive effects of daily dosing of BXCL501 and quetiapine. All dosing cohorts have been completed, including cohorts receiving 40 mcg BXCL501 (or placebo) once daily for seven days, and a cohort receiving 60 mcg BXCL501 (or placebo) or quetiapine once daily for seven days. We expect that the results of this study will be available in the fourth quarter of 2023.</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Adjunctive treatment in Major Depressive Disorder (“MDD”)</w:t>
      </w:r>
    </w:p>
    <w:p>
      <w:pPr>
        <w:spacing w:after="0" w:line="193" w:lineRule="exact"/>
        <w:rPr>
          <w:sz w:val="20"/>
          <w:szCs w:val="20"/>
          <w:color w:val="auto"/>
        </w:rPr>
      </w:pPr>
    </w:p>
    <w:p>
      <w:pPr>
        <w:jc w:val="both"/>
        <w:ind w:left="40" w:right="179" w:firstLine="315"/>
        <w:spacing w:after="0" w:line="252" w:lineRule="auto"/>
        <w:rPr>
          <w:sz w:val="20"/>
          <w:szCs w:val="20"/>
          <w:color w:val="auto"/>
        </w:rPr>
      </w:pPr>
      <w:r>
        <w:rPr>
          <w:rFonts w:ascii="Arial" w:cs="Arial" w:eastAsia="Arial" w:hAnsi="Arial"/>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50" w:lineRule="exact"/>
        <w:rPr>
          <w:sz w:val="20"/>
          <w:szCs w:val="20"/>
          <w:color w:val="auto"/>
        </w:rPr>
      </w:pPr>
    </w:p>
    <w:p>
      <w:pPr>
        <w:ind w:left="40" w:right="159" w:firstLine="315"/>
        <w:spacing w:after="0" w:line="302" w:lineRule="auto"/>
        <w:rPr>
          <w:sz w:val="20"/>
          <w:szCs w:val="20"/>
          <w:color w:val="auto"/>
        </w:rPr>
      </w:pPr>
      <w:r>
        <w:rPr>
          <w:rFonts w:ascii="Arial" w:cs="Arial" w:eastAsia="Arial" w:hAnsi="Arial"/>
          <w:sz w:val="15"/>
          <w:szCs w:val="15"/>
          <w:color w:val="auto"/>
        </w:rPr>
        <w:t>On May 16, 2023, we reported positive topline results from a MAD study. It enrolled 125 healthy adult volunteers across seven different cohorts in a 2:1 randomization to BXCL501 or placebo film. Healthy volunteers were dosed for 7 consecutive days. Both safety and pharmacokinetics were assessed. The study included 7 cohorts. Four distinct cohorts received 30 mcg, 60 mcg, 80 mcg, or 120 mcg doses of BXCL501 or placebo once daily. Two additional dosing cohorts received twice-daily (BID) BXCL501 at either 30 mcg in the morning and 60 mcg in the evening, or 40 mcg in the morning and 80 mcg in the evening. The final escalation cohort evaluated BXCL501 at 60 mcg in the morning and 80 mcg in the evening in combination with 30 mg of duloxetine BID. BXCL501 was generally well tolerated across all dosing cohorts. Based upon pre-specified stopping criteria, a maximum tolerated dose was not reached. All adverse events were reported as mild or moderate.</w:t>
      </w:r>
    </w:p>
    <w:p>
      <w:pPr>
        <w:spacing w:after="0" w:line="117" w:lineRule="exact"/>
        <w:rPr>
          <w:sz w:val="20"/>
          <w:szCs w:val="20"/>
          <w:color w:val="auto"/>
        </w:rPr>
      </w:pPr>
    </w:p>
    <w:p>
      <w:pPr>
        <w:ind w:left="40" w:right="139" w:firstLine="315"/>
        <w:spacing w:after="0" w:line="299" w:lineRule="auto"/>
        <w:rPr>
          <w:sz w:val="20"/>
          <w:szCs w:val="20"/>
          <w:color w:val="auto"/>
        </w:rPr>
      </w:pPr>
      <w:r>
        <w:rPr>
          <w:rFonts w:ascii="Arial" w:cs="Arial" w:eastAsia="Arial" w:hAnsi="Arial"/>
          <w:sz w:val="16"/>
          <w:szCs w:val="16"/>
          <w:color w:val="auto"/>
        </w:rPr>
        <w:t>As part of its Reprioritization, the Company has paused its plan to develop a Phase 2 human proof-of-concept (POC) trial design to investigate BXCL501 as an adjunctive treatment and its potential accelerant effect in combination with first-line selective serotonin reuptake inhibitors (SSRIs) or serotonin-norepinephrine reuptake inhibitors.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Pediatric Study</w:t>
      </w:r>
    </w:p>
    <w:p>
      <w:pPr>
        <w:spacing w:after="0" w:line="180" w:lineRule="exact"/>
        <w:rPr>
          <w:sz w:val="20"/>
          <w:szCs w:val="20"/>
          <w:color w:val="auto"/>
        </w:rPr>
      </w:pPr>
    </w:p>
    <w:p>
      <w:pPr>
        <w:ind w:left="40" w:right="179" w:firstLine="315"/>
        <w:spacing w:after="0" w:line="265" w:lineRule="auto"/>
        <w:rPr>
          <w:sz w:val="20"/>
          <w:szCs w:val="20"/>
          <w:color w:val="auto"/>
        </w:rPr>
      </w:pPr>
      <w:r>
        <w:rPr>
          <w:rFonts w:ascii="Arial" w:cs="Arial" w:eastAsia="Arial" w:hAnsi="Arial"/>
          <w:sz w:val="16"/>
          <w:szCs w:val="16"/>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IGALMI</w:t>
      </w:r>
      <w:r>
        <w:rPr>
          <w:rFonts w:ascii="Arial" w:cs="Arial" w:eastAsia="Arial" w:hAnsi="Arial"/>
          <w:sz w:val="24"/>
          <w:szCs w:val="24"/>
          <w:color w:val="auto"/>
          <w:vertAlign w:val="superscript"/>
        </w:rPr>
        <w:t>TM</w:t>
      </w:r>
      <w:r>
        <w:rPr>
          <w:rFonts w:ascii="Arial" w:cs="Arial" w:eastAsia="Arial" w:hAnsi="Arial"/>
          <w:sz w:val="16"/>
          <w:szCs w:val="16"/>
          <w:color w:val="auto"/>
        </w:rPr>
        <w:t>’s approval.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47% of the 150 total subjects have been enrolled in the U.S. One European site is actively recruiting patients, and several additional European sites are planned to initiate enrollment in the fourth quarter of 2023. Similar to our registration trials in schizophrenia and bipolar disorder (SERENITY I and II), the primary endpoint is the change from baseline PEC total score at two hours. This program remains active following the Reprioritization.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Additional Neuroscience Opportunities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BXCL501 Pipeline Opportunities for Franchise Expansion</w:t>
      </w:r>
    </w:p>
    <w:p>
      <w:pPr>
        <w:spacing w:after="0" w:line="193" w:lineRule="exact"/>
        <w:rPr>
          <w:sz w:val="20"/>
          <w:szCs w:val="20"/>
          <w:color w:val="auto"/>
        </w:rPr>
      </w:pPr>
    </w:p>
    <w:p>
      <w:pPr>
        <w:ind w:left="40" w:right="199" w:firstLine="315"/>
        <w:spacing w:after="0" w:line="324" w:lineRule="auto"/>
        <w:rPr>
          <w:sz w:val="20"/>
          <w:szCs w:val="20"/>
          <w:color w:val="auto"/>
        </w:rPr>
      </w:pPr>
      <w:r>
        <w:rPr>
          <w:rFonts w:ascii="Arial" w:cs="Arial" w:eastAsia="Arial" w:hAnsi="Arial"/>
          <w:sz w:val="16"/>
          <w:szCs w:val="16"/>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Government-Supported Investigator-Initiated Trial Programs</w:t>
      </w:r>
    </w:p>
    <w:p>
      <w:pPr>
        <w:spacing w:after="0" w:line="220" w:lineRule="exact"/>
        <w:rPr>
          <w:sz w:val="20"/>
          <w:szCs w:val="20"/>
          <w:color w:val="auto"/>
        </w:rPr>
      </w:pPr>
    </w:p>
    <w:p>
      <w:pPr>
        <w:ind w:left="40" w:right="139" w:firstLine="315"/>
        <w:spacing w:after="0" w:line="282" w:lineRule="auto"/>
        <w:rPr>
          <w:sz w:val="20"/>
          <w:szCs w:val="20"/>
          <w:color w:val="auto"/>
        </w:rPr>
      </w:pPr>
      <w:r>
        <w:rPr>
          <w:rFonts w:ascii="Arial" w:cs="Arial" w:eastAsia="Arial" w:hAnsi="Arial"/>
          <w:sz w:val="16"/>
          <w:szCs w:val="16"/>
          <w:color w:val="auto"/>
        </w:rPr>
        <w:t>The Company has been awarded key opportunities for the development of BXCL501 in post-traumatic stress disorder (“PTSD”), alcohol use disorder (“AUD”), and opioid use disorder (“OUD”). These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NIDA. The Company has retained all rights to commercialization of BXCL501 in all potential indications evaluated in clinical trials supported by the U.S. government.</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Opioid Use Disorder Program</w:t>
      </w:r>
    </w:p>
    <w:p>
      <w:pPr>
        <w:spacing w:after="0" w:line="220" w:lineRule="exact"/>
        <w:rPr>
          <w:sz w:val="20"/>
          <w:szCs w:val="20"/>
          <w:color w:val="auto"/>
        </w:rPr>
      </w:pPr>
    </w:p>
    <w:p>
      <w:pPr>
        <w:ind w:left="40" w:right="519" w:firstLine="394"/>
        <w:spacing w:after="0" w:line="282" w:lineRule="auto"/>
        <w:rPr>
          <w:sz w:val="20"/>
          <w:szCs w:val="20"/>
          <w:color w:val="auto"/>
        </w:rPr>
      </w:pPr>
      <w:r>
        <w:rPr>
          <w:rFonts w:ascii="Arial" w:cs="Arial" w:eastAsia="Arial" w:hAnsi="Arial"/>
          <w:sz w:val="16"/>
          <w:szCs w:val="16"/>
          <w:color w:val="auto"/>
        </w:rPr>
        <w:t>As previously announced, NIDA awarded a grant to Columbia University to fund clinical testing of BXCL501 as a potential treatment for opioid withdrawal in patients diagnosed with OUD. The original 160-patient, three-site, four-</w:t>
      </w:r>
    </w:p>
    <w:p>
      <w:pPr>
        <w:ind w:left="40" w:right="199"/>
        <w:spacing w:after="0" w:line="280" w:lineRule="auto"/>
        <w:rPr>
          <w:sz w:val="20"/>
          <w:szCs w:val="20"/>
          <w:color w:val="auto"/>
        </w:rPr>
      </w:pPr>
      <w:r>
        <w:rPr>
          <w:rFonts w:ascii="Arial" w:cs="Arial" w:eastAsia="Arial" w:hAnsi="Arial"/>
          <w:sz w:val="16"/>
          <w:szCs w:val="16"/>
          <w:color w:val="auto"/>
        </w:rPr>
        <w:t xml:space="preserve">arm </w:t>
      </w:r>
      <w:r>
        <w:rPr>
          <w:rFonts w:ascii="Arial" w:cs="Arial" w:eastAsia="Arial" w:hAnsi="Arial"/>
          <w:sz w:val="16"/>
          <w:szCs w:val="16"/>
          <w:color w:val="212121"/>
        </w:rPr>
        <w:t>study is a randomized, double-blind, double-dummy inpatient study comparing BXCL501 (180 mcg and 240 mcg BID),</w:t>
      </w:r>
      <w:r>
        <w:rPr>
          <w:rFonts w:ascii="Arial" w:cs="Arial" w:eastAsia="Arial" w:hAnsi="Arial"/>
          <w:sz w:val="16"/>
          <w:szCs w:val="16"/>
          <w:color w:val="auto"/>
        </w:rPr>
        <w:t xml:space="preserve"> </w:t>
      </w:r>
      <w:r>
        <w:rPr>
          <w:rFonts w:ascii="Arial" w:cs="Arial" w:eastAsia="Arial" w:hAnsi="Arial"/>
          <w:sz w:val="16"/>
          <w:szCs w:val="16"/>
          <w:color w:val="212121"/>
        </w:rPr>
        <w:t xml:space="preserve">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Arial" w:cs="Arial" w:eastAsia="Arial" w:hAnsi="Arial"/>
          <w:sz w:val="16"/>
          <w:szCs w:val="16"/>
          <w:color w:val="000000"/>
        </w:rPr>
        <w:t>fentanyl adulterated or associated with xylazine</w:t>
      </w:r>
      <w:r>
        <w:rPr>
          <w:rFonts w:ascii="Arial" w:cs="Arial" w:eastAsia="Arial" w:hAnsi="Arial"/>
          <w:sz w:val="16"/>
          <w:szCs w:val="16"/>
          <w:color w:val="212121"/>
        </w:rPr>
        <w:t>. To date, a</w:t>
      </w:r>
      <w:r>
        <w:rPr>
          <w:rFonts w:ascii="Arial" w:cs="Arial" w:eastAsia="Arial" w:hAnsi="Arial"/>
          <w:sz w:val="16"/>
          <w:szCs w:val="16"/>
          <w:color w:val="000000"/>
        </w:rPr>
        <w:t>ll three initial sites have recruited, enrolled, and dosed</w:t>
      </w:r>
      <w:r>
        <w:rPr>
          <w:rFonts w:ascii="Arial" w:cs="Arial" w:eastAsia="Arial" w:hAnsi="Arial"/>
          <w:sz w:val="16"/>
          <w:szCs w:val="16"/>
          <w:color w:val="212121"/>
        </w:rPr>
        <w:t xml:space="preserve"> </w:t>
      </w:r>
      <w:r>
        <w:rPr>
          <w:rFonts w:ascii="Arial" w:cs="Arial" w:eastAsia="Arial" w:hAnsi="Arial"/>
          <w:sz w:val="16"/>
          <w:szCs w:val="16"/>
          <w:color w:val="000000"/>
        </w:rPr>
        <w:t>patients diagnosed with OUD who are physically dependent on opioids, including prescription opioids. The Company is supplying the drug product for the conduct of this study</w:t>
      </w:r>
      <w:r>
        <w:rPr>
          <w:rFonts w:ascii="Arial" w:cs="Arial" w:eastAsia="Arial" w:hAnsi="Arial"/>
          <w:sz w:val="16"/>
          <w:szCs w:val="16"/>
          <w:color w:val="212121"/>
        </w:rPr>
        <w:t>. We expect that the results from current study will be used to select a</w:t>
      </w:r>
      <w:r>
        <w:rPr>
          <w:rFonts w:ascii="Arial" w:cs="Arial" w:eastAsia="Arial" w:hAnsi="Arial"/>
          <w:sz w:val="16"/>
          <w:szCs w:val="16"/>
          <w:color w:val="000000"/>
        </w:rPr>
        <w:t xml:space="preserve"> </w:t>
      </w:r>
      <w:r>
        <w:rPr>
          <w:rFonts w:ascii="Arial" w:cs="Arial" w:eastAsia="Arial" w:hAnsi="Arial"/>
          <w:sz w:val="16"/>
          <w:szCs w:val="16"/>
          <w:color w:val="212121"/>
        </w:rPr>
        <w:t xml:space="preserve">recommended dose of BXCL501 to compare to placebo in a later outpatient Phase 3 study sponsored by </w:t>
      </w:r>
      <w:r>
        <w:rPr>
          <w:rFonts w:ascii="Arial" w:cs="Arial" w:eastAsia="Arial" w:hAnsi="Arial"/>
          <w:sz w:val="16"/>
          <w:szCs w:val="16"/>
          <w:color w:val="000000"/>
        </w:rPr>
        <w:t>NIDA.</w:t>
      </w:r>
    </w:p>
    <w:p>
      <w:pPr>
        <w:spacing w:after="0" w:line="168" w:lineRule="exact"/>
        <w:rPr>
          <w:sz w:val="20"/>
          <w:szCs w:val="20"/>
          <w:color w:val="auto"/>
        </w:rPr>
      </w:pPr>
    </w:p>
    <w:p>
      <w:pPr>
        <w:jc w:val="both"/>
        <w:ind w:left="40" w:right="139" w:firstLine="315"/>
        <w:spacing w:after="0" w:line="252" w:lineRule="auto"/>
        <w:rPr>
          <w:sz w:val="20"/>
          <w:szCs w:val="20"/>
          <w:color w:val="auto"/>
        </w:rPr>
      </w:pPr>
      <w:r>
        <w:rPr>
          <w:rFonts w:ascii="Arial" w:cs="Arial" w:eastAsia="Arial" w:hAnsi="Arial"/>
          <w:sz w:val="18"/>
          <w:szCs w:val="18"/>
          <w:color w:val="auto"/>
        </w:rPr>
        <w:t>On November 6, 2023, we announced that NIDA has requested Columbia University, the trial coordinator, to add a fourth site to target trial completion in 2024. Pending successful results, after completion of the trial, we plan to seek FDA feedback on potential registrational paths.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Alcohol Use Disorder with Comorbid Post-traumatic Stress Disorder Program</w:t>
      </w:r>
    </w:p>
    <w:p>
      <w:pPr>
        <w:spacing w:after="0" w:line="220" w:lineRule="exact"/>
        <w:rPr>
          <w:sz w:val="20"/>
          <w:szCs w:val="20"/>
          <w:color w:val="auto"/>
        </w:rPr>
      </w:pPr>
    </w:p>
    <w:p>
      <w:pPr>
        <w:ind w:left="40" w:right="259" w:firstLine="315"/>
        <w:spacing w:after="0" w:line="279" w:lineRule="auto"/>
        <w:rPr>
          <w:sz w:val="20"/>
          <w:szCs w:val="20"/>
          <w:color w:val="auto"/>
        </w:rPr>
      </w:pPr>
      <w:r>
        <w:rPr>
          <w:rFonts w:ascii="Arial" w:cs="Arial" w:eastAsia="Arial" w:hAnsi="Arial"/>
          <w:sz w:val="16"/>
          <w:szCs w:val="16"/>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We understand Yale has received approval from its IRB and allowance from the FDA to proceed with a trial evaluating the effects of up to 80 mcg of BXCL501 per day for 28 days on alcohol consumption, PTSD symptoms, cognitive function, memory, sleep, and mood in patients diagnosed with mild, moderate, or severe AUD and who meet Criterion A for comorbid PTSD. The new outpatient study has received funding approval from the Pharmacotherapies for Alcohol and Substance Use Disorders Alliance (funded through a Cooperative Agreement between the U.S. Department of Defense Congressionally Directed Medical Research Program and RTI International). We believe the results from this study will be used to inform a Phase 3 study intended to commence with support by the alliance.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Algorithms for Wearable Technologies</w:t>
      </w:r>
    </w:p>
    <w:p>
      <w:pPr>
        <w:spacing w:after="0" w:line="193" w:lineRule="exact"/>
        <w:rPr>
          <w:sz w:val="20"/>
          <w:szCs w:val="20"/>
          <w:color w:val="auto"/>
        </w:rPr>
      </w:pPr>
    </w:p>
    <w:p>
      <w:pPr>
        <w:ind w:left="40" w:right="299" w:firstLine="315"/>
        <w:spacing w:after="0" w:line="249" w:lineRule="auto"/>
        <w:rPr>
          <w:sz w:val="20"/>
          <w:szCs w:val="20"/>
          <w:color w:val="auto"/>
        </w:rPr>
      </w:pPr>
      <w:r>
        <w:rPr>
          <w:rFonts w:ascii="Arial" w:cs="Arial" w:eastAsia="Arial" w:hAnsi="Arial"/>
          <w:sz w:val="18"/>
          <w:szCs w:val="18"/>
          <w:color w:val="auto"/>
        </w:rPr>
        <w:t>The Company completed a healthy volunteer study designed to train an algorithm to detect a state of hyper-arousal, which often precedes agitated behaviors. In hyper-aroused healthy volunteers, robust signals were measured using wearable technology (phones and watches). As part of its strategic Reprioritization, the Company deprioritized its plan to develop wearable technology.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BXCL502 Development</w:t>
      </w:r>
    </w:p>
    <w:p>
      <w:pPr>
        <w:spacing w:after="0" w:line="180" w:lineRule="exact"/>
        <w:rPr>
          <w:sz w:val="20"/>
          <w:szCs w:val="20"/>
          <w:color w:val="auto"/>
        </w:rPr>
      </w:pPr>
    </w:p>
    <w:p>
      <w:pPr>
        <w:ind w:left="40" w:right="179" w:firstLine="315"/>
        <w:spacing w:after="0" w:line="304" w:lineRule="auto"/>
        <w:rPr>
          <w:sz w:val="20"/>
          <w:szCs w:val="20"/>
          <w:color w:val="auto"/>
        </w:rPr>
      </w:pPr>
      <w:r>
        <w:rPr>
          <w:rFonts w:ascii="Arial" w:cs="Arial" w:eastAsia="Arial" w:hAnsi="Arial"/>
          <w:sz w:val="15"/>
          <w:szCs w:val="15"/>
          <w:color w:val="auto"/>
        </w:rPr>
        <w:t>We identified a second neuropsychiatric drug candidate, BXCL502, through our AI-based platform. We plan to evaluate BXCL502 initially as a monotherapy and possibly in combination with BXCL501 for the chronic treatment of agitation in patients with dementia and acute stress disorder. The active pharmaceutical ingredient (“API”) underlying BXCL502 is designed to affect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clinical development planning are currently under way with BXCL502.</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Product Candidates Leveraging the AI Platform</w:t>
      </w:r>
    </w:p>
    <w:p>
      <w:pPr>
        <w:spacing w:after="0" w:line="174" w:lineRule="exact"/>
        <w:rPr>
          <w:sz w:val="20"/>
          <w:szCs w:val="20"/>
          <w:color w:val="auto"/>
        </w:rPr>
      </w:pPr>
    </w:p>
    <w:p>
      <w:pPr>
        <w:ind w:left="40" w:right="259" w:firstLine="315"/>
        <w:spacing w:after="0" w:line="249" w:lineRule="auto"/>
        <w:rPr>
          <w:sz w:val="20"/>
          <w:szCs w:val="20"/>
          <w:color w:val="auto"/>
        </w:rPr>
      </w:pPr>
      <w:r>
        <w:rPr>
          <w:rFonts w:ascii="Arial" w:cs="Arial" w:eastAsia="Arial" w:hAnsi="Arial"/>
          <w:sz w:val="18"/>
          <w:szCs w:val="18"/>
          <w:color w:val="auto"/>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 and to re-innovate late-stage drug candidates, such as BXCL503 and BXCL504.</w:t>
      </w:r>
    </w:p>
    <w:p>
      <w:pPr>
        <w:sectPr>
          <w:pgSz w:w="11900" w:h="16838" w:orient="portrait"/>
          <w:cols w:equalWidth="0" w:num="1">
            <w:col w:w="9019"/>
          </w:cols>
          <w:pgMar w:left="1440" w:top="508"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19" w:firstLine="315"/>
        <w:spacing w:after="0" w:line="286" w:lineRule="auto"/>
        <w:rPr>
          <w:sz w:val="20"/>
          <w:szCs w:val="20"/>
          <w:color w:val="auto"/>
        </w:rPr>
      </w:pPr>
      <w:r>
        <w:rPr>
          <w:rFonts w:ascii="Arial" w:cs="Arial" w:eastAsia="Arial" w:hAnsi="Arial"/>
          <w:sz w:val="16"/>
          <w:szCs w:val="16"/>
          <w:color w:val="auto"/>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 (similar to BXCL501). We are also developing an AI-based research and development platform to help identify potential product candidates and indications across a range of treatment areas.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OnkosXcel Therapeutics, LLC</w:t>
      </w:r>
    </w:p>
    <w:p>
      <w:pPr>
        <w:spacing w:after="0" w:line="180" w:lineRule="exact"/>
        <w:rPr>
          <w:sz w:val="20"/>
          <w:szCs w:val="20"/>
          <w:color w:val="auto"/>
        </w:rPr>
      </w:pPr>
    </w:p>
    <w:p>
      <w:pPr>
        <w:ind w:left="40" w:right="219" w:firstLine="315"/>
        <w:spacing w:after="0" w:line="282" w:lineRule="auto"/>
        <w:rPr>
          <w:sz w:val="20"/>
          <w:szCs w:val="20"/>
          <w:color w:val="auto"/>
        </w:rPr>
      </w:pPr>
      <w:r>
        <w:rPr>
          <w:rFonts w:ascii="Arial" w:cs="Arial" w:eastAsia="Arial" w:hAnsi="Arial"/>
          <w:sz w:val="16"/>
          <w:szCs w:val="16"/>
          <w:color w:val="auto"/>
        </w:rPr>
        <w:t>On April 19, 2022, we announced the formation of a wholly owned, clinical-stage subsidiary, OnkosXcel, to develop potentially transformative medicines in oncology. OnkosXcel uses proprietary AI capabilities to drive the capital-efficient development of innovative anti-cancer therapeutics. On March 14, 2023, we announced that OnkosXcel had confidentially submitted a draft registration statement on Form S-1 with the SEC relating to the proposed initial public offering of its common stock following its conversion into a corporation. The Company is continuing to evaluate strategic options for OnkosXcel. With the Company’s Reprioritization announcement on August 14, 2023, further work on the immuno-oncology programs described below have generally been paused, except as noted below.</w:t>
      </w:r>
    </w:p>
    <w:p>
      <w:pPr>
        <w:spacing w:after="0" w:line="169" w:lineRule="exact"/>
        <w:rPr>
          <w:sz w:val="20"/>
          <w:szCs w:val="20"/>
          <w:color w:val="auto"/>
        </w:rPr>
      </w:pPr>
    </w:p>
    <w:p>
      <w:pPr>
        <w:ind w:left="40" w:right="199" w:firstLine="315"/>
        <w:spacing w:after="0" w:line="246" w:lineRule="auto"/>
        <w:rPr>
          <w:sz w:val="20"/>
          <w:szCs w:val="20"/>
          <w:color w:val="auto"/>
        </w:rPr>
      </w:pPr>
      <w:r>
        <w:rPr>
          <w:rFonts w:ascii="Arial" w:cs="Arial" w:eastAsia="Arial" w:hAnsi="Arial"/>
          <w:sz w:val="17"/>
          <w:szCs w:val="17"/>
          <w:color w:val="auto"/>
        </w:rPr>
        <w:t>Our approach to drug discovery leverages the application and methodology of EvolverAI, a proprietary AI-based research and development platform utilized in the successful development of IGALMI</w:t>
      </w:r>
      <w:r>
        <w:rPr>
          <w:rFonts w:ascii="Arial" w:cs="Arial" w:eastAsia="Arial" w:hAnsi="Arial"/>
          <w:sz w:val="25"/>
          <w:szCs w:val="25"/>
          <w:color w:val="auto"/>
          <w:vertAlign w:val="superscript"/>
        </w:rPr>
        <w:t>TM</w:t>
      </w:r>
      <w:r>
        <w:rPr>
          <w:rFonts w:ascii="Arial" w:cs="Arial" w:eastAsia="Arial" w:hAnsi="Arial"/>
          <w:sz w:val="17"/>
          <w:szCs w:val="17"/>
          <w:color w:val="auto"/>
        </w:rPr>
        <w:t>, with the aim of efficiently identifying and developing immuno-oncology product candidates. We believe that BXCL701 reflects the potential of this discovery approach in immuno-oncology. BXCL701 is an investigational, oral innate immune activator that demonstrated a 25% composite response rate in a Phase 2a clinical trial to treat patients with small cell neuroendocrine (“SCNC”) phenotype metastatic castration-resistant prostate cancer (“mCRPC”). We intend to finalize a registrational trial design in mCRPC patients with SCNC phenotype following planned meetings with the FDA in December 2023, however, the start of any such trial is paused following the Company’s Reprioritization.</w:t>
      </w:r>
    </w:p>
    <w:p>
      <w:pPr>
        <w:spacing w:after="0" w:line="156" w:lineRule="exact"/>
        <w:rPr>
          <w:sz w:val="20"/>
          <w:szCs w:val="20"/>
          <w:color w:val="auto"/>
        </w:rPr>
      </w:pPr>
    </w:p>
    <w:p>
      <w:pPr>
        <w:ind w:left="40" w:right="179" w:firstLine="315"/>
        <w:spacing w:after="0" w:line="280" w:lineRule="auto"/>
        <w:rPr>
          <w:sz w:val="20"/>
          <w:szCs w:val="20"/>
          <w:color w:val="auto"/>
        </w:rPr>
      </w:pPr>
      <w:r>
        <w:rPr>
          <w:rFonts w:ascii="Arial" w:cs="Arial" w:eastAsia="Arial" w:hAnsi="Arial"/>
          <w:sz w:val="16"/>
          <w:szCs w:val="16"/>
          <w:color w:val="auto"/>
        </w:rPr>
        <w:t>mCRPC is often characterized as a “cold” tumor, which is a tumor with an immunosuppressive tumor microenvironment (“TME”) and poor immune cell infiltration. Currently approved checkpoint inhibitors (“CPIs”) which target programmed cell death 1 (“PD-1”), or cytotoxic T-lymphocyte-associated protein 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 therapeutic utility. We believe that BXCL701 can potentially provide significant benefits for approximately 20% of the estimated 288,300 men who will be diagnosed with prostate cancer in the U.S. in 2023 who are expected to progress to the more aggressive mCRPC form of the disease, including approximately 20%, or 11,532, of those patients who will develop the SCNC phenotype, for whom there is no standard of care.</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Immuno-Oncology Clinical Programs</w:t>
      </w:r>
    </w:p>
    <w:p>
      <w:pPr>
        <w:spacing w:after="0" w:line="174" w:lineRule="exact"/>
        <w:rPr>
          <w:sz w:val="20"/>
          <w:szCs w:val="20"/>
          <w:color w:val="auto"/>
        </w:rPr>
      </w:pPr>
    </w:p>
    <w:p>
      <w:pPr>
        <w:ind w:left="40" w:right="179" w:firstLine="315"/>
        <w:spacing w:after="0" w:line="315" w:lineRule="auto"/>
        <w:rPr>
          <w:sz w:val="20"/>
          <w:szCs w:val="20"/>
          <w:color w:val="auto"/>
        </w:rPr>
      </w:pPr>
      <w:r>
        <w:rPr>
          <w:rFonts w:ascii="Arial" w:cs="Arial" w:eastAsia="Arial" w:hAnsi="Arial"/>
          <w:sz w:val="15"/>
          <w:szCs w:val="15"/>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With the Company’s Reprioritization announcement on August 14, 2023, further work on its immuno-oncology program has been paused, other than as noted below.</w:t>
      </w:r>
    </w:p>
    <w:p>
      <w:pPr>
        <w:spacing w:after="0" w:line="146" w:lineRule="exact"/>
        <w:rPr>
          <w:sz w:val="20"/>
          <w:szCs w:val="20"/>
          <w:color w:val="auto"/>
        </w:rPr>
      </w:pPr>
    </w:p>
    <w:p>
      <w:pPr>
        <w:ind w:left="40" w:right="199" w:firstLine="315"/>
        <w:spacing w:after="0" w:line="276" w:lineRule="auto"/>
        <w:rPr>
          <w:sz w:val="20"/>
          <w:szCs w:val="20"/>
          <w:color w:val="auto"/>
        </w:rPr>
      </w:pPr>
      <w:r>
        <w:rPr>
          <w:rFonts w:ascii="Arial" w:cs="Arial" w:eastAsia="Arial" w:hAnsi="Arial"/>
          <w:sz w:val="16"/>
          <w:szCs w:val="16"/>
          <w:color w:val="auto"/>
        </w:rPr>
        <w:t>Leveraging the insights enabled by the application and methodology of EvolverAI, a proprietary AI-based platform used to identify novel therapeutic uses for approved therapeutics and product candidates in clinical evaluation, and our internal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which we are currently evaluating in a Phase 1b/2a clinical proof-of-concept trial as a potential treatment for mCRPC with either SCNC or adenocarcinoma phenotype. Fundamental to the innate immune modulation program is BXCL701’s potential to:</w:t>
      </w:r>
    </w:p>
    <w:p>
      <w:pPr>
        <w:ind w:left="4380" w:right="4459" w:hanging="3675"/>
        <w:spacing w:after="0" w:line="857" w:lineRule="auto"/>
        <w:tabs>
          <w:tab w:leader="none" w:pos="1023"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Convert cold tumors into ones sensitive to CPIs;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34290</wp:posOffset>
            </wp:positionV>
            <wp:extent cx="561721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20" w:hanging="31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hot tumors’ response rate and depth of response to CPIs; and</w:t>
      </w:r>
    </w:p>
    <w:p>
      <w:pPr>
        <w:spacing w:after="0" w:line="15" w:lineRule="exact"/>
        <w:rPr>
          <w:rFonts w:ascii="Arial" w:cs="Arial" w:eastAsia="Arial" w:hAnsi="Arial"/>
          <w:sz w:val="18"/>
          <w:szCs w:val="18"/>
          <w:color w:val="auto"/>
        </w:rPr>
      </w:pPr>
    </w:p>
    <w:p>
      <w:pPr>
        <w:ind w:left="1020" w:hanging="31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Restore CPE sensitivity to tumors that had previously been responsive.</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BXCL701 Innate Immune Activator</w:t>
      </w:r>
    </w:p>
    <w:p>
      <w:pPr>
        <w:spacing w:after="0" w:line="187" w:lineRule="exact"/>
        <w:rPr>
          <w:sz w:val="20"/>
          <w:szCs w:val="20"/>
          <w:color w:val="auto"/>
        </w:rPr>
      </w:pPr>
    </w:p>
    <w:p>
      <w:pPr>
        <w:ind w:left="40" w:right="219" w:firstLine="315"/>
        <w:spacing w:after="0" w:line="252" w:lineRule="auto"/>
        <w:rPr>
          <w:sz w:val="20"/>
          <w:szCs w:val="20"/>
          <w:color w:val="auto"/>
        </w:rPr>
      </w:pPr>
      <w:r>
        <w:rPr>
          <w:rFonts w:ascii="Arial" w:cs="Arial" w:eastAsia="Arial" w:hAnsi="Arial"/>
          <w:sz w:val="18"/>
          <w:szCs w:val="18"/>
          <w:color w:val="auto"/>
        </w:rPr>
        <w:t>BXCL701 is an oral small molecule inhibitor of a class of enzymes called DPPs, specifically DPP8/9 and DPP4. Inhibition of DPP8/9 initiates the activation of the inflammasome and ultimately the activation of the innate immune system. Key characteristics of BXCL701 include:</w:t>
      </w:r>
    </w:p>
    <w:p>
      <w:pPr>
        <w:spacing w:after="0" w:line="150" w:lineRule="exact"/>
        <w:rPr>
          <w:sz w:val="20"/>
          <w:szCs w:val="20"/>
          <w:color w:val="auto"/>
        </w:rPr>
      </w:pPr>
    </w:p>
    <w:p>
      <w:pPr>
        <w:ind w:left="1020" w:right="339" w:hanging="315"/>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Orally bioavailable, potentially sole inhibitor of both DPP8/9 and DPP4, key regulators of the inflammasome directed innate immune response, currently in clinical development for cancer.</w:t>
      </w:r>
    </w:p>
    <w:p>
      <w:pPr>
        <w:spacing w:after="0" w:line="141" w:lineRule="exact"/>
        <w:rPr>
          <w:rFonts w:ascii="Arial" w:cs="Arial" w:eastAsia="Arial" w:hAnsi="Arial"/>
          <w:sz w:val="18"/>
          <w:szCs w:val="18"/>
          <w:color w:val="auto"/>
        </w:rPr>
      </w:pPr>
    </w:p>
    <w:p>
      <w:pPr>
        <w:ind w:left="1020" w:right="299" w:hanging="315"/>
        <w:spacing w:after="0" w:line="25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Novel proposed mechanism of action may complement CPI activity, enabling therapeutic access to immunologically cold tumors as well as other difficult-to-treat cancers, including relapsed or refractory tumor types.</w:t>
      </w:r>
    </w:p>
    <w:p>
      <w:pPr>
        <w:spacing w:after="0" w:line="149" w:lineRule="exact"/>
        <w:rPr>
          <w:rFonts w:ascii="Arial" w:cs="Arial" w:eastAsia="Arial" w:hAnsi="Arial"/>
          <w:sz w:val="18"/>
          <w:szCs w:val="18"/>
          <w:color w:val="auto"/>
        </w:rPr>
      </w:pPr>
    </w:p>
    <w:p>
      <w:pPr>
        <w:ind w:left="1020" w:right="339" w:hanging="315"/>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2 clinical proof-of-concept achieved in treating mCRPC patients with either SCNC or adenocarcinoma phenotype.</w:t>
      </w:r>
    </w:p>
    <w:p>
      <w:pPr>
        <w:spacing w:after="0" w:line="141" w:lineRule="exact"/>
        <w:rPr>
          <w:sz w:val="20"/>
          <w:szCs w:val="20"/>
          <w:color w:val="auto"/>
        </w:rPr>
      </w:pPr>
    </w:p>
    <w:p>
      <w:pPr>
        <w:ind w:left="40" w:right="199" w:firstLine="315"/>
        <w:spacing w:after="0" w:line="261" w:lineRule="auto"/>
        <w:rPr>
          <w:sz w:val="20"/>
          <w:szCs w:val="20"/>
          <w:color w:val="auto"/>
        </w:rPr>
      </w:pPr>
      <w:r>
        <w:rPr>
          <w:rFonts w:ascii="Arial" w:cs="Arial" w:eastAsia="Arial" w:hAnsi="Arial"/>
          <w:sz w:val="18"/>
          <w:szCs w:val="18"/>
          <w:color w:val="auto"/>
        </w:rPr>
        <w:t>Initial focus on mCRPC with SCNC phenotype is designed to provide for a more efficient clinical development pathway than current industry standards.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Immuno-Oncology Clinical Trials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BXCL701 as a Potential Treatment for mCRPC</w:t>
      </w:r>
    </w:p>
    <w:p>
      <w:pPr>
        <w:spacing w:after="0" w:line="180" w:lineRule="exact"/>
        <w:rPr>
          <w:sz w:val="20"/>
          <w:szCs w:val="20"/>
          <w:color w:val="auto"/>
        </w:rPr>
      </w:pPr>
    </w:p>
    <w:p>
      <w:pPr>
        <w:ind w:left="40" w:right="139" w:firstLine="315"/>
        <w:spacing w:after="0" w:line="249" w:lineRule="auto"/>
        <w:rPr>
          <w:sz w:val="20"/>
          <w:szCs w:val="20"/>
          <w:color w:val="auto"/>
        </w:rPr>
      </w:pPr>
      <w:r>
        <w:rPr>
          <w:rFonts w:ascii="Arial" w:cs="Arial" w:eastAsia="Arial" w:hAnsi="Arial"/>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53" w:lineRule="exact"/>
        <w:rPr>
          <w:sz w:val="20"/>
          <w:szCs w:val="20"/>
          <w:color w:val="auto"/>
        </w:rPr>
      </w:pPr>
    </w:p>
    <w:p>
      <w:pPr>
        <w:ind w:left="40" w:right="499" w:firstLine="315"/>
        <w:spacing w:after="0" w:line="324" w:lineRule="auto"/>
        <w:rPr>
          <w:sz w:val="20"/>
          <w:szCs w:val="20"/>
          <w:color w:val="auto"/>
        </w:rPr>
      </w:pPr>
      <w:r>
        <w:rPr>
          <w:rFonts w:ascii="Arial" w:cs="Arial" w:eastAsia="Arial" w:hAnsi="Arial"/>
          <w:sz w:val="16"/>
          <w:szCs w:val="16"/>
          <w:color w:val="auto"/>
        </w:rPr>
        <w:t>BXCL701 is being evaluated in a Phase 1b/2a clinical proof-of-concept trial that we are sponsoring to investigate its potential efficacy when used in combination with pembrolizumab. Enrollment in this trial is complete.</w:t>
      </w:r>
    </w:p>
    <w:p>
      <w:pPr>
        <w:spacing w:after="0" w:line="108" w:lineRule="exact"/>
        <w:rPr>
          <w:sz w:val="20"/>
          <w:szCs w:val="20"/>
          <w:color w:val="auto"/>
        </w:rPr>
      </w:pPr>
    </w:p>
    <w:p>
      <w:pPr>
        <w:ind w:left="40" w:right="199" w:firstLine="315"/>
        <w:spacing w:after="0" w:line="278" w:lineRule="auto"/>
        <w:rPr>
          <w:sz w:val="20"/>
          <w:szCs w:val="20"/>
          <w:color w:val="auto"/>
        </w:rPr>
      </w:pPr>
      <w:r>
        <w:rPr>
          <w:rFonts w:ascii="Arial" w:cs="Arial" w:eastAsia="Arial" w:hAnsi="Arial"/>
          <w:sz w:val="16"/>
          <w:szCs w:val="16"/>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74" w:lineRule="exact"/>
        <w:rPr>
          <w:sz w:val="20"/>
          <w:szCs w:val="20"/>
          <w:color w:val="auto"/>
        </w:rPr>
      </w:pPr>
    </w:p>
    <w:p>
      <w:pPr>
        <w:ind w:left="40" w:right="239" w:firstLine="315"/>
        <w:spacing w:after="0" w:line="290" w:lineRule="auto"/>
        <w:rPr>
          <w:sz w:val="20"/>
          <w:szCs w:val="20"/>
          <w:color w:val="auto"/>
        </w:rPr>
      </w:pPr>
      <w:r>
        <w:rPr>
          <w:rFonts w:ascii="Arial" w:cs="Arial" w:eastAsia="Arial" w:hAnsi="Arial"/>
          <w:sz w:val="16"/>
          <w:szCs w:val="16"/>
          <w:color w:val="auto"/>
        </w:rPr>
        <w:t>On October 10, 2023, we reported positive overall survival (OS) results from the Phase 2a portion of the trial in patients with small cell neuroendocrine prostate cancer. BXCL701 in combination with pembrolizumab demonstrated a compelling median OS and 12-month survival rate. As of a data cutoff of September 6, 2023, evaluable patients with SCNC (n=28) showed a median OS of 13.6 months (95% CI 10.9–NR), and a 12-month survival rate of 56.5%.</w:t>
      </w:r>
    </w:p>
    <w:p>
      <w:pPr>
        <w:spacing w:after="0" w:line="162" w:lineRule="exact"/>
        <w:rPr>
          <w:sz w:val="20"/>
          <w:szCs w:val="20"/>
          <w:color w:val="auto"/>
        </w:rPr>
      </w:pPr>
    </w:p>
    <w:p>
      <w:pPr>
        <w:ind w:left="40" w:right="939" w:firstLine="315"/>
        <w:spacing w:after="0" w:line="361" w:lineRule="auto"/>
        <w:rPr>
          <w:sz w:val="20"/>
          <w:szCs w:val="20"/>
          <w:color w:val="auto"/>
        </w:rPr>
      </w:pPr>
      <w:r>
        <w:rPr>
          <w:rFonts w:ascii="Arial" w:cs="Arial" w:eastAsia="Arial" w:hAnsi="Arial"/>
          <w:sz w:val="15"/>
          <w:szCs w:val="15"/>
          <w:color w:val="auto"/>
        </w:rPr>
        <w:t>On November 8, 2023, we reported positive OS results from the Phase 2a portion of the trial in patients with adenocarcinoma. As of a data cutoff of September 6, 2023, among evaluable patients with adenocarcinoma (n=29)</w:t>
      </w:r>
    </w:p>
    <w:p>
      <w:pPr>
        <w:sectPr>
          <w:pgSz w:w="11900" w:h="16838" w:orient="portrait"/>
          <w:cols w:equalWidth="0" w:num="1">
            <w:col w:w="9019"/>
          </w:cols>
          <w:pgMar w:left="1440" w:top="508" w:right="1440" w:bottom="1440" w:gutter="0" w:footer="0" w:header="0"/>
        </w:sect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579"/>
        <w:spacing w:after="0" w:line="261" w:lineRule="auto"/>
        <w:rPr>
          <w:sz w:val="20"/>
          <w:szCs w:val="20"/>
          <w:color w:val="auto"/>
        </w:rPr>
      </w:pPr>
      <w:r>
        <w:rPr>
          <w:rFonts w:ascii="Arial" w:cs="Arial" w:eastAsia="Arial" w:hAnsi="Arial"/>
          <w:sz w:val="18"/>
          <w:szCs w:val="18"/>
          <w:color w:val="auto"/>
        </w:rPr>
        <w:t>BXCL701 in combination with pembrolizumab demonstrated a median OS of 15.5 months (95% CI 9.6–NR), and a 12-month survival rate of 59.3%.</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provided a response rate and duration of response update for the SCNC and the adenocarcinoma cohorts at the 30</w:t>
      </w:r>
      <w:r>
        <w:rPr>
          <w:rFonts w:ascii="Arial" w:cs="Arial" w:eastAsia="Arial" w:hAnsi="Arial"/>
          <w:sz w:val="22"/>
          <w:szCs w:val="22"/>
          <w:color w:val="auto"/>
          <w:vertAlign w:val="superscript"/>
        </w:rPr>
        <w:t>th</w:t>
      </w:r>
    </w:p>
    <w:p>
      <w:pPr>
        <w:ind w:left="40"/>
        <w:spacing w:after="0"/>
        <w:rPr>
          <w:sz w:val="20"/>
          <w:szCs w:val="20"/>
          <w:color w:val="auto"/>
        </w:rPr>
      </w:pPr>
      <w:r>
        <w:rPr>
          <w:rFonts w:ascii="Arial" w:cs="Arial" w:eastAsia="Arial" w:hAnsi="Arial"/>
          <w:sz w:val="16"/>
          <w:szCs w:val="16"/>
          <w:color w:val="auto"/>
        </w:rPr>
        <w:t>Annual Prostate Cancer Foundation Scientific Retreat (PCF 2023). BXCL701 in combination with pembrolizumab</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demonstrated a 25% (seven out of 28 evaluable patients) composite response rate in mCRPC patients with SCNC phenotype,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whom there is no standard of care. As of a cutoff of September 6, 2023, five of these responders were RECIST 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responders (four confirmed responses and one unconfirmed response) with decreases in tumor size ranging from -45% to</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-67% and a median duration of response of 7.6 months. BXCL701 in combination with pembrolizumab demonstrated a 21%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(six out of 29 evaluable patients) composite response rate in mCRPC patients with adenocarcinoma phenotype, for whom</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 are limited treatment options. As of a cutoff date of September 6, 2023, five of these composite responders were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RECIST 1.1 responders (four confirmed responses and one unconfirmed response) with decreases in tumor size ranging from</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 to -99% and a median duration of response to 19 months.</w:t>
      </w:r>
    </w:p>
    <w:p>
      <w:pPr>
        <w:spacing w:after="0" w:line="176" w:lineRule="exact"/>
        <w:rPr>
          <w:sz w:val="20"/>
          <w:szCs w:val="20"/>
          <w:color w:val="auto"/>
        </w:rPr>
      </w:pPr>
    </w:p>
    <w:p>
      <w:pPr>
        <w:ind w:left="40" w:right="159" w:firstLine="315"/>
        <w:spacing w:after="0" w:line="252" w:lineRule="auto"/>
        <w:rPr>
          <w:sz w:val="20"/>
          <w:szCs w:val="20"/>
          <w:color w:val="auto"/>
        </w:rPr>
      </w:pPr>
      <w:r>
        <w:rPr>
          <w:rFonts w:ascii="Arial" w:cs="Arial" w:eastAsia="Arial" w:hAnsi="Arial"/>
          <w:sz w:val="18"/>
          <w:szCs w:val="18"/>
          <w:color w:val="auto"/>
        </w:rPr>
        <w:t>We received initial comments from the FDA on our proposed clinical development plan, and we plan to meet with the FDA in an end of Phase 2 meeting scheduled for December 2023 to discuss the development path forward. However, the start of any such trial is paused following the Company’s Reprioritization.</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BXCL701 as a Potential Treatment for Small Cell Lung Cancer</w:t>
      </w:r>
    </w:p>
    <w:p>
      <w:pPr>
        <w:spacing w:after="0" w:line="180" w:lineRule="exact"/>
        <w:rPr>
          <w:sz w:val="20"/>
          <w:szCs w:val="20"/>
          <w:color w:val="auto"/>
        </w:rPr>
      </w:pPr>
    </w:p>
    <w:p>
      <w:pPr>
        <w:ind w:left="40" w:right="359" w:firstLine="315"/>
        <w:spacing w:after="0" w:line="327" w:lineRule="auto"/>
        <w:rPr>
          <w:sz w:val="20"/>
          <w:szCs w:val="20"/>
          <w:color w:val="auto"/>
        </w:rPr>
      </w:pPr>
      <w:r>
        <w:rPr>
          <w:rFonts w:ascii="Arial" w:cs="Arial" w:eastAsia="Arial" w:hAnsi="Arial"/>
          <w:sz w:val="15"/>
          <w:szCs w:val="15"/>
          <w:color w:val="auto"/>
        </w:rPr>
        <w:t>The American Cancer Society estimates that in 2023, approximately 35,751 cases of small cell lung cancer (“SCLC”) will be diagnosed in the U.S. Approximately 60% to 70% of these patients present with extensive disease, and first-line therapy for a majority of these patients involves the combination of a CPI with platinum-based chemotherapy or etoposide.</w:t>
      </w:r>
    </w:p>
    <w:p>
      <w:pPr>
        <w:spacing w:after="0" w:line="110" w:lineRule="exact"/>
        <w:rPr>
          <w:sz w:val="20"/>
          <w:szCs w:val="20"/>
          <w:color w:val="auto"/>
        </w:rPr>
      </w:pPr>
    </w:p>
    <w:p>
      <w:pPr>
        <w:ind w:left="40" w:right="159" w:firstLine="315"/>
        <w:spacing w:after="0" w:line="290" w:lineRule="auto"/>
        <w:rPr>
          <w:sz w:val="20"/>
          <w:szCs w:val="20"/>
          <w:color w:val="auto"/>
        </w:rPr>
      </w:pPr>
      <w:r>
        <w:rPr>
          <w:rFonts w:ascii="Arial" w:cs="Arial" w:eastAsia="Arial" w:hAnsi="Arial"/>
          <w:sz w:val="16"/>
          <w:szCs w:val="16"/>
          <w:color w:val="auto"/>
        </w:rPr>
        <w:t>We are encouraged by the therapeutic potential of BXCL701 for SCLC given the activity it has demonstrated in the ongoing SCNC clinical trial, and we plan to initiate clinical trials targeting this indication. We are finalizing the protocol for a Phase 1b/2 trial design to be a dose-escalation safety lead-in to establish a recommended Phase 2 dose (“RP2D”). However, the start of any such trial is paused following the Company’s Reprioritization.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BXCL701 as a Potential Treatment for Other Cancers</w:t>
      </w:r>
    </w:p>
    <w:p>
      <w:pPr>
        <w:spacing w:after="0" w:line="174" w:lineRule="exact"/>
        <w:rPr>
          <w:sz w:val="20"/>
          <w:szCs w:val="20"/>
          <w:color w:val="auto"/>
        </w:rPr>
      </w:pPr>
    </w:p>
    <w:p>
      <w:pPr>
        <w:ind w:left="40" w:right="139" w:firstLine="315"/>
        <w:spacing w:after="0" w:line="279" w:lineRule="auto"/>
        <w:rPr>
          <w:sz w:val="20"/>
          <w:szCs w:val="20"/>
          <w:color w:val="auto"/>
        </w:rPr>
      </w:pPr>
      <w:r>
        <w:rPr>
          <w:rFonts w:ascii="Arial" w:cs="Arial" w:eastAsia="Arial" w:hAnsi="Arial"/>
          <w:sz w:val="16"/>
          <w:szCs w:val="16"/>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whose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Pancreatic Cancer</w:t>
      </w:r>
    </w:p>
    <w:p>
      <w:pPr>
        <w:spacing w:after="0" w:line="180" w:lineRule="exact"/>
        <w:rPr>
          <w:sz w:val="20"/>
          <w:szCs w:val="20"/>
          <w:color w:val="auto"/>
        </w:rPr>
      </w:pPr>
    </w:p>
    <w:p>
      <w:pPr>
        <w:ind w:left="40" w:right="199" w:firstLine="315"/>
        <w:spacing w:after="0" w:line="281" w:lineRule="auto"/>
        <w:rPr>
          <w:sz w:val="20"/>
          <w:szCs w:val="20"/>
          <w:color w:val="auto"/>
        </w:rPr>
      </w:pPr>
      <w:r>
        <w:rPr>
          <w:rFonts w:ascii="Arial" w:cs="Arial" w:eastAsia="Arial" w:hAnsi="Arial"/>
          <w:sz w:val="16"/>
          <w:szCs w:val="16"/>
          <w:color w:val="auto"/>
        </w:rPr>
        <w:t>The American Cancer Society estimates that in 2023, approximately 64,050 cases of pancreatic cancer will be diagnosed in the U.S. We are supporting a Phase 2 Investigator Sponsored Trial (“IST”) sponsored by Georgetown Lombardi Comprehensive Cancer Center designed to evaluate the use of BXCL701 along with pembrolizumab to treat pancreatic cancer. Few therapeutic options are available for patients with this indication,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intends to assess the safety of BXCL701 when administered in combination with</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pembrolizumab, as well as estimate the 18-week progression-free survival rate. This trial has begun and remains ongoing.</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Relapsed or Refractory AML</w:t>
      </w:r>
    </w:p>
    <w:p>
      <w:pPr>
        <w:spacing w:after="0" w:line="180" w:lineRule="exact"/>
        <w:rPr>
          <w:sz w:val="20"/>
          <w:szCs w:val="20"/>
          <w:color w:val="auto"/>
        </w:rPr>
      </w:pPr>
    </w:p>
    <w:p>
      <w:pPr>
        <w:ind w:left="40" w:right="159" w:firstLine="315"/>
        <w:spacing w:after="0" w:line="299" w:lineRule="auto"/>
        <w:rPr>
          <w:sz w:val="20"/>
          <w:szCs w:val="20"/>
          <w:color w:val="auto"/>
        </w:rPr>
      </w:pPr>
      <w:r>
        <w:rPr>
          <w:rFonts w:ascii="Arial" w:cs="Arial" w:eastAsia="Arial" w:hAnsi="Arial"/>
          <w:sz w:val="15"/>
          <w:szCs w:val="15"/>
          <w:color w:val="auto"/>
        </w:rPr>
        <w:t>The American Cancer Society estimates that, in 2023, approximately 20,380 new cases of AML will be diagnosed in the U.S. We are supporting a Phase 1b IST sponsored by Dana-Farber Cancer Institute, designed to evaluate the use of BXCL701, along with the current standard of care to treat relapsed or refractory AML. We believe that pyroptosis triggered by BXCL701, may provide potent single agent cytotoxicity directed toward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that we believe can be exploited for therapeutic benefit. Based on these preclinical observations, Dana-Farber has initiated a Phase 1b trial to determine the maximum tolerated dose or the RP2D, and to assess the safety of BXCL701 as a single agent. This trial began in the first quarter of 2023 and is ongoing. Subject to successful completion of this trial, we anticipate that Dana-Farber will conduct additional studies to determine BXCL701's objective response rate in AML in combination with the standard of care.</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Potential Anti-Cancer Programs</w:t>
      </w:r>
    </w:p>
    <w:p>
      <w:pPr>
        <w:spacing w:after="0" w:line="193"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who were either refractory to CPI therapy or had relapsed while on CPI therapy, meaning that no further response to CPI treatment was anticipated among patients in the second cohort. Trial participants received 200 mg of pembrolizumab on day one of a 21-day cycle, with 0.2 mg BXCL701 administered twice-daily (“BID”), on days one through seven, the dose increasing to 0.3 mg BID on days eight through 14. Evaluable trial participants were required to receive a minimum of two treatment cycles. A preliminary assessment conducted after completion of the first stage of the study of BXCL701 dosed in combination with a CPI, noted responses in two patients, one in each of the CPI naïve and the CPI refractory/relapsed cohorts. Responses included a partial response in a patient with endometrial carcinoma who was CPI-naïve, microsatellite stable, and PD-L1 negative (CPS &lt;1), and a partial response in a CPI-refractory patient with uveal melanoma. These preliminary results were presented at the 2021 American Society of Clinical Oncology annual meeting. Patient enrollment in this trial was completed in the third quarter of 2022.</w:t>
      </w:r>
    </w:p>
    <w:p>
      <w:pPr>
        <w:spacing w:after="0" w:line="140" w:lineRule="exact"/>
        <w:rPr>
          <w:sz w:val="20"/>
          <w:szCs w:val="20"/>
          <w:color w:val="auto"/>
        </w:rPr>
      </w:pPr>
    </w:p>
    <w:p>
      <w:pPr>
        <w:ind w:left="40" w:right="559" w:firstLine="315"/>
        <w:spacing w:after="0" w:line="252" w:lineRule="auto"/>
        <w:rPr>
          <w:sz w:val="20"/>
          <w:szCs w:val="20"/>
          <w:color w:val="auto"/>
        </w:rPr>
      </w:pPr>
      <w:r>
        <w:rPr>
          <w:rFonts w:ascii="Arial" w:cs="Arial" w:eastAsia="Arial" w:hAnsi="Arial"/>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50" w:lineRule="exact"/>
        <w:rPr>
          <w:sz w:val="20"/>
          <w:szCs w:val="20"/>
          <w:color w:val="auto"/>
        </w:rPr>
      </w:pPr>
    </w:p>
    <w:p>
      <w:pPr>
        <w:ind w:left="40" w:right="399" w:firstLine="315"/>
        <w:spacing w:after="0" w:line="299" w:lineRule="auto"/>
        <w:rPr>
          <w:sz w:val="20"/>
          <w:szCs w:val="20"/>
          <w:color w:val="auto"/>
        </w:rPr>
      </w:pPr>
      <w:r>
        <w:rPr>
          <w:rFonts w:ascii="Arial" w:cs="Arial" w:eastAsia="Arial" w:hAnsi="Arial"/>
          <w:sz w:val="16"/>
          <w:szCs w:val="16"/>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Biomarker Development Initiatives Intended to Complement BXCL701 Administration</w:t>
      </w:r>
    </w:p>
    <w:p>
      <w:pPr>
        <w:spacing w:after="0" w:line="174" w:lineRule="exact"/>
        <w:rPr>
          <w:sz w:val="20"/>
          <w:szCs w:val="20"/>
          <w:color w:val="auto"/>
        </w:rPr>
      </w:pPr>
    </w:p>
    <w:p>
      <w:pPr>
        <w:ind w:left="40" w:right="199" w:firstLine="315"/>
        <w:spacing w:after="0" w:line="246" w:lineRule="auto"/>
        <w:rPr>
          <w:sz w:val="20"/>
          <w:szCs w:val="20"/>
          <w:color w:val="auto"/>
        </w:rPr>
      </w:pPr>
      <w:r>
        <w:rPr>
          <w:rFonts w:ascii="Arial" w:cs="Arial" w:eastAsia="Arial" w:hAnsi="Arial"/>
          <w:sz w:val="17"/>
          <w:szCs w:val="17"/>
          <w:color w:val="auto"/>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 At the Society for Immunotherapy of Cancer’s 38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Annual Meeting (SITC 2023), we presented data from the Phase 2a trial in SCNC patients, which indicated DPP9 overexpression is a potential response-predictive biomarker of BXCL701 and pembrolizumab combination treatment in mCRPC patients with SCNC phenotype.</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BXCL701 Lifecycle Management Considerations</w:t>
      </w:r>
    </w:p>
    <w:p>
      <w:pPr>
        <w:spacing w:after="0" w:line="187" w:lineRule="exact"/>
        <w:rPr>
          <w:sz w:val="20"/>
          <w:szCs w:val="20"/>
          <w:color w:val="auto"/>
        </w:rPr>
      </w:pPr>
    </w:p>
    <w:p>
      <w:pPr>
        <w:ind w:left="40" w:right="159" w:firstLine="315"/>
        <w:spacing w:after="0" w:line="246" w:lineRule="auto"/>
        <w:rPr>
          <w:sz w:val="20"/>
          <w:szCs w:val="20"/>
          <w:color w:val="auto"/>
        </w:rPr>
      </w:pPr>
      <w:r>
        <w:rPr>
          <w:rFonts w:ascii="Arial" w:cs="Arial" w:eastAsia="Arial" w:hAnsi="Arial"/>
          <w:sz w:val="18"/>
          <w:szCs w:val="18"/>
          <w:color w:val="auto"/>
        </w:rPr>
        <w:t>We envision employing computational and medicinal chemistry approaches to advance development of a next-generation BXCL701 molecule to introduce enhanced life cycle management capabilities. We anticipate that a next-generation molecule may embrace characteristics such as the inhibition of DPP8/9, while providing an improved orally bioavailable pharmacokinetic profile, including a linear pharmacokinetic, a half-life of between 12 and 48 hours, with multiple mechanisms of elimination that are clearly understood and are not burdened with potential drug-drug interaction liabilities. This next generation molecule would be intended to demonstrate anti-cancer activity as either a monotherapy or in combination with an approved CPI.</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Intellectual Property</w:t>
      </w:r>
    </w:p>
    <w:p>
      <w:pPr>
        <w:spacing w:after="0" w:line="180" w:lineRule="exact"/>
        <w:rPr>
          <w:sz w:val="20"/>
          <w:szCs w:val="20"/>
          <w:color w:val="auto"/>
        </w:rPr>
      </w:pPr>
    </w:p>
    <w:p>
      <w:pPr>
        <w:ind w:left="40" w:right="219" w:firstLine="315"/>
        <w:spacing w:after="0" w:line="282" w:lineRule="auto"/>
        <w:rPr>
          <w:sz w:val="20"/>
          <w:szCs w:val="20"/>
          <w:color w:val="auto"/>
        </w:rPr>
      </w:pPr>
      <w:r>
        <w:rPr>
          <w:rFonts w:ascii="Arial" w:cs="Arial" w:eastAsia="Arial" w:hAnsi="Arial"/>
          <w:sz w:val="16"/>
          <w:szCs w:val="16"/>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74" w:lineRule="exact"/>
        <w:rPr>
          <w:sz w:val="20"/>
          <w:szCs w:val="20"/>
          <w:color w:val="auto"/>
        </w:rPr>
      </w:pPr>
    </w:p>
    <w:p>
      <w:pPr>
        <w:ind w:left="40" w:right="159" w:firstLine="315"/>
        <w:spacing w:after="0" w:line="276" w:lineRule="auto"/>
        <w:rPr>
          <w:sz w:val="20"/>
          <w:szCs w:val="20"/>
          <w:color w:val="auto"/>
        </w:rPr>
      </w:pPr>
      <w:r>
        <w:rPr>
          <w:rFonts w:ascii="Arial" w:cs="Arial" w:eastAsia="Arial" w:hAnsi="Arial"/>
          <w:sz w:val="16"/>
          <w:szCs w:val="16"/>
          <w:color w:val="auto"/>
        </w:rPr>
        <w:t xml:space="preserve">We have multiple patent families filed to protect our Neuroscience program, including BXCL501. On October 4, 2023, the Company announced it had received </w:t>
      </w:r>
      <w:r>
        <w:rPr>
          <w:rFonts w:ascii="Arial" w:cs="Arial" w:eastAsia="Arial" w:hAnsi="Arial"/>
          <w:sz w:val="16"/>
          <w:szCs w:val="16"/>
          <w:b w:val="1"/>
          <w:bCs w:val="1"/>
          <w:color w:val="auto"/>
        </w:rPr>
        <w:t>t</w:t>
      </w:r>
      <w:r>
        <w:rPr>
          <w:rFonts w:ascii="Arial" w:cs="Arial" w:eastAsia="Arial" w:hAnsi="Arial"/>
          <w:sz w:val="16"/>
          <w:szCs w:val="16"/>
          <w:color w:val="auto"/>
        </w:rPr>
        <w:t>wo Notices of Allowance (“NOAs”) from the U.S. Patent and Trademark Office (“USPTO”) for patent applications related to the method of use of sublingual dexmedetomidine for the treatment of agitation associated with bipolar disorders and schizophrenia. US Patent No. 11,786,508 issued from one of those NOAs on October 17, 2023, and has been listed in the FDA’s Approved Drug Products with Therapeutic Equivalence Evaluations (commonly known as the “Orange Book”) for IGALMI™ with an expiration date of December 29, 2037. US Patent No. 11,806,334 issued on November 7, 2023, from another NOA and has been listed in the Orange Book with an expiration date of January 12, 2043. As of November 7, 2023, our neuroscience patent portfolio included four Patent Cooperation Treaty (“PCT”) applications, 18 U.S. utility applications, six U.S. provisional applications, one allowed US application, eight issued U.S. utility patents, 112 pending non-U.S. utility applications, 15 allowed or granted non-U.S. patents (including three in Japan), one pending U.S. design patent application, and 34 allowed or registered design patents (including two in Japan). Four U.S. utility patents, directed to our proprietary sublingual film formulation of Dex and set to expire no earlier than 2039, are now listed in the “Orange Book”. In the same family, we also have a granted patent in China, two granted patents in Eurasia, and pending applications in the U.S., China, and other major markets. We expect that patents issuing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issued from these applications, if any, will expire no earlier than 2035. We also have applications filed in 16 regions/countries, including the U.S., Europe, Japan, and China, directed to methods of treating agitation. We expect that patents issued from these applications, if any, will expire no earlier than 2042. We also have one PCT application directed to treating mania and another to treating depression. If patents issue from those cases, we expect them to expire no earlier than 2041 and 2042, respectively.</w:t>
      </w:r>
    </w:p>
    <w:p>
      <w:pPr>
        <w:spacing w:after="0" w:line="144" w:lineRule="exact"/>
        <w:rPr>
          <w:sz w:val="20"/>
          <w:szCs w:val="20"/>
          <w:color w:val="auto"/>
        </w:rPr>
      </w:pPr>
    </w:p>
    <w:p>
      <w:pPr>
        <w:ind w:left="40" w:right="199" w:firstLine="315"/>
        <w:spacing w:after="0" w:line="246" w:lineRule="auto"/>
        <w:rPr>
          <w:sz w:val="20"/>
          <w:szCs w:val="20"/>
          <w:color w:val="auto"/>
        </w:rPr>
      </w:pPr>
      <w:r>
        <w:rPr>
          <w:rFonts w:ascii="Arial" w:cs="Arial" w:eastAsia="Arial" w:hAnsi="Arial"/>
          <w:sz w:val="18"/>
          <w:szCs w:val="18"/>
          <w:color w:val="auto"/>
        </w:rPr>
        <w:t>We have multiple patent families filed to protect our immuno-oncology program, including our core patent family directed to methods of using BXCL701 with immune checkpoint inhibitors, which is granted in the U.S., Japan, Australia, Canada, Russia, China, South Africa, Mexico, New Zealand, and United Arab Emirates, and with at least one pending application in the U.S., China, Mexico, the Republic of Korea, New Zealand, Russia, Australia, Brazil, Hong Kong, and Europe. Patents issued from this family, if any, are expected to expire no earlier than 2036. We have one additional patent issued in the U.S. directed to a method of selecting patients based on a biomarker, with an expected expiration date no earlier than 2039.</w:t>
      </w:r>
    </w:p>
    <w:p>
      <w:pPr>
        <w:spacing w:after="0" w:line="171" w:lineRule="exact"/>
        <w:rPr>
          <w:sz w:val="20"/>
          <w:szCs w:val="20"/>
          <w:color w:val="auto"/>
        </w:rPr>
      </w:pPr>
    </w:p>
    <w:p>
      <w:pPr>
        <w:ind w:left="40" w:right="899" w:firstLine="315"/>
        <w:spacing w:after="0" w:line="324" w:lineRule="auto"/>
        <w:rPr>
          <w:sz w:val="20"/>
          <w:szCs w:val="20"/>
          <w:color w:val="auto"/>
        </w:rPr>
      </w:pPr>
      <w:r>
        <w:rPr>
          <w:rFonts w:ascii="Arial" w:cs="Arial" w:eastAsia="Arial" w:hAnsi="Arial"/>
          <w:sz w:val="16"/>
          <w:szCs w:val="16"/>
          <w:color w:val="auto"/>
        </w:rPr>
        <w:t>Additional applications are directed to administering BXCL701 in combinations with various other molecules, biomarkers, and dosing regimens. We also have four provisional applications directed to novel formulations of</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419"/>
        <w:spacing w:after="0" w:line="261" w:lineRule="auto"/>
        <w:rPr>
          <w:sz w:val="20"/>
          <w:szCs w:val="20"/>
          <w:color w:val="auto"/>
        </w:rPr>
      </w:pPr>
      <w:r>
        <w:rPr>
          <w:rFonts w:ascii="Arial" w:cs="Arial" w:eastAsia="Arial" w:hAnsi="Arial"/>
          <w:sz w:val="18"/>
          <w:szCs w:val="18"/>
          <w:color w:val="auto"/>
        </w:rPr>
        <w:t>BXCL701, various dosing regimens, methods of use, and combination therapies. We expect that patents issued from these applications, if any, will expire from 2039 to 2044.</w:t>
      </w:r>
    </w:p>
    <w:p>
      <w:pPr>
        <w:spacing w:after="0" w:line="154"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31"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The term of a patent can also be extended by Patent Term Adjustment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30" w:lineRule="exact"/>
        <w:rPr>
          <w:sz w:val="20"/>
          <w:szCs w:val="20"/>
          <w:color w:val="auto"/>
        </w:rPr>
      </w:pPr>
    </w:p>
    <w:p>
      <w:pPr>
        <w:ind w:left="40" w:right="159" w:firstLine="315"/>
        <w:spacing w:after="0" w:line="290" w:lineRule="auto"/>
        <w:rPr>
          <w:sz w:val="20"/>
          <w:szCs w:val="20"/>
          <w:color w:val="auto"/>
        </w:rPr>
      </w:pPr>
      <w:r>
        <w:rPr>
          <w:rFonts w:ascii="Arial" w:cs="Arial" w:eastAsia="Arial" w:hAnsi="Arial"/>
          <w:sz w:val="16"/>
          <w:szCs w:val="16"/>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AKA non-statutory obviousness-type double patenting rejection.</w:t>
      </w:r>
    </w:p>
    <w:p>
      <w:pPr>
        <w:spacing w:after="0" w:line="136" w:lineRule="exact"/>
        <w:rPr>
          <w:sz w:val="20"/>
          <w:szCs w:val="20"/>
          <w:color w:val="auto"/>
        </w:rPr>
      </w:pPr>
    </w:p>
    <w:p>
      <w:pPr>
        <w:ind w:left="40" w:right="159" w:firstLine="315"/>
        <w:spacing w:after="0" w:line="296" w:lineRule="auto"/>
        <w:rPr>
          <w:sz w:val="20"/>
          <w:szCs w:val="20"/>
          <w:color w:val="auto"/>
        </w:rPr>
      </w:pPr>
      <w:r>
        <w:rPr>
          <w:rFonts w:ascii="Arial" w:cs="Arial" w:eastAsia="Arial" w:hAnsi="Arial"/>
          <w:sz w:val="15"/>
          <w:szCs w:val="15"/>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5" w:name="page46"/>
    <w:bookmarkEnd w:id="4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439"/>
        <w:spacing w:after="0" w:line="324" w:lineRule="auto"/>
        <w:rPr>
          <w:sz w:val="20"/>
          <w:szCs w:val="20"/>
          <w:color w:val="auto"/>
        </w:rPr>
      </w:pPr>
      <w:r>
        <w:rPr>
          <w:rFonts w:ascii="Arial" w:cs="Arial" w:eastAsia="Arial" w:hAnsi="Arial"/>
          <w:sz w:val="16"/>
          <w:szCs w:val="16"/>
          <w:color w:val="auto"/>
        </w:rPr>
        <w:t>product candidate can be commercialized, any patent protection for such product may expire or remain in force for only a short period following commercialization, thereby reducing the commercial advantage the patent provides.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ind w:left="40" w:right="319" w:firstLine="315"/>
        <w:spacing w:after="0" w:line="261" w:lineRule="auto"/>
        <w:rPr>
          <w:sz w:val="20"/>
          <w:szCs w:val="20"/>
          <w:color w:val="auto"/>
        </w:rPr>
      </w:pPr>
      <w:r>
        <w:rPr>
          <w:rFonts w:ascii="Arial" w:cs="Arial" w:eastAsia="Arial" w:hAnsi="Arial"/>
          <w:sz w:val="18"/>
          <w:szCs w:val="18"/>
          <w:color w:val="auto"/>
        </w:rPr>
        <w:t>The Company’s condensed consolidated financial statements are prepared in accordance with U.S. Generally Accepted Accounting Principles.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78" w:lineRule="exact"/>
        <w:rPr>
          <w:sz w:val="20"/>
          <w:szCs w:val="20"/>
          <w:color w:val="auto"/>
        </w:rPr>
      </w:pPr>
    </w:p>
    <w:p>
      <w:pPr>
        <w:jc w:val="both"/>
        <w:ind w:left="40" w:right="519" w:firstLine="315"/>
        <w:spacing w:after="0" w:line="219" w:lineRule="auto"/>
        <w:rPr>
          <w:sz w:val="20"/>
          <w:szCs w:val="20"/>
          <w:color w:val="auto"/>
        </w:rPr>
      </w:pPr>
      <w:r>
        <w:rPr>
          <w:rFonts w:ascii="Arial" w:cs="Arial" w:eastAsia="Arial" w:hAnsi="Arial"/>
          <w:sz w:val="18"/>
          <w:szCs w:val="18"/>
          <w:color w:val="auto"/>
        </w:rPr>
        <w:t>Revenues relate to sales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Costs and Expenses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87" w:lineRule="exact"/>
        <w:rPr>
          <w:sz w:val="20"/>
          <w:szCs w:val="20"/>
          <w:color w:val="auto"/>
        </w:rPr>
      </w:pPr>
    </w:p>
    <w:p>
      <w:pPr>
        <w:ind w:left="40" w:right="179" w:firstLine="315"/>
        <w:spacing w:after="0" w:line="261" w:lineRule="auto"/>
        <w:rPr>
          <w:sz w:val="20"/>
          <w:szCs w:val="20"/>
          <w:color w:val="auto"/>
        </w:rPr>
      </w:pPr>
      <w:r>
        <w:rPr>
          <w:rFonts w:ascii="Arial" w:cs="Arial" w:eastAsia="Arial" w:hAnsi="Arial"/>
          <w:sz w:val="18"/>
          <w:szCs w:val="18"/>
          <w:color w:val="auto"/>
        </w:rPr>
        <w:t>Cost of goods sold primarily relate to the costs of producing, packaging, and delivering our product to customers, as well as costs related to excess or obsolete inventory.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4" w:lineRule="exact"/>
        <w:rPr>
          <w:sz w:val="20"/>
          <w:szCs w:val="20"/>
          <w:color w:val="auto"/>
        </w:rPr>
      </w:pPr>
    </w:p>
    <w:p>
      <w:pPr>
        <w:ind w:left="40" w:right="219" w:firstLine="315"/>
        <w:spacing w:after="0" w:line="280" w:lineRule="auto"/>
        <w:rPr>
          <w:sz w:val="20"/>
          <w:szCs w:val="20"/>
          <w:color w:val="auto"/>
        </w:rPr>
      </w:pPr>
      <w:r>
        <w:rPr>
          <w:rFonts w:ascii="Arial" w:cs="Arial" w:eastAsia="Arial" w:hAnsi="Arial"/>
          <w:sz w:val="16"/>
          <w:szCs w:val="16"/>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expense research and development costs as incurred.</w:t>
      </w:r>
    </w:p>
    <w:p>
      <w:pPr>
        <w:spacing w:after="0" w:line="174" w:lineRule="exact"/>
        <w:rPr>
          <w:sz w:val="20"/>
          <w:szCs w:val="20"/>
          <w:color w:val="auto"/>
        </w:rPr>
      </w:pPr>
    </w:p>
    <w:p>
      <w:pPr>
        <w:ind w:left="40" w:right="179" w:firstLine="315"/>
        <w:spacing w:after="0" w:line="261" w:lineRule="auto"/>
        <w:rPr>
          <w:sz w:val="20"/>
          <w:szCs w:val="20"/>
          <w:color w:val="auto"/>
        </w:rPr>
      </w:pPr>
      <w:r>
        <w:rPr>
          <w:rFonts w:ascii="Arial" w:cs="Arial" w:eastAsia="Arial" w:hAnsi="Arial"/>
          <w:sz w:val="18"/>
          <w:szCs w:val="18"/>
          <w:color w:val="auto"/>
        </w:rPr>
        <w:t>Our research and development costs by program for the three and nine months ended September 30, 2023 and 2022 were as follows: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5"/>
                <w:szCs w:val="15"/>
                <w:color w:val="auto"/>
              </w:rPr>
            </w:pPr>
          </w:p>
        </w:tc>
        <w:tc>
          <w:tcPr>
            <w:tcW w:w="178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9"/>
                <w:szCs w:val="19"/>
                <w:color w:val="auto"/>
              </w:rPr>
            </w:pPr>
          </w:p>
        </w:tc>
        <w:tc>
          <w:tcPr>
            <w:tcW w:w="17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7"/>
        </w:trPr>
        <w:tc>
          <w:tcPr>
            <w:tcW w:w="4660" w:type="dxa"/>
            <w:vAlign w:val="bottom"/>
            <w:vMerge w:val="restart"/>
          </w:tcPr>
          <w:p>
            <w:pPr>
              <w:spacing w:after="0"/>
              <w:rPr>
                <w:sz w:val="20"/>
                <w:szCs w:val="20"/>
                <w:color w:val="auto"/>
              </w:rPr>
            </w:pPr>
            <w:r>
              <w:rPr>
                <w:rFonts w:ascii="Arial" w:cs="Arial" w:eastAsia="Arial" w:hAnsi="Arial"/>
                <w:sz w:val="18"/>
                <w:szCs w:val="18"/>
                <w:color w:val="auto"/>
              </w:rPr>
              <w:t>Direct external costs</w:t>
            </w: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0" w:type="dxa"/>
            <w:vAlign w:val="bottom"/>
          </w:tcPr>
          <w:p>
            <w:pPr>
              <w:spacing w:after="0"/>
              <w:rPr>
                <w:sz w:val="1"/>
                <w:szCs w:val="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8"/>
                <w:szCs w:val="18"/>
                <w:color w:val="auto"/>
              </w:rPr>
              <w:t>BXCL701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Arial" w:cs="Arial" w:eastAsia="Arial" w:hAnsi="Arial"/>
                <w:sz w:val="18"/>
                <w:szCs w:val="18"/>
                <w:color w:val="auto"/>
              </w:rPr>
              <w:t>Total direct external costs</w:t>
            </w: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12,597</w:t>
            </w:r>
          </w:p>
        </w:tc>
        <w:tc>
          <w:tcPr>
            <w:tcW w:w="18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15,747</w:t>
            </w:r>
          </w:p>
        </w:tc>
        <w:tc>
          <w:tcPr>
            <w:tcW w:w="1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51,118</w:t>
            </w:r>
          </w:p>
        </w:tc>
        <w:tc>
          <w:tcPr>
            <w:tcW w:w="18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39,241</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Internal personnel costs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3" w:lineRule="exact"/>
              <w:rPr>
                <w:sz w:val="20"/>
                <w:szCs w:val="20"/>
                <w:color w:val="auto"/>
              </w:rPr>
            </w:pPr>
            <w:r>
              <w:rPr>
                <w:rFonts w:ascii="Arial" w:cs="Arial" w:eastAsia="Arial" w:hAnsi="Arial"/>
                <w:sz w:val="18"/>
                <w:szCs w:val="18"/>
                <w:color w:val="auto"/>
              </w:rPr>
              <w:t>Sub-total direct costs</w:t>
            </w: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18,776</w:t>
            </w:r>
          </w:p>
        </w:tc>
        <w:tc>
          <w:tcPr>
            <w:tcW w:w="18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21,368</w:t>
            </w:r>
          </w:p>
        </w:tc>
        <w:tc>
          <w:tcPr>
            <w:tcW w:w="180" w:type="dxa"/>
            <w:vAlign w:val="bottom"/>
          </w:tcPr>
          <w:p>
            <w:pPr>
              <w:spacing w:after="0"/>
              <w:rPr>
                <w:sz w:val="17"/>
                <w:szCs w:val="17"/>
                <w:color w:val="auto"/>
              </w:rPr>
            </w:pP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71,341</w:t>
            </w:r>
          </w:p>
        </w:tc>
        <w:tc>
          <w:tcPr>
            <w:tcW w:w="18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56,273</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Indirect costs and overhead</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3" w:lineRule="exact"/>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19,619</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22,062</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74,392</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58,780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46" w:name="page47"/>
    <w:bookmarkEnd w:id="4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7" w:lineRule="exact"/>
        <w:rPr>
          <w:sz w:val="20"/>
          <w:szCs w:val="20"/>
          <w:color w:val="auto"/>
        </w:rPr>
      </w:pPr>
    </w:p>
    <w:p>
      <w:pPr>
        <w:ind w:left="40" w:right="179" w:firstLine="315"/>
        <w:spacing w:after="0" w:line="286" w:lineRule="auto"/>
        <w:rPr>
          <w:sz w:val="20"/>
          <w:szCs w:val="20"/>
          <w:color w:val="auto"/>
        </w:rPr>
      </w:pPr>
      <w:r>
        <w:rPr>
          <w:rFonts w:ascii="Arial" w:cs="Arial" w:eastAsia="Arial" w:hAnsi="Arial"/>
          <w:sz w:val="16"/>
          <w:szCs w:val="16"/>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professional fees for audit and tax services and insurance charges. We may also incur costs to comply with corporate governance, internal controls, investor relations and disclosures and similar requirements applicable to public companies.</w:t>
      </w:r>
    </w:p>
    <w:p>
      <w:pPr>
        <w:spacing w:after="0" w:line="126" w:lineRule="exact"/>
        <w:rPr>
          <w:sz w:val="20"/>
          <w:szCs w:val="20"/>
          <w:color w:val="auto"/>
        </w:rPr>
      </w:pPr>
    </w:p>
    <w:p>
      <w:pPr>
        <w:jc w:val="both"/>
        <w:ind w:left="40" w:right="179" w:firstLine="315"/>
        <w:spacing w:after="0" w:line="216" w:lineRule="auto"/>
        <w:rPr>
          <w:sz w:val="20"/>
          <w:szCs w:val="20"/>
          <w:color w:val="auto"/>
        </w:rPr>
      </w:pPr>
      <w:r>
        <w:rPr>
          <w:rFonts w:ascii="Arial" w:cs="Arial" w:eastAsia="Arial" w:hAnsi="Arial"/>
          <w:sz w:val="18"/>
          <w:szCs w:val="18"/>
          <w:color w:val="auto"/>
        </w:rPr>
        <w:t>With the announcement of our strategic realignment, we expect that our selling, general and administrative expenses will decline due to the restructured commercialization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reduced labor costs. However, we may also experience increased fees for outside consultants, attorneys, and accountants.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87" w:lineRule="exact"/>
        <w:rPr>
          <w:sz w:val="20"/>
          <w:szCs w:val="20"/>
          <w:color w:val="auto"/>
        </w:rPr>
      </w:pPr>
    </w:p>
    <w:p>
      <w:pPr>
        <w:ind w:left="40" w:right="339" w:firstLine="315"/>
        <w:spacing w:after="0" w:line="284" w:lineRule="auto"/>
        <w:rPr>
          <w:sz w:val="20"/>
          <w:szCs w:val="20"/>
          <w:color w:val="auto"/>
        </w:rPr>
      </w:pPr>
      <w:r>
        <w:rPr>
          <w:rFonts w:ascii="Arial" w:cs="Arial" w:eastAsia="Arial" w:hAnsi="Arial"/>
          <w:sz w:val="16"/>
          <w:szCs w:val="16"/>
          <w:color w:val="auto"/>
        </w:rPr>
        <w:t>On August 8, 2023, our Board of Directors approved the Reprioritization. The Company took actions to reduce certain operational and workforce expenses that were no longer deemed core to ongoing operations in order to extend its cash runway and drive innovation and growth in high potential clinical development and value creating opportunities. These actions included a shift in commercial strategy for IGALMI™ in the institutional setting, a reduction of in-hospital commercialization expenses, a suspension of programs no longer determined to be core to ongoing operations, and a prioritization of at-home and care facilities treatment setting opportunities for BXCL501.</w:t>
      </w:r>
    </w:p>
    <w:p>
      <w:pPr>
        <w:spacing w:after="0" w:line="126" w:lineRule="exact"/>
        <w:rPr>
          <w:sz w:val="20"/>
          <w:szCs w:val="20"/>
          <w:color w:val="auto"/>
        </w:rPr>
      </w:pPr>
    </w:p>
    <w:p>
      <w:pPr>
        <w:ind w:left="40" w:right="139" w:firstLine="315"/>
        <w:spacing w:after="0" w:line="248" w:lineRule="auto"/>
        <w:rPr>
          <w:sz w:val="20"/>
          <w:szCs w:val="20"/>
          <w:color w:val="auto"/>
        </w:rPr>
      </w:pPr>
      <w:r>
        <w:rPr>
          <w:rFonts w:ascii="Arial" w:cs="Arial" w:eastAsia="Arial" w:hAnsi="Arial"/>
          <w:sz w:val="18"/>
          <w:szCs w:val="18"/>
          <w:color w:val="auto"/>
        </w:rPr>
        <w:t>As part of this strategy, the Company’s Board of Directors approved a reduction of approximately 60% of the Company’s current workforce. The Company notified impacted employees on August 14, 2023. Annual operating expenses are expected to be reduced by approximately $80,000, and the Reprioritization initiatives are expected to extend the Company’s cash runway into mid-2024. The Company is also in active negotiations with its strategic lenders to amend its existing financing agreements in order to extend its cash runway.</w:t>
      </w:r>
    </w:p>
    <w:p>
      <w:pPr>
        <w:spacing w:after="0" w:line="153" w:lineRule="exact"/>
        <w:rPr>
          <w:sz w:val="20"/>
          <w:szCs w:val="20"/>
          <w:color w:val="auto"/>
        </w:rPr>
      </w:pPr>
    </w:p>
    <w:p>
      <w:pPr>
        <w:ind w:left="40" w:right="179" w:firstLine="315"/>
        <w:spacing w:after="0" w:line="281" w:lineRule="auto"/>
        <w:rPr>
          <w:sz w:val="20"/>
          <w:szCs w:val="20"/>
          <w:color w:val="auto"/>
        </w:rPr>
      </w:pPr>
      <w:r>
        <w:rPr>
          <w:rFonts w:ascii="Arial" w:cs="Arial" w:eastAsia="Arial" w:hAnsi="Arial"/>
          <w:sz w:val="16"/>
          <w:szCs w:val="16"/>
          <w:color w:val="auto"/>
        </w:rPr>
        <w:t>As a result of the Reprioritization, the Company recorded restructuring costs of $4,163 in the three and nine month periods ended September 30, 2023. These costs consisted of severance and benefit payments of $4,063 and contract termination costs of $100, all of which are expected to be paid in cash. The Company paid $149 of severance and benefit costs and $100 of contract termination costs during the three and nine month periods ended September 30, 2023. The remaining costs are expected to be paid primarily during the fourth quarter of 2023. The estimated costs that the Company expects to incur and the expected timing to complete the Reprioritization are subject to a number of assumptions, and actual results may differ. The Company may also incur other cash or non-cash charges not currently contemplated due to events that may occur as a result of, or in association with, the Reprioritization.</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74" w:lineRule="exact"/>
        <w:rPr>
          <w:sz w:val="20"/>
          <w:szCs w:val="20"/>
          <w:color w:val="auto"/>
        </w:rPr>
      </w:pPr>
    </w:p>
    <w:p>
      <w:pPr>
        <w:ind w:left="40" w:right="179" w:firstLine="315"/>
        <w:spacing w:after="0" w:line="290" w:lineRule="auto"/>
        <w:rPr>
          <w:sz w:val="20"/>
          <w:szCs w:val="20"/>
          <w:color w:val="auto"/>
        </w:rPr>
      </w:pPr>
      <w:r>
        <w:rPr>
          <w:rFonts w:ascii="Arial" w:cs="Arial" w:eastAsia="Arial" w:hAnsi="Arial"/>
          <w:sz w:val="16"/>
          <w:szCs w:val="16"/>
          <w:color w:val="auto"/>
        </w:rPr>
        <w:t>Other expense (income) primarily consists of interest costs associated with the financing agreements the Company put in place in April 2022, changes in fair value of derivative financial instruments, and interest income earned on cash and cash equivalents that were comprised primarily of money market funds. Interest expense may increase in the future if we meet additional milestones and draw down additional funds under the financing agreements.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ind w:left="40" w:right="779" w:firstLine="315"/>
        <w:spacing w:after="0" w:line="261" w:lineRule="auto"/>
        <w:rPr>
          <w:sz w:val="20"/>
          <w:szCs w:val="20"/>
          <w:color w:val="auto"/>
        </w:rPr>
      </w:pPr>
      <w:r>
        <w:rPr>
          <w:rFonts w:ascii="Arial" w:cs="Arial" w:eastAsia="Arial" w:hAnsi="Arial"/>
          <w:sz w:val="18"/>
          <w:szCs w:val="18"/>
          <w:color w:val="auto"/>
        </w:rPr>
        <w:t>A description of recently issued accounting pronouncements is set forth in Note 3 to the condensed consolidated financial statements included elsewhere in this Quarterly Report on Form 10-Q.</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ind w:left="360" w:right="3399"/>
        <w:spacing w:after="0" w:line="445" w:lineRule="auto"/>
        <w:rPr>
          <w:sz w:val="20"/>
          <w:szCs w:val="20"/>
          <w:color w:val="auto"/>
        </w:rPr>
      </w:pPr>
      <w:r>
        <w:rPr>
          <w:rFonts w:ascii="Arial" w:cs="Arial" w:eastAsia="Arial" w:hAnsi="Arial"/>
          <w:sz w:val="18"/>
          <w:szCs w:val="18"/>
          <w:b w:val="1"/>
          <w:bCs w:val="1"/>
          <w:color w:val="auto"/>
        </w:rPr>
        <w:t xml:space="preserve">Comparison of the Three Months Ended September 30, 2023 and 2022 </w:t>
      </w:r>
      <w:r>
        <w:rPr>
          <w:rFonts w:ascii="Arial" w:cs="Arial" w:eastAsia="Arial" w:hAnsi="Arial"/>
          <w:sz w:val="18"/>
          <w:szCs w:val="18"/>
          <w:b w:val="1"/>
          <w:bCs w:val="1"/>
          <w:i w:val="1"/>
          <w:iCs w:val="1"/>
          <w:color w:val="auto"/>
        </w:rPr>
        <w:t>Product Revenue, Net</w:t>
      </w:r>
    </w:p>
    <w:p>
      <w:pPr>
        <w:spacing w:after="0" w:line="1" w:lineRule="exact"/>
        <w:rPr>
          <w:sz w:val="20"/>
          <w:szCs w:val="20"/>
          <w:color w:val="auto"/>
        </w:rPr>
      </w:pPr>
    </w:p>
    <w:p>
      <w:pPr>
        <w:ind w:left="40" w:right="199" w:firstLine="315"/>
        <w:spacing w:after="0" w:line="216" w:lineRule="auto"/>
        <w:rPr>
          <w:sz w:val="20"/>
          <w:szCs w:val="20"/>
          <w:color w:val="auto"/>
        </w:rPr>
      </w:pPr>
      <w:r>
        <w:rPr>
          <w:rFonts w:ascii="Arial" w:cs="Arial" w:eastAsia="Arial" w:hAnsi="Arial"/>
          <w:sz w:val="18"/>
          <w:szCs w:val="18"/>
          <w:color w:val="auto"/>
        </w:rPr>
        <w:t>Product revenue, net in the three months ended September 30, 2023 and 2022 were $341 and $137, respectively. Product revenue is comprised of sales of IGALMI</w:t>
      </w:r>
      <w:r>
        <w:rPr>
          <w:rFonts w:ascii="Arial" w:cs="Arial" w:eastAsia="Arial" w:hAnsi="Arial"/>
          <w:sz w:val="26"/>
          <w:szCs w:val="26"/>
          <w:color w:val="auto"/>
          <w:vertAlign w:val="superscript"/>
        </w:rPr>
        <w:t>TM</w:t>
      </w:r>
      <w:r>
        <w:rPr>
          <w:rFonts w:ascii="Arial" w:cs="Arial" w:eastAsia="Arial" w:hAnsi="Arial"/>
          <w:sz w:val="18"/>
          <w:szCs w:val="18"/>
          <w:color w:val="auto"/>
        </w:rPr>
        <w:t>, subsequent to commercial launch in July 2022. Sales to date reflect limited market access.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74" w:lineRule="exact"/>
        <w:rPr>
          <w:sz w:val="20"/>
          <w:szCs w:val="20"/>
          <w:color w:val="auto"/>
        </w:rPr>
      </w:pPr>
    </w:p>
    <w:p>
      <w:pPr>
        <w:ind w:left="40" w:right="239" w:firstLine="315"/>
        <w:spacing w:after="0" w:line="249" w:lineRule="auto"/>
        <w:rPr>
          <w:sz w:val="20"/>
          <w:szCs w:val="20"/>
          <w:color w:val="auto"/>
        </w:rPr>
      </w:pPr>
      <w:r>
        <w:rPr>
          <w:rFonts w:ascii="Arial" w:cs="Arial" w:eastAsia="Arial" w:hAnsi="Arial"/>
          <w:sz w:val="16"/>
          <w:szCs w:val="16"/>
          <w:color w:val="auto"/>
        </w:rPr>
        <w:t>Cost of goods sold for the three months ended September 30, 2023 and 2022, were $512 and $11, respectively. Cost of goods sold is primarily related to the costs to produce, package and deliver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to customers, as well as costs related to excess or obsolete inventory. The increase in Cost of goods sold for the three months ended September 30, 2023 is primarily the result of the increase in the reserve for excess and obsolete inventory.</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expenses for the three months ended September 30, 2023 and 2022 were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8"/>
        </w:trPr>
        <w:tc>
          <w:tcPr>
            <w:tcW w:w="5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58"/>
              <w:spacing w:after="0" w:line="138"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5"/>
              <w:spacing w:after="0" w:line="138"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Clinical trials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10,731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(2,873)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Chemical, manufacturing and controls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Travel and other costs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19,619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22,062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(2,443)</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19" w:firstLine="315"/>
        <w:spacing w:after="0" w:line="261" w:lineRule="auto"/>
        <w:rPr>
          <w:sz w:val="20"/>
          <w:szCs w:val="20"/>
          <w:color w:val="auto"/>
        </w:rPr>
      </w:pPr>
      <w:r>
        <w:rPr>
          <w:rFonts w:ascii="Arial" w:cs="Arial" w:eastAsia="Arial" w:hAnsi="Arial"/>
          <w:sz w:val="18"/>
          <w:szCs w:val="18"/>
          <w:color w:val="auto"/>
        </w:rPr>
        <w:t>The overall decrease of $2,443 for the three months ended September 30, 2023 relative to the same period in 2022 was primarily attributable to:</w:t>
      </w:r>
    </w:p>
    <w:p>
      <w:pPr>
        <w:spacing w:after="0" w:line="141" w:lineRule="exact"/>
        <w:rPr>
          <w:sz w:val="20"/>
          <w:szCs w:val="20"/>
          <w:color w:val="auto"/>
        </w:rPr>
      </w:pPr>
    </w:p>
    <w:p>
      <w:pPr>
        <w:ind w:left="700" w:right="159" w:hanging="310"/>
        <w:spacing w:after="0" w:line="299"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decrease in clinical trials expense associated with the SERENITY III study to evaluate BXCL501 for at-home use for the acute treatment of agitation related to schizophrenia and bipolar disorders, as well as the TRANQUILITY II study of BXCL501 for the potential treatment of agitation in patients with Alzheimer’s disease.</w:t>
      </w:r>
    </w:p>
    <w:p>
      <w:pPr>
        <w:spacing w:after="0" w:line="127" w:lineRule="exact"/>
        <w:rPr>
          <w:rFonts w:ascii="Arial" w:cs="Arial" w:eastAsia="Arial" w:hAnsi="Arial"/>
          <w:sz w:val="16"/>
          <w:szCs w:val="16"/>
          <w:color w:val="auto"/>
        </w:rPr>
      </w:pPr>
    </w:p>
    <w:p>
      <w:pPr>
        <w:ind w:left="700" w:right="499" w:hanging="310"/>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chemical, manufacturing and controls (“CMC”) costs as a result of reduction in start-up costs for the production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July 2022.</w:t>
      </w:r>
    </w:p>
    <w:p>
      <w:pPr>
        <w:spacing w:after="0" w:line="26" w:lineRule="exact"/>
        <w:rPr>
          <w:rFonts w:ascii="Arial" w:cs="Arial" w:eastAsia="Arial" w:hAnsi="Arial"/>
          <w:sz w:val="18"/>
          <w:szCs w:val="18"/>
          <w:color w:val="auto"/>
        </w:rPr>
      </w:pPr>
    </w:p>
    <w:p>
      <w:pPr>
        <w:ind w:left="700" w:right="279" w:hanging="310"/>
        <w:spacing w:after="0" w:line="261"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professional fees due to increased research and discovery costs, pharmacology costs, and medical affairs costs.</w:t>
      </w:r>
    </w:p>
    <w:p>
      <w:pPr>
        <w:spacing w:after="0" w:line="141" w:lineRule="exact"/>
        <w:rPr>
          <w:rFonts w:ascii="Arial" w:cs="Arial" w:eastAsia="Arial" w:hAnsi="Arial"/>
          <w:sz w:val="18"/>
          <w:szCs w:val="18"/>
          <w:color w:val="auto"/>
        </w:rPr>
      </w:pPr>
    </w:p>
    <w:p>
      <w:pPr>
        <w:ind w:left="700" w:right="239" w:hanging="310"/>
        <w:spacing w:after="0" w:line="299"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stock-based compensation costs due to award forfeitures in the prior year that did not recur in the current year period and increased equity awards outstanding in the current year period, partially offset by lower grant date fair values resulting from changes in the price for the Company’s common stock.</w:t>
      </w:r>
    </w:p>
    <w:p>
      <w:pPr>
        <w:spacing w:after="0" w:line="118" w:lineRule="exact"/>
        <w:rPr>
          <w:sz w:val="20"/>
          <w:szCs w:val="20"/>
          <w:color w:val="auto"/>
        </w:rPr>
      </w:pPr>
    </w:p>
    <w:p>
      <w:pPr>
        <w:ind w:left="360" w:right="259" w:firstLine="315"/>
        <w:spacing w:after="0" w:line="184" w:lineRule="auto"/>
        <w:rPr>
          <w:sz w:val="20"/>
          <w:szCs w:val="20"/>
          <w:color w:val="auto"/>
        </w:rPr>
      </w:pPr>
      <w:r>
        <w:rPr>
          <w:rFonts w:ascii="Arial" w:cs="Arial" w:eastAsia="Arial" w:hAnsi="Arial"/>
          <w:sz w:val="17"/>
          <w:szCs w:val="17"/>
          <w:color w:val="auto"/>
        </w:rPr>
        <w:t>Following IGALMI</w:t>
      </w:r>
      <w:r>
        <w:rPr>
          <w:rFonts w:ascii="Arial" w:cs="Arial" w:eastAsia="Arial" w:hAnsi="Arial"/>
          <w:sz w:val="25"/>
          <w:szCs w:val="25"/>
          <w:color w:val="auto"/>
          <w:vertAlign w:val="superscript"/>
        </w:rPr>
        <w:t>TM</w:t>
      </w:r>
      <w:r>
        <w:rPr>
          <w:rFonts w:ascii="Arial" w:cs="Arial" w:eastAsia="Arial" w:hAnsi="Arial"/>
          <w:sz w:val="17"/>
          <w:szCs w:val="17"/>
          <w:color w:val="auto"/>
        </w:rPr>
        <w:t>’s approval by the FDA, we capitalize costs related to commercial production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as inventory and expense those CMC costs related to clinical trials.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8" w:name="page49"/>
    <w:bookmarkEnd w:id="4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Selling, general and administrative expenses for the three months ended September 30, 2023 and 2022 were as follows: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58"/>
              <w:spacing w:after="0" w:line="138"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55"/>
              <w:spacing w:after="0" w:line="138"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4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Commercial and marketing</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Travel and other costs</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8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CCEEFF"/>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Total selling, general and administrative expenses</w:t>
            </w: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24,344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17,054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7,290</w:t>
            </w:r>
          </w:p>
        </w:tc>
        <w:tc>
          <w:tcPr>
            <w:tcW w:w="1080" w:type="dxa"/>
            <w:vAlign w:val="bottom"/>
            <w:tcBorders>
              <w:bottom w:val="single" w:sz="8" w:color="CCEEFF"/>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19" w:firstLine="315"/>
        <w:spacing w:after="0" w:line="261" w:lineRule="auto"/>
        <w:rPr>
          <w:sz w:val="20"/>
          <w:szCs w:val="20"/>
          <w:color w:val="auto"/>
        </w:rPr>
      </w:pPr>
      <w:r>
        <w:rPr>
          <w:rFonts w:ascii="Arial" w:cs="Arial" w:eastAsia="Arial" w:hAnsi="Arial"/>
          <w:sz w:val="18"/>
          <w:szCs w:val="18"/>
          <w:color w:val="auto"/>
        </w:rPr>
        <w:t>The overall increase of $7,290 for the three months ended September 30, 2023, relative to the same period in 2022 was primarily attributable to:</w:t>
      </w:r>
    </w:p>
    <w:p>
      <w:pPr>
        <w:spacing w:after="0" w:line="141" w:lineRule="exact"/>
        <w:rPr>
          <w:sz w:val="20"/>
          <w:szCs w:val="20"/>
          <w:color w:val="auto"/>
        </w:rPr>
      </w:pPr>
    </w:p>
    <w:p>
      <w:pPr>
        <w:ind w:left="700" w:right="219" w:hanging="310"/>
        <w:spacing w:after="0" w:line="288"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personnel and related costs due to our efforts to expand our functional teams, particularly in sales, to support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in the U.S., prior to the Reprioritization.</w:t>
      </w:r>
    </w:p>
    <w:p>
      <w:pPr>
        <w:spacing w:after="0" w:line="25" w:lineRule="exact"/>
        <w:rPr>
          <w:rFonts w:ascii="Arial" w:cs="Arial" w:eastAsia="Arial" w:hAnsi="Arial"/>
          <w:sz w:val="17"/>
          <w:szCs w:val="17"/>
          <w:color w:val="auto"/>
        </w:rPr>
      </w:pPr>
    </w:p>
    <w:p>
      <w:pPr>
        <w:ind w:left="700" w:right="399" w:hanging="310"/>
        <w:spacing w:after="0" w:line="299"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professional fees, primarily related to higher legal costs for the investigation of our TRANQUILITY II study, the write-off of previously deferred costs related to the initial public offering of OnkosXcel, and higher corporate operating support levels partially offset by reductions in consulting and recruiting fees.</w:t>
      </w:r>
    </w:p>
    <w:p>
      <w:pPr>
        <w:spacing w:after="0" w:line="114" w:lineRule="exact"/>
        <w:rPr>
          <w:rFonts w:ascii="Arial" w:cs="Arial" w:eastAsia="Arial" w:hAnsi="Arial"/>
          <w:sz w:val="16"/>
          <w:szCs w:val="16"/>
          <w:color w:val="auto"/>
        </w:rPr>
      </w:pPr>
    </w:p>
    <w:p>
      <w:pPr>
        <w:ind w:left="700" w:hanging="31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stock-based compensation costs due to increased award forfeitures in 2023.</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87" w:lineRule="exact"/>
        <w:rPr>
          <w:sz w:val="20"/>
          <w:szCs w:val="20"/>
          <w:color w:val="auto"/>
        </w:rPr>
      </w:pPr>
    </w:p>
    <w:p>
      <w:pPr>
        <w:jc w:val="both"/>
        <w:ind w:left="40" w:right="619" w:firstLine="315"/>
        <w:spacing w:after="0" w:line="252" w:lineRule="auto"/>
        <w:rPr>
          <w:sz w:val="20"/>
          <w:szCs w:val="20"/>
          <w:color w:val="auto"/>
        </w:rPr>
      </w:pPr>
      <w:r>
        <w:rPr>
          <w:rFonts w:ascii="Arial" w:cs="Arial" w:eastAsia="Arial" w:hAnsi="Arial"/>
          <w:sz w:val="18"/>
          <w:szCs w:val="18"/>
          <w:color w:val="auto"/>
        </w:rPr>
        <w:t>Restructuring costs were $4,163 for the three months ended September 30, 2023. See “ Restructuring Costs” for a discussion of the Company’s Reprioritization and restructuring activities. There were no restructuring costs in the three months ended September 30, 2022.</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74" w:lineRule="exact"/>
        <w:rPr>
          <w:sz w:val="20"/>
          <w:szCs w:val="20"/>
          <w:color w:val="auto"/>
        </w:rPr>
      </w:pPr>
    </w:p>
    <w:p>
      <w:pPr>
        <w:ind w:left="40" w:right="259" w:firstLine="315"/>
        <w:spacing w:after="0" w:line="247" w:lineRule="auto"/>
        <w:rPr>
          <w:sz w:val="20"/>
          <w:szCs w:val="20"/>
          <w:color w:val="auto"/>
        </w:rPr>
      </w:pPr>
      <w:r>
        <w:rPr>
          <w:rFonts w:ascii="Arial" w:cs="Arial" w:eastAsia="Arial" w:hAnsi="Arial"/>
          <w:sz w:val="18"/>
          <w:szCs w:val="18"/>
          <w:color w:val="auto"/>
        </w:rPr>
        <w:t>Interest expense decreased to $3,252 for the third quarter of 2023 from $3,700 in the same period in 2022 primarily due to lower interest expense for the Revenue Interest Financing Agreement that the Company put in place in April 2022, resulting from a lower effective interest rate. The expense was partially offset by increased interest income earned on cash and cash equivalents that were held primarily in short-term money market funds. Other income, net is primarily associated with changes in the fair value of derivative financial instruments for the period, which relate to instruments associated with the OFA Facilities.</w:t>
      </w:r>
    </w:p>
    <w:p>
      <w:pPr>
        <w:spacing w:after="0" w:line="162" w:lineRule="exact"/>
        <w:rPr>
          <w:sz w:val="20"/>
          <w:szCs w:val="20"/>
          <w:color w:val="auto"/>
        </w:rPr>
      </w:pPr>
    </w:p>
    <w:p>
      <w:pPr>
        <w:ind w:left="360" w:right="3499"/>
        <w:spacing w:after="0" w:line="445" w:lineRule="auto"/>
        <w:rPr>
          <w:sz w:val="20"/>
          <w:szCs w:val="20"/>
          <w:color w:val="auto"/>
        </w:rPr>
      </w:pPr>
      <w:r>
        <w:rPr>
          <w:rFonts w:ascii="Arial" w:cs="Arial" w:eastAsia="Arial" w:hAnsi="Arial"/>
          <w:sz w:val="18"/>
          <w:szCs w:val="18"/>
          <w:b w:val="1"/>
          <w:bCs w:val="1"/>
          <w:color w:val="auto"/>
        </w:rPr>
        <w:t xml:space="preserve">Comparison of the Nine Months Ended September 30, 2023 and 2022 </w:t>
      </w:r>
      <w:r>
        <w:rPr>
          <w:rFonts w:ascii="Arial" w:cs="Arial" w:eastAsia="Arial" w:hAnsi="Arial"/>
          <w:sz w:val="18"/>
          <w:szCs w:val="18"/>
          <w:b w:val="1"/>
          <w:bCs w:val="1"/>
          <w:i w:val="1"/>
          <w:iCs w:val="1"/>
          <w:color w:val="auto"/>
        </w:rPr>
        <w:t>Product Revenue, Net</w:t>
      </w:r>
    </w:p>
    <w:p>
      <w:pPr>
        <w:spacing w:after="0" w:line="1" w:lineRule="exact"/>
        <w:rPr>
          <w:sz w:val="20"/>
          <w:szCs w:val="20"/>
          <w:color w:val="auto"/>
        </w:rPr>
      </w:pPr>
    </w:p>
    <w:p>
      <w:pPr>
        <w:ind w:left="40" w:right="159" w:firstLine="315"/>
        <w:spacing w:after="0" w:line="268" w:lineRule="auto"/>
        <w:rPr>
          <w:sz w:val="20"/>
          <w:szCs w:val="20"/>
          <w:color w:val="auto"/>
        </w:rPr>
      </w:pPr>
      <w:r>
        <w:rPr>
          <w:rFonts w:ascii="Arial" w:cs="Arial" w:eastAsia="Arial" w:hAnsi="Arial"/>
          <w:sz w:val="18"/>
          <w:szCs w:val="18"/>
          <w:color w:val="auto"/>
        </w:rPr>
        <w:t>Product revenue, net in the nine months ended September 30, 2023 and 2022 were $1,004 and $137 respectively. Product revenue is comprised of sales of IGALMI</w:t>
      </w:r>
      <w:r>
        <w:rPr>
          <w:rFonts w:ascii="Arial" w:cs="Arial" w:eastAsia="Arial" w:hAnsi="Arial"/>
          <w:sz w:val="26"/>
          <w:szCs w:val="26"/>
          <w:color w:val="auto"/>
          <w:vertAlign w:val="superscript"/>
        </w:rPr>
        <w:t>TM</w:t>
      </w:r>
      <w:r>
        <w:rPr>
          <w:rFonts w:ascii="Arial" w:cs="Arial" w:eastAsia="Arial" w:hAnsi="Arial"/>
          <w:sz w:val="18"/>
          <w:szCs w:val="18"/>
          <w:color w:val="auto"/>
        </w:rPr>
        <w:t>. Sales to date reflect limited market access.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74" w:lineRule="exact"/>
        <w:rPr>
          <w:sz w:val="20"/>
          <w:szCs w:val="20"/>
          <w:color w:val="auto"/>
        </w:rPr>
      </w:pPr>
    </w:p>
    <w:p>
      <w:pPr>
        <w:ind w:left="40" w:right="399" w:firstLine="315"/>
        <w:spacing w:after="0" w:line="310" w:lineRule="auto"/>
        <w:rPr>
          <w:sz w:val="20"/>
          <w:szCs w:val="20"/>
          <w:color w:val="auto"/>
        </w:rPr>
      </w:pPr>
      <w:r>
        <w:rPr>
          <w:rFonts w:ascii="Arial" w:cs="Arial" w:eastAsia="Arial" w:hAnsi="Arial"/>
          <w:sz w:val="16"/>
          <w:szCs w:val="16"/>
          <w:color w:val="auto"/>
        </w:rPr>
        <w:t>Cost of goods sold for the nine months ended September 30, 2023 and 2022, were $546 and $11, respectively. Cost of goods sold is primarily related to the costs to produce, package and deliver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to customers, as well as costs</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49" w:name="page50"/>
    <w:bookmarkEnd w:id="4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color w:val="auto"/>
        </w:rPr>
        <w:t>related to excess or obsolete inventory. The increase in Cost of goods sold for the nine months ended September 30, 2023 is primarily the result of the increase in the reserve for excess and obsolete inventory.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Research and development expenses for the nine months ended September 30, 2023 and 2022 were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Nine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6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Clinical trials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31,578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22,973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Chemical, manufacturing and controls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Travel and other costs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74,392</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58,780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15,612</w:t>
            </w:r>
          </w:p>
        </w:tc>
        <w:tc>
          <w:tcPr>
            <w:tcW w:w="88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19" w:firstLine="315"/>
        <w:spacing w:after="0" w:line="261" w:lineRule="auto"/>
        <w:rPr>
          <w:sz w:val="20"/>
          <w:szCs w:val="20"/>
          <w:color w:val="auto"/>
        </w:rPr>
      </w:pPr>
      <w:r>
        <w:rPr>
          <w:rFonts w:ascii="Arial" w:cs="Arial" w:eastAsia="Arial" w:hAnsi="Arial"/>
          <w:sz w:val="18"/>
          <w:szCs w:val="18"/>
          <w:color w:val="auto"/>
        </w:rPr>
        <w:t>The overall increase of $15,612 for the nine months ended September 30, 2023 relative to the same period in 2022 was primarily attributable to:</w:t>
      </w:r>
    </w:p>
    <w:p>
      <w:pPr>
        <w:spacing w:after="0" w:line="154" w:lineRule="exact"/>
        <w:rPr>
          <w:sz w:val="20"/>
          <w:szCs w:val="20"/>
          <w:color w:val="auto"/>
        </w:rPr>
      </w:pPr>
    </w:p>
    <w:p>
      <w:pPr>
        <w:jc w:val="both"/>
        <w:ind w:left="700" w:right="279" w:hanging="310"/>
        <w:spacing w:after="0" w:line="299"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clinical trials expense due to the SERENITY III study evaluating BXCL501 for at-home use for the acute treatment of agitation related to schizophrenia and bipolar disorders, as well as the TRANQUILITY II study of BXCL501 for the potential treatment of agitation in patients with Alzheimer’s disease.</w:t>
      </w:r>
    </w:p>
    <w:p>
      <w:pPr>
        <w:spacing w:after="0" w:line="114" w:lineRule="exact"/>
        <w:rPr>
          <w:rFonts w:ascii="Arial" w:cs="Arial" w:eastAsia="Arial" w:hAnsi="Arial"/>
          <w:sz w:val="16"/>
          <w:szCs w:val="16"/>
          <w:color w:val="auto"/>
        </w:rPr>
      </w:pPr>
    </w:p>
    <w:p>
      <w:pPr>
        <w:ind w:left="700" w:right="319" w:hanging="310"/>
        <w:spacing w:after="0" w:line="261"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professional fees due to increased pharmacology and research and discovery costs, which were partially offset by lower toxicology costs.</w:t>
      </w:r>
    </w:p>
    <w:p>
      <w:pPr>
        <w:spacing w:after="0" w:line="141" w:lineRule="exact"/>
        <w:rPr>
          <w:rFonts w:ascii="Arial" w:cs="Arial" w:eastAsia="Arial" w:hAnsi="Arial"/>
          <w:sz w:val="18"/>
          <w:szCs w:val="18"/>
          <w:color w:val="auto"/>
        </w:rPr>
      </w:pPr>
    </w:p>
    <w:p>
      <w:pPr>
        <w:ind w:left="700" w:right="279" w:hanging="310"/>
        <w:spacing w:after="0" w:line="299"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personnel and related costs related to our efforts to grow our clinical team as we expanded our clinical trials, particularly evaluating BXCL501 for treatment of agitation in patients with Alzheimer’s disease and at-home use for agitation associated with bipolar disorders and schizophrenia.</w:t>
      </w:r>
    </w:p>
    <w:p>
      <w:pPr>
        <w:spacing w:after="0" w:line="127" w:lineRule="exact"/>
        <w:rPr>
          <w:rFonts w:ascii="Arial" w:cs="Arial" w:eastAsia="Arial" w:hAnsi="Arial"/>
          <w:sz w:val="16"/>
          <w:szCs w:val="16"/>
          <w:color w:val="auto"/>
        </w:rPr>
      </w:pPr>
    </w:p>
    <w:p>
      <w:pPr>
        <w:ind w:left="700" w:right="159" w:hanging="310"/>
        <w:spacing w:after="0" w:line="299"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CMC costs associated with producing materials for our clinical trials of BXCL501 for at-home use for the acute treatment of agitation related to schizophrenia and bipolar disorders and for the treatment of agitation associated with Alzheimer’s disease, and BXCL701 for the treatment of prostate and lung cancers.</w:t>
      </w:r>
    </w:p>
    <w:p>
      <w:pPr>
        <w:spacing w:after="0" w:line="114" w:lineRule="exact"/>
        <w:rPr>
          <w:rFonts w:ascii="Arial" w:cs="Arial" w:eastAsia="Arial" w:hAnsi="Arial"/>
          <w:sz w:val="16"/>
          <w:szCs w:val="16"/>
          <w:color w:val="auto"/>
        </w:rPr>
      </w:pPr>
    </w:p>
    <w:p>
      <w:pPr>
        <w:ind w:left="700" w:hanging="310"/>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stock-based compensation costs due to increased equity award grants related to higher headcount.</w:t>
      </w:r>
    </w:p>
    <w:p>
      <w:pPr>
        <w:spacing w:after="0" w:line="188" w:lineRule="exact"/>
        <w:rPr>
          <w:sz w:val="20"/>
          <w:szCs w:val="20"/>
          <w:color w:val="auto"/>
        </w:rPr>
      </w:pPr>
    </w:p>
    <w:p>
      <w:pPr>
        <w:ind w:left="40" w:right="399" w:firstLine="315"/>
        <w:spacing w:after="0" w:line="184" w:lineRule="auto"/>
        <w:rPr>
          <w:sz w:val="20"/>
          <w:szCs w:val="20"/>
          <w:color w:val="auto"/>
        </w:rPr>
      </w:pPr>
      <w:r>
        <w:rPr>
          <w:rFonts w:ascii="Arial" w:cs="Arial" w:eastAsia="Arial" w:hAnsi="Arial"/>
          <w:sz w:val="17"/>
          <w:szCs w:val="17"/>
          <w:color w:val="auto"/>
        </w:rPr>
        <w:t>Following IGALMI</w:t>
      </w:r>
      <w:r>
        <w:rPr>
          <w:rFonts w:ascii="Arial" w:cs="Arial" w:eastAsia="Arial" w:hAnsi="Arial"/>
          <w:sz w:val="25"/>
          <w:szCs w:val="25"/>
          <w:color w:val="auto"/>
          <w:vertAlign w:val="superscript"/>
        </w:rPr>
        <w:t>TM</w:t>
      </w:r>
      <w:r>
        <w:rPr>
          <w:rFonts w:ascii="Arial" w:cs="Arial" w:eastAsia="Arial" w:hAnsi="Arial"/>
          <w:sz w:val="17"/>
          <w:szCs w:val="17"/>
          <w:color w:val="auto"/>
        </w:rPr>
        <w:t>’s approval by the FDA, we capitalize costs related to commercial production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as inventory and expense those CMC costs related to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0" w:name="page51"/>
    <w:bookmarkEnd w:id="5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Selling, general and administrative expenses for the nine months ended September 30, 2023 and 2022 were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Nine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58"/>
              <w:spacing w:after="0" w:line="138"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5"/>
              <w:spacing w:after="0" w:line="138"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10,175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Commercial and marketing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12,166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3,226</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Travel and other costs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selling, general and administrative expenses</w:t>
            </w: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73,810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48,097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25,713</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79" w:firstLine="315"/>
        <w:spacing w:after="0" w:line="261" w:lineRule="auto"/>
        <w:rPr>
          <w:sz w:val="20"/>
          <w:szCs w:val="20"/>
          <w:color w:val="auto"/>
        </w:rPr>
      </w:pPr>
      <w:r>
        <w:rPr>
          <w:rFonts w:ascii="Arial" w:cs="Arial" w:eastAsia="Arial" w:hAnsi="Arial"/>
          <w:sz w:val="18"/>
          <w:szCs w:val="18"/>
          <w:color w:val="auto"/>
        </w:rPr>
        <w:t>The overall increase of $25,713 for the nine months ended September 30, 2023, relative to the same period in 2022 was primarily attributable to:</w:t>
      </w:r>
    </w:p>
    <w:p>
      <w:pPr>
        <w:spacing w:after="0" w:line="141" w:lineRule="exact"/>
        <w:rPr>
          <w:sz w:val="20"/>
          <w:szCs w:val="20"/>
          <w:color w:val="auto"/>
        </w:rPr>
      </w:pPr>
    </w:p>
    <w:p>
      <w:pPr>
        <w:ind w:left="700" w:right="219" w:hanging="310"/>
        <w:spacing w:after="0" w:line="288"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in personnel and related costs due to our efforts to expand our functional teams, particularly in sales, to support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in the U.S., prior to the Reprioritization.</w:t>
      </w:r>
    </w:p>
    <w:p>
      <w:pPr>
        <w:spacing w:after="0" w:line="25" w:lineRule="exact"/>
        <w:rPr>
          <w:rFonts w:ascii="Arial" w:cs="Arial" w:eastAsia="Arial" w:hAnsi="Arial"/>
          <w:sz w:val="17"/>
          <w:szCs w:val="17"/>
          <w:color w:val="auto"/>
        </w:rPr>
      </w:pPr>
    </w:p>
    <w:p>
      <w:pPr>
        <w:ind w:left="700" w:right="399" w:hanging="310"/>
        <w:spacing w:after="0" w:line="299"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professional fees, primarily related to higher legal costs for the investigation of our TRANQUILITY II study, the write-off of previously deferred costs related to the initial public offering of OnkosXcel, and higher corporate operating support levels, primarily offset by reductions in consulting and recruiting fees.</w:t>
      </w:r>
    </w:p>
    <w:p>
      <w:pPr>
        <w:spacing w:after="0" w:line="114" w:lineRule="exact"/>
        <w:rPr>
          <w:rFonts w:ascii="Arial" w:cs="Arial" w:eastAsia="Arial" w:hAnsi="Arial"/>
          <w:sz w:val="16"/>
          <w:szCs w:val="16"/>
          <w:color w:val="auto"/>
        </w:rPr>
      </w:pPr>
    </w:p>
    <w:p>
      <w:pPr>
        <w:ind w:left="700" w:right="279" w:hanging="310"/>
        <w:spacing w:after="0" w:line="26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commercial and marketing expense associated with media, marketing and data and business analytics costs associated with commercialization of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16" w:lineRule="exact"/>
        <w:rPr>
          <w:rFonts w:ascii="Arial" w:cs="Arial" w:eastAsia="Arial" w:hAnsi="Arial"/>
          <w:sz w:val="18"/>
          <w:szCs w:val="18"/>
          <w:color w:val="auto"/>
        </w:rPr>
      </w:pPr>
    </w:p>
    <w:p>
      <w:pPr>
        <w:ind w:left="700" w:right="299" w:hanging="310"/>
        <w:spacing w:after="0" w:line="219"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in travel and other costs following the commercial launch of IGALMI</w:t>
      </w:r>
      <w:r>
        <w:rPr>
          <w:rFonts w:ascii="Arial" w:cs="Arial" w:eastAsia="Arial" w:hAnsi="Arial"/>
          <w:sz w:val="25"/>
          <w:szCs w:val="25"/>
          <w:color w:val="auto"/>
          <w:vertAlign w:val="superscript"/>
        </w:rPr>
        <w:t>TM</w:t>
      </w:r>
      <w:r>
        <w:rPr>
          <w:rFonts w:ascii="Arial" w:cs="Arial" w:eastAsia="Arial" w:hAnsi="Arial"/>
          <w:sz w:val="17"/>
          <w:szCs w:val="17"/>
          <w:color w:val="auto"/>
        </w:rPr>
        <w:t>. In addition, we experienced higher technology costs related to the addition of personnel and expansion of our operations.</w:t>
      </w:r>
    </w:p>
    <w:p>
      <w:pPr>
        <w:spacing w:after="0" w:line="173" w:lineRule="exact"/>
        <w:rPr>
          <w:rFonts w:ascii="Arial" w:cs="Arial" w:eastAsia="Arial" w:hAnsi="Arial"/>
          <w:sz w:val="17"/>
          <w:szCs w:val="17"/>
          <w:color w:val="auto"/>
        </w:rPr>
      </w:pPr>
    </w:p>
    <w:p>
      <w:pPr>
        <w:ind w:left="700" w:right="759" w:hanging="310"/>
        <w:spacing w:after="0" w:line="26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stock-based compensation costs due to increased equity award grants related to higher headcount, partially offset by award forfeitures.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74" w:lineRule="exact"/>
        <w:rPr>
          <w:sz w:val="20"/>
          <w:szCs w:val="20"/>
          <w:color w:val="auto"/>
        </w:rPr>
      </w:pPr>
    </w:p>
    <w:p>
      <w:pPr>
        <w:ind w:left="40" w:right="679" w:firstLine="315"/>
        <w:spacing w:after="0" w:line="252" w:lineRule="auto"/>
        <w:rPr>
          <w:sz w:val="20"/>
          <w:szCs w:val="20"/>
          <w:color w:val="auto"/>
        </w:rPr>
      </w:pPr>
      <w:r>
        <w:rPr>
          <w:rFonts w:ascii="Arial" w:cs="Arial" w:eastAsia="Arial" w:hAnsi="Arial"/>
          <w:sz w:val="18"/>
          <w:szCs w:val="18"/>
          <w:color w:val="auto"/>
        </w:rPr>
        <w:t>Restructuring costs were $4,163 for the nine months ended September 30, 2023. See “Restructuring Costs” for a discussion of the Company’s Reprioritization and restructuring activities. There were no restructuring costs in the nine months ended September 30, 2022.</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74" w:lineRule="exact"/>
        <w:rPr>
          <w:sz w:val="20"/>
          <w:szCs w:val="20"/>
          <w:color w:val="auto"/>
        </w:rPr>
      </w:pPr>
    </w:p>
    <w:p>
      <w:pPr>
        <w:ind w:left="40" w:right="279" w:firstLine="315"/>
        <w:spacing w:after="0" w:line="286" w:lineRule="auto"/>
        <w:rPr>
          <w:sz w:val="20"/>
          <w:szCs w:val="20"/>
          <w:color w:val="auto"/>
        </w:rPr>
      </w:pPr>
      <w:r>
        <w:rPr>
          <w:rFonts w:ascii="Arial" w:cs="Arial" w:eastAsia="Arial" w:hAnsi="Arial"/>
          <w:sz w:val="16"/>
          <w:szCs w:val="16"/>
          <w:color w:val="auto"/>
        </w:rPr>
        <w:t>Interest expense increased to $9,879 for the first nine months of 2023 from $5,293 in the same period in 2022 primarily due to increased average outstanding borrowings under the OFA Facilities that the Company put in place in April 2022. The expense was partially offset by increased interest income earned on cash and cash equivalents that were held primarily in short-term money market funds. Other expense (income), net is primarily associated with changes in the fair value of derivative financial instruments for the period, which relate to instruments associated with the OFA Facilities.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1" w:name="page52"/>
    <w:bookmarkEnd w:id="5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193" w:lineRule="exact"/>
        <w:rPr>
          <w:sz w:val="20"/>
          <w:szCs w:val="20"/>
          <w:color w:val="auto"/>
        </w:rPr>
      </w:pPr>
    </w:p>
    <w:p>
      <w:pPr>
        <w:ind w:left="40" w:right="319" w:firstLine="315"/>
        <w:spacing w:after="0" w:line="290"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Arial" w:cs="Arial" w:eastAsia="Arial" w:hAnsi="Arial"/>
          <w:sz w:val="16"/>
          <w:szCs w:val="16"/>
          <w:i w:val="1"/>
          <w:iCs w:val="1"/>
          <w:color w:val="auto"/>
        </w:rPr>
        <w:t>Healthcare reform measures could hinder or prevent our product</w:t>
      </w:r>
      <w:r>
        <w:rPr>
          <w:rFonts w:ascii="Arial" w:cs="Arial" w:eastAsia="Arial" w:hAnsi="Arial"/>
          <w:sz w:val="16"/>
          <w:szCs w:val="16"/>
          <w:color w:val="auto"/>
        </w:rPr>
        <w:t xml:space="preserve"> </w:t>
      </w:r>
      <w:r>
        <w:rPr>
          <w:rFonts w:ascii="Arial" w:cs="Arial" w:eastAsia="Arial" w:hAnsi="Arial"/>
          <w:sz w:val="16"/>
          <w:szCs w:val="16"/>
          <w:i w:val="1"/>
          <w:iCs w:val="1"/>
          <w:color w:val="auto"/>
        </w:rPr>
        <w:t>candidates’ commercial success.</w:t>
      </w:r>
      <w:r>
        <w:rPr>
          <w:rFonts w:ascii="Arial" w:cs="Arial" w:eastAsia="Arial" w:hAnsi="Arial"/>
          <w:sz w:val="16"/>
          <w:szCs w:val="16"/>
          <w:color w:val="auto"/>
        </w:rPr>
        <w:t>” in Part II, Item 1A, “Risk Factors” elsewhere in this Quarterly Report on Form 10-Q.</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80"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As of September 30, 2023, we had cash and cash equivalents of $89,961, working capital of $59,330 and stockholders’ deficit of $40,608. Net cash used in operating activities was $128,143 and $96,702 for the nine months ended September 20, 2023 and 2022, respectively. We incurred net losses of $50,486 and $41,805 for the three months ended September 30, 2023 and 2022, respectively and $156,797 and $110,949 for the nine months ended September 30, 2023 and 2022, respectively. We have generated limited revenues to date, and we have not yet achieved profitability. We expect that our research and development and selling, general and administrative expenses will decrease over the next year, however, we will need to generate significant product revenues to achieve profitability. Our history of significant losses, negative cash flows from operations, potential near-term, increased covenant-driven amortization payments under our OFA Facilities (as defined and described under Sources of Liquidity Below), the regulatory event of default triggers under the OFA Facilities,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 on Form 10-Q.</w:t>
      </w:r>
    </w:p>
    <w:p>
      <w:pPr>
        <w:spacing w:after="0" w:line="147" w:lineRule="exact"/>
        <w:rPr>
          <w:sz w:val="20"/>
          <w:szCs w:val="20"/>
          <w:color w:val="auto"/>
        </w:rPr>
      </w:pPr>
    </w:p>
    <w:p>
      <w:pPr>
        <w:ind w:left="40" w:right="299" w:firstLine="315"/>
        <w:spacing w:after="0" w:line="302" w:lineRule="auto"/>
        <w:rPr>
          <w:sz w:val="20"/>
          <w:szCs w:val="20"/>
          <w:color w:val="auto"/>
        </w:rPr>
      </w:pPr>
      <w:r>
        <w:rPr>
          <w:rFonts w:ascii="Arial" w:cs="Arial" w:eastAsia="Arial" w:hAnsi="Arial"/>
          <w:sz w:val="16"/>
          <w:szCs w:val="16"/>
          <w:color w:val="auto"/>
        </w:rPr>
        <w:t>This going concern analysis takes into consideration the potential mitigating effect of management’s Reprioritization plans. However, this analysis does not consider a possible restructuring of the OFA Facilities, which is currently under discussion. Based on our cash, and cash equivalents of $90 million as of September 30, 2023, management believes we will be able to fund our operating expenses and capital expenditures into mid-2024.</w:t>
      </w:r>
    </w:p>
    <w:p>
      <w:pPr>
        <w:spacing w:after="0" w:line="86" w:lineRule="exact"/>
        <w:rPr>
          <w:sz w:val="20"/>
          <w:szCs w:val="20"/>
          <w:color w:val="auto"/>
        </w:rPr>
      </w:pPr>
    </w:p>
    <w:p>
      <w:pPr>
        <w:ind w:left="40" w:right="279" w:firstLine="315"/>
        <w:spacing w:after="0" w:line="286" w:lineRule="auto"/>
        <w:rPr>
          <w:sz w:val="20"/>
          <w:szCs w:val="20"/>
          <w:color w:val="auto"/>
        </w:rPr>
      </w:pPr>
      <w:r>
        <w:rPr>
          <w:rFonts w:ascii="Arial" w:cs="Arial" w:eastAsia="Arial" w:hAnsi="Arial"/>
          <w:sz w:val="16"/>
          <w:szCs w:val="16"/>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26" w:lineRule="exact"/>
        <w:rPr>
          <w:sz w:val="20"/>
          <w:szCs w:val="20"/>
          <w:color w:val="auto"/>
        </w:rPr>
      </w:pPr>
    </w:p>
    <w:p>
      <w:pPr>
        <w:ind w:left="700" w:hanging="31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funding through the sale of the Company’s equity securities;</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funding through third-party investments in or other strategic options for OnkosXcel;</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funding through debt financing and/or restructuring of its existing OFA Facilities;</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collaborations with potential partners to advance the Company’s product pipeline;</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collaborations with potential marketing partners;</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overhead and headcount to focus on core priorities, and/or</w:t>
      </w:r>
    </w:p>
    <w:p>
      <w:pPr>
        <w:spacing w:after="0" w:line="16" w:lineRule="exact"/>
        <w:rPr>
          <w:rFonts w:ascii="Arial" w:cs="Arial" w:eastAsia="Arial" w:hAnsi="Arial"/>
          <w:sz w:val="18"/>
          <w:szCs w:val="18"/>
          <w:color w:val="auto"/>
        </w:rPr>
      </w:pPr>
    </w:p>
    <w:p>
      <w:pPr>
        <w:ind w:left="700" w:hanging="31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40" w:lineRule="exact"/>
        <w:rPr>
          <w:sz w:val="20"/>
          <w:szCs w:val="20"/>
          <w:color w:val="auto"/>
        </w:rPr>
      </w:pPr>
    </w:p>
    <w:p>
      <w:pPr>
        <w:ind w:left="40" w:right="239" w:firstLine="403"/>
        <w:spacing w:after="0" w:line="279" w:lineRule="auto"/>
        <w:rPr>
          <w:sz w:val="20"/>
          <w:szCs w:val="20"/>
          <w:color w:val="auto"/>
        </w:rPr>
      </w:pPr>
      <w:r>
        <w:rPr>
          <w:rFonts w:ascii="Arial" w:cs="Arial" w:eastAsia="Arial" w:hAnsi="Arial"/>
          <w:sz w:val="16"/>
          <w:szCs w:val="16"/>
          <w:color w:val="auto"/>
        </w:rPr>
        <w:t>There are no assurances that we will be successful in obtaining an adequate level of financing as and when needed to finance our operations on terms acceptable to us or at all, particularly when there is market uncertainty or an economic downturn.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forced to delay, reduce or eliminate our product development programs or commercialization efforts. See “Risk Factors – Risks Related to Financial Position and Need for Additional Capital — We will need substantial additional funding, and if we are unable to raise capital when needed, we could be forced to</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2" w:name="page53"/>
    <w:bookmarkEnd w:id="5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639"/>
        <w:spacing w:after="0" w:line="261" w:lineRule="auto"/>
        <w:rPr>
          <w:sz w:val="20"/>
          <w:szCs w:val="20"/>
          <w:color w:val="auto"/>
        </w:rPr>
      </w:pPr>
      <w:r>
        <w:rPr>
          <w:rFonts w:ascii="Arial" w:cs="Arial" w:eastAsia="Arial" w:hAnsi="Arial"/>
          <w:sz w:val="18"/>
          <w:szCs w:val="18"/>
          <w:color w:val="auto"/>
        </w:rPr>
        <w:t>delay, reduce or eliminate our product development programs or commercialization efforts.” in Part II. Item 1A. of this Quarterly Report on Form 10-Q.</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Sources of Liquidity</w:t>
      </w:r>
    </w:p>
    <w:p>
      <w:pPr>
        <w:spacing w:after="0" w:line="180" w:lineRule="exact"/>
        <w:rPr>
          <w:sz w:val="20"/>
          <w:szCs w:val="20"/>
          <w:color w:val="auto"/>
        </w:rPr>
      </w:pPr>
    </w:p>
    <w:p>
      <w:pPr>
        <w:ind w:left="40" w:right="299" w:firstLine="315"/>
        <w:spacing w:after="0" w:line="244" w:lineRule="auto"/>
        <w:rPr>
          <w:sz w:val="20"/>
          <w:szCs w:val="20"/>
          <w:color w:val="auto"/>
        </w:rPr>
      </w:pPr>
      <w:r>
        <w:rPr>
          <w:rFonts w:ascii="Arial" w:cs="Arial" w:eastAsia="Arial" w:hAnsi="Arial"/>
          <w:sz w:val="17"/>
          <w:szCs w:val="17"/>
          <w:color w:val="auto"/>
        </w:rPr>
        <w:t>We have primarily focused our efforts on raising capital and building the products in our pipeline, and, although we generate revenue from sales of IGALMI</w:t>
      </w:r>
      <w:r>
        <w:rPr>
          <w:rFonts w:ascii="Arial" w:cs="Arial" w:eastAsia="Arial" w:hAnsi="Arial"/>
          <w:sz w:val="25"/>
          <w:szCs w:val="25"/>
          <w:color w:val="auto"/>
          <w:vertAlign w:val="superscript"/>
        </w:rPr>
        <w:t>TM</w:t>
      </w:r>
      <w:r>
        <w:rPr>
          <w:rFonts w:ascii="Arial" w:cs="Arial" w:eastAsia="Arial" w:hAnsi="Arial"/>
          <w:sz w:val="17"/>
          <w:szCs w:val="17"/>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(the “Sale Agreement”) with Jefferies LLC (“Jefferies”), and borrowings under strategic financing arrangements (as described below). We have not yet established an ongoing source of revenue sufficient to cover our operating costs and will need to do so in future periods.</w:t>
      </w:r>
    </w:p>
    <w:p>
      <w:pPr>
        <w:spacing w:after="0" w:line="158" w:lineRule="exact"/>
        <w:rPr>
          <w:sz w:val="20"/>
          <w:szCs w:val="20"/>
          <w:color w:val="auto"/>
        </w:rPr>
      </w:pPr>
    </w:p>
    <w:p>
      <w:pPr>
        <w:ind w:left="40" w:right="159" w:firstLine="315"/>
        <w:spacing w:after="0" w:line="281" w:lineRule="auto"/>
        <w:rPr>
          <w:sz w:val="20"/>
          <w:szCs w:val="20"/>
          <w:color w:val="auto"/>
        </w:rPr>
      </w:pPr>
      <w:r>
        <w:rPr>
          <w:rFonts w:ascii="Arial" w:cs="Arial" w:eastAsia="Arial" w:hAnsi="Arial"/>
          <w:sz w:val="16"/>
          <w:szCs w:val="16"/>
          <w:color w:val="auto"/>
        </w:rPr>
        <w:t>In April 2022, we entered into two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Pursuant to the Credit Agreement, the Lenders agreed to loan us up to $135,000 in senior secured term loans. On April 28, 2022, we borrowed the first tranche of $70,000 of loans. The remaining two tranches of the commitments under the Credit Agreement may be borrowed at our option prior to December 31, 2024 as follows:</w:t>
      </w:r>
    </w:p>
    <w:p>
      <w:pPr>
        <w:spacing w:after="0" w:line="143" w:lineRule="exact"/>
        <w:rPr>
          <w:sz w:val="20"/>
          <w:szCs w:val="20"/>
          <w:color w:val="auto"/>
        </w:rPr>
      </w:pPr>
    </w:p>
    <w:p>
      <w:pPr>
        <w:ind w:left="700" w:hanging="310"/>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$35,000 upon satisfaction of certain conditions, including receipt of certain regulatory and financial milestones; and</w:t>
      </w:r>
    </w:p>
    <w:p>
      <w:pPr>
        <w:spacing w:after="0" w:line="197" w:lineRule="exact"/>
        <w:rPr>
          <w:rFonts w:ascii="Arial" w:cs="Arial" w:eastAsia="Arial" w:hAnsi="Arial"/>
          <w:sz w:val="16"/>
          <w:szCs w:val="16"/>
          <w:color w:val="auto"/>
        </w:rPr>
      </w:pPr>
    </w:p>
    <w:p>
      <w:pPr>
        <w:ind w:left="700" w:right="219" w:hanging="310"/>
        <w:spacing w:after="0" w:line="261"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$30,000 upon satisfaction of certain conditions, including specified minimum net sales of the Company attributable to sales of BXCL501 for a trailing 12 consecutive month period.</w:t>
      </w:r>
    </w:p>
    <w:p>
      <w:pPr>
        <w:spacing w:after="0" w:line="141" w:lineRule="exact"/>
        <w:rPr>
          <w:sz w:val="20"/>
          <w:szCs w:val="20"/>
          <w:color w:val="auto"/>
        </w:rPr>
      </w:pPr>
    </w:p>
    <w:p>
      <w:pPr>
        <w:ind w:left="40" w:right="359" w:firstLine="315"/>
        <w:spacing w:after="0" w:line="252" w:lineRule="auto"/>
        <w:rPr>
          <w:sz w:val="20"/>
          <w:szCs w:val="20"/>
          <w:color w:val="auto"/>
        </w:rPr>
      </w:pPr>
      <w:r>
        <w:rPr>
          <w:rFonts w:ascii="Arial" w:cs="Arial" w:eastAsia="Arial" w:hAnsi="Arial"/>
          <w:sz w:val="18"/>
          <w:szCs w:val="18"/>
          <w:color w:val="auto"/>
        </w:rPr>
        <w:t xml:space="preserve">The foregoing additional amounts were not eligible to be borrowed as of September 30, 2023 and, absent any amendment to or restructuring of the Credit Agreement, we do not expect them to be eligible to be borrowed in the next 12 months. See Note 17, </w:t>
      </w:r>
      <w:r>
        <w:rPr>
          <w:rFonts w:ascii="Arial" w:cs="Arial" w:eastAsia="Arial" w:hAnsi="Arial"/>
          <w:sz w:val="18"/>
          <w:szCs w:val="18"/>
          <w:i w:val="1"/>
          <w:iCs w:val="1"/>
          <w:color w:val="auto"/>
        </w:rPr>
        <w:t>Subsequent Events.</w:t>
      </w:r>
    </w:p>
    <w:p>
      <w:pPr>
        <w:spacing w:after="0" w:line="163" w:lineRule="exact"/>
        <w:rPr>
          <w:sz w:val="20"/>
          <w:szCs w:val="20"/>
          <w:color w:val="auto"/>
        </w:rPr>
      </w:pPr>
    </w:p>
    <w:p>
      <w:pPr>
        <w:jc w:val="both"/>
        <w:ind w:left="40" w:right="139" w:firstLine="315"/>
        <w:spacing w:after="0" w:line="222" w:lineRule="auto"/>
        <w:rPr>
          <w:sz w:val="20"/>
          <w:szCs w:val="20"/>
          <w:color w:val="auto"/>
        </w:rPr>
      </w:pPr>
      <w:r>
        <w:rPr>
          <w:rFonts w:ascii="Arial" w:cs="Arial" w:eastAsia="Arial" w:hAnsi="Arial"/>
          <w:sz w:val="18"/>
          <w:szCs w:val="18"/>
          <w:color w:val="auto"/>
        </w:rPr>
        <w:t>Pursuant to the RIFA, the Purchasers agreed to provide us with up to $120,000 in financing for our near-term commercial activities of IGALMI</w:t>
      </w:r>
      <w:r>
        <w:rPr>
          <w:rFonts w:ascii="Arial" w:cs="Arial" w:eastAsia="Arial" w:hAnsi="Arial"/>
          <w:sz w:val="26"/>
          <w:szCs w:val="26"/>
          <w:color w:val="auto"/>
          <w:vertAlign w:val="superscript"/>
        </w:rPr>
        <w:t>TM</w:t>
      </w:r>
      <w:r>
        <w:rPr>
          <w:rFonts w:ascii="Arial" w:cs="Arial" w:eastAsia="Arial" w:hAnsi="Arial"/>
          <w:sz w:val="18"/>
          <w:szCs w:val="18"/>
          <w:color w:val="auto"/>
        </w:rPr>
        <w:t>, development and commercialization of BXCL501 and other general corporate purposes. On July 8, 2022, we drew down the first tranche of $30,000 under the RIFA. The remaining commitments under the RIFA may be drawn at our option prior to December 31, 2024, as follows:</w:t>
      </w:r>
    </w:p>
    <w:p>
      <w:pPr>
        <w:spacing w:after="0" w:line="161" w:lineRule="exact"/>
        <w:rPr>
          <w:sz w:val="20"/>
          <w:szCs w:val="20"/>
          <w:color w:val="auto"/>
        </w:rPr>
      </w:pPr>
    </w:p>
    <w:p>
      <w:pPr>
        <w:ind w:left="700" w:right="199" w:hanging="310"/>
        <w:spacing w:after="0" w:line="324"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$45,000 upon satisfaction of certain conditions, including receipt of certain regulatory and patent related milestones and specified minimum net sales of BXCL501 during any consecutive 12-month period; and</w:t>
      </w:r>
    </w:p>
    <w:p>
      <w:pPr>
        <w:spacing w:after="0" w:line="94" w:lineRule="exact"/>
        <w:rPr>
          <w:rFonts w:ascii="Arial" w:cs="Arial" w:eastAsia="Arial" w:hAnsi="Arial"/>
          <w:sz w:val="16"/>
          <w:szCs w:val="16"/>
          <w:color w:val="auto"/>
        </w:rPr>
      </w:pPr>
    </w:p>
    <w:p>
      <w:pPr>
        <w:ind w:left="700" w:right="199" w:hanging="310"/>
        <w:spacing w:after="0" w:line="324"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$45,000 upon satisfaction of certain conditions, including receipt of certain regulatory and patent related milestones and specified minimum net sales of BXCL501 during any consecutive 12-month period.</w:t>
      </w:r>
    </w:p>
    <w:p>
      <w:pPr>
        <w:spacing w:after="0" w:line="108" w:lineRule="exact"/>
        <w:rPr>
          <w:sz w:val="20"/>
          <w:szCs w:val="20"/>
          <w:color w:val="auto"/>
        </w:rPr>
      </w:pPr>
    </w:p>
    <w:p>
      <w:pPr>
        <w:ind w:left="40" w:right="319" w:firstLine="315"/>
        <w:spacing w:after="0" w:line="324" w:lineRule="auto"/>
        <w:rPr>
          <w:sz w:val="20"/>
          <w:szCs w:val="20"/>
          <w:color w:val="auto"/>
        </w:rPr>
      </w:pPr>
      <w:r>
        <w:rPr>
          <w:rFonts w:ascii="Arial" w:cs="Arial" w:eastAsia="Arial" w:hAnsi="Arial"/>
          <w:sz w:val="16"/>
          <w:szCs w:val="16"/>
          <w:color w:val="auto"/>
        </w:rPr>
        <w:t>The foregoing additional amounts were not eligible to be borrowed as of September 30, 2023, and we do not anticipate that we will be able to satisfy the conditions necessary to draw these commitments under the OFA Facilities.</w:t>
      </w:r>
    </w:p>
    <w:p>
      <w:pPr>
        <w:spacing w:after="0" w:line="95" w:lineRule="exact"/>
        <w:rPr>
          <w:sz w:val="20"/>
          <w:szCs w:val="20"/>
          <w:color w:val="auto"/>
        </w:rPr>
      </w:pPr>
    </w:p>
    <w:p>
      <w:pPr>
        <w:ind w:left="40" w:right="199" w:firstLine="315"/>
        <w:spacing w:after="0" w:line="252" w:lineRule="auto"/>
        <w:rPr>
          <w:sz w:val="20"/>
          <w:szCs w:val="20"/>
          <w:color w:val="auto"/>
        </w:rPr>
      </w:pPr>
      <w:r>
        <w:rPr>
          <w:rFonts w:ascii="Arial" w:cs="Arial" w:eastAsia="Arial" w:hAnsi="Arial"/>
          <w:sz w:val="18"/>
          <w:szCs w:val="18"/>
          <w:color w:val="auto"/>
        </w:rPr>
        <w:t>In connection with the Credit Agreement, we granted to the Lenders certain warrants to purchase up to 278 shares of our common stock, rights to purchase up to $5,000 of our common stock and warrants to purchase up to 175 individual ownership units (i.e., not in thousands) in OnkosXcel.</w:t>
      </w:r>
    </w:p>
    <w:p>
      <w:pPr>
        <w:spacing w:after="0" w:line="150" w:lineRule="exact"/>
        <w:rPr>
          <w:sz w:val="20"/>
          <w:szCs w:val="20"/>
          <w:color w:val="auto"/>
        </w:rPr>
      </w:pPr>
    </w:p>
    <w:p>
      <w:pPr>
        <w:jc w:val="both"/>
        <w:ind w:left="40" w:right="319" w:firstLine="394"/>
        <w:spacing w:after="0" w:line="299" w:lineRule="auto"/>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i w:val="1"/>
          <w:iCs w:val="1"/>
          <w:color w:val="auto"/>
        </w:rPr>
        <w:t>Debt and Credit Facilities</w:t>
      </w:r>
      <w:r>
        <w:rPr>
          <w:rFonts w:ascii="Arial" w:cs="Arial" w:eastAsia="Arial" w:hAnsi="Arial"/>
          <w:sz w:val="16"/>
          <w:szCs w:val="16"/>
          <w:color w:val="auto"/>
        </w:rPr>
        <w:t xml:space="preserve"> in the Notes to Condensed Consolidated Financial Statements included in this Quarterly Report on Form 10-Q for additional information relating to the Credit Agreement and RIFA, including applicable interest rates, anticipated payment obligations and certain restrictive and financial covenants thereunder.</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3" w:name="page54"/>
    <w:bookmarkEnd w:id="5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 xml:space="preserve">If, as of a Revenue Covenant Measurement Testing Date (as defined in Note 9, </w:t>
      </w:r>
      <w:r>
        <w:rPr>
          <w:rFonts w:ascii="Arial" w:cs="Arial" w:eastAsia="Arial" w:hAnsi="Arial"/>
          <w:sz w:val="16"/>
          <w:szCs w:val="16"/>
          <w:i w:val="1"/>
          <w:iCs w:val="1"/>
          <w:color w:val="auto"/>
        </w:rPr>
        <w:t>Debt and Credit Facilities</w:t>
      </w:r>
      <w:r>
        <w:rPr>
          <w:rFonts w:ascii="Arial" w:cs="Arial" w:eastAsia="Arial" w:hAnsi="Arial"/>
          <w:sz w:val="16"/>
          <w:szCs w:val="16"/>
          <w:color w:val="auto"/>
        </w:rPr>
        <w:t xml:space="preserve">), the Company’s revenue for the applicable Revenue Covenant Measurement Period (as defined in Note 9, </w:t>
      </w:r>
      <w:r>
        <w:rPr>
          <w:rFonts w:ascii="Arial" w:cs="Arial" w:eastAsia="Arial" w:hAnsi="Arial"/>
          <w:sz w:val="16"/>
          <w:szCs w:val="16"/>
          <w:i w:val="1"/>
          <w:iCs w:val="1"/>
          <w:color w:val="auto"/>
        </w:rPr>
        <w:t>Debt and Credit</w:t>
      </w:r>
      <w:r>
        <w:rPr>
          <w:rFonts w:ascii="Arial" w:cs="Arial" w:eastAsia="Arial" w:hAnsi="Arial"/>
          <w:sz w:val="16"/>
          <w:szCs w:val="16"/>
          <w:color w:val="auto"/>
        </w:rPr>
        <w:t xml:space="preserve"> </w:t>
      </w:r>
      <w:r>
        <w:rPr>
          <w:rFonts w:ascii="Arial" w:cs="Arial" w:eastAsia="Arial" w:hAnsi="Arial"/>
          <w:sz w:val="16"/>
          <w:szCs w:val="16"/>
          <w:i w:val="1"/>
          <w:iCs w:val="1"/>
          <w:color w:val="auto"/>
        </w:rPr>
        <w:t>Facilities</w:t>
      </w:r>
      <w:r>
        <w:rPr>
          <w:rFonts w:ascii="Arial" w:cs="Arial" w:eastAsia="Arial" w:hAnsi="Arial"/>
          <w:sz w:val="16"/>
          <w:szCs w:val="16"/>
          <w:color w:val="auto"/>
        </w:rPr>
        <w:t>) is less than the minimum revenue amount specified for the applicable period then required under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Covenant, (as defined in Note 9, </w:t>
      </w:r>
      <w:r>
        <w:rPr>
          <w:rFonts w:ascii="Arial" w:cs="Arial" w:eastAsia="Arial" w:hAnsi="Arial"/>
          <w:sz w:val="16"/>
          <w:szCs w:val="16"/>
          <w:i w:val="1"/>
          <w:iCs w:val="1"/>
          <w:color w:val="auto"/>
        </w:rPr>
        <w:t>Debt and Credit Facilities</w:t>
      </w:r>
      <w:r>
        <w:rPr>
          <w:rFonts w:ascii="Arial" w:cs="Arial" w:eastAsia="Arial" w:hAnsi="Arial"/>
          <w:sz w:val="16"/>
          <w:szCs w:val="16"/>
          <w:color w:val="auto"/>
        </w:rPr>
        <w: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 For the Revenue Covenant Measurement Testing Dates ending December 31, 2023, March 31, 2024, June 30, 2024 and September 30, 2024, shortfalls under the Revenue Covenant, as described above, could result in a revenue cure payment of up to $7,316, $10,636, $14,313 and, $22,406 respectively, plus aggregate prepayment fees of up to $1,900. The Company is only permitted to make cure payments for shortfalls under the Revenue Covenant up to three times during the term of the Credit Agreement. Subsequent to such three opportunities to cure a breach of the Revenue Covenant, which could be fully utilized as early as the payment due for the quarter ended June 30, 2024, the Company would default on the Credit Agreement if it is unable to satisfy the Revenue Covenant for any subsequent fiscal quarter.</w:t>
      </w:r>
    </w:p>
    <w:p>
      <w:pPr>
        <w:spacing w:after="0" w:line="151" w:lineRule="exact"/>
        <w:rPr>
          <w:sz w:val="20"/>
          <w:szCs w:val="20"/>
          <w:color w:val="auto"/>
        </w:rPr>
      </w:pPr>
    </w:p>
    <w:p>
      <w:pPr>
        <w:ind w:left="40" w:right="139" w:firstLine="315"/>
        <w:spacing w:after="0" w:line="282" w:lineRule="auto"/>
        <w:rPr>
          <w:sz w:val="20"/>
          <w:szCs w:val="20"/>
          <w:color w:val="auto"/>
        </w:rPr>
      </w:pPr>
      <w:r>
        <w:rPr>
          <w:rFonts w:ascii="Arial" w:cs="Arial" w:eastAsia="Arial" w:hAnsi="Arial"/>
          <w:sz w:val="16"/>
          <w:szCs w:val="16"/>
          <w:color w:val="auto"/>
        </w:rPr>
        <w:t>Based on current revenue projections, the Company expects that it will be required to make cure payments in 2024 for failure to comply with the Revenue Covenant in 2023 and 2024. Such payments could be up to an aggregate of approximately $33,556 for the first three cure periods following the date of this Quarterly Report on Form 10-Q. Subsequent to the three cure periods, the Company would default on the Credit Agreement and Guaranty if it is unable to satisfy the Revenue Covenant. Given the anticipated and/or potential payment obligations that may become due within the next 12 months under the Credit Agreement, we are in active discussions with lenders to potentially restructure our financing arrangements and/or waive the Revenue Covenant.</w:t>
      </w:r>
    </w:p>
    <w:p>
      <w:pPr>
        <w:spacing w:after="0" w:line="169" w:lineRule="exact"/>
        <w:rPr>
          <w:sz w:val="20"/>
          <w:szCs w:val="20"/>
          <w:color w:val="auto"/>
        </w:rPr>
      </w:pPr>
    </w:p>
    <w:p>
      <w:pPr>
        <w:ind w:left="40" w:right="219" w:firstLine="315"/>
        <w:spacing w:after="0" w:line="278" w:lineRule="auto"/>
        <w:rPr>
          <w:sz w:val="20"/>
          <w:szCs w:val="20"/>
          <w:color w:val="auto"/>
        </w:rPr>
      </w:pPr>
      <w:r>
        <w:rPr>
          <w:rFonts w:ascii="Arial" w:cs="Arial" w:eastAsia="Arial" w:hAnsi="Arial"/>
          <w:sz w:val="16"/>
          <w:szCs w:val="16"/>
          <w:color w:val="auto"/>
        </w:rPr>
        <w:t>On November 13, 2023, we, the Lenders and OFA entered into a Waiver and First Amendment to Credit Agreement and Guaranty (the “First Amendment”) that provides for (i) a waiver and a modification to the covenant in the Credit Agreement regarding investments in OnkosXcel and (ii) an agreement with the parties to further revise key financial terms between us, OFA and the Lenders in a manner intended to enhance our operational and financial flexibility. Pursuant to the First Amendment, we will be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having invested an amount in excess of what was previously permitted under the OnkosXcel investment covenant. In connection with the First Amendment, we will pay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76" w:lineRule="exact"/>
        <w:rPr>
          <w:sz w:val="20"/>
          <w:szCs w:val="20"/>
          <w:color w:val="auto"/>
        </w:rPr>
      </w:pPr>
    </w:p>
    <w:p>
      <w:pPr>
        <w:ind w:left="40" w:right="239" w:firstLine="315"/>
        <w:spacing w:after="0" w:line="299" w:lineRule="auto"/>
        <w:rPr>
          <w:sz w:val="20"/>
          <w:szCs w:val="20"/>
          <w:color w:val="auto"/>
        </w:rPr>
      </w:pPr>
      <w:r>
        <w:rPr>
          <w:rFonts w:ascii="Arial" w:cs="Arial" w:eastAsia="Arial" w:hAnsi="Arial"/>
          <w:sz w:val="16"/>
          <w:szCs w:val="16"/>
          <w:color w:val="auto"/>
        </w:rPr>
        <w:t>In addition, pursuant to the First Amendment, we, OFA and the Lenders agreed to enter into an additional amendment (the “Subsequent Amendment”) to the Credit Agreement on or before December 1, 2023 (or such later date as determined in the sole discretion of OFA), on terms set forth in a term sheet attached to the First Amendment that will:</w:t>
      </w:r>
    </w:p>
    <w:p>
      <w:pPr>
        <w:spacing w:after="0" w:line="154" w:lineRule="exact"/>
        <w:rPr>
          <w:sz w:val="20"/>
          <w:szCs w:val="20"/>
          <w:color w:val="auto"/>
        </w:rPr>
      </w:pPr>
    </w:p>
    <w:p>
      <w:pPr>
        <w:ind w:left="1020" w:right="299" w:hanging="315"/>
        <w:spacing w:after="0" w:line="25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 the effectiveness of the Credit Agreement’s Revenue Covenant to the fourth quarter of 2024, and reduce the required minimum revenue levels;</w:t>
      </w:r>
    </w:p>
    <w:p>
      <w:pPr>
        <w:spacing w:after="0" w:line="1" w:lineRule="exact"/>
        <w:rPr>
          <w:rFonts w:ascii="Arial" w:cs="Arial" w:eastAsia="Arial" w:hAnsi="Arial"/>
          <w:sz w:val="18"/>
          <w:szCs w:val="18"/>
          <w:color w:val="auto"/>
        </w:rPr>
      </w:pPr>
    </w:p>
    <w:p>
      <w:pPr>
        <w:ind w:left="1020" w:right="259" w:hanging="315"/>
        <w:spacing w:after="0" w:line="280"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replace the Credit Agreement’s existing “Tranche B” term loan with a new $20,000 tranche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4" w:name="page55"/>
    <w:bookmarkEnd w:id="5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20" w:right="159" w:hanging="315"/>
        <w:spacing w:after="0" w:line="276"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replace the Credit Agreement’s existing “Tranche C” term loan with a new $30,000 tranche available upon satisfaction of the following conditions on or before December 31, 2025: (i) either (a) receipt of approval from the FDA of an sNDA in respect of the use of BXCL 501 for the acute treatment of agitation associated with dementia or (b) the receipt of approval from the FDA of an sNDA in respect of the use of BXCL 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w:t>
      </w:r>
    </w:p>
    <w:p>
      <w:pPr>
        <w:ind w:left="1020" w:right="199" w:hanging="315"/>
        <w:spacing w:after="0" w:line="274"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 to the Credit Agreement a new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 501 for opioid withdrawal) for the trailing twelve consecutive month period exceeding a specified amount;</w:t>
      </w:r>
    </w:p>
    <w:p>
      <w:pPr>
        <w:spacing w:after="0" w:line="1" w:lineRule="exact"/>
        <w:rPr>
          <w:rFonts w:ascii="Arial" w:cs="Arial" w:eastAsia="Arial" w:hAnsi="Arial"/>
          <w:sz w:val="16"/>
          <w:szCs w:val="16"/>
          <w:color w:val="auto"/>
        </w:rPr>
      </w:pPr>
    </w:p>
    <w:p>
      <w:pPr>
        <w:ind w:left="1020" w:right="559" w:hanging="315"/>
        <w:spacing w:after="0" w:line="24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terminate the RIFA and convert the financing previously provided to us under the RIFA to loans under the Credit Agreement;</w:t>
      </w:r>
    </w:p>
    <w:p>
      <w:pPr>
        <w:spacing w:after="0" w:line="1" w:lineRule="exact"/>
        <w:rPr>
          <w:rFonts w:ascii="Arial" w:cs="Arial" w:eastAsia="Arial" w:hAnsi="Arial"/>
          <w:sz w:val="18"/>
          <w:szCs w:val="18"/>
          <w:color w:val="auto"/>
        </w:rPr>
      </w:pPr>
    </w:p>
    <w:p>
      <w:pPr>
        <w:ind w:left="1020" w:right="159" w:hanging="315"/>
        <w:spacing w:after="0" w:line="274"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modify the interest rate of the loans provided under the Credit Agreement to be a floating rate equal to the secured overnight financing rate (“SOFR”) (subject to a SOFR floor of 2.5% and a cap of 5.5%) plus 7.5%; and</w:t>
      </w:r>
    </w:p>
    <w:p>
      <w:pPr>
        <w:ind w:left="1020" w:right="219" w:hanging="315"/>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warrants to be issued to the Lenders to purchase 69,630 shares of our common stock, and for the strike price of all warrants issued to the Lenders under the Credit Agreement to be reset at a price per share equal to the trailing 30-day volume weighted average price per share of our common stock as of the date of the Subsequent Amendment.</w:t>
      </w:r>
    </w:p>
    <w:p>
      <w:pPr>
        <w:spacing w:after="0" w:line="194" w:lineRule="exact"/>
        <w:rPr>
          <w:sz w:val="20"/>
          <w:szCs w:val="20"/>
          <w:color w:val="auto"/>
        </w:rPr>
      </w:pPr>
    </w:p>
    <w:p>
      <w:pPr>
        <w:ind w:left="40" w:right="259" w:firstLine="315"/>
        <w:spacing w:after="0" w:line="280" w:lineRule="auto"/>
        <w:rPr>
          <w:sz w:val="20"/>
          <w:szCs w:val="20"/>
          <w:color w:val="auto"/>
        </w:rPr>
      </w:pPr>
      <w:r>
        <w:rPr>
          <w:rFonts w:ascii="Arial" w:cs="Arial" w:eastAsia="Arial" w:hAnsi="Arial"/>
          <w:sz w:val="16"/>
          <w:szCs w:val="16"/>
          <w:color w:val="auto"/>
        </w:rPr>
        <w:t>Among other things, the terms of the Subsequent Amendment are expected to reduce our short-term cash outflows that would otherwise be required to cure potential breaches of the Credit Agreement’s revenue covenant, and increase our potential to access additional tranches of capital under the Credit Agreement. There is no guarantee that we will be able to enter into the Subsequent Amendment by December 1, 2023 (or such later date as determined in the sole discretion of OFA) as required by the First Amendment, and failure to do so would result in an event of default under the Credit Agreement. If we are not able to enter into the Subsequent Amendment by December 1, 2023 (or such later date as determined in the sole discretion of OFA) and the Lenders accelerated our repayment obligations following the Event of Default, our cash and cash equivalents (based on current amounts) would likely be insufficient to repay our outstanding indebtedness under the Credit Agreement.</w:t>
      </w:r>
    </w:p>
    <w:p>
      <w:pPr>
        <w:spacing w:after="0" w:line="171" w:lineRule="exact"/>
        <w:rPr>
          <w:sz w:val="20"/>
          <w:szCs w:val="20"/>
          <w:color w:val="auto"/>
        </w:rPr>
      </w:pPr>
    </w:p>
    <w:p>
      <w:pPr>
        <w:ind w:left="40" w:right="239" w:firstLine="394"/>
        <w:spacing w:after="0" w:line="282" w:lineRule="auto"/>
        <w:rPr>
          <w:sz w:val="20"/>
          <w:szCs w:val="20"/>
          <w:color w:val="auto"/>
        </w:rPr>
      </w:pPr>
      <w:r>
        <w:rPr>
          <w:rFonts w:ascii="Arial" w:cs="Arial" w:eastAsia="Arial" w:hAnsi="Arial"/>
          <w:sz w:val="16"/>
          <w:szCs w:val="16"/>
          <w:color w:val="auto"/>
        </w:rPr>
        <w:t>In May 2021, we entered into the Sale Agreement with Jefferies pursuant to which we can offer and sell shares of our common stock, having an aggregate offering price of up to $100,000, from time to time, through an “at the market offering” program under which Jefferies will act as sale agent. The Company sold 756 shares under the Sale Agreement with Jefferies in the first half of 2023 for net proceeds of $23,918, net of issuance costs of $739. On November 2, 2023, we entered into an amendment to the Sale Agreement with Jefferies, pursuant to which we can offer and sell shares of our common stock, having an aggregate offering price of up to $150,000, from time to time, through an “at the market offering” program under which Jefferies will act as sale agent.</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Cash Flows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38"/>
        </w:trPr>
        <w:tc>
          <w:tcPr>
            <w:tcW w:w="2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7"/>
              <w:spacing w:after="0" w:line="138"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7"/>
              <w:spacing w:after="0" w:line="138" w:lineRule="exact"/>
              <w:rPr>
                <w:sz w:val="20"/>
                <w:szCs w:val="20"/>
                <w:color w:val="auto"/>
              </w:rPr>
            </w:pPr>
            <w:r>
              <w:rPr>
                <w:rFonts w:ascii="Arial" w:cs="Arial" w:eastAsia="Arial" w:hAnsi="Arial"/>
                <w:sz w:val="14"/>
                <w:szCs w:val="14"/>
                <w:b w:val="1"/>
                <w:bCs w:val="1"/>
                <w:color w:val="auto"/>
              </w:rPr>
              <w:t>2022</w:t>
            </w: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(used in) provided by:</w:t>
            </w:r>
          </w:p>
        </w:tc>
        <w:tc>
          <w:tcPr>
            <w:tcW w:w="3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37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(128,143)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(96,702)</w:t>
            </w: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37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2"/>
        </w:trPr>
        <w:tc>
          <w:tcPr>
            <w:tcW w:w="20" w:type="dxa"/>
            <w:vAlign w:val="bottom"/>
          </w:tcPr>
          <w:p>
            <w:pPr>
              <w:spacing w:after="0"/>
              <w:rPr>
                <w:sz w:val="19"/>
                <w:szCs w:val="19"/>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37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24,399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96,187</w:t>
            </w:r>
          </w:p>
        </w:tc>
      </w:tr>
      <w:tr>
        <w:trPr>
          <w:trHeight w:val="82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20" w:type="dxa"/>
            <w:vAlign w:val="bottom"/>
          </w:tcPr>
          <w:p>
            <w:pPr>
              <w:jc w:val="right"/>
              <w:ind w:right="1852"/>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8" w:right="1440" w:bottom="1440" w:gutter="0" w:footer="0" w:header="0"/>
        </w:sectPr>
      </w:pPr>
    </w:p>
    <w:bookmarkStart w:id="55" w:name="page56"/>
    <w:bookmarkEnd w:id="5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Net cash used in operating activities for the nine months ended September 30, 2023 was $128,143 and was primarily</w:t>
      </w:r>
    </w:p>
    <w:p>
      <w:pPr>
        <w:spacing w:after="0" w:line="27" w:lineRule="exact"/>
        <w:rPr>
          <w:sz w:val="20"/>
          <w:szCs w:val="20"/>
          <w:color w:val="auto"/>
        </w:rPr>
      </w:pPr>
    </w:p>
    <w:p>
      <w:pPr>
        <w:ind w:left="40" w:right="159"/>
        <w:spacing w:after="0" w:line="249" w:lineRule="auto"/>
        <w:rPr>
          <w:sz w:val="20"/>
          <w:szCs w:val="20"/>
          <w:color w:val="auto"/>
        </w:rPr>
      </w:pPr>
      <w:r>
        <w:rPr>
          <w:rFonts w:ascii="Arial" w:cs="Arial" w:eastAsia="Arial" w:hAnsi="Arial"/>
          <w:sz w:val="16"/>
          <w:szCs w:val="16"/>
          <w:color w:val="auto"/>
        </w:rPr>
        <w:t>attributable to our net loss of $156,797, which is due to our being in the early stages of commercial launch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our continued product development efforts, in part offset by $15,015 of non-cash stock-based compensation, a $9,098 increase in accounts payable, accrued expenses due to related parties, and other current liabilities, a $1,724 decrease in prepaid expenses, other current assets and other assets, and a $1,153 increase in accrued interest.</w:t>
      </w:r>
    </w:p>
    <w:p>
      <w:pPr>
        <w:spacing w:after="0" w:line="153" w:lineRule="exact"/>
        <w:rPr>
          <w:sz w:val="20"/>
          <w:szCs w:val="20"/>
          <w:color w:val="auto"/>
        </w:rPr>
      </w:pPr>
    </w:p>
    <w:p>
      <w:pPr>
        <w:ind w:left="40" w:right="339" w:firstLine="315"/>
        <w:spacing w:after="0" w:line="315" w:lineRule="auto"/>
        <w:rPr>
          <w:sz w:val="20"/>
          <w:szCs w:val="20"/>
          <w:color w:val="auto"/>
        </w:rPr>
      </w:pPr>
      <w:r>
        <w:rPr>
          <w:rFonts w:ascii="Arial" w:cs="Arial" w:eastAsia="Arial" w:hAnsi="Arial"/>
          <w:sz w:val="15"/>
          <w:szCs w:val="15"/>
          <w:color w:val="auto"/>
        </w:rPr>
        <w:t>Net cash used in operating activities for the nine months ended September 30, 2022 was $96,702, which was primarily attributable to our net loss of $110,949, a $1,408 increase in inventory, a $4,934 increase in prepaid expenses, other current assets and other assets, partially offset by $12,790 in non-cash stock-based compensation, as well as a $3,795 increase in accounts payable, accrued expenses and other current liabilities and a $2,896 increase in accrued interest.</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7" w:lineRule="exact"/>
        <w:rPr>
          <w:sz w:val="20"/>
          <w:szCs w:val="20"/>
          <w:color w:val="auto"/>
        </w:rPr>
      </w:pPr>
    </w:p>
    <w:p>
      <w:pPr>
        <w:ind w:left="40" w:right="759" w:firstLine="315"/>
        <w:spacing w:after="0" w:line="324" w:lineRule="auto"/>
        <w:rPr>
          <w:sz w:val="20"/>
          <w:szCs w:val="20"/>
          <w:color w:val="auto"/>
        </w:rPr>
      </w:pPr>
      <w:r>
        <w:rPr>
          <w:rFonts w:ascii="Arial" w:cs="Arial" w:eastAsia="Arial" w:hAnsi="Arial"/>
          <w:sz w:val="16"/>
          <w:szCs w:val="16"/>
          <w:color w:val="auto"/>
        </w:rPr>
        <w:t>Net cash used in investing activities for the nine months ended September 30, 2023 and 2022 was $20 and $139, respectively, and was primarily attributable to purchases of equipment and leasehold improvements.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4" w:lineRule="exact"/>
        <w:rPr>
          <w:sz w:val="20"/>
          <w:szCs w:val="20"/>
          <w:color w:val="auto"/>
        </w:rPr>
      </w:pPr>
    </w:p>
    <w:p>
      <w:pPr>
        <w:jc w:val="both"/>
        <w:ind w:left="40" w:right="179" w:firstLine="315"/>
        <w:spacing w:after="0" w:line="252" w:lineRule="auto"/>
        <w:rPr>
          <w:sz w:val="20"/>
          <w:szCs w:val="20"/>
          <w:color w:val="auto"/>
        </w:rPr>
      </w:pPr>
      <w:r>
        <w:rPr>
          <w:rFonts w:ascii="Arial" w:cs="Arial" w:eastAsia="Arial" w:hAnsi="Arial"/>
          <w:sz w:val="18"/>
          <w:szCs w:val="18"/>
          <w:color w:val="auto"/>
        </w:rPr>
        <w:t>Net cash provided by financing activities for the nine months ended September 30, 2023, was $24,399 and was primarily attributable to net proceeds received from the sale of common stock under the Sale Agreement with Jefferies of $23,918 and the exercise of stock options.</w:t>
      </w:r>
    </w:p>
    <w:p>
      <w:pPr>
        <w:spacing w:after="0" w:line="163" w:lineRule="exact"/>
        <w:rPr>
          <w:sz w:val="20"/>
          <w:szCs w:val="20"/>
          <w:color w:val="auto"/>
        </w:rPr>
      </w:pPr>
    </w:p>
    <w:p>
      <w:pPr>
        <w:ind w:left="40" w:right="219" w:firstLine="315"/>
        <w:spacing w:after="0" w:line="261" w:lineRule="auto"/>
        <w:rPr>
          <w:sz w:val="20"/>
          <w:szCs w:val="20"/>
          <w:color w:val="auto"/>
        </w:rPr>
      </w:pPr>
      <w:r>
        <w:rPr>
          <w:rFonts w:ascii="Arial" w:cs="Arial" w:eastAsia="Arial" w:hAnsi="Arial"/>
          <w:sz w:val="18"/>
          <w:szCs w:val="18"/>
          <w:color w:val="auto"/>
        </w:rPr>
        <w:t>Net cash provided by financing activities for the nine months ended September 30, 2022 was $96,187 and was primarily attributable to proceeds received from the OFA Facilities.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continue to incur significant and increasing operating losses at least for the next several years as we</w:t>
      </w:r>
    </w:p>
    <w:p>
      <w:pPr>
        <w:spacing w:after="0" w:line="27"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commercialize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as we expand our clinical trials of and seek marketing approval for BXCL501, BXCL502, BXCL701 and BXCL702, while pursuing development of additional product candidates.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66" w:lineRule="exact"/>
        <w:rPr>
          <w:sz w:val="20"/>
          <w:szCs w:val="20"/>
          <w:color w:val="auto"/>
        </w:rPr>
      </w:pPr>
    </w:p>
    <w:p>
      <w:pPr>
        <w:ind w:left="40" w:right="279" w:firstLine="315"/>
        <w:spacing w:after="0" w:line="290"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include the following as we:</w:t>
      </w:r>
    </w:p>
    <w:p>
      <w:pPr>
        <w:spacing w:after="0" w:line="123" w:lineRule="exact"/>
        <w:rPr>
          <w:sz w:val="20"/>
          <w:szCs w:val="20"/>
          <w:color w:val="auto"/>
        </w:rPr>
      </w:pPr>
    </w:p>
    <w:p>
      <w:pPr>
        <w:ind w:left="700" w:hanging="31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clinical development of our product candidates;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product candidates;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6" w:name="page57"/>
    <w:bookmarkEnd w:id="5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299" w:hanging="310"/>
        <w:spacing w:after="0" w:line="261"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commercial efforts;</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74" w:lineRule="exact"/>
        <w:rPr>
          <w:rFonts w:ascii="Arial" w:cs="Arial" w:eastAsia="Arial" w:hAnsi="Arial"/>
          <w:sz w:val="18"/>
          <w:szCs w:val="18"/>
          <w:color w:val="auto"/>
        </w:rPr>
      </w:pPr>
    </w:p>
    <w:p>
      <w:pPr>
        <w:ind w:left="700" w:right="339" w:hanging="310"/>
        <w:spacing w:after="0" w:line="308"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fully develop a sales, marketing and distribution infrastructure and scale up external manufacturing capabilities to commercialize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any product candidates for which we may obtain regulatory approval; and</w:t>
      </w:r>
    </w:p>
    <w:p>
      <w:pPr>
        <w:spacing w:after="0" w:line="1" w:lineRule="exact"/>
        <w:rPr>
          <w:rFonts w:ascii="Arial" w:cs="Arial" w:eastAsia="Arial" w:hAnsi="Arial"/>
          <w:sz w:val="16"/>
          <w:szCs w:val="16"/>
          <w:color w:val="auto"/>
        </w:rPr>
      </w:pPr>
    </w:p>
    <w:p>
      <w:pPr>
        <w:ind w:left="700" w:hanging="31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7" w:lineRule="exact"/>
        <w:rPr>
          <w:sz w:val="20"/>
          <w:szCs w:val="20"/>
          <w:color w:val="auto"/>
        </w:rPr>
      </w:pPr>
    </w:p>
    <w:p>
      <w:pPr>
        <w:ind w:left="40" w:right="319" w:firstLine="315"/>
        <w:spacing w:after="0" w:line="252" w:lineRule="auto"/>
        <w:rPr>
          <w:sz w:val="20"/>
          <w:szCs w:val="20"/>
          <w:color w:val="auto"/>
        </w:rPr>
      </w:pPr>
      <w:r>
        <w:rPr>
          <w:rFonts w:ascii="Arial" w:cs="Arial" w:eastAsia="Arial" w:hAnsi="Arial"/>
          <w:sz w:val="18"/>
          <w:szCs w:val="18"/>
          <w:color w:val="auto"/>
        </w:rPr>
        <w:t xml:space="preserve">In addition, see Note 9, </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xml:space="preserve"> in the Notes to Condensed Consolidated Financial Statements included in this Quarterly Report on Form 10-Q for additional information relating to anticipated and potential payments in the next 12 months under the Credit Agreement and RIFA.</w:t>
      </w:r>
    </w:p>
    <w:p>
      <w:pPr>
        <w:spacing w:after="0" w:line="150" w:lineRule="exact"/>
        <w:rPr>
          <w:sz w:val="20"/>
          <w:szCs w:val="20"/>
          <w:color w:val="auto"/>
        </w:rPr>
      </w:pPr>
    </w:p>
    <w:p>
      <w:pPr>
        <w:ind w:left="40" w:right="199" w:firstLine="315"/>
        <w:spacing w:after="0" w:line="277" w:lineRule="auto"/>
        <w:rPr>
          <w:sz w:val="20"/>
          <w:szCs w:val="20"/>
          <w:color w:val="auto"/>
        </w:rPr>
      </w:pPr>
      <w:r>
        <w:rPr>
          <w:rFonts w:ascii="Arial" w:cs="Arial" w:eastAsia="Arial" w:hAnsi="Arial"/>
          <w:sz w:val="16"/>
          <w:szCs w:val="16"/>
          <w:color w:val="auto"/>
        </w:rPr>
        <w:t>We believe that our existing cash and cash equivalents as of September 30, 2023,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left="40" w:right="199" w:firstLine="315"/>
        <w:spacing w:after="0" w:line="252" w:lineRule="auto"/>
        <w:rPr>
          <w:sz w:val="20"/>
          <w:szCs w:val="20"/>
          <w:color w:val="auto"/>
        </w:rPr>
      </w:pPr>
      <w:r>
        <w:rPr>
          <w:rFonts w:ascii="Arial" w:cs="Arial" w:eastAsia="Arial" w:hAnsi="Arial"/>
          <w:sz w:val="18"/>
          <w:szCs w:val="18"/>
          <w:color w:val="auto"/>
        </w:rPr>
        <w:t>In April 2022, the Company signed a commercial supply agreement that requires minimum annual payments for the first three years of the agreement that in aggregate total $10,000 for the three-year period. The minimum commitment for 2023 and 2024 is $3,000 and $5,000, respectively.</w:t>
      </w:r>
    </w:p>
    <w:p>
      <w:pPr>
        <w:spacing w:after="0" w:line="150" w:lineRule="exact"/>
        <w:rPr>
          <w:sz w:val="20"/>
          <w:szCs w:val="20"/>
          <w:color w:val="auto"/>
        </w:rPr>
      </w:pPr>
    </w:p>
    <w:p>
      <w:pPr>
        <w:ind w:left="40" w:right="139" w:firstLine="315"/>
        <w:spacing w:after="0" w:line="249" w:lineRule="auto"/>
        <w:rPr>
          <w:sz w:val="20"/>
          <w:szCs w:val="20"/>
          <w:color w:val="auto"/>
        </w:rPr>
      </w:pPr>
      <w:r>
        <w:rPr>
          <w:rFonts w:ascii="Arial" w:cs="Arial" w:eastAsia="Arial" w:hAnsi="Arial"/>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53" w:lineRule="exact"/>
        <w:rPr>
          <w:sz w:val="20"/>
          <w:szCs w:val="20"/>
          <w:color w:val="auto"/>
        </w:rPr>
      </w:pPr>
    </w:p>
    <w:p>
      <w:pPr>
        <w:ind w:left="40" w:right="179" w:firstLine="315"/>
        <w:spacing w:after="0" w:line="286" w:lineRule="auto"/>
        <w:rPr>
          <w:sz w:val="20"/>
          <w:szCs w:val="20"/>
          <w:color w:val="auto"/>
        </w:rPr>
      </w:pPr>
      <w:r>
        <w:rPr>
          <w:rFonts w:ascii="Arial" w:cs="Arial" w:eastAsia="Arial" w:hAnsi="Arial"/>
          <w:sz w:val="16"/>
          <w:szCs w:val="16"/>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$930 of payments remaining under the HQ Lease. For additional details, see Note 13,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Condensed Consolidated Financial Statements included in this Quarterly Report on Form 10-Q for additional information relating to the Company’s leases.</w:t>
      </w:r>
    </w:p>
    <w:p>
      <w:pPr>
        <w:spacing w:after="0" w:line="139" w:lineRule="exact"/>
        <w:rPr>
          <w:sz w:val="20"/>
          <w:szCs w:val="20"/>
          <w:color w:val="auto"/>
        </w:rPr>
      </w:pPr>
    </w:p>
    <w:p>
      <w:pPr>
        <w:ind w:left="40" w:right="159" w:firstLine="315"/>
        <w:spacing w:after="0" w:line="286" w:lineRule="auto"/>
        <w:rPr>
          <w:sz w:val="20"/>
          <w:szCs w:val="20"/>
          <w:color w:val="auto"/>
        </w:rPr>
      </w:pPr>
      <w:r>
        <w:rPr>
          <w:rFonts w:ascii="Arial" w:cs="Arial" w:eastAsia="Arial" w:hAnsi="Arial"/>
          <w:sz w:val="16"/>
          <w:szCs w:val="16"/>
          <w:color w:val="auto"/>
        </w:rPr>
        <w:t xml:space="preserve">In addition, we are obligated to make quarterly interest and royalty payments under our Credit Agreement and RIFA, respectively, as well as potential Revenue Covenant cure payments under the Credit Agreement. For additional details, see Note 9, </w:t>
      </w:r>
      <w:r>
        <w:rPr>
          <w:rFonts w:ascii="Arial" w:cs="Arial" w:eastAsia="Arial" w:hAnsi="Arial"/>
          <w:sz w:val="16"/>
          <w:szCs w:val="16"/>
          <w:i w:val="1"/>
          <w:iCs w:val="1"/>
          <w:color w:val="auto"/>
        </w:rPr>
        <w:t>Debt and Credit Facilities</w:t>
      </w:r>
      <w:r>
        <w:rPr>
          <w:rFonts w:ascii="Arial" w:cs="Arial" w:eastAsia="Arial" w:hAnsi="Arial"/>
          <w:sz w:val="16"/>
          <w:szCs w:val="16"/>
          <w:color w:val="auto"/>
        </w:rPr>
        <w:t xml:space="preserve"> in the Notes to Condensed Consolidated Financial Statements included in this Quarterly Report on Form 10-Q for additional information relating to the Company’s debt payment obligations. See also “— Sources of Liquidity” for additional information regarding anticipated amendments to the Company’s debt payment obligations.</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7" w:name="page58"/>
    <w:bookmarkEnd w:id="5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left="40" w:right="179" w:firstLine="315"/>
        <w:spacing w:after="0" w:line="282" w:lineRule="auto"/>
        <w:rPr>
          <w:sz w:val="20"/>
          <w:szCs w:val="20"/>
          <w:color w:val="auto"/>
        </w:rPr>
      </w:pPr>
      <w:r>
        <w:rPr>
          <w:rFonts w:ascii="Arial" w:cs="Arial" w:eastAsia="Arial" w:hAnsi="Arial"/>
          <w:sz w:val="16"/>
          <w:szCs w:val="16"/>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2022. We have reviewed and determined that those critical accounting policies and estimates remain our critical accounting policies and estimates as of and for the nine months ended September 30, 2023. No material changes were made to our existing critical accounting policies and estimates during the period presented. Refer to Note 3, </w:t>
      </w:r>
      <w:r>
        <w:rPr>
          <w:rFonts w:ascii="Arial" w:cs="Arial" w:eastAsia="Arial" w:hAnsi="Arial"/>
          <w:sz w:val="16"/>
          <w:szCs w:val="16"/>
          <w:i w:val="1"/>
          <w:iCs w:val="1"/>
          <w:color w:val="auto"/>
        </w:rPr>
        <w:t xml:space="preserve">Summary of Significant Accounting Policies </w:t>
      </w:r>
      <w:r>
        <w:rPr>
          <w:rFonts w:ascii="Arial" w:cs="Arial" w:eastAsia="Arial" w:hAnsi="Arial"/>
          <w:sz w:val="16"/>
          <w:szCs w:val="16"/>
          <w:color w:val="auto"/>
        </w:rPr>
        <w:t>in the Notes to Condensed Consolidated Financial Statements elsewhere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Form 10-Q.</w:t>
      </w:r>
    </w:p>
    <w:p>
      <w:pPr>
        <w:spacing w:after="0" w:line="124" w:lineRule="exact"/>
        <w:rPr>
          <w:sz w:val="20"/>
          <w:szCs w:val="20"/>
          <w:color w:val="auto"/>
        </w:rPr>
      </w:pPr>
    </w:p>
    <w:p>
      <w:pPr>
        <w:ind w:left="40" w:right="3899"/>
        <w:spacing w:after="0" w:line="453" w:lineRule="auto"/>
        <w:rPr>
          <w:sz w:val="20"/>
          <w:szCs w:val="20"/>
          <w:color w:val="auto"/>
        </w:rPr>
      </w:pPr>
      <w:r>
        <w:rPr>
          <w:rFonts w:ascii="Arial" w:cs="Arial" w:eastAsia="Arial" w:hAnsi="Arial"/>
          <w:sz w:val="18"/>
          <w:szCs w:val="18"/>
          <w:b w:val="1"/>
          <w:bCs w:val="1"/>
          <w:color w:val="auto"/>
        </w:rPr>
        <w:t>Item 3. Quantitative and Qualitative Disclosures about Market Risk Foreign Exchange Risk</w:t>
      </w:r>
    </w:p>
    <w:p>
      <w:pPr>
        <w:ind w:left="40" w:right="199" w:firstLine="315"/>
        <w:spacing w:after="0" w:line="248" w:lineRule="auto"/>
        <w:rPr>
          <w:sz w:val="20"/>
          <w:szCs w:val="20"/>
          <w:color w:val="auto"/>
        </w:rPr>
      </w:pPr>
      <w:r>
        <w:rPr>
          <w:rFonts w:ascii="Arial" w:cs="Arial" w:eastAsia="Arial" w:hAnsi="Arial"/>
          <w:sz w:val="18"/>
          <w:szCs w:val="18"/>
          <w:color w:val="auto"/>
        </w:rPr>
        <w:t>As of September 30, 2023, we had $89,961 of cash and cash equivalents. Our cash and cash equivalents are primarily held in money market funds that hold U.S. government cash equivalent instruments. We do not participate in any foreign currency hedging activities and have limited exposure to other derivative financial instruments, primarily resulting from the terms and conditions of the OFA Facilities. We did not recognize any significant exchange rate losses during the nine months ended September 30, 2023 and 2022, respectively.</w:t>
      </w:r>
    </w:p>
    <w:p>
      <w:pPr>
        <w:spacing w:after="0" w:line="153" w:lineRule="exact"/>
        <w:rPr>
          <w:sz w:val="20"/>
          <w:szCs w:val="20"/>
          <w:color w:val="auto"/>
        </w:rPr>
      </w:pPr>
    </w:p>
    <w:p>
      <w:pPr>
        <w:ind w:left="40" w:right="279" w:firstLine="315"/>
        <w:spacing w:after="0" w:line="284"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jc w:val="both"/>
        <w:ind w:left="40" w:right="199" w:firstLine="315"/>
        <w:spacing w:after="0" w:line="252" w:lineRule="auto"/>
        <w:rPr>
          <w:sz w:val="20"/>
          <w:szCs w:val="20"/>
          <w:color w:val="auto"/>
        </w:rPr>
      </w:pPr>
      <w:r>
        <w:rPr>
          <w:rFonts w:ascii="Arial" w:cs="Arial" w:eastAsia="Arial" w:hAnsi="Arial"/>
          <w:sz w:val="18"/>
          <w:szCs w:val="18"/>
          <w:color w:val="auto"/>
        </w:rPr>
        <w:t>The loans under the Credit Agreement currently bear interest at a fixed annual rate of 10.25%, payable quarterly, and the RIFA is repaid based on a multiple of invested capital, actual revenues and a royalty rate. Consequently, we do not currently have material floating interest rate exposure due to our indebtedness.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Capital Market Risk</w:t>
      </w:r>
    </w:p>
    <w:p>
      <w:pPr>
        <w:spacing w:after="0" w:line="180" w:lineRule="exact"/>
        <w:rPr>
          <w:sz w:val="20"/>
          <w:szCs w:val="20"/>
          <w:color w:val="auto"/>
        </w:rPr>
      </w:pPr>
    </w:p>
    <w:p>
      <w:pPr>
        <w:jc w:val="both"/>
        <w:ind w:left="40" w:right="259" w:firstLine="315"/>
        <w:spacing w:after="0" w:line="299" w:lineRule="auto"/>
        <w:rPr>
          <w:sz w:val="20"/>
          <w:szCs w:val="20"/>
          <w:color w:val="auto"/>
        </w:rPr>
      </w:pPr>
      <w:r>
        <w:rPr>
          <w:rFonts w:ascii="Arial" w:cs="Arial" w:eastAsia="Arial" w:hAnsi="Arial"/>
          <w:sz w:val="16"/>
          <w:szCs w:val="16"/>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0"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pgSz w:w="11900" w:h="16838" w:orient="portrait"/>
          <w:cols w:equalWidth="0" w:num="1">
            <w:col w:w="9019"/>
          </w:cols>
          <w:pgMar w:left="1440" w:top="508"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58" w:name="page59"/>
    <w:bookmarkEnd w:id="5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firstLine="315"/>
        <w:spacing w:after="0" w:line="252" w:lineRule="auto"/>
        <w:rPr>
          <w:sz w:val="20"/>
          <w:szCs w:val="20"/>
          <w:color w:val="auto"/>
        </w:rPr>
      </w:pPr>
      <w:r>
        <w:rPr>
          <w:rFonts w:ascii="Arial" w:cs="Arial" w:eastAsia="Arial" w:hAnsi="Arial"/>
          <w:sz w:val="18"/>
          <w:szCs w:val="18"/>
          <w:color w:val="auto"/>
        </w:rPr>
        <w:t>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jc w:val="both"/>
        <w:ind w:left="40" w:right="259" w:firstLine="631"/>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ind w:left="40" w:right="379" w:firstLine="315"/>
        <w:spacing w:after="0" w:line="290" w:lineRule="auto"/>
        <w:rPr>
          <w:sz w:val="20"/>
          <w:szCs w:val="20"/>
          <w:color w:val="auto"/>
        </w:rPr>
      </w:pPr>
      <w:r>
        <w:rPr>
          <w:rFonts w:ascii="Arial" w:cs="Arial" w:eastAsia="Arial" w:hAnsi="Arial"/>
          <w:sz w:val="16"/>
          <w:szCs w:val="16"/>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of our unaudited condensed consolidated financial statements in Part I, Item 1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Report on Form 10-Q for information regarding material legal proceedings.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left="40" w:right="139" w:firstLine="315"/>
        <w:spacing w:after="0" w:line="247" w:lineRule="auto"/>
        <w:rPr>
          <w:sz w:val="20"/>
          <w:szCs w:val="20"/>
          <w:color w:val="auto"/>
        </w:rPr>
      </w:pPr>
      <w:r>
        <w:rPr>
          <w:rFonts w:ascii="Arial" w:cs="Arial" w:eastAsia="Arial" w:hAnsi="Arial"/>
          <w:sz w:val="18"/>
          <w:szCs w:val="18"/>
          <w:color w:val="auto"/>
        </w:rPr>
        <w:t>You should carefully consider the risks described below, as well as general economic and business risks and the other information in this Quarterly Report on Form 10-Q and our Annual Report on Form 10-K for the fiscal year ended December 31, 2022.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180" w:lineRule="exact"/>
        <w:rPr>
          <w:sz w:val="20"/>
          <w:szCs w:val="20"/>
          <w:color w:val="auto"/>
        </w:rPr>
      </w:pPr>
    </w:p>
    <w:p>
      <w:pPr>
        <w:ind w:left="40" w:right="599"/>
        <w:spacing w:after="0" w:line="324" w:lineRule="auto"/>
        <w:rPr>
          <w:sz w:val="20"/>
          <w:szCs w:val="20"/>
          <w:color w:val="auto"/>
        </w:rPr>
      </w:pPr>
      <w:r>
        <w:rPr>
          <w:rFonts w:ascii="Arial" w:cs="Arial" w:eastAsia="Arial" w:hAnsi="Arial"/>
          <w:sz w:val="16"/>
          <w:szCs w:val="16"/>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08" w:lineRule="exact"/>
        <w:rPr>
          <w:sz w:val="20"/>
          <w:szCs w:val="20"/>
          <w:color w:val="auto"/>
        </w:rPr>
      </w:pPr>
    </w:p>
    <w:p>
      <w:pPr>
        <w:ind w:left="40" w:right="399" w:firstLine="315"/>
        <w:spacing w:after="0" w:line="282"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30" w:lineRule="exact"/>
        <w:rPr>
          <w:sz w:val="20"/>
          <w:szCs w:val="20"/>
          <w:color w:val="auto"/>
        </w:rPr>
      </w:pPr>
    </w:p>
    <w:p>
      <w:pPr>
        <w:ind w:left="40" w:right="299" w:firstLine="315"/>
        <w:spacing w:after="0" w:line="290"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23" w:lineRule="exact"/>
        <w:rPr>
          <w:sz w:val="20"/>
          <w:szCs w:val="20"/>
          <w:color w:val="auto"/>
        </w:rPr>
      </w:pPr>
    </w:p>
    <w:p>
      <w:pPr>
        <w:ind w:left="40" w:right="499"/>
        <w:spacing w:after="0" w:line="324" w:lineRule="auto"/>
        <w:rPr>
          <w:sz w:val="20"/>
          <w:szCs w:val="20"/>
          <w:color w:val="auto"/>
        </w:rPr>
      </w:pPr>
      <w:r>
        <w:rPr>
          <w:rFonts w:ascii="Arial" w:cs="Arial" w:eastAsia="Arial" w:hAnsi="Arial"/>
          <w:sz w:val="16"/>
          <w:szCs w:val="16"/>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08" w:lineRule="exact"/>
        <w:rPr>
          <w:sz w:val="20"/>
          <w:szCs w:val="20"/>
          <w:color w:val="auto"/>
        </w:rPr>
      </w:pPr>
    </w:p>
    <w:p>
      <w:pPr>
        <w:ind w:left="40" w:right="339" w:firstLine="315"/>
        <w:spacing w:after="0" w:line="264" w:lineRule="auto"/>
        <w:rPr>
          <w:sz w:val="20"/>
          <w:szCs w:val="20"/>
          <w:color w:val="auto"/>
        </w:rPr>
      </w:pPr>
      <w:r>
        <w:rPr>
          <w:rFonts w:ascii="Arial" w:cs="Arial" w:eastAsia="Arial" w:hAnsi="Arial"/>
          <w:sz w:val="16"/>
          <w:szCs w:val="16"/>
          <w:color w:val="auto"/>
        </w:rPr>
        <w:t>Since our inception, we have incurred significant operating losses. Our net loss was $156.8 million and $110.9 million for the nine months ended September 30, 2023 and 2022, respectively. As of September 30, 2023, we had stockholders’ deficit of approximately $40.6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may increase in the long term as we:</w:t>
      </w:r>
    </w:p>
    <w:p>
      <w:pPr>
        <w:spacing w:after="0" w:line="141" w:lineRule="exact"/>
        <w:rPr>
          <w:sz w:val="20"/>
          <w:szCs w:val="20"/>
          <w:color w:val="auto"/>
        </w:rPr>
      </w:pPr>
    </w:p>
    <w:p>
      <w:pPr>
        <w:ind w:left="720" w:hanging="3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 the development of our product candidates;</w:t>
      </w:r>
    </w:p>
    <w:p>
      <w:pPr>
        <w:spacing w:after="0" w:line="174" w:lineRule="exact"/>
        <w:rPr>
          <w:rFonts w:ascii="Arial" w:cs="Arial" w:eastAsia="Arial" w:hAnsi="Arial"/>
          <w:sz w:val="18"/>
          <w:szCs w:val="18"/>
          <w:color w:val="auto"/>
        </w:rPr>
      </w:pPr>
    </w:p>
    <w:p>
      <w:pPr>
        <w:ind w:left="680" w:right="379" w:hanging="316"/>
        <w:spacing w:after="0" w:line="261"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0" w:name="page61"/>
    <w:bookmarkEnd w:id="6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0" w:hanging="31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174" w:lineRule="exact"/>
        <w:rPr>
          <w:rFonts w:ascii="Arial" w:cs="Arial" w:eastAsia="Arial" w:hAnsi="Arial"/>
          <w:sz w:val="18"/>
          <w:szCs w:val="18"/>
          <w:color w:val="auto"/>
        </w:rPr>
      </w:pPr>
    </w:p>
    <w:p>
      <w:pPr>
        <w:ind w:left="680" w:hanging="316"/>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pursue regulatory approvals for our current and future product candidates that successfully complete clinical trials;</w:t>
      </w:r>
    </w:p>
    <w:p>
      <w:pPr>
        <w:spacing w:after="0" w:line="187" w:lineRule="exact"/>
        <w:rPr>
          <w:rFonts w:ascii="Arial" w:cs="Arial" w:eastAsia="Arial" w:hAnsi="Arial"/>
          <w:sz w:val="16"/>
          <w:szCs w:val="16"/>
          <w:color w:val="auto"/>
        </w:rPr>
      </w:pPr>
    </w:p>
    <w:p>
      <w:pPr>
        <w:ind w:left="680" w:right="239" w:hanging="316"/>
        <w:spacing w:after="0" w:line="209"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 appropriate sales, marketing, and distribution infrastructure to commercialize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other product candidates for which we may obtain marketing approval;</w:t>
      </w:r>
    </w:p>
    <w:p>
      <w:pPr>
        <w:spacing w:after="0" w:line="160" w:lineRule="exact"/>
        <w:rPr>
          <w:rFonts w:ascii="Arial" w:cs="Arial" w:eastAsia="Arial" w:hAnsi="Arial"/>
          <w:sz w:val="18"/>
          <w:szCs w:val="18"/>
          <w:color w:val="auto"/>
        </w:rPr>
      </w:pPr>
    </w:p>
    <w:p>
      <w:pPr>
        <w:ind w:left="680" w:hanging="31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hire additional clinical, commercial, regulatory, scientific and finance personnel; and</w:t>
      </w:r>
    </w:p>
    <w:p>
      <w:pPr>
        <w:spacing w:after="0" w:line="174" w:lineRule="exact"/>
        <w:rPr>
          <w:rFonts w:ascii="Arial" w:cs="Arial" w:eastAsia="Arial" w:hAnsi="Arial"/>
          <w:sz w:val="18"/>
          <w:szCs w:val="18"/>
          <w:color w:val="auto"/>
        </w:rPr>
      </w:pPr>
    </w:p>
    <w:p>
      <w:pPr>
        <w:ind w:left="680" w:hanging="31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87" w:lineRule="exact"/>
        <w:rPr>
          <w:sz w:val="20"/>
          <w:szCs w:val="20"/>
          <w:color w:val="auto"/>
        </w:rPr>
      </w:pPr>
    </w:p>
    <w:p>
      <w:pPr>
        <w:ind w:left="40" w:right="159" w:firstLine="315"/>
        <w:spacing w:after="0" w:line="258" w:lineRule="auto"/>
        <w:rPr>
          <w:sz w:val="20"/>
          <w:szCs w:val="20"/>
          <w:color w:val="auto"/>
        </w:rPr>
      </w:pPr>
      <w:r>
        <w:rPr>
          <w:rFonts w:ascii="Arial" w:cs="Arial" w:eastAsia="Arial" w:hAnsi="Arial"/>
          <w:sz w:val="16"/>
          <w:szCs w:val="16"/>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37" w:lineRule="exact"/>
        <w:rPr>
          <w:sz w:val="20"/>
          <w:szCs w:val="20"/>
          <w:color w:val="auto"/>
        </w:rPr>
      </w:pPr>
    </w:p>
    <w:p>
      <w:pPr>
        <w:ind w:left="40" w:right="159" w:firstLine="315"/>
        <w:spacing w:after="0" w:line="267" w:lineRule="auto"/>
        <w:rPr>
          <w:sz w:val="20"/>
          <w:szCs w:val="20"/>
          <w:color w:val="auto"/>
        </w:rPr>
      </w:pPr>
      <w:r>
        <w:rPr>
          <w:rFonts w:ascii="Arial" w:cs="Arial" w:eastAsia="Arial" w:hAnsi="Arial"/>
          <w:sz w:val="16"/>
          <w:szCs w:val="16"/>
          <w:color w:val="auto"/>
        </w:rPr>
        <w:t>Although we have obtained U.S. Food and Drug Administration (“FDA”) approval for IGALMI</w:t>
      </w:r>
      <w:r>
        <w:rPr>
          <w:rFonts w:ascii="Arial" w:cs="Arial" w:eastAsia="Arial" w:hAnsi="Arial"/>
          <w:sz w:val="24"/>
          <w:szCs w:val="24"/>
          <w:color w:val="auto"/>
          <w:vertAlign w:val="superscript"/>
        </w:rPr>
        <w:t>TM</w:t>
      </w:r>
      <w:r>
        <w:rPr>
          <w:rFonts w:ascii="Arial" w:cs="Arial" w:eastAsia="Arial" w:hAnsi="Arial"/>
          <w:sz w:val="16"/>
          <w:szCs w:val="16"/>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recent developments with respect to our TRANQUILITY II trial evaluating BXCL501 in patients with probable Alzheimer’s disease may increase the likelihood that we experience such costs or delays, as discussed in the risk factor below entitled: “</w:t>
      </w:r>
      <w:r>
        <w:rPr>
          <w:rFonts w:ascii="Arial" w:cs="Arial" w:eastAsia="Arial" w:hAnsi="Arial"/>
          <w:sz w:val="16"/>
          <w:szCs w:val="16"/>
          <w:i w:val="1"/>
          <w:iCs w:val="1"/>
          <w:color w:val="auto"/>
        </w:rPr>
        <w:t>Developments relating to our TRANQUILITY II Phase 3 trial</w:t>
      </w:r>
      <w:r>
        <w:rPr>
          <w:rFonts w:ascii="Arial" w:cs="Arial" w:eastAsia="Arial" w:hAnsi="Arial"/>
          <w:sz w:val="16"/>
          <w:szCs w:val="16"/>
          <w:color w:val="auto"/>
        </w:rPr>
        <w:t xml:space="preserve"> </w:t>
      </w:r>
      <w:r>
        <w:rPr>
          <w:rFonts w:ascii="Arial" w:cs="Arial" w:eastAsia="Arial" w:hAnsi="Arial"/>
          <w:sz w:val="16"/>
          <w:szCs w:val="16"/>
          <w:i w:val="1"/>
          <w:iCs w:val="1"/>
          <w:color w:val="auto"/>
        </w:rPr>
        <w:t>may impact the timing of our development plans for, and prospects for seeking or obtaining regulatory approval of, BXCL501 for the acute treatment of agitation (non-daily) associated with dementia in patients with probable Alzheimer’s disease</w:t>
      </w:r>
      <w:r>
        <w:rPr>
          <w:rFonts w:ascii="Arial" w:cs="Arial" w:eastAsia="Arial" w:hAnsi="Arial"/>
          <w:sz w:val="16"/>
          <w:szCs w:val="16"/>
          <w:color w:val="auto"/>
        </w:rPr>
        <w:t>.”</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w:t>
      </w:r>
    </w:p>
    <w:p>
      <w:pPr>
        <w:spacing w:after="0" w:line="210" w:lineRule="exact"/>
        <w:rPr>
          <w:sz w:val="20"/>
          <w:szCs w:val="20"/>
          <w:color w:val="auto"/>
        </w:rPr>
      </w:pPr>
    </w:p>
    <w:p>
      <w:pPr>
        <w:ind w:left="40" w:right="179" w:firstLine="315"/>
        <w:spacing w:after="0" w:line="299" w:lineRule="auto"/>
        <w:rPr>
          <w:sz w:val="20"/>
          <w:szCs w:val="20"/>
          <w:color w:val="auto"/>
        </w:rPr>
      </w:pPr>
      <w:r>
        <w:rPr>
          <w:rFonts w:ascii="Arial" w:cs="Arial" w:eastAsia="Arial" w:hAnsi="Arial"/>
          <w:sz w:val="16"/>
          <w:szCs w:val="16"/>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strategic reprioritization and related reduction in force may not achieve our intended outcome.</w:t>
      </w:r>
    </w:p>
    <w:p>
      <w:pPr>
        <w:spacing w:after="0" w:line="214" w:lineRule="exact"/>
        <w:rPr>
          <w:sz w:val="20"/>
          <w:szCs w:val="20"/>
          <w:color w:val="auto"/>
        </w:rPr>
      </w:pPr>
    </w:p>
    <w:p>
      <w:pPr>
        <w:ind w:left="40" w:right="159" w:firstLine="315"/>
        <w:spacing w:after="0" w:line="282" w:lineRule="auto"/>
        <w:rPr>
          <w:sz w:val="20"/>
          <w:szCs w:val="20"/>
          <w:color w:val="auto"/>
        </w:rPr>
      </w:pPr>
      <w:r>
        <w:rPr>
          <w:rFonts w:ascii="Arial" w:cs="Arial" w:eastAsia="Arial" w:hAnsi="Arial"/>
          <w:sz w:val="15"/>
          <w:szCs w:val="15"/>
          <w:color w:val="auto"/>
        </w:rPr>
        <w:t>In August 2023, we announced a broad-based strategic reprioritization (the “Reprioritization”). We have determined to take actions to reduce certain operational and workforce expenses that are no longer deemed core to our ongoing operations in order to extend our cash runway and drive innovation and growth in high potential clinical development and value creating opportunities. These actions have included and will continue to include a shift in commercial strategy for IGALMI</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our Board of Directors approved a reduction of approximately 60% of the Company’s current workforce.</w:t>
      </w:r>
    </w:p>
    <w:p>
      <w:pPr>
        <w:spacing w:after="0" w:line="169" w:lineRule="exact"/>
        <w:rPr>
          <w:sz w:val="20"/>
          <w:szCs w:val="20"/>
          <w:color w:val="auto"/>
        </w:rPr>
      </w:pPr>
    </w:p>
    <w:p>
      <w:pPr>
        <w:ind w:left="40" w:right="259" w:firstLine="315"/>
        <w:spacing w:after="0" w:line="290" w:lineRule="auto"/>
        <w:rPr>
          <w:sz w:val="20"/>
          <w:szCs w:val="20"/>
          <w:color w:val="auto"/>
        </w:rPr>
      </w:pPr>
      <w:r>
        <w:rPr>
          <w:rFonts w:ascii="Arial" w:cs="Arial" w:eastAsia="Arial" w:hAnsi="Arial"/>
          <w:sz w:val="16"/>
          <w:szCs w:val="16"/>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1" w:name="page62"/>
    <w:bookmarkEnd w:id="6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79"/>
        <w:spacing w:after="0" w:line="284" w:lineRule="auto"/>
        <w:rPr>
          <w:sz w:val="20"/>
          <w:szCs w:val="20"/>
          <w:color w:val="auto"/>
        </w:rPr>
      </w:pPr>
      <w:r>
        <w:rPr>
          <w:rFonts w:ascii="Arial" w:cs="Arial" w:eastAsia="Arial" w:hAnsi="Arial"/>
          <w:sz w:val="16"/>
          <w:szCs w:val="16"/>
          <w:color w:val="auto"/>
        </w:rPr>
        <w:t>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66" w:lineRule="exact"/>
        <w:rPr>
          <w:sz w:val="20"/>
          <w:szCs w:val="20"/>
          <w:color w:val="auto"/>
        </w:rPr>
      </w:pPr>
    </w:p>
    <w:p>
      <w:pPr>
        <w:jc w:val="both"/>
        <w:ind w:left="40" w:right="139" w:firstLine="315"/>
        <w:spacing w:after="0" w:line="237" w:lineRule="auto"/>
        <w:rPr>
          <w:sz w:val="20"/>
          <w:szCs w:val="20"/>
          <w:color w:val="auto"/>
        </w:rPr>
      </w:pPr>
      <w:r>
        <w:rPr>
          <w:rFonts w:ascii="Arial" w:cs="Arial" w:eastAsia="Arial" w:hAnsi="Arial"/>
          <w:sz w:val="16"/>
          <w:szCs w:val="16"/>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in the near term because our commercial force will be significantly reduced. If we are unable to commercialize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0" w:lineRule="exact"/>
        <w:rPr>
          <w:sz w:val="20"/>
          <w:szCs w:val="20"/>
          <w:color w:val="auto"/>
        </w:rPr>
      </w:pPr>
    </w:p>
    <w:p>
      <w:pPr>
        <w:jc w:val="both"/>
        <w:ind w:left="40" w:right="139" w:firstLine="315"/>
        <w:spacing w:after="0" w:line="278" w:lineRule="auto"/>
        <w:rPr>
          <w:sz w:val="20"/>
          <w:szCs w:val="20"/>
          <w:color w:val="auto"/>
        </w:rPr>
      </w:pPr>
      <w:r>
        <w:rPr>
          <w:rFonts w:ascii="Arial" w:cs="Arial" w:eastAsia="Arial" w:hAnsi="Arial"/>
          <w:sz w:val="16"/>
          <w:szCs w:val="16"/>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74" w:lineRule="exact"/>
        <w:rPr>
          <w:sz w:val="20"/>
          <w:szCs w:val="20"/>
          <w:color w:val="auto"/>
        </w:rPr>
      </w:pPr>
    </w:p>
    <w:p>
      <w:pPr>
        <w:ind w:left="40" w:right="559"/>
        <w:spacing w:after="0" w:line="324" w:lineRule="auto"/>
        <w:rPr>
          <w:sz w:val="20"/>
          <w:szCs w:val="20"/>
          <w:color w:val="auto"/>
        </w:rPr>
      </w:pPr>
      <w:r>
        <w:rPr>
          <w:rFonts w:ascii="Arial" w:cs="Arial" w:eastAsia="Arial" w:hAnsi="Arial"/>
          <w:sz w:val="16"/>
          <w:szCs w:val="16"/>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08" w:lineRule="exact"/>
        <w:rPr>
          <w:sz w:val="20"/>
          <w:szCs w:val="20"/>
          <w:color w:val="auto"/>
        </w:rPr>
      </w:pPr>
    </w:p>
    <w:p>
      <w:pPr>
        <w:ind w:left="40" w:right="379" w:firstLine="315"/>
        <w:spacing w:after="0" w:line="279" w:lineRule="auto"/>
        <w:rPr>
          <w:sz w:val="20"/>
          <w:szCs w:val="20"/>
          <w:color w:val="auto"/>
        </w:rPr>
      </w:pPr>
      <w:r>
        <w:rPr>
          <w:rFonts w:ascii="Arial" w:cs="Arial" w:eastAsia="Arial" w:hAnsi="Arial"/>
          <w:sz w:val="16"/>
          <w:szCs w:val="16"/>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22" w:lineRule="exact"/>
        <w:rPr>
          <w:sz w:val="20"/>
          <w:szCs w:val="20"/>
          <w:color w:val="auto"/>
        </w:rPr>
      </w:pPr>
    </w:p>
    <w:p>
      <w:pPr>
        <w:ind w:left="40" w:right="239" w:firstLine="315"/>
        <w:spacing w:after="0" w:line="266" w:lineRule="auto"/>
        <w:rPr>
          <w:sz w:val="20"/>
          <w:szCs w:val="20"/>
          <w:color w:val="auto"/>
        </w:rPr>
      </w:pPr>
      <w:r>
        <w:rPr>
          <w:rFonts w:ascii="Arial" w:cs="Arial" w:eastAsia="Arial" w:hAnsi="Arial"/>
          <w:sz w:val="16"/>
          <w:szCs w:val="16"/>
          <w:color w:val="auto"/>
        </w:rPr>
        <w:t>We may be required to expend significant funds to continue to commercialize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2" w:name="page63"/>
    <w:bookmarkEnd w:id="6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spacing w:after="0" w:line="286" w:lineRule="auto"/>
        <w:rPr>
          <w:sz w:val="20"/>
          <w:szCs w:val="20"/>
          <w:color w:val="auto"/>
        </w:rPr>
      </w:pPr>
      <w:r>
        <w:rPr>
          <w:rFonts w:ascii="Arial" w:cs="Arial" w:eastAsia="Arial" w:hAnsi="Arial"/>
          <w:sz w:val="16"/>
          <w:szCs w:val="16"/>
          <w:color w:val="auto"/>
        </w:rPr>
        <w:t>our cash and cash equivalents. If such institutions were to close, we may not be able to recover all of our cash or cash equivalents held at such institutions. Moreover, market volatility resulting from COVID-19, credit crises, adverse macroeconomic conditions, such as high interest or inflation rates,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39" w:lineRule="exact"/>
        <w:rPr>
          <w:sz w:val="20"/>
          <w:szCs w:val="20"/>
          <w:color w:val="auto"/>
        </w:rPr>
      </w:pPr>
    </w:p>
    <w:p>
      <w:pPr>
        <w:ind w:left="40" w:right="139" w:firstLine="315"/>
        <w:spacing w:after="0" w:line="301" w:lineRule="auto"/>
        <w:rPr>
          <w:sz w:val="20"/>
          <w:szCs w:val="20"/>
          <w:color w:val="auto"/>
        </w:rPr>
      </w:pPr>
      <w:r>
        <w:rPr>
          <w:rFonts w:ascii="Arial" w:cs="Arial" w:eastAsia="Arial" w:hAnsi="Arial"/>
          <w:sz w:val="15"/>
          <w:szCs w:val="15"/>
          <w:color w:val="auto"/>
        </w:rPr>
        <w:t>Management believes that, after giving effect to the Reprioritization, the Company’s cash, cash equivalents and marketable securities of $90 million as of September 30, 2023 will allow the Company to fund its operations and meet its liquidity requirements into mid-2024. However, the expected cost benefit of the Reprioritization cannot be assured, and there can be no assurance that we will be able to extend our cash runway by restructuring or amending the terms of our OFA Facilities (as defined below) or otherwise. 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17" w:lineRule="exact"/>
        <w:rPr>
          <w:sz w:val="20"/>
          <w:szCs w:val="20"/>
          <w:color w:val="auto"/>
        </w:rPr>
      </w:pPr>
    </w:p>
    <w:p>
      <w:pPr>
        <w:jc w:val="both"/>
        <w:ind w:left="700" w:right="339" w:hanging="310"/>
        <w:spacing w:after="0" w:line="252"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our product candidates, including any delays that have occurred or may occur due to the recent developments with the TRANQUILITY II and TRANQUILITY III trials;</w:t>
      </w:r>
    </w:p>
    <w:p>
      <w:pPr>
        <w:spacing w:after="0" w:line="149" w:lineRule="exact"/>
        <w:rPr>
          <w:rFonts w:ascii="Arial" w:cs="Arial" w:eastAsia="Arial" w:hAnsi="Arial"/>
          <w:sz w:val="18"/>
          <w:szCs w:val="18"/>
          <w:color w:val="auto"/>
        </w:rPr>
      </w:pPr>
    </w:p>
    <w:p>
      <w:pPr>
        <w:ind w:left="700" w:hanging="310"/>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enter into and the terms and timing of any collaborations, licensing agreements or other arrangements;</w:t>
      </w:r>
    </w:p>
    <w:p>
      <w:pPr>
        <w:spacing w:after="0" w:line="210" w:lineRule="exact"/>
        <w:rPr>
          <w:rFonts w:ascii="Arial" w:cs="Arial" w:eastAsia="Arial" w:hAnsi="Arial"/>
          <w:sz w:val="16"/>
          <w:szCs w:val="16"/>
          <w:color w:val="auto"/>
        </w:rPr>
      </w:pPr>
    </w:p>
    <w:p>
      <w:pPr>
        <w:ind w:left="700" w:hanging="31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164" w:lineRule="exact"/>
        <w:rPr>
          <w:rFonts w:ascii="Arial" w:cs="Arial" w:eastAsia="Arial" w:hAnsi="Arial"/>
          <w:sz w:val="18"/>
          <w:szCs w:val="18"/>
          <w:color w:val="auto"/>
        </w:rPr>
      </w:pPr>
    </w:p>
    <w:p>
      <w:pPr>
        <w:ind w:left="700" w:right="139" w:hanging="310"/>
        <w:spacing w:after="0" w:line="230"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costs of commercialization activities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1" w:lineRule="exact"/>
        <w:rPr>
          <w:rFonts w:ascii="Arial" w:cs="Arial" w:eastAsia="Arial" w:hAnsi="Arial"/>
          <w:sz w:val="17"/>
          <w:szCs w:val="17"/>
          <w:color w:val="auto"/>
        </w:rPr>
      </w:pPr>
    </w:p>
    <w:p>
      <w:pPr>
        <w:ind w:left="700" w:right="239" w:hanging="310"/>
        <w:spacing w:after="0" w:line="261"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44" w:lineRule="exact"/>
        <w:rPr>
          <w:rFonts w:ascii="Arial" w:cs="Arial" w:eastAsia="Arial" w:hAnsi="Arial"/>
          <w:sz w:val="18"/>
          <w:szCs w:val="18"/>
          <w:color w:val="auto"/>
        </w:rPr>
      </w:pPr>
    </w:p>
    <w:p>
      <w:pPr>
        <w:ind w:left="700" w:hanging="31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received from commercial sales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our current and future product candidates;</w:t>
      </w:r>
    </w:p>
    <w:p>
      <w:pPr>
        <w:spacing w:after="0" w:line="91" w:lineRule="exact"/>
        <w:rPr>
          <w:rFonts w:ascii="Arial" w:cs="Arial" w:eastAsia="Arial" w:hAnsi="Arial"/>
          <w:sz w:val="18"/>
          <w:szCs w:val="18"/>
          <w:color w:val="auto"/>
        </w:rPr>
      </w:pPr>
    </w:p>
    <w:p>
      <w:pPr>
        <w:ind w:left="700" w:right="739" w:hanging="310"/>
        <w:spacing w:after="0" w:line="261"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197" w:lineRule="exact"/>
        <w:rPr>
          <w:rFonts w:ascii="Arial" w:cs="Arial" w:eastAsia="Arial" w:hAnsi="Arial"/>
          <w:sz w:val="16"/>
          <w:szCs w:val="16"/>
          <w:color w:val="auto"/>
        </w:rPr>
      </w:pPr>
    </w:p>
    <w:p>
      <w:pPr>
        <w:ind w:left="700" w:hanging="31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any adverse market conditions or other macroeconomic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3" w:name="page64"/>
    <w:bookmarkEnd w:id="6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99" w:lineRule="auto"/>
        <w:rPr>
          <w:sz w:val="20"/>
          <w:szCs w:val="20"/>
          <w:color w:val="auto"/>
        </w:rPr>
      </w:pPr>
      <w:r>
        <w:rPr>
          <w:rFonts w:ascii="Arial" w:cs="Arial" w:eastAsia="Arial" w:hAnsi="Arial"/>
          <w:sz w:val="16"/>
          <w:szCs w:val="16"/>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OFA Facilities.</w:t>
      </w:r>
    </w:p>
    <w:p>
      <w:pPr>
        <w:spacing w:after="0" w:line="127" w:lineRule="exact"/>
        <w:rPr>
          <w:sz w:val="20"/>
          <w:szCs w:val="20"/>
          <w:color w:val="auto"/>
        </w:rPr>
      </w:pPr>
    </w:p>
    <w:p>
      <w:pPr>
        <w:ind w:left="40" w:right="219" w:firstLine="315"/>
        <w:spacing w:after="0" w:line="258" w:lineRule="auto"/>
        <w:rPr>
          <w:sz w:val="20"/>
          <w:szCs w:val="20"/>
          <w:color w:val="auto"/>
        </w:rPr>
      </w:pPr>
      <w:r>
        <w:rPr>
          <w:rFonts w:ascii="Arial" w:cs="Arial" w:eastAsia="Arial" w:hAnsi="Arial"/>
          <w:sz w:val="16"/>
          <w:szCs w:val="16"/>
          <w:color w:val="auto"/>
        </w:rPr>
        <w:t>As of September 30, 2023, we had aggregate principal indebtedness of $102 million outstanding under two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 by and among the Company, the purchasers party thereto (the “Purchasers”) and OFA as administrative agent. Approximately $72 million of the indebtedness relates to the Credit Agreement, pursuant to which the Lenders have agreed to loan us up to an additional $65.0 million in senior secured term loans under satisfaction of certain conditions, and $30.0 million relates to the RIFA, pursuant to which the Purchasers agreed to fund an additional $90.0 million upon satisfaction of certain conditions. The RIFA requires us to make tiered revenue interest payments on U.S. net sales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any other future BXCL501 products equal to a royalty ranging from 0.375% to 7.750% of net sales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any other future BXCL501 products in the U.S., as well as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w:t>
      </w:r>
    </w:p>
    <w:p>
      <w:pPr>
        <w:spacing w:after="0" w:line="148" w:lineRule="exact"/>
        <w:rPr>
          <w:sz w:val="20"/>
          <w:szCs w:val="20"/>
          <w:color w:val="auto"/>
        </w:rPr>
      </w:pPr>
    </w:p>
    <w:p>
      <w:pPr>
        <w:ind w:left="40" w:right="139" w:firstLine="315"/>
        <w:spacing w:after="0" w:line="300" w:lineRule="auto"/>
        <w:rPr>
          <w:sz w:val="20"/>
          <w:szCs w:val="20"/>
          <w:color w:val="auto"/>
        </w:rPr>
      </w:pPr>
      <w:r>
        <w:rPr>
          <w:rFonts w:ascii="Arial" w:cs="Arial" w:eastAsia="Arial" w:hAnsi="Arial"/>
          <w:sz w:val="15"/>
          <w:szCs w:val="15"/>
          <w:color w:val="auto"/>
        </w:rPr>
        <w:t xml:space="preserve">Based on current revenue projections, we expect that we will be required to make cure payments in 2024 for shortfalls under the Revenue Covenant (as defined in Note 9, </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in 2023 and 2024. Such payments could be up to an aggregate of approximately $33,556 for the first three cure periods following the date of this Quarterly Report on Form 10-Q (which payment dates will take place on April 14, 2024, May 30, 2024, and August 29, 2024). We are only permitted to make cure payments for shortfalls under the Revenue Covenant up to three times during the term of the Credit Agreement. Subsequent to such three opportunities to cure a breach of the Revenue Covenant, which could be fully utilized as early as the payment due for the quarter ended September 30, 2024, the Company would default on the Credit Agreement and Guaranty if it is unable to satisfy the Revenue Covenant for any subsequent fiscal quarter. Given the anticipated and/or potential payment obligations that may become due within the next 12 months under the Credit Agreement, we are in active discussions with lenders to potentially restructure our financing arrangements and/or waive the Revenue Covenant.</w:t>
      </w:r>
    </w:p>
    <w:p>
      <w:pPr>
        <w:spacing w:after="0" w:line="157"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Our ability to make scheduled payments or payments to maintain compliance with covenants or to restructure or refinance these and other outstanding debt obligations depends on our financial and operating performance, which will be affected by prevailing economic, industry and competitive conditions and by financial, business and other factors beyond our control. A failure to pay our debt, fixed costs and other obligations or a breach of our contractual obligations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30" w:lineRule="exact"/>
        <w:rPr>
          <w:sz w:val="20"/>
          <w:szCs w:val="20"/>
          <w:color w:val="auto"/>
        </w:rPr>
      </w:pPr>
    </w:p>
    <w:p>
      <w:pPr>
        <w:ind w:left="40" w:right="139" w:firstLine="315"/>
        <w:spacing w:after="0" w:line="282" w:lineRule="auto"/>
        <w:rPr>
          <w:sz w:val="20"/>
          <w:szCs w:val="20"/>
          <w:color w:val="auto"/>
        </w:rPr>
      </w:pPr>
      <w:r>
        <w:rPr>
          <w:rFonts w:ascii="Arial" w:cs="Arial" w:eastAsia="Arial" w:hAnsi="Arial"/>
          <w:sz w:val="16"/>
          <w:szCs w:val="16"/>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w:t>
      </w:r>
    </w:p>
    <w:p>
      <w:pPr>
        <w:spacing w:after="0" w:line="143" w:lineRule="exact"/>
        <w:rPr>
          <w:sz w:val="20"/>
          <w:szCs w:val="20"/>
          <w:color w:val="auto"/>
        </w:rPr>
      </w:pPr>
    </w:p>
    <w:p>
      <w:pPr>
        <w:ind w:left="40" w:right="279" w:firstLine="315"/>
        <w:spacing w:after="0" w:line="282" w:lineRule="auto"/>
        <w:rPr>
          <w:sz w:val="20"/>
          <w:szCs w:val="20"/>
          <w:color w:val="auto"/>
        </w:rPr>
      </w:pPr>
      <w:r>
        <w:rPr>
          <w:rFonts w:ascii="Arial" w:cs="Arial" w:eastAsia="Arial" w:hAnsi="Arial"/>
          <w:sz w:val="16"/>
          <w:szCs w:val="16"/>
          <w:color w:val="auto"/>
        </w:rPr>
        <w:t>Restrictive covenants in the Credit Agreement and RIFA each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covenants under the Credit Agreement, including a financial covenant that requires we maintain a minimum cash liquidity amount of $15 million (or higher upon certain events) and, as discussed above, minimum revenue</w:t>
      </w:r>
    </w:p>
    <w:p>
      <w:pPr>
        <w:sectPr>
          <w:pgSz w:w="11900" w:h="16838" w:orient="portrait"/>
          <w:cols w:equalWidth="0" w:num="1">
            <w:col w:w="9019"/>
          </w:cols>
          <w:pgMar w:left="1440" w:top="508" w:right="1440" w:bottom="1440" w:gutter="0" w:footer="0" w:header="0"/>
        </w:sect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64" w:name="page65"/>
    <w:bookmarkEnd w:id="6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79" w:lineRule="auto"/>
        <w:rPr>
          <w:sz w:val="20"/>
          <w:szCs w:val="20"/>
          <w:color w:val="auto"/>
        </w:rPr>
      </w:pPr>
      <w:r>
        <w:rPr>
          <w:rFonts w:ascii="Arial" w:cs="Arial" w:eastAsia="Arial" w:hAnsi="Arial"/>
          <w:sz w:val="16"/>
          <w:szCs w:val="16"/>
          <w:color w:val="auto"/>
        </w:rPr>
        <w:t>thresholds beginning with the fourth quarter of 2023. In addition, certain events, including receipt of a warning letter from the FDA, may constitute an event of default. The 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us to repurchase certain of the Purchasers’ interests. Under the RIFA, we are required to use commercially reasonable efforts to develop and commercialize BXCL501 in the United States. To the extent as a result of the Reprioritization or otherwise, we fail to use such commercially reasonable efforts, a breach of the RIFA could occur, which could also trigger an event of default under the Credit Agreement.</w:t>
      </w:r>
    </w:p>
    <w:p>
      <w:pPr>
        <w:spacing w:after="0" w:line="174" w:lineRule="exact"/>
        <w:rPr>
          <w:sz w:val="20"/>
          <w:szCs w:val="20"/>
          <w:color w:val="auto"/>
        </w:rPr>
      </w:pPr>
    </w:p>
    <w:p>
      <w:pPr>
        <w:ind w:left="40" w:right="459" w:firstLine="315"/>
        <w:spacing w:after="0" w:line="247" w:lineRule="auto"/>
        <w:rPr>
          <w:sz w:val="20"/>
          <w:szCs w:val="20"/>
          <w:color w:val="auto"/>
        </w:rPr>
      </w:pPr>
      <w:r>
        <w:rPr>
          <w:rFonts w:ascii="Arial" w:cs="Arial" w:eastAsia="Arial" w:hAnsi="Arial"/>
          <w:sz w:val="18"/>
          <w:szCs w:val="18"/>
          <w:color w:val="auto"/>
        </w:rPr>
        <w:t>The Credit Agreement also contains certain regulatory-related events of default, which do not have cure periods, and could be triggered in connection with potential developments relating to the investigation in connection with our TRANQUILITY II Phase 3 Trial. See risk factor below entitled “</w:t>
      </w:r>
      <w:r>
        <w:rPr>
          <w:rFonts w:ascii="Arial" w:cs="Arial" w:eastAsia="Arial" w:hAnsi="Arial"/>
          <w:sz w:val="18"/>
          <w:szCs w:val="18"/>
          <w:i w:val="1"/>
          <w:iCs w:val="1"/>
          <w:color w:val="auto"/>
        </w:rPr>
        <w:t>Developments relating to our TRANQUILITY II Phase 3</w:t>
      </w:r>
      <w:r>
        <w:rPr>
          <w:rFonts w:ascii="Arial" w:cs="Arial" w:eastAsia="Arial" w:hAnsi="Arial"/>
          <w:sz w:val="18"/>
          <w:szCs w:val="18"/>
          <w:color w:val="auto"/>
        </w:rPr>
        <w:t xml:space="preserve"> </w:t>
      </w:r>
      <w:r>
        <w:rPr>
          <w:rFonts w:ascii="Arial" w:cs="Arial" w:eastAsia="Arial" w:hAnsi="Arial"/>
          <w:sz w:val="18"/>
          <w:szCs w:val="18"/>
          <w:i w:val="1"/>
          <w:iCs w:val="1"/>
          <w:color w:val="auto"/>
        </w:rPr>
        <w:t>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94" w:lineRule="exact"/>
        <w:rPr>
          <w:sz w:val="20"/>
          <w:szCs w:val="20"/>
          <w:color w:val="auto"/>
        </w:rPr>
      </w:pPr>
    </w:p>
    <w:p>
      <w:pPr>
        <w:ind w:left="40" w:right="139" w:firstLine="315"/>
        <w:spacing w:after="0" w:line="246" w:lineRule="auto"/>
        <w:rPr>
          <w:sz w:val="20"/>
          <w:szCs w:val="20"/>
          <w:color w:val="auto"/>
        </w:rPr>
      </w:pPr>
      <w:r>
        <w:rPr>
          <w:rFonts w:ascii="Arial" w:cs="Arial" w:eastAsia="Arial" w:hAnsi="Arial"/>
          <w:sz w:val="18"/>
          <w:szCs w:val="18"/>
          <w:color w:val="auto"/>
        </w:rPr>
        <w:t>Although the Company has entered into the First Amendment, which provides for terms that would modify the foregoing, there is no guarantee that the Company will be able to enter into the Subsequent Amendment by December 1, 2023 as required by the First Amendment, and failure to do so would result in an event of default under the Credit Agreement. If we are not able to enter into the Subsequent Amendment by this deadline (or such later date as determined in the sole discretion of OFA) and the Lenders accelerated our repayment obligations following the Event of Default, our cash and cash equivalents (based on current amounts) would likely be insufficient to repay our outstanding indebtedness under the Credit Agreement.</w:t>
      </w:r>
    </w:p>
    <w:p>
      <w:pPr>
        <w:spacing w:after="0" w:line="197" w:lineRule="exact"/>
        <w:rPr>
          <w:sz w:val="20"/>
          <w:szCs w:val="20"/>
          <w:color w:val="auto"/>
        </w:rPr>
      </w:pPr>
    </w:p>
    <w:p>
      <w:pPr>
        <w:jc w:val="both"/>
        <w:ind w:left="40" w:right="219" w:firstLine="315"/>
        <w:spacing w:after="0" w:line="252" w:lineRule="auto"/>
        <w:rPr>
          <w:sz w:val="20"/>
          <w:szCs w:val="20"/>
          <w:color w:val="auto"/>
        </w:rPr>
      </w:pPr>
      <w:r>
        <w:rPr>
          <w:rFonts w:ascii="Arial" w:cs="Arial" w:eastAsia="Arial" w:hAnsi="Arial"/>
          <w:sz w:val="18"/>
          <w:szCs w:val="18"/>
          <w:color w:val="auto"/>
        </w:rPr>
        <w:t>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89" w:lineRule="exact"/>
        <w:rPr>
          <w:sz w:val="20"/>
          <w:szCs w:val="20"/>
          <w:color w:val="auto"/>
        </w:rPr>
      </w:pPr>
    </w:p>
    <w:p>
      <w:pPr>
        <w:ind w:left="40" w:right="159" w:firstLine="315"/>
        <w:spacing w:after="0" w:line="246" w:lineRule="auto"/>
        <w:rPr>
          <w:sz w:val="20"/>
          <w:szCs w:val="20"/>
          <w:color w:val="auto"/>
        </w:rPr>
      </w:pPr>
      <w:r>
        <w:rPr>
          <w:rFonts w:ascii="Arial" w:cs="Arial" w:eastAsia="Arial" w:hAnsi="Arial"/>
          <w:sz w:val="18"/>
          <w:szCs w:val="18"/>
          <w:color w:val="auto"/>
        </w:rPr>
        <w:t>In addition, incurring indebtedness generally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or increase dividends. In addition, our indebtedness may reduce our flexibility to operate our business, adjust to changing business conditions, restrict us from making strategic acquisitions or cause us to make non-strategic divestitures or obtain additional financing. Any of these risks could materially adversely affect our business, results of operations or financial condition.</w:t>
      </w:r>
    </w:p>
    <w:p>
      <w:pPr>
        <w:spacing w:after="0" w:line="171" w:lineRule="exact"/>
        <w:rPr>
          <w:sz w:val="20"/>
          <w:szCs w:val="20"/>
          <w:color w:val="auto"/>
        </w:rPr>
      </w:pPr>
    </w:p>
    <w:p>
      <w:pPr>
        <w:ind w:left="40" w:right="539" w:firstLine="315"/>
        <w:spacing w:after="0" w:line="261" w:lineRule="auto"/>
        <w:rPr>
          <w:sz w:val="20"/>
          <w:szCs w:val="20"/>
          <w:color w:val="auto"/>
        </w:rPr>
      </w:pPr>
      <w:r>
        <w:rPr>
          <w:rFonts w:ascii="Arial" w:cs="Arial" w:eastAsia="Arial" w:hAnsi="Arial"/>
          <w:sz w:val="18"/>
          <w:szCs w:val="18"/>
          <w:b w:val="1"/>
          <w:bCs w:val="1"/>
          <w:i w:val="1"/>
          <w:iCs w:val="1"/>
          <w:color w:val="auto"/>
        </w:rPr>
        <w:t>We have identified conditions and events that raise substantial doubt regarding our ability to continue as a going concern.</w:t>
      </w:r>
    </w:p>
    <w:p>
      <w:pPr>
        <w:spacing w:after="0" w:line="141" w:lineRule="exact"/>
        <w:rPr>
          <w:sz w:val="20"/>
          <w:szCs w:val="20"/>
          <w:color w:val="auto"/>
        </w:rPr>
      </w:pPr>
    </w:p>
    <w:p>
      <w:pPr>
        <w:ind w:left="40" w:right="139"/>
        <w:spacing w:after="0" w:line="278" w:lineRule="auto"/>
        <w:rPr>
          <w:sz w:val="20"/>
          <w:szCs w:val="20"/>
          <w:color w:val="auto"/>
        </w:rPr>
      </w:pPr>
      <w:r>
        <w:rPr>
          <w:rFonts w:ascii="Arial" w:cs="Arial" w:eastAsia="Arial" w:hAnsi="Arial"/>
          <w:sz w:val="16"/>
          <w:szCs w:val="16"/>
          <w:color w:val="auto"/>
        </w:rPr>
        <w:t>As of September 30, 2023, we had $90 million in cash and cash equivalents. Based on our existing cash, cash equivalents and availability under our funding facilities, we do not believe we have sufficient cash on hand to support current operations and service our debt obligations for at least one year from the date of issuance of the unaudited condensed consolidated financial statements appearing in this Quarterly Report on Form 10-Q. This condition raises substantial doubt about our ability to continue as a going concern for at least one year from the date that our financial statements for the quarter ended September 30, 2023 are issued. In order to mitigate the current and potential future liquidity issues, we have undertaken a Reprioritization and may, among other things, seek to raise capital through the issuance of common stock, or by restructuring, refinancing, and/or amending the terms of the Credit Agreement and RIFA (including with respect to regulatory related events of default that do not contain a cure period) or pursue other strategic alternatives. However, such transactions may not be successful and we may not be able to raise additional equity, restructure, refinance or amend the terms of the Credit Agreement and RIFA on acceptable terms, or at all. As such, there can be no assurance that we will be able to continue as a going concern and we may be forced to delay, reduce or discontinue our product development programs or commercialization efforts in order to preserve cash.</w:t>
      </w:r>
    </w:p>
    <w:p>
      <w:pPr>
        <w:sectPr>
          <w:pgSz w:w="11900" w:h="16838" w:orient="portrait"/>
          <w:cols w:equalWidth="0" w:num="1">
            <w:col w:w="9019"/>
          </w:cols>
          <w:pgMar w:left="1440" w:top="508"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65" w:name="page66"/>
    <w:bookmarkEnd w:id="6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limited experience in drug discovery and drug development.</w:t>
      </w:r>
    </w:p>
    <w:p>
      <w:pPr>
        <w:spacing w:after="0" w:line="174" w:lineRule="exact"/>
        <w:rPr>
          <w:sz w:val="20"/>
          <w:szCs w:val="20"/>
          <w:color w:val="auto"/>
        </w:rPr>
      </w:pPr>
    </w:p>
    <w:p>
      <w:pPr>
        <w:ind w:left="40" w:right="219" w:firstLine="315"/>
        <w:spacing w:after="0" w:line="282" w:lineRule="auto"/>
        <w:rPr>
          <w:sz w:val="20"/>
          <w:szCs w:val="20"/>
          <w:color w:val="auto"/>
        </w:rPr>
      </w:pPr>
      <w:r>
        <w:rPr>
          <w:rFonts w:ascii="Arial" w:cs="Arial" w:eastAsia="Arial" w:hAnsi="Arial"/>
          <w:sz w:val="16"/>
          <w:szCs w:val="16"/>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30" w:lineRule="exact"/>
        <w:rPr>
          <w:sz w:val="20"/>
          <w:szCs w:val="20"/>
          <w:color w:val="auto"/>
        </w:rPr>
      </w:pPr>
    </w:p>
    <w:p>
      <w:pPr>
        <w:ind w:left="40" w:right="379"/>
        <w:spacing w:after="0" w:line="299" w:lineRule="auto"/>
        <w:rPr>
          <w:sz w:val="20"/>
          <w:szCs w:val="20"/>
          <w:color w:val="auto"/>
        </w:rPr>
      </w:pPr>
      <w:r>
        <w:rPr>
          <w:rFonts w:ascii="Arial" w:cs="Arial" w:eastAsia="Arial" w:hAnsi="Arial"/>
          <w:sz w:val="16"/>
          <w:szCs w:val="16"/>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27" w:lineRule="exact"/>
        <w:rPr>
          <w:sz w:val="20"/>
          <w:szCs w:val="20"/>
          <w:color w:val="auto"/>
        </w:rPr>
      </w:pPr>
    </w:p>
    <w:p>
      <w:pPr>
        <w:ind w:left="40" w:right="299" w:firstLine="315"/>
        <w:spacing w:after="0" w:line="278" w:lineRule="auto"/>
        <w:rPr>
          <w:sz w:val="20"/>
          <w:szCs w:val="20"/>
          <w:color w:val="auto"/>
        </w:rPr>
      </w:pPr>
      <w:r>
        <w:rPr>
          <w:rFonts w:ascii="Arial" w:cs="Arial" w:eastAsia="Arial" w:hAnsi="Arial"/>
          <w:sz w:val="16"/>
          <w:szCs w:val="16"/>
          <w:color w:val="auto"/>
        </w:rPr>
        <w:t>Following principal investigator misconduct at one of the clinical sites in our TRANQUILITY II Phase 3 clinical trial, we are investigating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 serious adverse event (‘SAE”), for one of the subjects, which report was made to our vendor outside of the 24 hour time period prescribed by the clinical trial protocol. The principal investigator for this clinical site responded to the FDA observations within the time period requested. The FDA inspection remains open, however, as the FDA has not issued an Establishment Inspection Report.</w:t>
      </w:r>
    </w:p>
    <w:p>
      <w:pPr>
        <w:spacing w:after="0" w:line="137"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We also confirmed that this SAE had been timely entered into the electronic data capture system, even though the SAE had not been separately reported to our pharmacovigilance safety vendor within the 24 hour timeframe required under the protocol.</w:t>
      </w:r>
    </w:p>
    <w:p>
      <w:pPr>
        <w:spacing w:after="0" w:line="132" w:lineRule="exact"/>
        <w:rPr>
          <w:sz w:val="20"/>
          <w:szCs w:val="20"/>
          <w:color w:val="auto"/>
        </w:rPr>
      </w:pPr>
    </w:p>
    <w:p>
      <w:pPr>
        <w:ind w:left="40" w:right="219" w:firstLine="315"/>
        <w:spacing w:after="0" w:line="282" w:lineRule="auto"/>
        <w:rPr>
          <w:sz w:val="20"/>
          <w:szCs w:val="20"/>
          <w:color w:val="auto"/>
        </w:rPr>
      </w:pPr>
      <w:r>
        <w:rPr>
          <w:rFonts w:ascii="Arial" w:cs="Arial" w:eastAsia="Arial" w:hAnsi="Arial"/>
          <w:sz w:val="16"/>
          <w:szCs w:val="16"/>
          <w:color w:val="auto"/>
        </w:rPr>
        <w:t>In connection with this ongoing investigation, we were made aware that the fabricated email correspondence was provided to the FDA by the principal investigator’s employer during the on-site inspection in December 2022. After unblinding of the data, we determined that the SAE that was the subject of this fabricated correspondence between the principal investigator and our pharmacovigilance vendor occurred in a subject in the placebo arm. This principal investigator has not participated in any other clinical trial sponsored or conducted by us. Moreover, the study was designed such that trained study staff other than principal investigators were to conduct assessments of the primary efficacy measure. Both we and the principal investigator’s employer have reported this incident to the FDA.</w:t>
      </w:r>
    </w:p>
    <w:p>
      <w:pPr>
        <w:spacing w:after="0" w:line="143" w:lineRule="exact"/>
        <w:rPr>
          <w:sz w:val="20"/>
          <w:szCs w:val="20"/>
          <w:color w:val="auto"/>
        </w:rPr>
      </w:pPr>
    </w:p>
    <w:p>
      <w:pPr>
        <w:jc w:val="both"/>
        <w:ind w:left="40" w:right="199" w:firstLine="315"/>
        <w:spacing w:after="0" w:line="282" w:lineRule="auto"/>
        <w:rPr>
          <w:sz w:val="20"/>
          <w:szCs w:val="20"/>
          <w:color w:val="auto"/>
        </w:rPr>
      </w:pPr>
      <w:r>
        <w:rPr>
          <w:rFonts w:ascii="Arial" w:cs="Arial" w:eastAsia="Arial" w:hAnsi="Arial"/>
          <w:sz w:val="16"/>
          <w:szCs w:val="16"/>
          <w:color w:val="auto"/>
        </w:rPr>
        <w:t>As noted above, we are currently in the process of conducting an investigation into certain data integrity issues related to the TRANQUILITY II Phase 3 clinical trial. Our ongoing investigation is focused on uncovering any new findings regarding the integrity of the trial data from this principal investigator’s site, the accuracy of safety or efficacy findings, or the usability of the data in connection with a marketing application. Based on our investigation to date, we believe that there have been no further instances of misconduct or fraud or other findings that we believe adversely impact the data integrity or reliability of the eligibility, safety, and efficacy data generated at the clinical trial site in question, however this belief is subject to change as the investigation is not yet completed.</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6" w:name="page67"/>
    <w:bookmarkEnd w:id="6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firstLine="315"/>
        <w:spacing w:after="0" w:line="276" w:lineRule="auto"/>
        <w:rPr>
          <w:sz w:val="20"/>
          <w:szCs w:val="20"/>
          <w:color w:val="auto"/>
        </w:rPr>
      </w:pPr>
      <w:r>
        <w:rPr>
          <w:rFonts w:ascii="Arial" w:cs="Arial" w:eastAsia="Arial" w:hAnsi="Arial"/>
          <w:sz w:val="16"/>
          <w:szCs w:val="16"/>
          <w:color w:val="auto"/>
        </w:rPr>
        <w:t>Moreover, the timing of our planned marketing application and prospects for regulatory approval of BXCL501 for the acute treatment of agitation (non-daily) associated with dementia in patients with probable Alzheimer’s disease in the at-home and care facilities may be adversely impacted by these developments. Based on the results of our investigation, we do not believe that data from the TRANQUILITY II trial have been affected or compromised by the principal investigator’s actions or other deficiencies at the trial site. However, the FDA may not accept or agree with our conclusions or analyses or may interpret or weigh their importance differently. Further, if we or the FDA determine that there are issues with data integrity and/or compliance with good clinical practice (“GCP”) requirements at the trial site, we may be unable to use some or all of the subject data generated at this clinical site to support a marketing application. Any issues identified at this trial site may also be identified at other trial sites. If all of data from this clinical trial site were discarded, the TRANQUILITY II trial would no longer be adequately powered for statistical significance or would not be considered adequately well-controlled by the FDA, and in either case, we would need to conduct a new comparable clinical trial before we are able to seek any approval of BXCL501 for use in patients with acute agitation (non-daily) due to dementia in probable Alzheimer’s disease. If a substantial portion of the data were discarded, similar outcomes may also occur. In addition, we plan to conduct an at-home study in this patient population to additionally support any potential sNDA for this proposed indication. The long-term safety requirements for submission will also be discussed with the FDA based on the frequency of agitation observed in this study. Conducting a new clinical trial could take significant time, and there are no assurances we could raise the capital or have the liquidity to conduct such trial. A new Phase 3 trial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have limited clinical data supporting potential safety or efficacy of BXCL501 for use in the at-home setting.</w:t>
      </w:r>
    </w:p>
    <w:p>
      <w:pPr>
        <w:spacing w:after="0" w:line="197" w:lineRule="exact"/>
        <w:rPr>
          <w:sz w:val="20"/>
          <w:szCs w:val="20"/>
          <w:color w:val="auto"/>
        </w:rPr>
      </w:pPr>
    </w:p>
    <w:p>
      <w:pPr>
        <w:ind w:left="40" w:right="139" w:firstLine="315"/>
        <w:spacing w:after="0" w:line="275" w:lineRule="auto"/>
        <w:rPr>
          <w:sz w:val="20"/>
          <w:szCs w:val="20"/>
          <w:color w:val="auto"/>
        </w:rPr>
      </w:pPr>
      <w:r>
        <w:rPr>
          <w:rFonts w:ascii="Arial" w:cs="Arial" w:eastAsia="Arial" w:hAnsi="Arial"/>
          <w:sz w:val="16"/>
          <w:szCs w:val="16"/>
          <w:color w:val="auto"/>
        </w:rPr>
        <w:t>In August 2023, we announced our intention to pursue strategic reprioritization of our commercialization and development efforts. These actions include, among other things, a shift in focus to primarily develop BXCL501 for use expanded settings, including the at-home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we have limited data supporting BXCL501’s potential use in the at-home setting. In particular, we have not conducted a clinical trial evaluating the at-home use of BXCL501 in Alzheimer’s patients, and we have only completed Part 1 of our SERENITY III trial which evaluated the safety and efficacy of a 60 mcg dose of BXCL501 in patients with agitation associated with bipolar disorders or schizophrenia in an in-patient setting. Moreover, although we were encouraged by the topline results from Part 1 of SERENITY III we announced on May 25, 2023, the trial did not meet its primary efficacy endpoint of showing statistically significant separation from placebo on the mean change in total PEC score at 2 hours. Part 2 of the SERENITY III trial the study is primarily intended to evaluate the safety of BXCL501 over 12 weeks when used as-needed for episodes of agitation associated with schizophrenia and bipolar in the home setting. Specifically, the primary objective of Part 2 is to describe the incidence of treatment-emergent adverse events, and not to evaluate efficacy. We held a Type C meeting on November 8,</w:t>
      </w:r>
    </w:p>
    <w:p>
      <w:pPr>
        <w:spacing w:after="0" w:line="5" w:lineRule="exact"/>
        <w:rPr>
          <w:sz w:val="20"/>
          <w:szCs w:val="20"/>
          <w:color w:val="auto"/>
        </w:rPr>
      </w:pPr>
    </w:p>
    <w:p>
      <w:pPr>
        <w:ind w:left="40" w:right="139"/>
        <w:spacing w:after="0" w:line="278" w:lineRule="auto"/>
        <w:rPr>
          <w:sz w:val="20"/>
          <w:szCs w:val="20"/>
          <w:color w:val="auto"/>
        </w:rPr>
      </w:pPr>
      <w:r>
        <w:rPr>
          <w:rFonts w:ascii="Arial" w:cs="Arial" w:eastAsia="Arial" w:hAnsi="Arial"/>
          <w:sz w:val="16"/>
          <w:szCs w:val="16"/>
          <w:color w:val="auto"/>
        </w:rPr>
        <w:t>2023 with the FDA to discuss changes to Part 2 of our SERENITY III study. We proposed the evaluation of an 80mcg dose based on previous clinical experience with this dose during our Phase 1b trial in schizophrenia patients with agitation, and pharmacokinetic and pharmacodynamic modeling suggesting that use of an 80 mcg dose of BXCL501 could provide an optimal balance between safety and efficacy for at-home use. Based on feedback from the FDA during the meeting, we intend to evaluate safety in the at-home setting of an 120 mcg dose. The 120 mcg dose has already demonstrated efficacy based on the approved conditions of use for IGALMI (when administered under the supervision of a healthcare provider). We expect to disclose next steps for this development program after the final minutes of the meeting are received from the FDA. Even if the protocol is amended to change the current dosing regimen in SERENITY III Part 2, and even if the study produces favorable data, such data may not be sufficient for approval without additional clinical studies.</w:t>
      </w:r>
    </w:p>
    <w:p>
      <w:pPr>
        <w:spacing w:after="0" w:line="134" w:lineRule="exact"/>
        <w:rPr>
          <w:sz w:val="20"/>
          <w:szCs w:val="20"/>
          <w:color w:val="auto"/>
        </w:rPr>
      </w:pPr>
    </w:p>
    <w:p>
      <w:pPr>
        <w:ind w:left="40" w:right="299" w:firstLine="315"/>
        <w:spacing w:after="0" w:line="290" w:lineRule="auto"/>
        <w:rPr>
          <w:sz w:val="20"/>
          <w:szCs w:val="20"/>
          <w:color w:val="auto"/>
        </w:rPr>
      </w:pPr>
      <w:r>
        <w:rPr>
          <w:rFonts w:ascii="Arial" w:cs="Arial" w:eastAsia="Arial" w:hAnsi="Arial"/>
          <w:sz w:val="16"/>
          <w:szCs w:val="16"/>
          <w:color w:val="auto"/>
        </w:rPr>
        <w:t>Although we plan to seek feedback from the FDA regarding the potential of our ongoing or completed clinical trials to support submission of one or more sNDAs, it is possible that the FDA may not consider our available data adequate to support such submissions. See “</w:t>
      </w:r>
      <w:r>
        <w:rPr>
          <w:rFonts w:ascii="Arial" w:cs="Arial" w:eastAsia="Arial" w:hAnsi="Arial"/>
          <w:sz w:val="16"/>
          <w:szCs w:val="16"/>
          <w:i w:val="1"/>
          <w:iCs w:val="1"/>
          <w:color w:val="auto"/>
        </w:rPr>
        <w:t>Developments relating to our TRANQUILITY II Phase 3 trial may impact the timing of our</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plans for, and prospects for seeking or obtaining regulatory approval of, BXCL501 for</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7" w:name="page68"/>
    <w:bookmarkEnd w:id="6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spacing w:after="0" w:line="279" w:lineRule="auto"/>
        <w:rPr>
          <w:sz w:val="20"/>
          <w:szCs w:val="20"/>
          <w:color w:val="auto"/>
        </w:rPr>
      </w:pPr>
      <w:r>
        <w:rPr>
          <w:rFonts w:ascii="Arial" w:cs="Arial" w:eastAsia="Arial" w:hAnsi="Arial"/>
          <w:sz w:val="16"/>
          <w:szCs w:val="16"/>
          <w:i w:val="1"/>
          <w:iCs w:val="1"/>
          <w:color w:val="auto"/>
        </w:rPr>
        <w:t>the acute treatment of agitation (non-daily) associated with dementia in patients with probable Alzheimer’s disease.</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on October 11, 2023, we received feedback from the FDA that TRANQUILITY I and TRANQUILITY II alone are not sufficient to support an sNDA submission for the use of BXCL501 to treat acute agitation (non-daily) in patients dementia due to probable Alzheimer’s disease in either the at-home or care facilities, and the FDA indicated that we will be required to conduct a further clinical trial evaluating BXCL501 in the at-home setting before we are able to submit an sNDA seeking approval of BXCL501 for use in such populations. The long-term safety requirements for submission will also be discussed with the FDA based on the frequency of agitation observed in this study. Requirements to conduct additional clinical trials evaluating BXCL501 in support of our planned sNDAs seeking approvals for BXCL501 for our targeted patient populations in at-home and/or care facilities would increase our costs, and could have a material adverse effect on our prospects and results of operations.</w:t>
      </w:r>
    </w:p>
    <w:p>
      <w:pPr>
        <w:spacing w:after="0" w:line="139" w:lineRule="exact"/>
        <w:rPr>
          <w:sz w:val="20"/>
          <w:szCs w:val="20"/>
          <w:color w:val="auto"/>
        </w:rPr>
      </w:pPr>
    </w:p>
    <w:p>
      <w:pPr>
        <w:ind w:left="40" w:right="339"/>
        <w:spacing w:after="0" w:line="211" w:lineRule="auto"/>
        <w:rPr>
          <w:sz w:val="20"/>
          <w:szCs w:val="20"/>
          <w:color w:val="auto"/>
        </w:rPr>
      </w:pPr>
      <w:r>
        <w:rPr>
          <w:rFonts w:ascii="Arial" w:cs="Arial" w:eastAsia="Arial" w:hAnsi="Arial"/>
          <w:sz w:val="18"/>
          <w:szCs w:val="18"/>
          <w:b w:val="1"/>
          <w:bCs w:val="1"/>
          <w:i w:val="1"/>
          <w:iCs w:val="1"/>
          <w:color w:val="auto"/>
        </w:rPr>
        <w:t>In the near term, we are dependent on the success of IGALMI</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and four of our product candidates, BXCL501, BXCL502, BXCL701 and BXCL702. If we are unable to complete the clinical development of or obtain marketing approval for our product candidates or successfully commercialize IGALMI</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40" w:right="239" w:firstLine="315"/>
        <w:spacing w:after="0" w:line="221" w:lineRule="auto"/>
        <w:rPr>
          <w:sz w:val="20"/>
          <w:szCs w:val="20"/>
          <w:color w:val="auto"/>
        </w:rPr>
      </w:pPr>
      <w:r>
        <w:rPr>
          <w:rFonts w:ascii="Arial" w:cs="Arial" w:eastAsia="Arial" w:hAnsi="Arial"/>
          <w:sz w:val="17"/>
          <w:szCs w:val="17"/>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development of BXCL501, BXCL502, BXCL701 and BXCL702, as well as our other product candidates. In connection with the Reprioritization, we have significantly reduced the resources devoted to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it is possible that will have adverse consequences on the revenue that we are able to generate from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in the near term. Our prospects are substantially dependent on our ability, or that of any future collaborator, to develop, obtain marketing approval for and successfully commercialize product candidates in one or more additional disease indications.</w:t>
      </w:r>
    </w:p>
    <w:p>
      <w:pPr>
        <w:spacing w:after="0" w:line="150" w:lineRule="exact"/>
        <w:rPr>
          <w:sz w:val="20"/>
          <w:szCs w:val="20"/>
          <w:color w:val="auto"/>
        </w:rPr>
      </w:pPr>
    </w:p>
    <w:p>
      <w:pPr>
        <w:ind w:left="40" w:right="379" w:firstLine="315"/>
        <w:spacing w:after="0" w:line="209" w:lineRule="auto"/>
        <w:rPr>
          <w:sz w:val="20"/>
          <w:szCs w:val="20"/>
          <w:color w:val="auto"/>
        </w:rPr>
      </w:pPr>
      <w:r>
        <w:rPr>
          <w:rFonts w:ascii="Arial" w:cs="Arial" w:eastAsia="Arial" w:hAnsi="Arial"/>
          <w:sz w:val="18"/>
          <w:szCs w:val="18"/>
          <w:color w:val="auto"/>
        </w:rPr>
        <w:t>The success of IGALMI</w:t>
      </w:r>
      <w:r>
        <w:rPr>
          <w:rFonts w:ascii="Arial" w:cs="Arial" w:eastAsia="Arial" w:hAnsi="Arial"/>
          <w:sz w:val="26"/>
          <w:szCs w:val="26"/>
          <w:color w:val="auto"/>
          <w:vertAlign w:val="superscript"/>
        </w:rPr>
        <w:t>TM</w:t>
      </w:r>
      <w:r>
        <w:rPr>
          <w:rFonts w:ascii="Arial" w:cs="Arial" w:eastAsia="Arial" w:hAnsi="Arial"/>
          <w:sz w:val="18"/>
          <w:szCs w:val="18"/>
          <w:color w:val="auto"/>
        </w:rPr>
        <w:t>, and of BXCL501, BXCL701, BXCL502 and our other product candidates will depend on several factors, including the following:</w:t>
      </w:r>
    </w:p>
    <w:p>
      <w:pPr>
        <w:spacing w:after="0" w:line="174" w:lineRule="exact"/>
        <w:rPr>
          <w:sz w:val="20"/>
          <w:szCs w:val="20"/>
          <w:color w:val="auto"/>
        </w:rPr>
      </w:pPr>
    </w:p>
    <w:p>
      <w:pPr>
        <w:ind w:left="700" w:right="299" w:hanging="310"/>
        <w:spacing w:after="0" w:line="252"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49" w:lineRule="exact"/>
        <w:rPr>
          <w:rFonts w:ascii="Arial" w:cs="Arial" w:eastAsia="Arial" w:hAnsi="Arial"/>
          <w:sz w:val="18"/>
          <w:szCs w:val="18"/>
          <w:color w:val="auto"/>
        </w:rPr>
      </w:pPr>
    </w:p>
    <w:p>
      <w:pPr>
        <w:ind w:left="700" w:right="399" w:hanging="310"/>
        <w:spacing w:after="0" w:line="24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 including any delays caused by the developments relating to the TRANQUILITY II clinical trial, and any additional trials we may need to conduct prior to seeking approvals for BXCL501 in at-home and/or care facilities;</w:t>
      </w:r>
    </w:p>
    <w:p>
      <w:pPr>
        <w:spacing w:after="0" w:line="153" w:lineRule="exact"/>
        <w:rPr>
          <w:rFonts w:ascii="Arial" w:cs="Arial" w:eastAsia="Arial" w:hAnsi="Arial"/>
          <w:sz w:val="18"/>
          <w:szCs w:val="18"/>
          <w:color w:val="auto"/>
        </w:rPr>
      </w:pPr>
    </w:p>
    <w:p>
      <w:pPr>
        <w:ind w:left="700" w:right="419" w:hanging="310"/>
        <w:spacing w:after="0" w:line="26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nature of any required post-marketing clinical trials or other commitments to applicable regulatory authorities;</w:t>
      </w:r>
    </w:p>
    <w:p>
      <w:pPr>
        <w:spacing w:after="0" w:line="197" w:lineRule="exact"/>
        <w:rPr>
          <w:rFonts w:ascii="Arial" w:cs="Arial" w:eastAsia="Arial" w:hAnsi="Arial"/>
          <w:sz w:val="16"/>
          <w:szCs w:val="16"/>
          <w:color w:val="auto"/>
        </w:rPr>
      </w:pPr>
    </w:p>
    <w:p>
      <w:pPr>
        <w:ind w:left="700" w:hanging="310"/>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87" w:lineRule="exact"/>
        <w:rPr>
          <w:rFonts w:ascii="Arial" w:cs="Arial" w:eastAsia="Arial" w:hAnsi="Arial"/>
          <w:sz w:val="18"/>
          <w:szCs w:val="18"/>
          <w:color w:val="auto"/>
        </w:rPr>
      </w:pPr>
    </w:p>
    <w:p>
      <w:pPr>
        <w:ind w:left="700" w:right="319" w:hanging="310"/>
        <w:spacing w:after="0" w:line="26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adequate ongoing availability of raw materials and drug product for clinical development and any commercial sales;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8" w:name="page69"/>
    <w:bookmarkEnd w:id="6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999" w:hanging="310"/>
        <w:spacing w:after="0" w:line="261"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U.S. and internationally;</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74" w:lineRule="exact"/>
        <w:rPr>
          <w:sz w:val="20"/>
          <w:szCs w:val="20"/>
          <w:color w:val="auto"/>
        </w:rPr>
      </w:pPr>
    </w:p>
    <w:p>
      <w:pPr>
        <w:ind w:left="40" w:right="159" w:firstLine="315"/>
        <w:spacing w:after="0" w:line="258" w:lineRule="auto"/>
        <w:rPr>
          <w:sz w:val="20"/>
          <w:szCs w:val="20"/>
          <w:color w:val="auto"/>
        </w:rPr>
      </w:pPr>
      <w:r>
        <w:rPr>
          <w:rFonts w:ascii="Arial" w:cs="Arial" w:eastAsia="Arial" w:hAnsi="Arial"/>
          <w:sz w:val="16"/>
          <w:szCs w:val="16"/>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60" w:lineRule="exact"/>
        <w:rPr>
          <w:sz w:val="20"/>
          <w:szCs w:val="20"/>
          <w:color w:val="auto"/>
        </w:rPr>
      </w:pPr>
    </w:p>
    <w:p>
      <w:pPr>
        <w:ind w:left="40" w:right="479"/>
        <w:spacing w:after="0" w:line="252"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0"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For example, we are conducting an investigation into the data gathered during the TRANQUILITY II trial that could materially change the top-line results we reported on June 29, 2023, as described above in the risk factor entitled, “</w:t>
      </w:r>
      <w:r>
        <w:rPr>
          <w:rFonts w:ascii="Arial" w:cs="Arial" w:eastAsia="Arial" w:hAnsi="Arial"/>
          <w:sz w:val="16"/>
          <w:szCs w:val="16"/>
          <w:i w:val="1"/>
          <w:iCs w:val="1"/>
          <w:color w:val="auto"/>
        </w:rPr>
        <w:t>Developments relating to our TRANQUILITY II Phase 3 trial may impact the</w:t>
      </w:r>
      <w:r>
        <w:rPr>
          <w:rFonts w:ascii="Arial" w:cs="Arial" w:eastAsia="Arial" w:hAnsi="Arial"/>
          <w:sz w:val="16"/>
          <w:szCs w:val="16"/>
          <w:color w:val="auto"/>
        </w:rPr>
        <w:t xml:space="preserve"> </w:t>
      </w:r>
      <w:r>
        <w:rPr>
          <w:rFonts w:ascii="Arial" w:cs="Arial" w:eastAsia="Arial" w:hAnsi="Arial"/>
          <w:sz w:val="16"/>
          <w:szCs w:val="16"/>
          <w:i w:val="1"/>
          <w:iCs w:val="1"/>
          <w:color w:val="auto"/>
        </w:rPr>
        <w:t>timing of our development plans for, and prospects for seeking or obtaining regulatory approval of, BXCL501 for the acute treatment of agitation (non-daily) associated with dementia in patients with probable Alzheimer’s disease.</w:t>
      </w:r>
      <w:r>
        <w:rPr>
          <w:rFonts w:ascii="Arial" w:cs="Arial" w:eastAsia="Arial" w:hAnsi="Arial"/>
          <w:sz w:val="16"/>
          <w:szCs w:val="16"/>
          <w:color w:val="auto"/>
        </w:rPr>
        <w:t>” As a result, top-line and preliminary data should be viewed with caution until the final data are available.</w:t>
      </w:r>
    </w:p>
    <w:p>
      <w:pPr>
        <w:spacing w:after="0" w:line="131" w:lineRule="exact"/>
        <w:rPr>
          <w:sz w:val="20"/>
          <w:szCs w:val="20"/>
          <w:color w:val="auto"/>
        </w:rPr>
      </w:pPr>
    </w:p>
    <w:p>
      <w:pPr>
        <w:ind w:left="40" w:right="139" w:firstLine="315"/>
        <w:spacing w:after="0" w:line="248"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66" w:lineRule="exact"/>
        <w:rPr>
          <w:sz w:val="20"/>
          <w:szCs w:val="20"/>
          <w:color w:val="auto"/>
        </w:rPr>
      </w:pPr>
    </w:p>
    <w:p>
      <w:pPr>
        <w:ind w:left="40" w:right="139" w:firstLine="315"/>
        <w:spacing w:after="0" w:line="284"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69" w:name="page70"/>
    <w:bookmarkEnd w:id="6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559" w:firstLine="315"/>
        <w:spacing w:after="0" w:line="299"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7" w:lineRule="exact"/>
        <w:rPr>
          <w:sz w:val="20"/>
          <w:szCs w:val="20"/>
          <w:color w:val="auto"/>
        </w:rPr>
      </w:pPr>
    </w:p>
    <w:p>
      <w:pPr>
        <w:jc w:val="both"/>
        <w:ind w:left="40" w:right="219"/>
        <w:spacing w:after="0" w:line="252"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50" w:lineRule="exact"/>
        <w:rPr>
          <w:sz w:val="20"/>
          <w:szCs w:val="20"/>
          <w:color w:val="auto"/>
        </w:rPr>
      </w:pPr>
    </w:p>
    <w:p>
      <w:pPr>
        <w:ind w:left="40" w:right="219" w:firstLine="315"/>
        <w:spacing w:after="0" w:line="277"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40" w:lineRule="exact"/>
        <w:rPr>
          <w:sz w:val="20"/>
          <w:szCs w:val="20"/>
          <w:color w:val="auto"/>
        </w:rPr>
      </w:pPr>
    </w:p>
    <w:p>
      <w:pPr>
        <w:ind w:left="40" w:right="279" w:firstLine="315"/>
        <w:spacing w:after="0" w:line="261" w:lineRule="auto"/>
        <w:rPr>
          <w:sz w:val="20"/>
          <w:szCs w:val="20"/>
          <w:color w:val="auto"/>
        </w:rPr>
      </w:pPr>
      <w:r>
        <w:rPr>
          <w:rFonts w:ascii="Arial" w:cs="Arial" w:eastAsia="Arial" w:hAnsi="Arial"/>
          <w:sz w:val="18"/>
          <w:szCs w:val="18"/>
          <w:color w:val="auto"/>
        </w:rPr>
        <w:t>Our current product candidates, or any that may be developed in the future, could fail to receive regulatory approval for many reasons, including the following:</w:t>
      </w:r>
    </w:p>
    <w:p>
      <w:pPr>
        <w:spacing w:after="0" w:line="154" w:lineRule="exact"/>
        <w:rPr>
          <w:sz w:val="20"/>
          <w:szCs w:val="20"/>
          <w:color w:val="auto"/>
        </w:rPr>
      </w:pPr>
    </w:p>
    <w:p>
      <w:pPr>
        <w:ind w:left="700" w:right="579" w:hanging="310"/>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41" w:lineRule="exact"/>
        <w:rPr>
          <w:rFonts w:ascii="Arial" w:cs="Arial" w:eastAsia="Arial" w:hAnsi="Arial"/>
          <w:sz w:val="18"/>
          <w:szCs w:val="18"/>
          <w:color w:val="auto"/>
        </w:rPr>
      </w:pPr>
    </w:p>
    <w:p>
      <w:pPr>
        <w:ind w:left="700" w:right="179" w:hanging="310"/>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41" w:lineRule="exact"/>
        <w:rPr>
          <w:rFonts w:ascii="Arial" w:cs="Arial" w:eastAsia="Arial" w:hAnsi="Arial"/>
          <w:sz w:val="18"/>
          <w:szCs w:val="18"/>
          <w:color w:val="auto"/>
        </w:rPr>
      </w:pPr>
    </w:p>
    <w:p>
      <w:pPr>
        <w:ind w:left="700" w:right="439" w:hanging="310"/>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54" w:lineRule="exact"/>
        <w:rPr>
          <w:rFonts w:ascii="Arial" w:cs="Arial" w:eastAsia="Arial" w:hAnsi="Arial"/>
          <w:sz w:val="18"/>
          <w:szCs w:val="18"/>
          <w:color w:val="auto"/>
        </w:rPr>
      </w:pPr>
    </w:p>
    <w:p>
      <w:pPr>
        <w:ind w:left="700" w:right="179" w:hanging="310"/>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41" w:lineRule="exact"/>
        <w:rPr>
          <w:rFonts w:ascii="Arial" w:cs="Arial" w:eastAsia="Arial" w:hAnsi="Arial"/>
          <w:sz w:val="18"/>
          <w:szCs w:val="18"/>
          <w:color w:val="auto"/>
        </w:rPr>
      </w:pPr>
    </w:p>
    <w:p>
      <w:pPr>
        <w:ind w:left="700" w:right="159" w:hanging="310"/>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41" w:lineRule="exact"/>
        <w:rPr>
          <w:rFonts w:ascii="Arial" w:cs="Arial" w:eastAsia="Arial" w:hAnsi="Arial"/>
          <w:sz w:val="18"/>
          <w:szCs w:val="18"/>
          <w:color w:val="auto"/>
        </w:rPr>
      </w:pPr>
    </w:p>
    <w:p>
      <w:pPr>
        <w:ind w:left="700" w:right="399" w:hanging="310"/>
        <w:spacing w:after="0" w:line="324"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that our changes to branded reference drugs meet the criteria for the 505(b)(2) regulatory pathway or comparable foreign regulatory pathways;</w:t>
      </w:r>
    </w:p>
    <w:p>
      <w:pPr>
        <w:spacing w:after="0" w:line="107" w:lineRule="exact"/>
        <w:rPr>
          <w:rFonts w:ascii="Arial" w:cs="Arial" w:eastAsia="Arial" w:hAnsi="Arial"/>
          <w:sz w:val="16"/>
          <w:szCs w:val="16"/>
          <w:color w:val="auto"/>
        </w:rPr>
      </w:pPr>
    </w:p>
    <w:p>
      <w:pPr>
        <w:ind w:left="700" w:right="179" w:hanging="310"/>
        <w:spacing w:after="0" w:line="324"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94" w:lineRule="exact"/>
        <w:rPr>
          <w:rFonts w:ascii="Arial" w:cs="Arial" w:eastAsia="Arial" w:hAnsi="Arial"/>
          <w:sz w:val="16"/>
          <w:szCs w:val="16"/>
          <w:color w:val="auto"/>
        </w:rPr>
      </w:pPr>
    </w:p>
    <w:p>
      <w:pPr>
        <w:ind w:left="700" w:right="499" w:hanging="310"/>
        <w:spacing w:after="0" w:line="261"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1" w:lineRule="exact"/>
        <w:rPr>
          <w:sz w:val="20"/>
          <w:szCs w:val="20"/>
          <w:color w:val="auto"/>
        </w:rPr>
      </w:pPr>
    </w:p>
    <w:p>
      <w:pPr>
        <w:ind w:left="40" w:right="239" w:firstLine="315"/>
        <w:spacing w:after="0" w:line="290" w:lineRule="auto"/>
        <w:rPr>
          <w:sz w:val="20"/>
          <w:szCs w:val="20"/>
          <w:color w:val="auto"/>
        </w:rPr>
      </w:pPr>
      <w:r>
        <w:rPr>
          <w:rFonts w:ascii="Arial" w:cs="Arial" w:eastAsia="Arial" w:hAnsi="Arial"/>
          <w:sz w:val="16"/>
          <w:szCs w:val="16"/>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w:t>
      </w:r>
    </w:p>
    <w:p>
      <w:pPr>
        <w:sectPr>
          <w:pgSz w:w="11900" w:h="16838" w:orient="portrait"/>
          <w:cols w:equalWidth="0" w:num="1">
            <w:col w:w="9019"/>
          </w:cols>
          <w:pgMar w:left="1440" w:top="508"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70" w:name="page71"/>
    <w:bookmarkEnd w:id="7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99"/>
        <w:spacing w:after="0" w:line="261" w:lineRule="auto"/>
        <w:rPr>
          <w:sz w:val="20"/>
          <w:szCs w:val="20"/>
          <w:color w:val="auto"/>
        </w:rPr>
      </w:pPr>
      <w:r>
        <w:rPr>
          <w:rFonts w:ascii="Arial" w:cs="Arial" w:eastAsia="Arial" w:hAnsi="Arial"/>
          <w:sz w:val="18"/>
          <w:szCs w:val="18"/>
          <w:color w:val="auto"/>
        </w:rPr>
        <w:t>failing to obtain regulatory approval to market our product candidates, which would significantly harm our business, results of operations and prospects.</w:t>
      </w:r>
    </w:p>
    <w:p>
      <w:pPr>
        <w:spacing w:after="0" w:line="154" w:lineRule="exact"/>
        <w:rPr>
          <w:sz w:val="20"/>
          <w:szCs w:val="20"/>
          <w:color w:val="auto"/>
        </w:rPr>
      </w:pPr>
    </w:p>
    <w:p>
      <w:pPr>
        <w:ind w:left="40" w:right="159" w:firstLine="315"/>
        <w:spacing w:after="0" w:line="247" w:lineRule="auto"/>
        <w:rPr>
          <w:sz w:val="20"/>
          <w:szCs w:val="20"/>
          <w:color w:val="auto"/>
        </w:rPr>
      </w:pPr>
      <w:r>
        <w:rPr>
          <w:rFonts w:ascii="Arial" w:cs="Arial" w:eastAsia="Arial" w:hAnsi="Arial"/>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55" w:lineRule="exact"/>
        <w:rPr>
          <w:sz w:val="20"/>
          <w:szCs w:val="20"/>
          <w:color w:val="auto"/>
        </w:rPr>
      </w:pPr>
    </w:p>
    <w:p>
      <w:pPr>
        <w:ind w:left="40" w:right="139" w:firstLine="315"/>
        <w:spacing w:after="0" w:line="252" w:lineRule="auto"/>
        <w:rPr>
          <w:sz w:val="20"/>
          <w:szCs w:val="20"/>
          <w:color w:val="auto"/>
        </w:rPr>
      </w:pPr>
      <w:r>
        <w:rPr>
          <w:rFonts w:ascii="Arial" w:cs="Arial" w:eastAsia="Arial" w:hAnsi="Arial"/>
          <w:sz w:val="16"/>
          <w:szCs w:val="16"/>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than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our other product candidates are not as significant as we estimate, we may not generate significant revenues from sales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such other product candidates, if approved.</w:t>
      </w:r>
    </w:p>
    <w:p>
      <w:pPr>
        <w:spacing w:after="0" w:line="149" w:lineRule="exact"/>
        <w:rPr>
          <w:sz w:val="20"/>
          <w:szCs w:val="20"/>
          <w:color w:val="auto"/>
        </w:rPr>
      </w:pPr>
    </w:p>
    <w:p>
      <w:pPr>
        <w:ind w:left="40" w:right="339" w:firstLine="315"/>
        <w:spacing w:after="0" w:line="286" w:lineRule="auto"/>
        <w:rPr>
          <w:sz w:val="20"/>
          <w:szCs w:val="20"/>
          <w:color w:val="auto"/>
        </w:rPr>
      </w:pPr>
      <w:r>
        <w:rPr>
          <w:rFonts w:ascii="Arial" w:cs="Arial" w:eastAsia="Arial" w:hAnsi="Arial"/>
          <w:sz w:val="16"/>
          <w:szCs w:val="16"/>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39" w:lineRule="exact"/>
        <w:rPr>
          <w:sz w:val="20"/>
          <w:szCs w:val="20"/>
          <w:color w:val="auto"/>
        </w:rPr>
      </w:pPr>
    </w:p>
    <w:p>
      <w:pPr>
        <w:ind w:left="40" w:right="159" w:firstLine="315"/>
        <w:spacing w:after="0" w:line="277" w:lineRule="auto"/>
        <w:rPr>
          <w:sz w:val="20"/>
          <w:szCs w:val="20"/>
          <w:color w:val="auto"/>
        </w:rPr>
      </w:pPr>
      <w:r>
        <w:rPr>
          <w:rFonts w:ascii="Arial" w:cs="Arial" w:eastAsia="Arial" w:hAnsi="Arial"/>
          <w:sz w:val="16"/>
          <w:szCs w:val="16"/>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36" w:lineRule="exact"/>
        <w:rPr>
          <w:sz w:val="20"/>
          <w:szCs w:val="20"/>
          <w:color w:val="auto"/>
        </w:rPr>
      </w:pPr>
    </w:p>
    <w:p>
      <w:pPr>
        <w:ind w:left="40" w:right="459" w:firstLine="315"/>
        <w:spacing w:after="0" w:line="261"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Clinical trials are expensive, time-consuming, difficult to design, difficult to conduct, and involve an uncertain outcome.</w:t>
      </w:r>
    </w:p>
    <w:p>
      <w:pPr>
        <w:spacing w:after="0" w:line="222" w:lineRule="exact"/>
        <w:rPr>
          <w:sz w:val="20"/>
          <w:szCs w:val="20"/>
          <w:color w:val="auto"/>
        </w:rPr>
      </w:pPr>
    </w:p>
    <w:p>
      <w:pPr>
        <w:ind w:left="40" w:right="379" w:firstLine="315"/>
        <w:spacing w:after="0" w:line="324" w:lineRule="auto"/>
        <w:rPr>
          <w:sz w:val="20"/>
          <w:szCs w:val="20"/>
          <w:color w:val="auto"/>
        </w:rPr>
      </w:pPr>
      <w:r>
        <w:rPr>
          <w:rFonts w:ascii="Arial" w:cs="Arial" w:eastAsia="Arial" w:hAnsi="Arial"/>
          <w:sz w:val="16"/>
          <w:szCs w:val="16"/>
          <w:color w:val="auto"/>
        </w:rPr>
        <w:t>Before obtaining marketing approval from the FDA, or other comparable foreign regulatory authorities, for the sale of our product candidates, we must complete preclinical development and extensive clinical trials to demonstrate the</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1" w:name="page72"/>
    <w:bookmarkEnd w:id="7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spacing w:after="0" w:line="248" w:lineRule="auto"/>
        <w:rPr>
          <w:sz w:val="20"/>
          <w:szCs w:val="20"/>
          <w:color w:val="auto"/>
        </w:rPr>
      </w:pPr>
      <w:r>
        <w:rPr>
          <w:rFonts w:ascii="Arial" w:cs="Arial" w:eastAsia="Arial" w:hAnsi="Arial"/>
          <w:sz w:val="18"/>
          <w:szCs w:val="18"/>
          <w:color w:val="auto"/>
        </w:rPr>
        <w:t>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66" w:lineRule="exact"/>
        <w:rPr>
          <w:sz w:val="20"/>
          <w:szCs w:val="20"/>
          <w:color w:val="auto"/>
        </w:rPr>
      </w:pPr>
    </w:p>
    <w:p>
      <w:pPr>
        <w:ind w:left="40" w:right="139" w:firstLine="315"/>
        <w:spacing w:after="0" w:line="252" w:lineRule="auto"/>
        <w:rPr>
          <w:sz w:val="20"/>
          <w:szCs w:val="20"/>
          <w:color w:val="auto"/>
        </w:rPr>
      </w:pPr>
      <w:r>
        <w:rPr>
          <w:rFonts w:ascii="Arial" w:cs="Arial" w:eastAsia="Arial" w:hAnsi="Arial"/>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50" w:lineRule="exact"/>
        <w:rPr>
          <w:sz w:val="20"/>
          <w:szCs w:val="20"/>
          <w:color w:val="auto"/>
        </w:rPr>
      </w:pPr>
    </w:p>
    <w:p>
      <w:pPr>
        <w:ind w:left="700" w:right="699" w:hanging="310"/>
        <w:spacing w:after="0" w:line="26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obtaining regulatory authorizations to commence a trial or consensus with regulatory authorities on trial designs;</w:t>
      </w:r>
    </w:p>
    <w:p>
      <w:pPr>
        <w:spacing w:after="0" w:line="210" w:lineRule="exact"/>
        <w:rPr>
          <w:rFonts w:ascii="Arial" w:cs="Arial" w:eastAsia="Arial" w:hAnsi="Arial"/>
          <w:sz w:val="16"/>
          <w:szCs w:val="16"/>
          <w:color w:val="auto"/>
        </w:rPr>
      </w:pPr>
    </w:p>
    <w:p>
      <w:pPr>
        <w:ind w:left="700" w:right="159" w:hanging="310"/>
        <w:spacing w:after="0" w:line="252"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49"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diversion of health care resources to combat epidemics, such as occurred during the COVID-19 pandemic;</w:t>
      </w:r>
    </w:p>
    <w:p>
      <w:pPr>
        <w:spacing w:after="0" w:line="197" w:lineRule="exact"/>
        <w:rPr>
          <w:rFonts w:ascii="Arial" w:cs="Arial" w:eastAsia="Arial" w:hAnsi="Arial"/>
          <w:sz w:val="16"/>
          <w:szCs w:val="16"/>
          <w:color w:val="auto"/>
        </w:rPr>
      </w:pPr>
    </w:p>
    <w:p>
      <w:pPr>
        <w:ind w:left="700" w:right="479" w:hanging="310"/>
        <w:spacing w:after="0" w:line="26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site, or independent ethics committee approval at any sites outside the U.S.;</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dependence on the needs and timing of third-party collaborators;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87" w:lineRule="exact"/>
        <w:rPr>
          <w:rFonts w:ascii="Arial" w:cs="Arial" w:eastAsia="Arial" w:hAnsi="Arial"/>
          <w:sz w:val="18"/>
          <w:szCs w:val="18"/>
          <w:color w:val="auto"/>
        </w:rPr>
      </w:pPr>
    </w:p>
    <w:p>
      <w:pPr>
        <w:ind w:left="700" w:right="639" w:hanging="310"/>
        <w:spacing w:after="0" w:line="26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occurrence of SAEs in trials of the same class of agents conducted by other companies or institutions;</w:t>
      </w:r>
    </w:p>
    <w:p>
      <w:pPr>
        <w:spacing w:after="0" w:line="197" w:lineRule="exact"/>
        <w:rPr>
          <w:rFonts w:ascii="Arial" w:cs="Arial" w:eastAsia="Arial" w:hAnsi="Arial"/>
          <w:sz w:val="16"/>
          <w:szCs w:val="16"/>
          <w:color w:val="auto"/>
        </w:rPr>
      </w:pPr>
    </w:p>
    <w:p>
      <w:pPr>
        <w:ind w:left="700" w:right="319" w:hanging="310"/>
        <w:spacing w:after="0" w:line="26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87" w:lineRule="exact"/>
        <w:rPr>
          <w:rFonts w:ascii="Arial" w:cs="Arial" w:eastAsia="Arial" w:hAnsi="Arial"/>
          <w:sz w:val="18"/>
          <w:szCs w:val="18"/>
          <w:color w:val="auto"/>
        </w:rPr>
      </w:pPr>
    </w:p>
    <w:p>
      <w:pPr>
        <w:ind w:left="700" w:right="499" w:hanging="310"/>
        <w:spacing w:after="0" w:line="261"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41" w:lineRule="exact"/>
        <w:rPr>
          <w:rFonts w:ascii="Arial" w:cs="Arial" w:eastAsia="Arial" w:hAnsi="Arial"/>
          <w:sz w:val="18"/>
          <w:szCs w:val="18"/>
          <w:color w:val="auto"/>
        </w:rPr>
      </w:pPr>
    </w:p>
    <w:p>
      <w:pPr>
        <w:ind w:left="700" w:right="939" w:hanging="310"/>
        <w:spacing w:after="0" w:line="324"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facility manufacturing our product candidates or any of their components being ordered by the FDA, or comparable foreign regulatory authorities, to temporarily or permanently shut down due to violations of</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2" w:name="page73"/>
    <w:bookmarkEnd w:id="7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239"/>
        <w:spacing w:after="0" w:line="261" w:lineRule="auto"/>
        <w:rPr>
          <w:sz w:val="20"/>
          <w:szCs w:val="20"/>
          <w:color w:val="auto"/>
        </w:rPr>
      </w:pPr>
      <w:r>
        <w:rPr>
          <w:rFonts w:ascii="Arial" w:cs="Arial" w:eastAsia="Arial" w:hAnsi="Arial"/>
          <w:sz w:val="18"/>
          <w:szCs w:val="18"/>
          <w:color w:val="auto"/>
        </w:rPr>
        <w:t>current good manufacturing practice (“cGMP”) regulations or other applicable requirements, or infections or cross-contaminations of product candidates in the manufacturing process;</w:t>
      </w:r>
    </w:p>
    <w:p>
      <w:pPr>
        <w:spacing w:after="0" w:line="154" w:lineRule="exact"/>
        <w:rPr>
          <w:sz w:val="20"/>
          <w:szCs w:val="20"/>
          <w:color w:val="auto"/>
        </w:rPr>
      </w:pPr>
    </w:p>
    <w:p>
      <w:pPr>
        <w:ind w:left="700" w:hanging="310"/>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74" w:lineRule="exact"/>
        <w:rPr>
          <w:rFonts w:ascii="Arial" w:cs="Arial" w:eastAsia="Arial" w:hAnsi="Arial"/>
          <w:sz w:val="18"/>
          <w:szCs w:val="18"/>
          <w:color w:val="auto"/>
        </w:rPr>
      </w:pPr>
    </w:p>
    <w:p>
      <w:pPr>
        <w:ind w:left="700" w:right="179" w:hanging="310"/>
        <w:spacing w:after="0" w:line="252"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9" w:lineRule="exact"/>
        <w:rPr>
          <w:rFonts w:ascii="Arial" w:cs="Arial" w:eastAsia="Arial" w:hAnsi="Arial"/>
          <w:sz w:val="18"/>
          <w:szCs w:val="18"/>
          <w:color w:val="auto"/>
        </w:rPr>
      </w:pPr>
    </w:p>
    <w:p>
      <w:pPr>
        <w:ind w:left="700" w:right="239" w:hanging="310"/>
        <w:spacing w:after="0" w:line="284"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39" w:lineRule="exact"/>
        <w:rPr>
          <w:sz w:val="20"/>
          <w:szCs w:val="20"/>
          <w:color w:val="auto"/>
        </w:rPr>
      </w:pPr>
    </w:p>
    <w:p>
      <w:pPr>
        <w:ind w:left="40" w:right="219" w:firstLine="315"/>
        <w:spacing w:after="0" w:line="277"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Arial" w:cs="Arial" w:eastAsia="Arial" w:hAnsi="Arial"/>
          <w:sz w:val="16"/>
          <w:szCs w:val="16"/>
          <w:i w:val="1"/>
          <w:iCs w:val="1"/>
          <w:color w:val="auto"/>
        </w:rPr>
        <w:t>Developments relating to our</w:t>
      </w:r>
      <w:r>
        <w:rPr>
          <w:rFonts w:ascii="Arial" w:cs="Arial" w:eastAsia="Arial" w:hAnsi="Arial"/>
          <w:sz w:val="16"/>
          <w:szCs w:val="16"/>
          <w:color w:val="auto"/>
        </w:rPr>
        <w:t xml:space="preserve"> </w:t>
      </w:r>
      <w:r>
        <w:rPr>
          <w:rFonts w:ascii="Arial" w:cs="Arial" w:eastAsia="Arial" w:hAnsi="Arial"/>
          <w:sz w:val="16"/>
          <w:szCs w:val="16"/>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Arial" w:cs="Arial" w:eastAsia="Arial" w:hAnsi="Arial"/>
          <w:sz w:val="16"/>
          <w:szCs w:val="16"/>
          <w:color w:val="auto"/>
        </w:rPr>
        <w:t>.”</w:t>
      </w:r>
    </w:p>
    <w:p>
      <w:pPr>
        <w:spacing w:after="0" w:line="138" w:lineRule="exact"/>
        <w:rPr>
          <w:sz w:val="20"/>
          <w:szCs w:val="20"/>
          <w:color w:val="auto"/>
        </w:rPr>
      </w:pPr>
    </w:p>
    <w:p>
      <w:pPr>
        <w:ind w:left="40" w:right="159" w:firstLine="315"/>
        <w:spacing w:after="0" w:line="284" w:lineRule="auto"/>
        <w:rPr>
          <w:sz w:val="20"/>
          <w:szCs w:val="20"/>
          <w:color w:val="auto"/>
        </w:rPr>
      </w:pPr>
      <w:r>
        <w:rPr>
          <w:rFonts w:ascii="Arial" w:cs="Arial" w:eastAsia="Arial" w:hAnsi="Arial"/>
          <w:sz w:val="16"/>
          <w:szCs w:val="16"/>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26" w:lineRule="exact"/>
        <w:rPr>
          <w:sz w:val="20"/>
          <w:szCs w:val="20"/>
          <w:color w:val="auto"/>
        </w:rPr>
      </w:pPr>
    </w:p>
    <w:p>
      <w:pPr>
        <w:ind w:left="40" w:right="179" w:firstLine="315"/>
        <w:spacing w:after="0" w:line="282"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43" w:lineRule="exact"/>
        <w:rPr>
          <w:sz w:val="20"/>
          <w:szCs w:val="20"/>
          <w:color w:val="auto"/>
        </w:rPr>
      </w:pPr>
    </w:p>
    <w:p>
      <w:pPr>
        <w:ind w:left="40" w:right="419"/>
        <w:spacing w:after="0" w:line="361" w:lineRule="auto"/>
        <w:rPr>
          <w:sz w:val="20"/>
          <w:szCs w:val="20"/>
          <w:color w:val="auto"/>
        </w:rPr>
      </w:pPr>
      <w:r>
        <w:rPr>
          <w:rFonts w:ascii="Arial" w:cs="Arial" w:eastAsia="Arial" w:hAnsi="Arial"/>
          <w:sz w:val="15"/>
          <w:szCs w:val="15"/>
          <w:b w:val="1"/>
          <w:bCs w:val="1"/>
          <w:i w:val="1"/>
          <w:iCs w:val="1"/>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73" w:lineRule="exact"/>
        <w:rPr>
          <w:sz w:val="20"/>
          <w:szCs w:val="20"/>
          <w:color w:val="auto"/>
        </w:rPr>
      </w:pPr>
    </w:p>
    <w:p>
      <w:pPr>
        <w:jc w:val="both"/>
        <w:ind w:left="40" w:right="219" w:firstLine="315"/>
        <w:spacing w:after="0" w:line="299"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3" w:name="page74"/>
    <w:bookmarkEnd w:id="7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77" w:lineRule="auto"/>
        <w:rPr>
          <w:sz w:val="20"/>
          <w:szCs w:val="20"/>
          <w:color w:val="auto"/>
        </w:rPr>
      </w:pPr>
      <w:r>
        <w:rPr>
          <w:rFonts w:ascii="Arial" w:cs="Arial" w:eastAsia="Arial" w:hAnsi="Arial"/>
          <w:sz w:val="16"/>
          <w:szCs w:val="16"/>
          <w:color w:val="auto"/>
        </w:rPr>
        <w:t>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has been, and may in the future be, impacted by governmental restrictions and diversion of health care resources resulting from COVID-19.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53" w:lineRule="exact"/>
        <w:rPr>
          <w:sz w:val="20"/>
          <w:szCs w:val="20"/>
          <w:color w:val="auto"/>
        </w:rPr>
      </w:pPr>
    </w:p>
    <w:p>
      <w:pPr>
        <w:jc w:val="both"/>
        <w:ind w:left="40" w:right="539"/>
        <w:spacing w:after="0" w:line="252"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50" w:lineRule="exact"/>
        <w:rPr>
          <w:sz w:val="20"/>
          <w:szCs w:val="20"/>
          <w:color w:val="auto"/>
        </w:rPr>
      </w:pPr>
    </w:p>
    <w:p>
      <w:pPr>
        <w:ind w:left="40" w:right="159" w:firstLine="315"/>
        <w:spacing w:after="0" w:line="28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30"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35" w:lineRule="exact"/>
        <w:rPr>
          <w:sz w:val="20"/>
          <w:szCs w:val="20"/>
          <w:color w:val="auto"/>
        </w:rPr>
      </w:pPr>
    </w:p>
    <w:p>
      <w:pPr>
        <w:ind w:left="40" w:right="259" w:firstLine="315"/>
        <w:spacing w:after="0" w:line="230" w:lineRule="auto"/>
        <w:rPr>
          <w:sz w:val="20"/>
          <w:szCs w:val="20"/>
          <w:color w:val="auto"/>
        </w:rPr>
      </w:pPr>
      <w:r>
        <w:rPr>
          <w:rFonts w:ascii="Arial" w:cs="Arial" w:eastAsia="Arial" w:hAnsi="Arial"/>
          <w:sz w:val="16"/>
          <w:szCs w:val="16"/>
          <w:color w:val="auto"/>
        </w:rPr>
        <w:t>Additionally, if we or others later identify undesirable side effects caused by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00" w:hanging="310"/>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a product is administered to patients;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4" w:name="page75"/>
    <w:bookmarkEnd w:id="7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1139" w:hanging="310"/>
        <w:spacing w:after="0" w:line="261"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154" w:lineRule="exact"/>
        <w:rPr>
          <w:rFonts w:ascii="Arial" w:cs="Arial" w:eastAsia="Arial" w:hAnsi="Arial"/>
          <w:sz w:val="18"/>
          <w:szCs w:val="18"/>
          <w:color w:val="auto"/>
        </w:rPr>
      </w:pPr>
    </w:p>
    <w:p>
      <w:pPr>
        <w:ind w:left="700" w:right="1219" w:hanging="310"/>
        <w:spacing w:after="0" w:line="261"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141" w:lineRule="exact"/>
        <w:rPr>
          <w:rFonts w:ascii="Arial" w:cs="Arial" w:eastAsia="Arial" w:hAnsi="Arial"/>
          <w:sz w:val="18"/>
          <w:szCs w:val="18"/>
          <w:color w:val="auto"/>
        </w:rPr>
      </w:pPr>
    </w:p>
    <w:p>
      <w:pPr>
        <w:ind w:left="700" w:right="159" w:hanging="310"/>
        <w:spacing w:after="0" w:line="324"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required to implement Risk Evaluation and Mitigation Strategies (“REMS”) or create a medication guide outlining the risks of such side effects for distribution to patients, or similar risk management measures;</w:t>
      </w:r>
    </w:p>
    <w:p>
      <w:pPr>
        <w:spacing w:after="0" w:line="94" w:lineRule="exact"/>
        <w:rPr>
          <w:rFonts w:ascii="Arial" w:cs="Arial" w:eastAsia="Arial" w:hAnsi="Arial"/>
          <w:sz w:val="16"/>
          <w:szCs w:val="16"/>
          <w:color w:val="auto"/>
        </w:rPr>
      </w:pPr>
    </w:p>
    <w:p>
      <w:pPr>
        <w:ind w:left="700" w:hanging="31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4" w:lineRule="exact"/>
        <w:rPr>
          <w:sz w:val="20"/>
          <w:szCs w:val="20"/>
          <w:color w:val="auto"/>
        </w:rPr>
      </w:pPr>
    </w:p>
    <w:p>
      <w:pPr>
        <w:ind w:left="40" w:right="619" w:firstLine="315"/>
        <w:spacing w:after="0" w:line="324"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08" w:lineRule="exact"/>
        <w:rPr>
          <w:sz w:val="20"/>
          <w:szCs w:val="20"/>
          <w:color w:val="auto"/>
        </w:rPr>
      </w:pPr>
    </w:p>
    <w:p>
      <w:pPr>
        <w:ind w:left="40" w:right="279"/>
        <w:spacing w:after="0" w:line="299" w:lineRule="auto"/>
        <w:rPr>
          <w:sz w:val="20"/>
          <w:szCs w:val="20"/>
          <w:color w:val="auto"/>
        </w:rPr>
      </w:pPr>
      <w:r>
        <w:rPr>
          <w:rFonts w:ascii="Arial" w:cs="Arial" w:eastAsia="Arial" w:hAnsi="Arial"/>
          <w:sz w:val="16"/>
          <w:szCs w:val="16"/>
          <w:b w:val="1"/>
          <w:bCs w:val="1"/>
          <w:i w:val="1"/>
          <w:iCs w:val="1"/>
          <w:color w:val="auto"/>
        </w:rPr>
        <w:t>The discovery and development of product candidates based on EvolverAI, BioXcel LLC’s proprietary pharmaceutical discovery and development engine, and our artificial intelligence (“AI”) platform is novel and unproven, and we do not know whether we will be able to develop any products of commercial value.</w:t>
      </w:r>
    </w:p>
    <w:p>
      <w:pPr>
        <w:spacing w:after="0" w:line="114" w:lineRule="exact"/>
        <w:rPr>
          <w:sz w:val="20"/>
          <w:szCs w:val="20"/>
          <w:color w:val="auto"/>
        </w:rPr>
      </w:pPr>
    </w:p>
    <w:p>
      <w:pPr>
        <w:ind w:left="40" w:right="199" w:firstLine="315"/>
        <w:spacing w:after="0" w:line="268" w:lineRule="auto"/>
        <w:rPr>
          <w:sz w:val="20"/>
          <w:szCs w:val="20"/>
          <w:color w:val="auto"/>
        </w:rPr>
      </w:pPr>
      <w:r>
        <w:rPr>
          <w:rFonts w:ascii="Arial" w:cs="Arial" w:eastAsia="Arial" w:hAnsi="Arial"/>
          <w:sz w:val="16"/>
          <w:szCs w:val="16"/>
          <w:color w:val="auto"/>
        </w:rPr>
        <w:t>We are leveraging the Company’s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the Company’s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Arial" w:cs="Arial" w:eastAsia="Arial" w:hAnsi="Arial"/>
          <w:sz w:val="24"/>
          <w:szCs w:val="24"/>
          <w:color w:val="auto"/>
          <w:vertAlign w:val="superscript"/>
        </w:rPr>
        <w:t>TM</w:t>
      </w:r>
      <w:r>
        <w:rPr>
          <w:rFonts w:ascii="Arial" w:cs="Arial" w:eastAsia="Arial" w:hAnsi="Arial"/>
          <w:sz w:val="16"/>
          <w:szCs w:val="16"/>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41" w:lineRule="exact"/>
        <w:rPr>
          <w:sz w:val="20"/>
          <w:szCs w:val="20"/>
          <w:color w:val="auto"/>
        </w:rPr>
      </w:pPr>
    </w:p>
    <w:p>
      <w:pPr>
        <w:ind w:left="40" w:right="379"/>
        <w:spacing w:after="0" w:line="261" w:lineRule="auto"/>
        <w:rPr>
          <w:sz w:val="20"/>
          <w:szCs w:val="20"/>
          <w:color w:val="auto"/>
        </w:rPr>
      </w:pPr>
      <w:r>
        <w:rPr>
          <w:rFonts w:ascii="Arial" w:cs="Arial" w:eastAsia="Arial" w:hAnsi="Arial"/>
          <w:sz w:val="18"/>
          <w:szCs w:val="18"/>
          <w:b w:val="1"/>
          <w:bCs w:val="1"/>
          <w:i w:val="1"/>
          <w:iCs w:val="1"/>
          <w:color w:val="auto"/>
        </w:rPr>
        <w:t>The Company’s AI platform and BioXcel LLC’s EvolverAI may fail to help us discover and develop additional potential product candidates.</w:t>
      </w:r>
    </w:p>
    <w:p>
      <w:pPr>
        <w:spacing w:after="0" w:line="154" w:lineRule="exact"/>
        <w:rPr>
          <w:sz w:val="20"/>
          <w:szCs w:val="20"/>
          <w:color w:val="auto"/>
        </w:rPr>
      </w:pPr>
    </w:p>
    <w:p>
      <w:pPr>
        <w:ind w:left="40" w:right="219" w:firstLine="315"/>
        <w:spacing w:after="0" w:line="290" w:lineRule="auto"/>
        <w:rPr>
          <w:sz w:val="20"/>
          <w:szCs w:val="20"/>
          <w:color w:val="auto"/>
        </w:rPr>
      </w:pPr>
      <w:r>
        <w:rPr>
          <w:rFonts w:ascii="Arial" w:cs="Arial" w:eastAsia="Arial" w:hAnsi="Arial"/>
          <w:sz w:val="16"/>
          <w:szCs w:val="16"/>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3" w:lineRule="exact"/>
        <w:rPr>
          <w:sz w:val="20"/>
          <w:szCs w:val="20"/>
          <w:color w:val="auto"/>
        </w:rPr>
      </w:pPr>
    </w:p>
    <w:p>
      <w:pPr>
        <w:ind w:left="700" w:right="159" w:hanging="310"/>
        <w:spacing w:after="0" w:line="24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5" w:name="page76"/>
    <w:bookmarkEnd w:id="7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139" w:hanging="310"/>
        <w:spacing w:after="0" w:line="261"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compounds found through the Company’s AI platform and BioXcel LLC’s EvolverAI may not demonstrate efficacy, safety or tolerability;</w:t>
      </w:r>
    </w:p>
    <w:p>
      <w:pPr>
        <w:spacing w:after="0" w:line="154" w:lineRule="exact"/>
        <w:rPr>
          <w:rFonts w:ascii="Arial" w:cs="Arial" w:eastAsia="Arial" w:hAnsi="Arial"/>
          <w:sz w:val="18"/>
          <w:szCs w:val="18"/>
          <w:color w:val="auto"/>
        </w:rPr>
      </w:pPr>
    </w:p>
    <w:p>
      <w:pPr>
        <w:ind w:left="700" w:right="439" w:hanging="310"/>
        <w:spacing w:after="0" w:line="361" w:lineRule="auto"/>
        <w:tabs>
          <w:tab w:leader="none" w:pos="7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potential product candidates may, on further study, be shown to have harmful side effects or other characteristics that indicate that they are unlikely to receive marketing approval and achieve market acceptance;</w:t>
      </w:r>
    </w:p>
    <w:p>
      <w:pPr>
        <w:spacing w:after="0" w:line="72" w:lineRule="exact"/>
        <w:rPr>
          <w:rFonts w:ascii="Arial" w:cs="Arial" w:eastAsia="Arial" w:hAnsi="Arial"/>
          <w:sz w:val="15"/>
          <w:szCs w:val="15"/>
          <w:color w:val="auto"/>
        </w:rPr>
      </w:pPr>
    </w:p>
    <w:p>
      <w:pPr>
        <w:ind w:left="700" w:right="299" w:hanging="310"/>
        <w:spacing w:after="0" w:line="261"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187" w:lineRule="exact"/>
        <w:rPr>
          <w:sz w:val="20"/>
          <w:szCs w:val="20"/>
          <w:color w:val="auto"/>
        </w:rPr>
      </w:pPr>
    </w:p>
    <w:p>
      <w:pPr>
        <w:ind w:left="40" w:right="379"/>
        <w:spacing w:after="0" w:line="252" w:lineRule="auto"/>
        <w:rPr>
          <w:sz w:val="20"/>
          <w:szCs w:val="20"/>
          <w:color w:val="auto"/>
        </w:rPr>
      </w:pPr>
      <w:r>
        <w:rPr>
          <w:rFonts w:ascii="Arial" w:cs="Arial" w:eastAsia="Arial" w:hAnsi="Arial"/>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50" w:lineRule="exact"/>
        <w:rPr>
          <w:sz w:val="20"/>
          <w:szCs w:val="20"/>
          <w:color w:val="auto"/>
        </w:rPr>
      </w:pPr>
    </w:p>
    <w:p>
      <w:pPr>
        <w:ind w:left="40" w:right="339" w:firstLine="315"/>
        <w:spacing w:after="0" w:line="286" w:lineRule="auto"/>
        <w:rPr>
          <w:sz w:val="20"/>
          <w:szCs w:val="20"/>
          <w:color w:val="auto"/>
        </w:rPr>
      </w:pPr>
      <w:r>
        <w:rPr>
          <w:rFonts w:ascii="Arial" w:cs="Arial" w:eastAsia="Arial" w:hAnsi="Arial"/>
          <w:sz w:val="16"/>
          <w:szCs w:val="16"/>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26" w:lineRule="exact"/>
        <w:rPr>
          <w:sz w:val="20"/>
          <w:szCs w:val="20"/>
          <w:color w:val="auto"/>
        </w:rPr>
      </w:pPr>
    </w:p>
    <w:p>
      <w:pPr>
        <w:ind w:left="40" w:right="359"/>
        <w:spacing w:after="0" w:line="290" w:lineRule="auto"/>
        <w:rPr>
          <w:sz w:val="20"/>
          <w:szCs w:val="20"/>
          <w:color w:val="auto"/>
        </w:rPr>
      </w:pPr>
      <w:r>
        <w:rPr>
          <w:rFonts w:ascii="Arial" w:cs="Arial" w:eastAsia="Arial" w:hAnsi="Arial"/>
          <w:sz w:val="16"/>
          <w:szCs w:val="16"/>
          <w:b w:val="1"/>
          <w:bCs w:val="1"/>
          <w:i w:val="1"/>
          <w:iCs w:val="1"/>
          <w:color w:val="auto"/>
        </w:rPr>
        <w:t>We obtained Fast Track designation for BXCL501 for the acute treatment of mild-to-moderate agitation associated with schizophrenia, bipolar disorder, and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6" w:lineRule="exact"/>
        <w:rPr>
          <w:sz w:val="20"/>
          <w:szCs w:val="20"/>
          <w:color w:val="auto"/>
        </w:rPr>
      </w:pPr>
    </w:p>
    <w:p>
      <w:pPr>
        <w:ind w:left="40" w:right="159" w:firstLine="315"/>
        <w:spacing w:after="0" w:line="277"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may seek Fast Track designation for other indications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36" w:lineRule="exact"/>
        <w:rPr>
          <w:sz w:val="20"/>
          <w:szCs w:val="20"/>
          <w:color w:val="auto"/>
        </w:rPr>
      </w:pPr>
    </w:p>
    <w:p>
      <w:pPr>
        <w:ind w:left="40" w:right="419"/>
        <w:spacing w:after="0" w:line="252"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50" w:lineRule="exact"/>
        <w:rPr>
          <w:sz w:val="20"/>
          <w:szCs w:val="20"/>
          <w:color w:val="auto"/>
        </w:rPr>
      </w:pPr>
    </w:p>
    <w:p>
      <w:pPr>
        <w:ind w:left="40" w:right="199" w:firstLine="315"/>
        <w:spacing w:after="0" w:line="284" w:lineRule="auto"/>
        <w:rPr>
          <w:sz w:val="20"/>
          <w:szCs w:val="20"/>
          <w:color w:val="auto"/>
        </w:rPr>
      </w:pPr>
      <w:r>
        <w:rPr>
          <w:rFonts w:ascii="Arial" w:cs="Arial" w:eastAsia="Arial" w:hAnsi="Arial"/>
          <w:sz w:val="16"/>
          <w:szCs w:val="16"/>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6" w:name="page77"/>
    <w:bookmarkEnd w:id="7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spacing w:after="0" w:line="248" w:lineRule="auto"/>
        <w:rPr>
          <w:sz w:val="20"/>
          <w:szCs w:val="20"/>
          <w:color w:val="auto"/>
        </w:rPr>
      </w:pPr>
      <w:r>
        <w:rPr>
          <w:rFonts w:ascii="Arial" w:cs="Arial" w:eastAsia="Arial" w:hAnsi="Arial"/>
          <w:sz w:val="18"/>
          <w:szCs w:val="18"/>
          <w:color w:val="auto"/>
        </w:rPr>
        <w:t>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66" w:lineRule="exact"/>
        <w:rPr>
          <w:sz w:val="20"/>
          <w:szCs w:val="20"/>
          <w:color w:val="auto"/>
        </w:rPr>
      </w:pPr>
    </w:p>
    <w:p>
      <w:pPr>
        <w:ind w:left="40" w:right="199" w:firstLine="315"/>
        <w:spacing w:after="0" w:line="282"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130" w:lineRule="exact"/>
        <w:rPr>
          <w:sz w:val="20"/>
          <w:szCs w:val="20"/>
          <w:color w:val="auto"/>
        </w:rPr>
      </w:pPr>
    </w:p>
    <w:p>
      <w:pPr>
        <w:ind w:left="40" w:right="319"/>
        <w:spacing w:after="0" w:line="315"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07"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45" w:lineRule="exact"/>
        <w:rPr>
          <w:sz w:val="20"/>
          <w:szCs w:val="20"/>
          <w:color w:val="auto"/>
        </w:rPr>
      </w:pPr>
    </w:p>
    <w:p>
      <w:pPr>
        <w:ind w:left="40" w:right="239"/>
        <w:spacing w:after="0" w:line="315" w:lineRule="auto"/>
        <w:rPr>
          <w:sz w:val="20"/>
          <w:szCs w:val="20"/>
          <w:color w:val="auto"/>
        </w:rPr>
      </w:pPr>
      <w:r>
        <w:rPr>
          <w:rFonts w:ascii="Arial" w:cs="Arial" w:eastAsia="Arial" w:hAnsi="Arial"/>
          <w:sz w:val="15"/>
          <w:szCs w:val="15"/>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5"/>
          <w:szCs w:val="15"/>
          <w:color w:val="auto"/>
        </w:rPr>
        <w:t>.</w:t>
      </w:r>
    </w:p>
    <w:p>
      <w:pPr>
        <w:spacing w:after="0" w:line="107" w:lineRule="exact"/>
        <w:rPr>
          <w:sz w:val="20"/>
          <w:szCs w:val="20"/>
          <w:color w:val="auto"/>
        </w:rPr>
      </w:pPr>
    </w:p>
    <w:p>
      <w:pPr>
        <w:ind w:left="40" w:right="219" w:firstLine="315"/>
        <w:spacing w:after="0" w:line="246"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56" w:lineRule="exact"/>
        <w:rPr>
          <w:sz w:val="20"/>
          <w:szCs w:val="20"/>
          <w:color w:val="auto"/>
        </w:rPr>
      </w:pPr>
    </w:p>
    <w:p>
      <w:pPr>
        <w:ind w:left="40" w:right="199" w:firstLine="315"/>
        <w:spacing w:after="0" w:line="286" w:lineRule="auto"/>
        <w:rPr>
          <w:sz w:val="20"/>
          <w:szCs w:val="20"/>
          <w:color w:val="auto"/>
        </w:rPr>
      </w:pPr>
      <w:r>
        <w:rPr>
          <w:rFonts w:ascii="Arial" w:cs="Arial" w:eastAsia="Arial" w:hAnsi="Arial"/>
          <w:sz w:val="16"/>
          <w:szCs w:val="16"/>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7" w:name="page78"/>
    <w:bookmarkEnd w:id="7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99"/>
        <w:spacing w:after="0" w:line="252" w:lineRule="auto"/>
        <w:rPr>
          <w:sz w:val="20"/>
          <w:szCs w:val="20"/>
          <w:color w:val="auto"/>
        </w:rPr>
      </w:pPr>
      <w:r>
        <w:rPr>
          <w:rFonts w:ascii="Arial" w:cs="Arial" w:eastAsia="Arial" w:hAnsi="Arial"/>
          <w:sz w:val="18"/>
          <w:szCs w:val="18"/>
          <w:color w:val="auto"/>
        </w:rPr>
        <w:t>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3"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32" w:lineRule="exact"/>
        <w:rPr>
          <w:sz w:val="20"/>
          <w:szCs w:val="20"/>
          <w:color w:val="auto"/>
        </w:rPr>
      </w:pPr>
    </w:p>
    <w:p>
      <w:pPr>
        <w:ind w:left="40" w:right="219" w:firstLine="315"/>
        <w:spacing w:after="0" w:line="278" w:lineRule="auto"/>
        <w:rPr>
          <w:sz w:val="20"/>
          <w:szCs w:val="20"/>
          <w:color w:val="auto"/>
        </w:rPr>
      </w:pPr>
      <w:r>
        <w:rPr>
          <w:rFonts w:ascii="Arial" w:cs="Arial" w:eastAsia="Arial" w:hAnsi="Arial"/>
          <w:sz w:val="16"/>
          <w:szCs w:val="16"/>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fully applied as of May 26, 2022, but there is a tiered system extending the grace period for many devices (depending on their risk classification) before they have to be fully compliant with the regulation.</w:t>
      </w:r>
    </w:p>
    <w:p>
      <w:pPr>
        <w:spacing w:after="0" w:line="137" w:lineRule="exact"/>
        <w:rPr>
          <w:sz w:val="20"/>
          <w:szCs w:val="20"/>
          <w:color w:val="auto"/>
        </w:rPr>
      </w:pPr>
    </w:p>
    <w:p>
      <w:pPr>
        <w:ind w:left="40" w:right="219" w:firstLine="315"/>
        <w:spacing w:after="0" w:line="281" w:lineRule="auto"/>
        <w:rPr>
          <w:sz w:val="20"/>
          <w:szCs w:val="20"/>
          <w:color w:val="auto"/>
        </w:rPr>
      </w:pPr>
      <w:r>
        <w:rPr>
          <w:rFonts w:ascii="Arial" w:cs="Arial" w:eastAsia="Arial" w:hAnsi="Arial"/>
          <w:sz w:val="16"/>
          <w:szCs w:val="16"/>
          <w:color w:val="auto"/>
        </w:rPr>
        <w:t>The regulation of companion diagnostics in the EU will be subject to further requirements since the IVDR introduces a new classification system for companion diagnostics.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43" w:lineRule="exact"/>
        <w:rPr>
          <w:sz w:val="20"/>
          <w:szCs w:val="20"/>
          <w:color w:val="auto"/>
        </w:rPr>
      </w:pPr>
    </w:p>
    <w:p>
      <w:pPr>
        <w:ind w:left="40" w:right="239" w:firstLine="315"/>
        <w:spacing w:after="0" w:line="252" w:lineRule="auto"/>
        <w:rPr>
          <w:sz w:val="20"/>
          <w:szCs w:val="20"/>
          <w:color w:val="auto"/>
        </w:rPr>
      </w:pPr>
      <w:r>
        <w:rPr>
          <w:rFonts w:ascii="Arial" w:cs="Arial" w:eastAsia="Arial" w:hAnsi="Arial"/>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40" w:lineRule="exact"/>
        <w:rPr>
          <w:sz w:val="20"/>
          <w:szCs w:val="20"/>
          <w:color w:val="auto"/>
        </w:rPr>
      </w:pPr>
    </w:p>
    <w:p>
      <w:pPr>
        <w:ind w:left="40" w:right="199"/>
        <w:spacing w:after="0" w:line="203" w:lineRule="auto"/>
        <w:rPr>
          <w:sz w:val="20"/>
          <w:szCs w:val="20"/>
          <w:color w:val="auto"/>
        </w:rPr>
      </w:pPr>
      <w:r>
        <w:rPr>
          <w:rFonts w:ascii="Arial" w:cs="Arial" w:eastAsia="Arial" w:hAnsi="Arial"/>
          <w:sz w:val="17"/>
          <w:szCs w:val="17"/>
          <w:b w:val="1"/>
          <w:bCs w:val="1"/>
          <w:i w:val="1"/>
          <w:iCs w:val="1"/>
          <w:color w:val="auto"/>
        </w:rPr>
        <w:t>Although the FDA has approved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and for any product candidates for which we obtain approval.</w:t>
      </w:r>
    </w:p>
    <w:p>
      <w:pPr>
        <w:spacing w:after="0" w:line="150" w:lineRule="exact"/>
        <w:rPr>
          <w:sz w:val="20"/>
          <w:szCs w:val="20"/>
          <w:color w:val="auto"/>
        </w:rPr>
      </w:pPr>
    </w:p>
    <w:p>
      <w:pPr>
        <w:ind w:left="40" w:right="159" w:firstLine="315"/>
        <w:spacing w:after="0" w:line="247" w:lineRule="auto"/>
        <w:rPr>
          <w:sz w:val="20"/>
          <w:szCs w:val="20"/>
          <w:color w:val="auto"/>
        </w:rPr>
      </w:pPr>
      <w:r>
        <w:rPr>
          <w:rFonts w:ascii="Arial" w:cs="Arial" w:eastAsia="Arial" w:hAnsi="Arial"/>
          <w:sz w:val="16"/>
          <w:szCs w:val="16"/>
          <w:color w:val="auto"/>
        </w:rPr>
        <w:t>Any regulatory approvals that we may receive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8" w:name="page79"/>
    <w:bookmarkEnd w:id="7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79" w:firstLine="315"/>
        <w:spacing w:after="0" w:line="248" w:lineRule="auto"/>
        <w:rPr>
          <w:sz w:val="20"/>
          <w:szCs w:val="20"/>
          <w:color w:val="auto"/>
        </w:rPr>
      </w:pPr>
      <w:r>
        <w:rPr>
          <w:rFonts w:ascii="Arial" w:cs="Arial" w:eastAsia="Arial" w:hAnsi="Arial"/>
          <w:sz w:val="17"/>
          <w:szCs w:val="17"/>
          <w:color w:val="auto"/>
        </w:rPr>
        <w:t>In addition, the manufacturing processes, labeling, packaging, distribution, AE reporting, storage, advertising, promotion, import, export and recordkeeping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72" w:lineRule="exact"/>
        <w:rPr>
          <w:sz w:val="20"/>
          <w:szCs w:val="20"/>
          <w:color w:val="auto"/>
        </w:rPr>
      </w:pPr>
    </w:p>
    <w:p>
      <w:pPr>
        <w:ind w:left="40" w:right="199" w:firstLine="315"/>
        <w:spacing w:after="0" w:line="324" w:lineRule="auto"/>
        <w:rPr>
          <w:sz w:val="20"/>
          <w:szCs w:val="20"/>
          <w:color w:val="auto"/>
        </w:rPr>
      </w:pPr>
      <w:r>
        <w:rPr>
          <w:rFonts w:ascii="Arial" w:cs="Arial" w:eastAsia="Arial" w:hAnsi="Arial"/>
          <w:sz w:val="16"/>
          <w:szCs w:val="16"/>
          <w:color w:val="auto"/>
        </w:rPr>
        <w:t>In addition, discovery of previously unknown AEs or other problems with our products, manufacturers or manufacturing processes or failure to comply with regulatory requirements, may yield various results, including:</w:t>
      </w:r>
    </w:p>
    <w:p>
      <w:pPr>
        <w:spacing w:after="0" w:line="95" w:lineRule="exact"/>
        <w:rPr>
          <w:sz w:val="20"/>
          <w:szCs w:val="20"/>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74" w:lineRule="exact"/>
        <w:rPr>
          <w:sz w:val="20"/>
          <w:szCs w:val="20"/>
          <w:color w:val="auto"/>
        </w:rPr>
      </w:pPr>
    </w:p>
    <w:p>
      <w:pPr>
        <w:ind w:left="40" w:right="159" w:firstLine="315"/>
        <w:spacing w:after="0" w:line="290" w:lineRule="auto"/>
        <w:rPr>
          <w:sz w:val="20"/>
          <w:szCs w:val="20"/>
          <w:color w:val="auto"/>
        </w:rPr>
      </w:pPr>
      <w:r>
        <w:rPr>
          <w:rFonts w:ascii="Arial" w:cs="Arial" w:eastAsia="Arial" w:hAnsi="Arial"/>
          <w:sz w:val="16"/>
          <w:szCs w:val="16"/>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36" w:lineRule="exact"/>
        <w:rPr>
          <w:sz w:val="20"/>
          <w:szCs w:val="20"/>
          <w:color w:val="auto"/>
        </w:rPr>
      </w:pPr>
    </w:p>
    <w:p>
      <w:pPr>
        <w:ind w:left="40" w:right="339"/>
        <w:spacing w:after="0" w:line="26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41" w:lineRule="exact"/>
        <w:rPr>
          <w:sz w:val="20"/>
          <w:szCs w:val="20"/>
          <w:color w:val="auto"/>
        </w:rPr>
      </w:pPr>
    </w:p>
    <w:p>
      <w:pPr>
        <w:ind w:left="40" w:right="179" w:firstLine="315"/>
        <w:spacing w:after="0" w:line="286" w:lineRule="auto"/>
        <w:rPr>
          <w:sz w:val="20"/>
          <w:szCs w:val="20"/>
          <w:color w:val="auto"/>
        </w:rPr>
      </w:pPr>
      <w:r>
        <w:rPr>
          <w:rFonts w:ascii="Arial" w:cs="Arial" w:eastAsia="Arial" w:hAnsi="Arial"/>
          <w:sz w:val="16"/>
          <w:szCs w:val="16"/>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9" w:name="page80"/>
    <w:bookmarkEnd w:id="7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right="239"/>
        <w:spacing w:after="0" w:line="209" w:lineRule="auto"/>
        <w:rPr>
          <w:sz w:val="20"/>
          <w:szCs w:val="20"/>
          <w:color w:val="auto"/>
        </w:rPr>
      </w:pPr>
      <w:r>
        <w:rPr>
          <w:rFonts w:ascii="Arial" w:cs="Arial" w:eastAsia="Arial" w:hAnsi="Arial"/>
          <w:sz w:val="18"/>
          <w:szCs w:val="18"/>
          <w:color w:val="auto"/>
        </w:rPr>
        <w:t>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74" w:lineRule="exact"/>
        <w:rPr>
          <w:sz w:val="20"/>
          <w:szCs w:val="20"/>
          <w:color w:val="auto"/>
        </w:rPr>
      </w:pPr>
    </w:p>
    <w:p>
      <w:pPr>
        <w:ind w:left="40" w:right="199" w:firstLine="315"/>
        <w:spacing w:after="0" w:line="248" w:lineRule="auto"/>
        <w:rPr>
          <w:sz w:val="20"/>
          <w:szCs w:val="20"/>
          <w:color w:val="auto"/>
        </w:rPr>
      </w:pPr>
      <w:r>
        <w:rPr>
          <w:rFonts w:ascii="Arial" w:cs="Arial" w:eastAsia="Arial" w:hAnsi="Arial"/>
          <w:sz w:val="16"/>
          <w:szCs w:val="16"/>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Arial" w:cs="Arial" w:eastAsia="Arial" w:hAnsi="Arial"/>
          <w:sz w:val="24"/>
          <w:szCs w:val="24"/>
          <w:color w:val="auto"/>
          <w:vertAlign w:val="superscript"/>
        </w:rPr>
        <w:t>TM</w:t>
      </w:r>
      <w:r>
        <w:rPr>
          <w:rFonts w:ascii="Arial" w:cs="Arial" w:eastAsia="Arial" w:hAnsi="Arial"/>
          <w:sz w:val="16"/>
          <w:szCs w:val="16"/>
          <w:color w:val="auto"/>
        </w:rPr>
        <w:t>, have been approved for uses beyond those authorized in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for these uses.</w:t>
      </w:r>
    </w:p>
    <w:p>
      <w:pPr>
        <w:spacing w:after="0" w:line="47" w:lineRule="exact"/>
        <w:rPr>
          <w:sz w:val="20"/>
          <w:szCs w:val="20"/>
          <w:color w:val="auto"/>
        </w:rPr>
      </w:pPr>
    </w:p>
    <w:p>
      <w:pPr>
        <w:ind w:left="40" w:right="199" w:firstLine="315"/>
        <w:spacing w:after="0" w:line="264" w:lineRule="auto"/>
        <w:rPr>
          <w:sz w:val="20"/>
          <w:szCs w:val="20"/>
          <w:color w:val="auto"/>
        </w:rPr>
      </w:pPr>
      <w:r>
        <w:rPr>
          <w:rFonts w:ascii="Arial" w:cs="Arial" w:eastAsia="Arial" w:hAnsi="Arial"/>
          <w:sz w:val="16"/>
          <w:szCs w:val="16"/>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our product candidates, if approved, we could become subject to significant liability, which would materially adversely affect our business and financial condition.</w:t>
      </w:r>
    </w:p>
    <w:p>
      <w:pPr>
        <w:spacing w:after="0" w:line="133" w:lineRule="exact"/>
        <w:rPr>
          <w:sz w:val="20"/>
          <w:szCs w:val="20"/>
          <w:color w:val="auto"/>
        </w:rPr>
      </w:pPr>
    </w:p>
    <w:p>
      <w:pPr>
        <w:ind w:left="40" w:right="339"/>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66" w:lineRule="exact"/>
        <w:rPr>
          <w:sz w:val="20"/>
          <w:szCs w:val="20"/>
          <w:color w:val="auto"/>
        </w:rPr>
      </w:pPr>
    </w:p>
    <w:p>
      <w:pPr>
        <w:ind w:left="40" w:right="239" w:firstLine="315"/>
        <w:spacing w:after="0" w:line="278" w:lineRule="auto"/>
        <w:rPr>
          <w:sz w:val="20"/>
          <w:szCs w:val="20"/>
          <w:color w:val="auto"/>
        </w:rPr>
      </w:pPr>
      <w:r>
        <w:rPr>
          <w:rFonts w:ascii="Arial" w:cs="Arial" w:eastAsia="Arial" w:hAnsi="Arial"/>
          <w:sz w:val="16"/>
          <w:szCs w:val="16"/>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37" w:lineRule="exact"/>
        <w:rPr>
          <w:sz w:val="20"/>
          <w:szCs w:val="20"/>
          <w:color w:val="auto"/>
        </w:rPr>
      </w:pPr>
    </w:p>
    <w:p>
      <w:pPr>
        <w:ind w:left="40" w:right="139"/>
        <w:spacing w:after="0" w:line="279" w:lineRule="auto"/>
        <w:rPr>
          <w:sz w:val="20"/>
          <w:szCs w:val="20"/>
          <w:color w:val="auto"/>
        </w:rPr>
      </w:pPr>
      <w:r>
        <w:rPr>
          <w:rFonts w:ascii="Arial" w:cs="Arial" w:eastAsia="Arial" w:hAnsi="Arial"/>
          <w:sz w:val="16"/>
          <w:szCs w:val="16"/>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environment, and any resurgence of the virus or emergence of new variants may lead to further inspectional delays. Regulatory authorities outside the U.S. have adopted similar restrictions or other policy measures in response to COVID-19.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0" w:name="page81"/>
    <w:bookmarkEnd w:id="8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0" w:right="319"/>
        <w:spacing w:after="0" w:line="252" w:lineRule="auto"/>
        <w:rPr>
          <w:sz w:val="20"/>
          <w:szCs w:val="20"/>
          <w:color w:val="auto"/>
        </w:rPr>
      </w:pPr>
      <w:r>
        <w:rPr>
          <w:rFonts w:ascii="Arial" w:cs="Arial" w:eastAsia="Arial" w:hAnsi="Arial"/>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63"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34" w:lineRule="exact"/>
        <w:rPr>
          <w:sz w:val="20"/>
          <w:szCs w:val="20"/>
          <w:color w:val="auto"/>
        </w:rPr>
      </w:pPr>
    </w:p>
    <w:p>
      <w:pPr>
        <w:ind w:left="40" w:right="639"/>
        <w:spacing w:after="0" w:line="261" w:lineRule="auto"/>
        <w:rPr>
          <w:sz w:val="20"/>
          <w:szCs w:val="20"/>
          <w:color w:val="auto"/>
        </w:rPr>
      </w:pPr>
      <w:r>
        <w:rPr>
          <w:rFonts w:ascii="Arial" w:cs="Arial" w:eastAsia="Arial" w:hAnsi="Arial"/>
          <w:sz w:val="18"/>
          <w:szCs w:val="18"/>
          <w:b w:val="1"/>
          <w:bCs w:val="1"/>
          <w:i w:val="1"/>
          <w:iCs w:val="1"/>
          <w:color w:val="auto"/>
        </w:rPr>
        <w:t>We may be subject to extensive regulations outside the U.S. and may not obtain marketing approvals for products in Europe and other jurisdictions.</w:t>
      </w:r>
    </w:p>
    <w:p>
      <w:pPr>
        <w:spacing w:after="0" w:line="132" w:lineRule="exact"/>
        <w:rPr>
          <w:sz w:val="20"/>
          <w:szCs w:val="20"/>
          <w:color w:val="auto"/>
        </w:rPr>
      </w:pPr>
    </w:p>
    <w:p>
      <w:pPr>
        <w:ind w:left="40" w:right="159" w:firstLine="315"/>
        <w:spacing w:after="0" w:line="246" w:lineRule="auto"/>
        <w:rPr>
          <w:sz w:val="20"/>
          <w:szCs w:val="20"/>
          <w:color w:val="auto"/>
        </w:rPr>
      </w:pPr>
      <w:r>
        <w:rPr>
          <w:rFonts w:ascii="Arial" w:cs="Arial" w:eastAsia="Arial" w:hAnsi="Arial"/>
          <w:sz w:val="17"/>
          <w:szCs w:val="17"/>
          <w:color w:val="auto"/>
        </w:rPr>
        <w:t>In addition to regulations in the U.S., should we or our collaborators pursue marketing approvals for IGALMI</w:t>
      </w:r>
      <w:r>
        <w:rPr>
          <w:rFonts w:ascii="Arial" w:cs="Arial" w:eastAsia="Arial" w:hAnsi="Arial"/>
          <w:sz w:val="25"/>
          <w:szCs w:val="25"/>
          <w:color w:val="auto"/>
          <w:vertAlign w:val="superscript"/>
        </w:rPr>
        <w:t>TM</w:t>
      </w:r>
      <w:r>
        <w:rPr>
          <w:rFonts w:ascii="Arial" w:cs="Arial" w:eastAsia="Arial" w:hAnsi="Arial"/>
          <w:sz w:val="17"/>
          <w:szCs w:val="17"/>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9" w:lineRule="exact"/>
        <w:rPr>
          <w:sz w:val="20"/>
          <w:szCs w:val="20"/>
          <w:color w:val="auto"/>
        </w:rPr>
      </w:pPr>
    </w:p>
    <w:p>
      <w:pPr>
        <w:ind w:left="40" w:right="259" w:firstLine="315"/>
        <w:spacing w:after="0" w:line="230" w:lineRule="auto"/>
        <w:rPr>
          <w:sz w:val="20"/>
          <w:szCs w:val="20"/>
          <w:color w:val="auto"/>
        </w:rPr>
      </w:pPr>
      <w:r>
        <w:rPr>
          <w:rFonts w:ascii="Arial" w:cs="Arial" w:eastAsia="Arial" w:hAnsi="Arial"/>
          <w:sz w:val="18"/>
          <w:szCs w:val="18"/>
          <w:color w:val="auto"/>
        </w:rPr>
        <w:t>We expect to pursue marketing approvals for IGALMI</w:t>
      </w:r>
      <w:r>
        <w:rPr>
          <w:rFonts w:ascii="Arial" w:cs="Arial" w:eastAsia="Arial" w:hAnsi="Arial"/>
          <w:sz w:val="26"/>
          <w:szCs w:val="26"/>
          <w:color w:val="auto"/>
          <w:vertAlign w:val="superscript"/>
        </w:rPr>
        <w:t>TM</w:t>
      </w:r>
      <w:r>
        <w:rPr>
          <w:rFonts w:ascii="Arial" w:cs="Arial" w:eastAsia="Arial" w:hAnsi="Arial"/>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64" w:lineRule="exact"/>
        <w:rPr>
          <w:sz w:val="20"/>
          <w:szCs w:val="20"/>
          <w:color w:val="auto"/>
        </w:rPr>
      </w:pPr>
    </w:p>
    <w:p>
      <w:pPr>
        <w:ind w:left="40" w:right="219" w:firstLine="315"/>
        <w:spacing w:after="0" w:line="281"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30" w:lineRule="exact"/>
        <w:rPr>
          <w:sz w:val="20"/>
          <w:szCs w:val="20"/>
          <w:color w:val="auto"/>
        </w:rPr>
      </w:pPr>
    </w:p>
    <w:p>
      <w:pPr>
        <w:ind w:left="40" w:right="159" w:firstLine="315"/>
        <w:spacing w:after="0" w:line="299" w:lineRule="auto"/>
        <w:rPr>
          <w:sz w:val="20"/>
          <w:szCs w:val="20"/>
          <w:color w:val="auto"/>
        </w:rPr>
      </w:pPr>
      <w:r>
        <w:rPr>
          <w:rFonts w:ascii="Arial" w:cs="Arial" w:eastAsia="Arial" w:hAnsi="Arial"/>
          <w:sz w:val="16"/>
          <w:szCs w:val="16"/>
          <w:color w:val="auto"/>
        </w:rPr>
        <w:t>Since January 1, 2021, the UK operates under a distinct regulatory regime to the EU. EU pharmaceutical laws only apply in respect of the UK to Northern Ireland (as set out in the Protocol on Ireland/Northern Ireland ). EU laws which have been transposed into UK law through secondary legislation continue to be applicable as “retained EU law”. While</w:t>
      </w: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1" w:name="page82"/>
    <w:bookmarkEnd w:id="8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77" w:lineRule="auto"/>
        <w:rPr>
          <w:sz w:val="20"/>
          <w:szCs w:val="20"/>
          <w:color w:val="auto"/>
        </w:rPr>
      </w:pPr>
      <w:r>
        <w:rPr>
          <w:rFonts w:ascii="Arial" w:cs="Arial" w:eastAsia="Arial" w:hAnsi="Arial"/>
          <w:sz w:val="16"/>
          <w:szCs w:val="16"/>
          <w:color w:val="auto"/>
        </w:rPr>
        <w:t>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 in the EU for our product candidates on the basis of clinical trials conducted in the UK.</w:t>
      </w:r>
    </w:p>
    <w:p>
      <w:pPr>
        <w:spacing w:after="0" w:line="151" w:lineRule="exact"/>
        <w:rPr>
          <w:sz w:val="20"/>
          <w:szCs w:val="20"/>
          <w:color w:val="auto"/>
        </w:rPr>
      </w:pPr>
    </w:p>
    <w:p>
      <w:pPr>
        <w:ind w:left="40" w:right="159" w:firstLine="315"/>
        <w:spacing w:after="0" w:line="277" w:lineRule="auto"/>
        <w:rPr>
          <w:sz w:val="20"/>
          <w:szCs w:val="20"/>
          <w:color w:val="auto"/>
        </w:rPr>
      </w:pPr>
      <w:r>
        <w:rPr>
          <w:rFonts w:ascii="Arial" w:cs="Arial" w:eastAsia="Arial" w:hAnsi="Arial"/>
          <w:sz w:val="16"/>
          <w:szCs w:val="16"/>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The UK’s withdrawal from the EU and the associated uncertainty has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134" w:lineRule="exact"/>
        <w:rPr>
          <w:sz w:val="20"/>
          <w:szCs w:val="20"/>
          <w:color w:val="auto"/>
        </w:rPr>
      </w:pPr>
    </w:p>
    <w:p>
      <w:pPr>
        <w:ind w:left="40" w:right="139" w:firstLine="315"/>
        <w:spacing w:after="0" w:line="284" w:lineRule="auto"/>
        <w:rPr>
          <w:sz w:val="20"/>
          <w:szCs w:val="20"/>
          <w:color w:val="auto"/>
        </w:rPr>
      </w:pPr>
      <w:r>
        <w:rPr>
          <w:rFonts w:ascii="Arial" w:cs="Arial" w:eastAsia="Arial" w:hAnsi="Arial"/>
          <w:sz w:val="16"/>
          <w:szCs w:val="16"/>
          <w:color w:val="auto"/>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 and commercialization of products in the EU and/or the UK.</w:t>
      </w:r>
    </w:p>
    <w:p>
      <w:pPr>
        <w:spacing w:after="0" w:line="126" w:lineRule="exact"/>
        <w:rPr>
          <w:sz w:val="20"/>
          <w:szCs w:val="20"/>
          <w:color w:val="auto"/>
        </w:rPr>
      </w:pPr>
    </w:p>
    <w:p>
      <w:pPr>
        <w:ind w:left="40" w:right="219"/>
        <w:spacing w:after="0" w:line="249" w:lineRule="auto"/>
        <w:rPr>
          <w:sz w:val="20"/>
          <w:szCs w:val="20"/>
          <w:color w:val="auto"/>
        </w:rPr>
      </w:pPr>
      <w:r>
        <w:rPr>
          <w:rFonts w:ascii="Arial" w:cs="Arial" w:eastAsia="Arial" w:hAnsi="Arial"/>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66" w:lineRule="exact"/>
        <w:rPr>
          <w:sz w:val="20"/>
          <w:szCs w:val="20"/>
          <w:color w:val="auto"/>
        </w:rPr>
      </w:pPr>
    </w:p>
    <w:p>
      <w:pPr>
        <w:ind w:left="40" w:right="199" w:firstLine="315"/>
        <w:spacing w:after="0" w:line="249" w:lineRule="auto"/>
        <w:rPr>
          <w:sz w:val="20"/>
          <w:szCs w:val="20"/>
          <w:color w:val="auto"/>
        </w:rPr>
      </w:pPr>
      <w:r>
        <w:rPr>
          <w:rFonts w:ascii="Arial" w:cs="Arial" w:eastAsia="Arial" w:hAnsi="Arial"/>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2" w:name="page83"/>
    <w:bookmarkEnd w:id="8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179" w:hanging="310"/>
        <w:spacing w:after="0" w:line="286"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39" w:lineRule="exact"/>
        <w:rPr>
          <w:rFonts w:ascii="Arial" w:cs="Arial" w:eastAsia="Arial" w:hAnsi="Arial"/>
          <w:sz w:val="16"/>
          <w:szCs w:val="16"/>
          <w:color w:val="auto"/>
        </w:rPr>
      </w:pPr>
    </w:p>
    <w:p>
      <w:pPr>
        <w:ind w:left="700" w:right="179" w:hanging="310"/>
        <w:spacing w:after="0" w:line="280"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31" w:lineRule="exact"/>
        <w:rPr>
          <w:rFonts w:ascii="Arial" w:cs="Arial" w:eastAsia="Arial" w:hAnsi="Arial"/>
          <w:sz w:val="16"/>
          <w:szCs w:val="16"/>
          <w:color w:val="auto"/>
        </w:rPr>
      </w:pPr>
    </w:p>
    <w:p>
      <w:pPr>
        <w:ind w:left="700" w:right="159" w:hanging="310"/>
        <w:spacing w:after="0" w:line="284"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26" w:lineRule="exact"/>
        <w:rPr>
          <w:rFonts w:ascii="Arial" w:cs="Arial" w:eastAsia="Arial" w:hAnsi="Arial"/>
          <w:sz w:val="16"/>
          <w:szCs w:val="16"/>
          <w:color w:val="auto"/>
        </w:rPr>
      </w:pPr>
    </w:p>
    <w:p>
      <w:pPr>
        <w:ind w:left="700" w:right="159" w:hanging="310"/>
        <w:spacing w:after="0" w:line="290"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35" w:lineRule="exact"/>
        <w:rPr>
          <w:rFonts w:ascii="Arial" w:cs="Arial" w:eastAsia="Arial" w:hAnsi="Arial"/>
          <w:sz w:val="16"/>
          <w:szCs w:val="16"/>
          <w:color w:val="auto"/>
        </w:rPr>
      </w:pPr>
    </w:p>
    <w:p>
      <w:pPr>
        <w:ind w:left="700" w:right="779" w:hanging="310"/>
        <w:spacing w:after="0" w:line="261"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41" w:lineRule="exact"/>
        <w:rPr>
          <w:rFonts w:ascii="Arial" w:cs="Arial" w:eastAsia="Arial" w:hAnsi="Arial"/>
          <w:sz w:val="18"/>
          <w:szCs w:val="18"/>
          <w:color w:val="auto"/>
        </w:rPr>
      </w:pPr>
    </w:p>
    <w:p>
      <w:pPr>
        <w:ind w:left="700" w:right="139" w:hanging="310"/>
        <w:spacing w:after="0" w:line="281"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physician sunshine requirements under the Patient Protection and Affordable Care Act, as amended by the Health Care and Education Reconciliation Act (“ACA”), which requires certain manufacturers of drugs, devices, biologics, and medical supplies to report annually to the U.S.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29" w:lineRule="exact"/>
        <w:rPr>
          <w:rFonts w:ascii="Arial" w:cs="Arial" w:eastAsia="Arial" w:hAnsi="Arial"/>
          <w:sz w:val="16"/>
          <w:szCs w:val="16"/>
          <w:color w:val="auto"/>
        </w:rPr>
      </w:pPr>
    </w:p>
    <w:p>
      <w:pPr>
        <w:ind w:left="700" w:right="179" w:hanging="310"/>
        <w:spacing w:after="0" w:line="282"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2" w:lineRule="exact"/>
        <w:rPr>
          <w:rFonts w:ascii="Arial" w:cs="Arial" w:eastAsia="Arial" w:hAnsi="Arial"/>
          <w:sz w:val="16"/>
          <w:szCs w:val="16"/>
          <w:color w:val="auto"/>
        </w:rPr>
      </w:pPr>
    </w:p>
    <w:p>
      <w:pPr>
        <w:ind w:left="700" w:right="839" w:hanging="310"/>
        <w:spacing w:after="0" w:line="261"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 care providers.</w:t>
      </w:r>
    </w:p>
    <w:p>
      <w:pPr>
        <w:spacing w:after="0" w:line="141" w:lineRule="exact"/>
        <w:rPr>
          <w:sz w:val="20"/>
          <w:szCs w:val="20"/>
          <w:color w:val="auto"/>
        </w:rPr>
      </w:pPr>
    </w:p>
    <w:p>
      <w:pPr>
        <w:ind w:left="40" w:right="219" w:firstLine="315"/>
        <w:spacing w:after="0" w:line="299"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3" w:name="page84"/>
    <w:bookmarkEnd w:id="8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spacing w:after="0" w:line="282" w:lineRule="auto"/>
        <w:rPr>
          <w:sz w:val="20"/>
          <w:szCs w:val="20"/>
          <w:color w:val="auto"/>
        </w:rPr>
      </w:pPr>
      <w:r>
        <w:rPr>
          <w:rFonts w:ascii="Arial" w:cs="Arial" w:eastAsia="Arial" w:hAnsi="Arial"/>
          <w:sz w:val="16"/>
          <w:szCs w:val="16"/>
          <w:color w:val="auto"/>
        </w:rPr>
        <w:t>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174" w:lineRule="exact"/>
        <w:rPr>
          <w:sz w:val="20"/>
          <w:szCs w:val="20"/>
          <w:color w:val="auto"/>
        </w:rPr>
      </w:pPr>
    </w:p>
    <w:p>
      <w:pPr>
        <w:ind w:left="40" w:right="139" w:firstLine="315"/>
        <w:spacing w:after="0" w:line="265"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93" w:lineRule="exact"/>
        <w:rPr>
          <w:sz w:val="20"/>
          <w:szCs w:val="20"/>
          <w:color w:val="auto"/>
        </w:rPr>
      </w:pPr>
    </w:p>
    <w:p>
      <w:pPr>
        <w:ind w:left="40" w:right="239"/>
        <w:spacing w:after="0" w:line="261" w:lineRule="auto"/>
        <w:rPr>
          <w:sz w:val="20"/>
          <w:szCs w:val="20"/>
          <w:color w:val="auto"/>
        </w:rPr>
      </w:pPr>
      <w:r>
        <w:rPr>
          <w:rFonts w:ascii="Arial" w:cs="Arial" w:eastAsia="Arial" w:hAnsi="Arial"/>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41" w:lineRule="exact"/>
        <w:rPr>
          <w:sz w:val="20"/>
          <w:szCs w:val="20"/>
          <w:color w:val="auto"/>
        </w:rPr>
      </w:pPr>
    </w:p>
    <w:p>
      <w:pPr>
        <w:ind w:left="40" w:right="399" w:firstLine="315"/>
        <w:spacing w:after="0" w:line="261" w:lineRule="auto"/>
        <w:rPr>
          <w:sz w:val="20"/>
          <w:szCs w:val="20"/>
          <w:color w:val="auto"/>
        </w:rPr>
      </w:pPr>
      <w:r>
        <w:rPr>
          <w:rFonts w:ascii="Arial" w:cs="Arial" w:eastAsia="Arial" w:hAnsi="Arial"/>
          <w:sz w:val="18"/>
          <w:szCs w:val="18"/>
          <w:color w:val="auto"/>
        </w:rPr>
        <w:t>A number of factors may affect the market acceptance of our products or any other products or product candidates we develop or acquire, including, among others:</w:t>
      </w:r>
    </w:p>
    <w:p>
      <w:pPr>
        <w:spacing w:after="0" w:line="141" w:lineRule="exact"/>
        <w:rPr>
          <w:sz w:val="20"/>
          <w:szCs w:val="20"/>
          <w:color w:val="auto"/>
        </w:rPr>
      </w:pPr>
    </w:p>
    <w:p>
      <w:pPr>
        <w:ind w:left="700" w:hanging="31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187" w:lineRule="exact"/>
        <w:rPr>
          <w:rFonts w:ascii="Arial" w:cs="Arial" w:eastAsia="Arial" w:hAnsi="Arial"/>
          <w:sz w:val="18"/>
          <w:szCs w:val="18"/>
          <w:color w:val="auto"/>
        </w:rPr>
      </w:pPr>
    </w:p>
    <w:p>
      <w:pPr>
        <w:ind w:left="700" w:right="299" w:hanging="310"/>
        <w:spacing w:after="0" w:line="261"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utility and safety of our products for their indicated applications and treatments;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87" w:lineRule="exact"/>
        <w:rPr>
          <w:sz w:val="20"/>
          <w:szCs w:val="20"/>
          <w:color w:val="auto"/>
        </w:rPr>
      </w:pPr>
    </w:p>
    <w:p>
      <w:pPr>
        <w:ind w:left="40" w:right="339" w:firstLine="315"/>
        <w:spacing w:after="0" w:line="252"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50" w:lineRule="exact"/>
        <w:rPr>
          <w:sz w:val="20"/>
          <w:szCs w:val="20"/>
          <w:color w:val="auto"/>
        </w:rPr>
      </w:pPr>
    </w:p>
    <w:p>
      <w:pPr>
        <w:ind w:left="40" w:right="179" w:firstLine="315"/>
        <w:spacing w:after="0" w:line="224" w:lineRule="auto"/>
        <w:rPr>
          <w:sz w:val="20"/>
          <w:szCs w:val="20"/>
          <w:color w:val="auto"/>
        </w:rPr>
      </w:pPr>
      <w:r>
        <w:rPr>
          <w:rFonts w:ascii="Arial" w:cs="Arial" w:eastAsia="Arial" w:hAnsi="Arial"/>
          <w:sz w:val="16"/>
          <w:szCs w:val="16"/>
          <w:color w:val="auto"/>
        </w:rPr>
        <w:t>Our results of operations could be materially harmed if we are unable to accurately forecast customer demand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manage our inventory. To ensure adequate inventory supply, we must forecast inventory needs and place orders with our suppliers based on our estimates of future demand for IGALMI</w:t>
      </w:r>
      <w:r>
        <w:rPr>
          <w:rFonts w:ascii="Arial" w:cs="Arial" w:eastAsia="Arial" w:hAnsi="Arial"/>
          <w:sz w:val="24"/>
          <w:szCs w:val="24"/>
          <w:color w:val="auto"/>
          <w:vertAlign w:val="superscript"/>
        </w:rPr>
        <w:t>TM</w:t>
      </w:r>
      <w:r>
        <w:rPr>
          <w:rFonts w:ascii="Arial" w:cs="Arial" w:eastAsia="Arial" w:hAnsi="Arial"/>
          <w:sz w:val="16"/>
          <w:szCs w:val="16"/>
          <w:color w:val="auto"/>
        </w:rPr>
        <w:t>. Our ability to accurately forecast demand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could be negatively affected by many factors, including our failure to accurately manage our expansion strategy, product introductions by competitors, an increase or decrease in customer demand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Arial" w:cs="Arial" w:eastAsia="Arial" w:hAnsi="Arial"/>
          <w:sz w:val="24"/>
          <w:szCs w:val="24"/>
          <w:color w:val="auto"/>
          <w:vertAlign w:val="superscript"/>
        </w:rPr>
        <w:t>TM</w:t>
      </w:r>
      <w:r>
        <w:rPr>
          <w:rFonts w:ascii="Arial" w:cs="Arial" w:eastAsia="Arial" w:hAnsi="Arial"/>
          <w:sz w:val="16"/>
          <w:szCs w:val="16"/>
          <w:color w:val="auto"/>
        </w:rPr>
        <w:t>, our third-party contract manufacturer may not be able to deliver products to meet our requirements, and this could result in damage to our</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4" w:name="page85"/>
    <w:bookmarkEnd w:id="8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39"/>
        <w:spacing w:after="0" w:line="226" w:lineRule="auto"/>
        <w:rPr>
          <w:sz w:val="20"/>
          <w:szCs w:val="20"/>
          <w:color w:val="auto"/>
        </w:rPr>
      </w:pPr>
      <w:r>
        <w:rPr>
          <w:rFonts w:ascii="Arial" w:cs="Arial" w:eastAsia="Arial" w:hAnsi="Arial"/>
          <w:sz w:val="18"/>
          <w:szCs w:val="18"/>
          <w:color w:val="auto"/>
        </w:rPr>
        <w:t>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our results of operations.</w:t>
      </w:r>
    </w:p>
    <w:p>
      <w:pPr>
        <w:spacing w:after="0" w:line="174" w:lineRule="exact"/>
        <w:rPr>
          <w:sz w:val="20"/>
          <w:szCs w:val="20"/>
          <w:color w:val="auto"/>
        </w:rPr>
      </w:pPr>
    </w:p>
    <w:p>
      <w:pPr>
        <w:ind w:left="40" w:right="179" w:firstLine="315"/>
        <w:spacing w:after="0" w:line="249" w:lineRule="auto"/>
        <w:rPr>
          <w:sz w:val="20"/>
          <w:szCs w:val="20"/>
          <w:color w:val="auto"/>
        </w:rPr>
      </w:pPr>
      <w:r>
        <w:rPr>
          <w:rFonts w:ascii="Arial" w:cs="Arial" w:eastAsia="Arial" w:hAnsi="Arial"/>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153" w:lineRule="exact"/>
        <w:rPr>
          <w:sz w:val="20"/>
          <w:szCs w:val="20"/>
          <w:color w:val="auto"/>
        </w:rPr>
      </w:pPr>
    </w:p>
    <w:p>
      <w:pPr>
        <w:ind w:left="40" w:right="199"/>
        <w:spacing w:after="0" w:line="248" w:lineRule="auto"/>
        <w:rPr>
          <w:sz w:val="20"/>
          <w:szCs w:val="20"/>
          <w:color w:val="auto"/>
        </w:rPr>
      </w:pPr>
      <w:r>
        <w:rPr>
          <w:rFonts w:ascii="Arial" w:cs="Arial" w:eastAsia="Arial" w:hAnsi="Arial"/>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53"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147" w:lineRule="exact"/>
        <w:rPr>
          <w:sz w:val="20"/>
          <w:szCs w:val="20"/>
          <w:color w:val="auto"/>
        </w:rPr>
      </w:pPr>
    </w:p>
    <w:p>
      <w:pPr>
        <w:ind w:left="40" w:right="219" w:firstLine="315"/>
        <w:spacing w:after="0" w:line="281" w:lineRule="auto"/>
        <w:rPr>
          <w:sz w:val="20"/>
          <w:szCs w:val="20"/>
          <w:color w:val="auto"/>
        </w:rPr>
      </w:pPr>
      <w:r>
        <w:rPr>
          <w:rFonts w:ascii="Arial" w:cs="Arial" w:eastAsia="Arial" w:hAnsi="Arial"/>
          <w:sz w:val="16"/>
          <w:szCs w:val="16"/>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30" w:lineRule="exact"/>
        <w:rPr>
          <w:sz w:val="20"/>
          <w:szCs w:val="20"/>
          <w:color w:val="auto"/>
        </w:rPr>
      </w:pPr>
    </w:p>
    <w:p>
      <w:pPr>
        <w:ind w:left="40" w:right="199" w:firstLine="315"/>
        <w:spacing w:after="0" w:line="286" w:lineRule="auto"/>
        <w:rPr>
          <w:sz w:val="20"/>
          <w:szCs w:val="20"/>
          <w:color w:val="auto"/>
        </w:rPr>
      </w:pPr>
      <w:r>
        <w:rPr>
          <w:rFonts w:ascii="Arial" w:cs="Arial" w:eastAsia="Arial" w:hAnsi="Arial"/>
          <w:sz w:val="16"/>
          <w:szCs w:val="16"/>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26" w:lineRule="exact"/>
        <w:rPr>
          <w:sz w:val="20"/>
          <w:szCs w:val="20"/>
          <w:color w:val="auto"/>
        </w:rPr>
      </w:pPr>
    </w:p>
    <w:p>
      <w:pPr>
        <w:ind w:left="40" w:right="219" w:firstLine="315"/>
        <w:spacing w:after="0" w:line="281"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 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w:t>
      </w:r>
    </w:p>
    <w:p>
      <w:pPr>
        <w:sectPr>
          <w:pgSz w:w="11900" w:h="16838" w:orient="portrait"/>
          <w:cols w:equalWidth="0" w:num="1">
            <w:col w:w="9019"/>
          </w:cols>
          <w:pgMar w:left="1440" w:top="508"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85" w:name="page86"/>
    <w:bookmarkEnd w:id="8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99"/>
        <w:spacing w:after="0" w:line="278" w:lineRule="auto"/>
        <w:rPr>
          <w:sz w:val="20"/>
          <w:szCs w:val="20"/>
          <w:color w:val="auto"/>
        </w:rPr>
      </w:pPr>
      <w:r>
        <w:rPr>
          <w:rFonts w:ascii="Arial" w:cs="Arial" w:eastAsia="Arial" w:hAnsi="Arial"/>
          <w:sz w:val="16"/>
          <w:szCs w:val="16"/>
          <w:color w:val="auto"/>
        </w:rPr>
        <w:t>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50" w:lineRule="exact"/>
        <w:rPr>
          <w:sz w:val="20"/>
          <w:szCs w:val="20"/>
          <w:color w:val="auto"/>
        </w:rPr>
      </w:pPr>
    </w:p>
    <w:p>
      <w:pPr>
        <w:ind w:left="40" w:right="859"/>
        <w:spacing w:after="0" w:line="288" w:lineRule="auto"/>
        <w:rPr>
          <w:sz w:val="20"/>
          <w:szCs w:val="20"/>
          <w:color w:val="auto"/>
        </w:rPr>
      </w:pPr>
      <w:r>
        <w:rPr>
          <w:rFonts w:ascii="Arial" w:cs="Arial" w:eastAsia="Arial" w:hAnsi="Arial"/>
          <w:sz w:val="17"/>
          <w:szCs w:val="17"/>
          <w:b w:val="1"/>
          <w:bCs w:val="1"/>
          <w:i w:val="1"/>
          <w:iCs w:val="1"/>
          <w:color w:val="auto"/>
        </w:rPr>
        <w:t>If we are unable to develop satisfactory sales and marketing capabilities, we may not succeed in commercializing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or any product candidate for which we may obtain regulatory approval.</w:t>
      </w:r>
    </w:p>
    <w:p>
      <w:pPr>
        <w:spacing w:after="0" w:line="12" w:lineRule="exact"/>
        <w:rPr>
          <w:sz w:val="20"/>
          <w:szCs w:val="20"/>
          <w:color w:val="auto"/>
        </w:rPr>
      </w:pPr>
    </w:p>
    <w:p>
      <w:pPr>
        <w:ind w:left="40" w:right="219" w:firstLine="315"/>
        <w:spacing w:after="0" w:line="263" w:lineRule="auto"/>
        <w:rPr>
          <w:sz w:val="20"/>
          <w:szCs w:val="20"/>
          <w:color w:val="auto"/>
        </w:rPr>
      </w:pPr>
      <w:r>
        <w:rPr>
          <w:rFonts w:ascii="Arial" w:cs="Arial" w:eastAsia="Arial" w:hAnsi="Arial"/>
          <w:sz w:val="16"/>
          <w:szCs w:val="16"/>
          <w:color w:val="auto"/>
        </w:rPr>
        <w:t>We have limited experience in marketing and selling drug products. We have not entered into arrangements for the sale and marketing of IGALMI</w:t>
      </w:r>
      <w:r>
        <w:rPr>
          <w:rFonts w:ascii="Arial" w:cs="Arial" w:eastAsia="Arial" w:hAnsi="Arial"/>
          <w:sz w:val="24"/>
          <w:szCs w:val="24"/>
          <w:color w:val="auto"/>
          <w:vertAlign w:val="superscript"/>
        </w:rPr>
        <w:t>TM</w:t>
      </w:r>
      <w:r>
        <w:rPr>
          <w:rFonts w:ascii="Arial" w:cs="Arial" w:eastAsia="Arial" w:hAnsi="Arial"/>
          <w:sz w:val="16"/>
          <w:szCs w:val="16"/>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187" w:lineRule="exact"/>
        <w:rPr>
          <w:sz w:val="20"/>
          <w:szCs w:val="20"/>
          <w:color w:val="auto"/>
        </w:rPr>
      </w:pPr>
    </w:p>
    <w:p>
      <w:pPr>
        <w:ind w:left="40" w:right="239" w:firstLine="315"/>
        <w:spacing w:after="0" w:line="282" w:lineRule="auto"/>
        <w:rPr>
          <w:sz w:val="20"/>
          <w:szCs w:val="20"/>
          <w:color w:val="auto"/>
        </w:rPr>
      </w:pPr>
      <w:r>
        <w:rPr>
          <w:rFonts w:ascii="Arial" w:cs="Arial" w:eastAsia="Arial" w:hAnsi="Arial"/>
          <w:sz w:val="16"/>
          <w:szCs w:val="16"/>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30" w:lineRule="exact"/>
        <w:rPr>
          <w:sz w:val="20"/>
          <w:szCs w:val="20"/>
          <w:color w:val="auto"/>
        </w:rPr>
      </w:pPr>
    </w:p>
    <w:p>
      <w:pPr>
        <w:ind w:left="40" w:right="179" w:firstLine="315"/>
        <w:spacing w:after="0" w:line="28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ectPr>
          <w:pgSz w:w="11900" w:h="16838" w:orient="portrait"/>
          <w:cols w:equalWidth="0" w:num="1">
            <w:col w:w="9019"/>
          </w:cols>
          <w:pgMar w:left="1440" w:top="508" w:right="1440" w:bottom="1440" w:gutter="0" w:footer="0" w:header="0"/>
        </w:sect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86" w:name="page87"/>
    <w:bookmarkEnd w:id="8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79" w:firstLine="315"/>
        <w:spacing w:after="0" w:line="299" w:lineRule="auto"/>
        <w:rPr>
          <w:sz w:val="20"/>
          <w:szCs w:val="20"/>
          <w:color w:val="auto"/>
        </w:rPr>
      </w:pPr>
      <w:r>
        <w:rPr>
          <w:rFonts w:ascii="Arial" w:cs="Arial" w:eastAsia="Arial" w:hAnsi="Arial"/>
          <w:sz w:val="16"/>
          <w:szCs w:val="16"/>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27" w:lineRule="exact"/>
        <w:rPr>
          <w:sz w:val="20"/>
          <w:szCs w:val="20"/>
          <w:color w:val="auto"/>
        </w:rPr>
      </w:pPr>
    </w:p>
    <w:p>
      <w:pPr>
        <w:ind w:left="40" w:right="159" w:firstLine="315"/>
        <w:spacing w:after="0" w:line="284"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26" w:lineRule="exact"/>
        <w:rPr>
          <w:sz w:val="20"/>
          <w:szCs w:val="20"/>
          <w:color w:val="auto"/>
        </w:rPr>
      </w:pPr>
    </w:p>
    <w:p>
      <w:pPr>
        <w:ind w:left="40" w:right="179" w:firstLine="315"/>
        <w:spacing w:after="0" w:line="252"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40" w:lineRule="exact"/>
        <w:rPr>
          <w:sz w:val="20"/>
          <w:szCs w:val="20"/>
          <w:color w:val="auto"/>
        </w:rPr>
      </w:pPr>
    </w:p>
    <w:p>
      <w:pPr>
        <w:ind w:left="40" w:right="719"/>
        <w:spacing w:after="0" w:line="209" w:lineRule="auto"/>
        <w:rPr>
          <w:sz w:val="20"/>
          <w:szCs w:val="20"/>
          <w:color w:val="auto"/>
        </w:rPr>
      </w:pPr>
      <w:r>
        <w:rPr>
          <w:rFonts w:ascii="Arial" w:cs="Arial" w:eastAsia="Arial" w:hAnsi="Arial"/>
          <w:sz w:val="18"/>
          <w:szCs w:val="18"/>
          <w:b w:val="1"/>
          <w:bCs w:val="1"/>
          <w:i w:val="1"/>
          <w:iCs w:val="1"/>
          <w:color w:val="auto"/>
        </w:rPr>
        <w:t>Although we obtained FDA approval for IGALMI</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our products and product candidates may not be accepted by physicians or the medical community in general.</w:t>
      </w:r>
    </w:p>
    <w:p>
      <w:pPr>
        <w:spacing w:after="0" w:line="164" w:lineRule="exact"/>
        <w:rPr>
          <w:sz w:val="20"/>
          <w:szCs w:val="20"/>
          <w:color w:val="auto"/>
        </w:rPr>
      </w:pPr>
    </w:p>
    <w:p>
      <w:pPr>
        <w:ind w:left="40" w:right="259" w:firstLine="315"/>
        <w:spacing w:after="0" w:line="212" w:lineRule="auto"/>
        <w:rPr>
          <w:sz w:val="20"/>
          <w:szCs w:val="20"/>
          <w:color w:val="auto"/>
        </w:rPr>
      </w:pPr>
      <w:r>
        <w:rPr>
          <w:rFonts w:ascii="Arial" w:cs="Arial" w:eastAsia="Arial" w:hAnsi="Arial"/>
          <w:sz w:val="17"/>
          <w:szCs w:val="17"/>
          <w:color w:val="auto"/>
        </w:rPr>
        <w:t>There can be no assurance that IGALMI</w:t>
      </w:r>
      <w:r>
        <w:rPr>
          <w:rFonts w:ascii="Arial" w:cs="Arial" w:eastAsia="Arial" w:hAnsi="Arial"/>
          <w:sz w:val="25"/>
          <w:szCs w:val="25"/>
          <w:color w:val="auto"/>
          <w:vertAlign w:val="superscript"/>
        </w:rPr>
        <w:t>TM</w:t>
      </w:r>
      <w:r>
        <w:rPr>
          <w:rFonts w:ascii="Arial" w:cs="Arial" w:eastAsia="Arial" w:hAnsi="Arial"/>
          <w:sz w:val="17"/>
          <w:szCs w:val="17"/>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any drugs we develop depends on a number of factors, including:</w:t>
      </w:r>
    </w:p>
    <w:p>
      <w:pPr>
        <w:spacing w:after="0" w:line="162" w:lineRule="exact"/>
        <w:rPr>
          <w:sz w:val="20"/>
          <w:szCs w:val="20"/>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our products and product candidates;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our products and product candidates;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indication(s) for which our products and product candidates are approved;</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advantages and disadvantages of our products and product candidates compared to existing therapies;</w:t>
      </w:r>
    </w:p>
    <w:p>
      <w:pPr>
        <w:spacing w:after="0" w:line="210" w:lineRule="exact"/>
        <w:rPr>
          <w:rFonts w:ascii="Arial" w:cs="Arial" w:eastAsia="Arial" w:hAnsi="Arial"/>
          <w:sz w:val="16"/>
          <w:szCs w:val="16"/>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174" w:lineRule="exact"/>
        <w:rPr>
          <w:rFonts w:ascii="Arial" w:cs="Arial" w:eastAsia="Arial" w:hAnsi="Arial"/>
          <w:sz w:val="18"/>
          <w:szCs w:val="18"/>
          <w:color w:val="auto"/>
        </w:rPr>
      </w:pPr>
    </w:p>
    <w:p>
      <w:pPr>
        <w:ind w:left="700" w:right="1179" w:hanging="310"/>
        <w:spacing w:after="0" w:line="261"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coverage and reimbursement in select jurisdictions, and future changes to coverage and reimbursement policies of government and third-party payors.</w:t>
      </w:r>
    </w:p>
    <w:p>
      <w:pPr>
        <w:spacing w:after="0" w:line="132" w:lineRule="exact"/>
        <w:rPr>
          <w:sz w:val="20"/>
          <w:szCs w:val="20"/>
          <w:color w:val="auto"/>
        </w:rPr>
      </w:pPr>
    </w:p>
    <w:p>
      <w:pPr>
        <w:ind w:left="40" w:right="299" w:firstLine="315"/>
        <w:spacing w:after="0" w:line="211" w:lineRule="auto"/>
        <w:rPr>
          <w:sz w:val="20"/>
          <w:szCs w:val="20"/>
          <w:color w:val="auto"/>
        </w:rPr>
      </w:pPr>
      <w:r>
        <w:rPr>
          <w:rFonts w:ascii="Arial" w:cs="Arial" w:eastAsia="Arial" w:hAnsi="Arial"/>
          <w:sz w:val="18"/>
          <w:szCs w:val="18"/>
          <w:color w:val="auto"/>
        </w:rPr>
        <w:t>Significant uncertainty exists as to the coverage and reimbursement status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any product candidate for which we obtain regulatory approval. In the U.S. and other countries, sales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w:t>
      </w:r>
    </w:p>
    <w:p>
      <w:pPr>
        <w:spacing w:after="0" w:line="173" w:lineRule="exact"/>
        <w:rPr>
          <w:sz w:val="20"/>
          <w:szCs w:val="20"/>
          <w:color w:val="auto"/>
        </w:rPr>
      </w:pPr>
    </w:p>
    <w:p>
      <w:pPr>
        <w:ind w:left="40" w:right="139" w:firstLine="315"/>
        <w:spacing w:after="0" w:line="296"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any other products for which we receive regulatory approval may not be considered</w:t>
      </w: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7" w:name="page88"/>
    <w:bookmarkEnd w:id="8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39"/>
        <w:spacing w:after="0" w:line="280" w:lineRule="auto"/>
        <w:rPr>
          <w:sz w:val="20"/>
          <w:szCs w:val="20"/>
          <w:color w:val="auto"/>
        </w:rPr>
      </w:pPr>
      <w:r>
        <w:rPr>
          <w:rFonts w:ascii="Arial" w:cs="Arial" w:eastAsia="Arial" w:hAnsi="Arial"/>
          <w:sz w:val="15"/>
          <w:szCs w:val="15"/>
          <w:color w:val="auto"/>
        </w:rPr>
        <w:t>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and the product candidates that we develop and may further limit our commercial opportunities. Our results of operations could be materially adversely affected by proposed health care reforms, by the Medicare prescription drug coverage legislation in the U.S., by the possible effect of such current or future legislation on amounts that private insurers will pay and by other health care reforms that may be enacted or adopted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Health care reform measures could hinder or prevent our product candidates’ commercial success.</w:t>
      </w:r>
    </w:p>
    <w:p>
      <w:pPr>
        <w:spacing w:after="0" w:line="174" w:lineRule="exact"/>
        <w:rPr>
          <w:sz w:val="20"/>
          <w:szCs w:val="20"/>
          <w:color w:val="auto"/>
        </w:rPr>
      </w:pPr>
    </w:p>
    <w:p>
      <w:pPr>
        <w:ind w:left="40" w:right="299" w:firstLine="315"/>
        <w:spacing w:after="0" w:line="284" w:lineRule="auto"/>
        <w:rPr>
          <w:sz w:val="20"/>
          <w:szCs w:val="20"/>
          <w:color w:val="auto"/>
        </w:rPr>
      </w:pPr>
      <w:r>
        <w:rPr>
          <w:rFonts w:ascii="Arial" w:cs="Arial" w:eastAsia="Arial" w:hAnsi="Arial"/>
          <w:sz w:val="16"/>
          <w:szCs w:val="16"/>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26"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43" w:lineRule="exact"/>
        <w:rPr>
          <w:sz w:val="20"/>
          <w:szCs w:val="20"/>
          <w:color w:val="auto"/>
        </w:rPr>
      </w:pPr>
    </w:p>
    <w:p>
      <w:pPr>
        <w:ind w:left="40" w:right="259" w:firstLine="315"/>
        <w:spacing w:after="0" w:line="279" w:lineRule="auto"/>
        <w:rPr>
          <w:sz w:val="20"/>
          <w:szCs w:val="20"/>
          <w:color w:val="auto"/>
        </w:rPr>
      </w:pPr>
      <w:r>
        <w:rPr>
          <w:rFonts w:ascii="Arial" w:cs="Arial" w:eastAsia="Arial" w:hAnsi="Arial"/>
          <w:sz w:val="16"/>
          <w:szCs w:val="16"/>
          <w:color w:val="auto"/>
        </w:rPr>
        <w:t>For example, in the U.S., the ACA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35" w:lineRule="exact"/>
        <w:rPr>
          <w:sz w:val="20"/>
          <w:szCs w:val="20"/>
          <w:color w:val="auto"/>
        </w:rPr>
      </w:pPr>
    </w:p>
    <w:p>
      <w:pPr>
        <w:ind w:left="40" w:right="239" w:firstLine="315"/>
        <w:spacing w:after="0" w:line="280"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32" w:lineRule="exact"/>
        <w:rPr>
          <w:sz w:val="20"/>
          <w:szCs w:val="20"/>
          <w:color w:val="auto"/>
        </w:rPr>
      </w:pPr>
    </w:p>
    <w:p>
      <w:pPr>
        <w:ind w:left="40" w:right="239" w:firstLine="315"/>
        <w:spacing w:after="0" w:line="282" w:lineRule="auto"/>
        <w:rPr>
          <w:sz w:val="20"/>
          <w:szCs w:val="20"/>
          <w:color w:val="auto"/>
        </w:rPr>
      </w:pPr>
      <w:r>
        <w:rPr>
          <w:rFonts w:ascii="Arial" w:cs="Arial" w:eastAsia="Arial" w:hAnsi="Arial"/>
          <w:sz w:val="16"/>
          <w:szCs w:val="16"/>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8" w:name="page89"/>
    <w:bookmarkEnd w:id="8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379"/>
        <w:spacing w:after="0" w:line="261" w:lineRule="auto"/>
        <w:rPr>
          <w:sz w:val="20"/>
          <w:szCs w:val="20"/>
          <w:color w:val="auto"/>
        </w:rPr>
      </w:pPr>
      <w:r>
        <w:rPr>
          <w:rFonts w:ascii="Arial" w:cs="Arial" w:eastAsia="Arial" w:hAnsi="Arial"/>
          <w:sz w:val="18"/>
          <w:szCs w:val="18"/>
          <w:color w:val="auto"/>
        </w:rPr>
        <w:t>the statutory Medicaid drug rebate cap, currently set at 100% of a drug’s average manufacturer price, beginning January 1, 2024.</w:t>
      </w:r>
    </w:p>
    <w:p>
      <w:pPr>
        <w:spacing w:after="0" w:line="154" w:lineRule="exact"/>
        <w:rPr>
          <w:sz w:val="20"/>
          <w:szCs w:val="20"/>
          <w:color w:val="auto"/>
        </w:rPr>
      </w:pPr>
    </w:p>
    <w:p>
      <w:pPr>
        <w:ind w:left="40" w:right="179" w:firstLine="315"/>
        <w:spacing w:after="0" w:line="280" w:lineRule="auto"/>
        <w:rPr>
          <w:sz w:val="20"/>
          <w:szCs w:val="20"/>
          <w:color w:val="auto"/>
        </w:rPr>
      </w:pPr>
      <w:r>
        <w:rPr>
          <w:rFonts w:ascii="Arial" w:cs="Arial" w:eastAsia="Arial" w:hAnsi="Arial"/>
          <w:sz w:val="16"/>
          <w:szCs w:val="16"/>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and while the impact of the IRA on the pharmaceutical industry and our business cannot yet be fully determined, it is likely to be significant.</w:t>
      </w:r>
    </w:p>
    <w:p>
      <w:pPr>
        <w:spacing w:after="0" w:line="132"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32" w:lineRule="exact"/>
        <w:rPr>
          <w:sz w:val="20"/>
          <w:szCs w:val="20"/>
          <w:color w:val="auto"/>
        </w:rPr>
      </w:pPr>
    </w:p>
    <w:p>
      <w:pPr>
        <w:ind w:left="40" w:right="199" w:firstLine="315"/>
        <w:spacing w:after="0" w:line="278" w:lineRule="auto"/>
        <w:rPr>
          <w:sz w:val="20"/>
          <w:szCs w:val="20"/>
          <w:color w:val="auto"/>
        </w:rPr>
      </w:pPr>
      <w:r>
        <w:rPr>
          <w:rFonts w:ascii="Arial" w:cs="Arial" w:eastAsia="Arial" w:hAnsi="Arial"/>
          <w:sz w:val="16"/>
          <w:szCs w:val="16"/>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50" w:lineRule="exact"/>
        <w:rPr>
          <w:sz w:val="20"/>
          <w:szCs w:val="20"/>
          <w:color w:val="auto"/>
        </w:rPr>
      </w:pPr>
    </w:p>
    <w:p>
      <w:pPr>
        <w:ind w:left="40" w:right="139" w:firstLine="315"/>
        <w:spacing w:after="0" w:line="232"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4" w:lineRule="exact"/>
        <w:rPr>
          <w:sz w:val="20"/>
          <w:szCs w:val="20"/>
          <w:color w:val="auto"/>
        </w:rPr>
      </w:pPr>
    </w:p>
    <w:p>
      <w:pPr>
        <w:ind w:left="40" w:right="179" w:firstLine="315"/>
        <w:spacing w:after="0" w:line="281" w:lineRule="auto"/>
        <w:rPr>
          <w:sz w:val="20"/>
          <w:szCs w:val="20"/>
          <w:color w:val="auto"/>
        </w:rPr>
      </w:pPr>
      <w:r>
        <w:rPr>
          <w:rFonts w:ascii="Arial" w:cs="Arial" w:eastAsia="Arial" w:hAnsi="Arial"/>
          <w:sz w:val="16"/>
          <w:szCs w:val="16"/>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89" w:name="page90"/>
    <w:bookmarkEnd w:id="8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39"/>
        <w:spacing w:after="0" w:line="248" w:lineRule="auto"/>
        <w:rPr>
          <w:sz w:val="20"/>
          <w:szCs w:val="20"/>
          <w:color w:val="auto"/>
        </w:rPr>
      </w:pPr>
      <w:r>
        <w:rPr>
          <w:rFonts w:ascii="Arial" w:cs="Arial" w:eastAsia="Arial" w:hAnsi="Arial"/>
          <w:sz w:val="18"/>
          <w:szCs w:val="18"/>
          <w:color w:val="auto"/>
        </w:rPr>
        <w:t>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66" w:lineRule="exact"/>
        <w:rPr>
          <w:sz w:val="20"/>
          <w:szCs w:val="20"/>
          <w:color w:val="auto"/>
        </w:rPr>
      </w:pPr>
    </w:p>
    <w:p>
      <w:pPr>
        <w:ind w:left="40" w:right="159" w:firstLine="315"/>
        <w:spacing w:after="0" w:line="278" w:lineRule="auto"/>
        <w:rPr>
          <w:sz w:val="20"/>
          <w:szCs w:val="20"/>
          <w:color w:val="auto"/>
        </w:rPr>
      </w:pPr>
      <w:r>
        <w:rPr>
          <w:rFonts w:ascii="Arial" w:cs="Arial" w:eastAsia="Arial" w:hAnsi="Arial"/>
          <w:sz w:val="16"/>
          <w:szCs w:val="16"/>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as well as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37" w:lineRule="exact"/>
        <w:rPr>
          <w:sz w:val="20"/>
          <w:szCs w:val="20"/>
          <w:color w:val="auto"/>
        </w:rPr>
      </w:pPr>
    </w:p>
    <w:p>
      <w:pPr>
        <w:ind w:left="40" w:right="519"/>
        <w:spacing w:after="0" w:line="247" w:lineRule="auto"/>
        <w:rPr>
          <w:sz w:val="20"/>
          <w:szCs w:val="20"/>
          <w:color w:val="auto"/>
        </w:rPr>
      </w:pPr>
      <w:r>
        <w:rPr>
          <w:rFonts w:ascii="Arial" w:cs="Arial" w:eastAsia="Arial" w:hAnsi="Arial"/>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 w:lineRule="exact"/>
        <w:rPr>
          <w:sz w:val="20"/>
          <w:szCs w:val="20"/>
          <w:color w:val="auto"/>
        </w:rPr>
      </w:pPr>
    </w:p>
    <w:p>
      <w:pPr>
        <w:ind w:left="40" w:right="139" w:firstLine="315"/>
        <w:spacing w:after="0" w:line="268" w:lineRule="auto"/>
        <w:rPr>
          <w:sz w:val="20"/>
          <w:szCs w:val="20"/>
          <w:color w:val="auto"/>
        </w:rPr>
      </w:pPr>
      <w:r>
        <w:rPr>
          <w:rFonts w:ascii="Arial" w:cs="Arial" w:eastAsia="Arial" w:hAnsi="Arial"/>
          <w:sz w:val="16"/>
          <w:szCs w:val="16"/>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Arial" w:cs="Arial" w:eastAsia="Arial" w:hAnsi="Arial"/>
          <w:sz w:val="24"/>
          <w:szCs w:val="24"/>
          <w:color w:val="auto"/>
          <w:vertAlign w:val="superscript"/>
        </w:rPr>
        <w:t>TM</w:t>
      </w:r>
      <w:r>
        <w:rPr>
          <w:rFonts w:ascii="Arial" w:cs="Arial" w:eastAsia="Arial" w:hAnsi="Arial"/>
          <w:sz w:val="16"/>
          <w:szCs w:val="16"/>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39" w:lineRule="exact"/>
        <w:rPr>
          <w:sz w:val="20"/>
          <w:szCs w:val="20"/>
          <w:color w:val="auto"/>
        </w:rPr>
      </w:pPr>
    </w:p>
    <w:p>
      <w:pPr>
        <w:ind w:left="40" w:right="179" w:firstLine="315"/>
        <w:spacing w:after="0" w:line="278" w:lineRule="auto"/>
        <w:rPr>
          <w:sz w:val="20"/>
          <w:szCs w:val="20"/>
          <w:color w:val="auto"/>
        </w:rPr>
      </w:pPr>
      <w:r>
        <w:rPr>
          <w:rFonts w:ascii="Arial" w:cs="Arial" w:eastAsia="Arial" w:hAnsi="Arial"/>
          <w:sz w:val="16"/>
          <w:szCs w:val="16"/>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program “ceiling price” for its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program ceiling price is calculated using a statutory formula, which is based on the AMP and rebate amount for the covered outpatient drug as calculated under the MDRP. In general, products subject to Medicaid price reporting and rebate liability are also subject to the 340B program ceiling price calculation and discount requirement. We must report 340B program ceiling prices to HRSA on a quarterly basis, and HRSA publishes them to 340B program covered entities. HRSA has finalized regulations regarding the calculation of the 340B program ceiling price and the imposition of civil</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0" w:name="page91"/>
    <w:bookmarkEnd w:id="9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82" w:lineRule="auto"/>
        <w:rPr>
          <w:sz w:val="20"/>
          <w:szCs w:val="20"/>
          <w:color w:val="auto"/>
        </w:rPr>
      </w:pPr>
      <w:r>
        <w:rPr>
          <w:rFonts w:ascii="Arial" w:cs="Arial" w:eastAsia="Arial" w:hAnsi="Arial"/>
          <w:sz w:val="16"/>
          <w:szCs w:val="16"/>
          <w:color w:val="auto"/>
        </w:rPr>
        <w:t>monetary penalties on manufacturers that knowingly and intentionally overcharge covered entities for 340B program eligible drugs. HRSA has also finalized an administrative dispute resolution process through which 340B program covered entities may pursue claims against participating manufacturers for overcharges, and through which manufacturers may pursue claims against 340B program covered entities for engaging in unlawful diversion or duplicate discounting of 340B program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43" w:lineRule="exact"/>
        <w:rPr>
          <w:sz w:val="20"/>
          <w:szCs w:val="20"/>
          <w:color w:val="auto"/>
        </w:rPr>
      </w:pPr>
    </w:p>
    <w:p>
      <w:pPr>
        <w:ind w:left="40" w:right="239" w:firstLine="315"/>
        <w:spacing w:after="0" w:line="280" w:lineRule="auto"/>
        <w:rPr>
          <w:sz w:val="20"/>
          <w:szCs w:val="20"/>
          <w:color w:val="auto"/>
        </w:rPr>
      </w:pPr>
      <w:r>
        <w:rPr>
          <w:rFonts w:ascii="Arial" w:cs="Arial" w:eastAsia="Arial" w:hAnsi="Arial"/>
          <w:sz w:val="16"/>
          <w:szCs w:val="16"/>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32" w:lineRule="exact"/>
        <w:rPr>
          <w:sz w:val="20"/>
          <w:szCs w:val="20"/>
          <w:color w:val="auto"/>
        </w:rPr>
      </w:pPr>
    </w:p>
    <w:p>
      <w:pPr>
        <w:ind w:left="40" w:right="219" w:firstLine="315"/>
        <w:spacing w:after="0" w:line="279" w:lineRule="auto"/>
        <w:rPr>
          <w:sz w:val="20"/>
          <w:szCs w:val="20"/>
          <w:color w:val="auto"/>
        </w:rPr>
      </w:pPr>
      <w:r>
        <w:rPr>
          <w:rFonts w:ascii="Arial" w:cs="Arial" w:eastAsia="Arial" w:hAnsi="Arial"/>
          <w:sz w:val="16"/>
          <w:szCs w:val="16"/>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31"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180" w:lineRule="exact"/>
        <w:rPr>
          <w:sz w:val="20"/>
          <w:szCs w:val="20"/>
          <w:color w:val="auto"/>
        </w:rPr>
      </w:pPr>
    </w:p>
    <w:p>
      <w:pPr>
        <w:ind w:left="40" w:right="179"/>
        <w:spacing w:after="0" w:line="324"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95" w:lineRule="exact"/>
        <w:rPr>
          <w:sz w:val="20"/>
          <w:szCs w:val="20"/>
          <w:color w:val="auto"/>
        </w:rPr>
      </w:pPr>
    </w:p>
    <w:p>
      <w:pPr>
        <w:ind w:left="40" w:right="179" w:firstLine="315"/>
        <w:spacing w:after="0" w:line="286" w:lineRule="auto"/>
        <w:rPr>
          <w:sz w:val="20"/>
          <w:szCs w:val="20"/>
          <w:color w:val="auto"/>
        </w:rPr>
      </w:pPr>
      <w:r>
        <w:rPr>
          <w:rFonts w:ascii="Arial" w:cs="Arial" w:eastAsia="Arial" w:hAnsi="Arial"/>
          <w:sz w:val="16"/>
          <w:szCs w:val="16"/>
          <w:color w:val="auto"/>
        </w:rPr>
        <w:t>As of September 30, 2023, BioXcel LLC owned approximately 29%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See “The management of and</w:t>
      </w:r>
    </w:p>
    <w:p>
      <w:pPr>
        <w:sectPr>
          <w:pgSz w:w="11900" w:h="16838" w:orient="portrait"/>
          <w:cols w:equalWidth="0" w:num="1">
            <w:col w:w="9019"/>
          </w:cols>
          <w:pgMar w:left="1440" w:top="508" w:right="1440" w:bottom="1440" w:gutter="0" w:footer="0" w:header="0"/>
        </w:sect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91" w:name="page92"/>
    <w:bookmarkEnd w:id="9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49" w:lineRule="auto"/>
        <w:rPr>
          <w:sz w:val="20"/>
          <w:szCs w:val="20"/>
          <w:color w:val="auto"/>
        </w:rPr>
      </w:pPr>
      <w:r>
        <w:rPr>
          <w:rFonts w:ascii="Arial" w:cs="Arial" w:eastAsia="Arial" w:hAnsi="Arial"/>
          <w:sz w:val="18"/>
          <w:szCs w:val="18"/>
          <w:color w:val="auto"/>
        </w:rPr>
        <w:t>beneficial ownership in BioXcel LLC by our executive officers and our directors may create, or may create the appearance of, conflicts of interest.” below. Even though BioXcel LLC controls less than a majority of the voting power of our outstanding common stock, it may influence the outcome of such corporate actions so long as it owns a significant portion of our common stock.</w:t>
      </w:r>
    </w:p>
    <w:p>
      <w:pPr>
        <w:spacing w:after="0" w:line="166" w:lineRule="exact"/>
        <w:rPr>
          <w:sz w:val="20"/>
          <w:szCs w:val="20"/>
          <w:color w:val="auto"/>
        </w:rPr>
      </w:pPr>
    </w:p>
    <w:p>
      <w:pPr>
        <w:ind w:left="40" w:right="239"/>
        <w:spacing w:after="0" w:line="252" w:lineRule="auto"/>
        <w:rPr>
          <w:sz w:val="20"/>
          <w:szCs w:val="20"/>
          <w:color w:val="auto"/>
        </w:rPr>
      </w:pPr>
      <w:r>
        <w:rPr>
          <w:rFonts w:ascii="Arial" w:cs="Arial" w:eastAsia="Arial" w:hAnsi="Arial"/>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50" w:lineRule="exact"/>
        <w:rPr>
          <w:sz w:val="20"/>
          <w:szCs w:val="20"/>
          <w:color w:val="auto"/>
        </w:rPr>
      </w:pPr>
    </w:p>
    <w:p>
      <w:pPr>
        <w:ind w:left="40" w:right="259" w:firstLine="315"/>
        <w:spacing w:after="0" w:line="290" w:lineRule="auto"/>
        <w:rPr>
          <w:sz w:val="20"/>
          <w:szCs w:val="20"/>
          <w:color w:val="auto"/>
        </w:rPr>
      </w:pPr>
      <w:r>
        <w:rPr>
          <w:rFonts w:ascii="Arial" w:cs="Arial" w:eastAsia="Arial" w:hAnsi="Arial"/>
          <w:sz w:val="16"/>
          <w:szCs w:val="16"/>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23" w:lineRule="exact"/>
        <w:rPr>
          <w:sz w:val="20"/>
          <w:szCs w:val="20"/>
          <w:color w:val="auto"/>
        </w:rPr>
      </w:pPr>
    </w:p>
    <w:p>
      <w:pPr>
        <w:ind w:left="40" w:right="139" w:firstLine="315"/>
        <w:spacing w:after="0" w:line="279" w:lineRule="auto"/>
        <w:rPr>
          <w:sz w:val="20"/>
          <w:szCs w:val="20"/>
          <w:color w:val="auto"/>
        </w:rPr>
      </w:pPr>
      <w:r>
        <w:rPr>
          <w:rFonts w:ascii="Arial" w:cs="Arial" w:eastAsia="Arial" w:hAnsi="Arial"/>
          <w:sz w:val="16"/>
          <w:szCs w:val="16"/>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continue to depend on BioXcel LLC to provide us with certain services for our business.</w:t>
      </w:r>
    </w:p>
    <w:p>
      <w:pPr>
        <w:spacing w:after="0" w:line="174" w:lineRule="exact"/>
        <w:rPr>
          <w:sz w:val="20"/>
          <w:szCs w:val="20"/>
          <w:color w:val="auto"/>
        </w:rPr>
      </w:pPr>
    </w:p>
    <w:p>
      <w:pPr>
        <w:ind w:left="40" w:right="219" w:firstLine="315"/>
        <w:spacing w:after="0" w:line="290" w:lineRule="auto"/>
        <w:rPr>
          <w:sz w:val="20"/>
          <w:szCs w:val="20"/>
          <w:color w:val="auto"/>
        </w:rPr>
      </w:pPr>
      <w:r>
        <w:rPr>
          <w:rFonts w:ascii="Arial" w:cs="Arial" w:eastAsia="Arial" w:hAnsi="Arial"/>
          <w:sz w:val="16"/>
          <w:szCs w:val="16"/>
          <w:color w:val="auto"/>
        </w:rPr>
        <w:t>We rely, in part, on BioXcel LLC and access to its EvolverAI,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pacing w:after="0" w:line="123"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w:t>
      </w:r>
    </w:p>
    <w:p>
      <w:pPr>
        <w:spacing w:after="0" w:line="145" w:lineRule="exact"/>
        <w:rPr>
          <w:sz w:val="20"/>
          <w:szCs w:val="20"/>
          <w:color w:val="auto"/>
        </w:rPr>
      </w:pPr>
    </w:p>
    <w:p>
      <w:pPr>
        <w:ind w:left="40" w:right="179" w:firstLine="315"/>
        <w:spacing w:after="0" w:line="281" w:lineRule="auto"/>
        <w:rPr>
          <w:sz w:val="20"/>
          <w:szCs w:val="20"/>
          <w:color w:val="auto"/>
        </w:rPr>
      </w:pPr>
      <w:r>
        <w:rPr>
          <w:rFonts w:ascii="Arial" w:cs="Arial" w:eastAsia="Arial" w:hAnsi="Arial"/>
          <w:sz w:val="16"/>
          <w:szCs w:val="16"/>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30" w:lineRule="exact"/>
        <w:rPr>
          <w:sz w:val="20"/>
          <w:szCs w:val="20"/>
          <w:color w:val="auto"/>
        </w:rPr>
      </w:pPr>
    </w:p>
    <w:p>
      <w:pPr>
        <w:ind w:left="40" w:right="139" w:firstLine="315"/>
        <w:spacing w:after="0" w:line="324" w:lineRule="auto"/>
        <w:rPr>
          <w:sz w:val="20"/>
          <w:szCs w:val="20"/>
          <w:color w:val="auto"/>
        </w:rPr>
      </w:pPr>
      <w:r>
        <w:rPr>
          <w:rFonts w:ascii="Arial" w:cs="Arial" w:eastAsia="Arial" w:hAnsi="Arial"/>
          <w:sz w:val="16"/>
          <w:szCs w:val="16"/>
          <w:color w:val="auto"/>
        </w:rPr>
        <w:t>On September 19, 2023 (the “Effective Date”), the Company, Krishnan Nandabalan, Ph.D., InveniAI LLC (“Inveni”) and Invea Therapeutics, Inc. (“Invea”) and the other parties thereto entered into a non-compete agreement</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2" w:name="page93"/>
    <w:bookmarkEnd w:id="9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spacing w:after="0" w:line="249" w:lineRule="auto"/>
        <w:rPr>
          <w:sz w:val="20"/>
          <w:szCs w:val="20"/>
          <w:color w:val="auto"/>
        </w:rPr>
      </w:pPr>
      <w:r>
        <w:rPr>
          <w:rFonts w:ascii="Arial" w:cs="Arial" w:eastAsia="Arial" w:hAnsi="Arial"/>
          <w:sz w:val="18"/>
          <w:szCs w:val="18"/>
          <w:color w:val="auto"/>
        </w:rPr>
        <w:t>pursuant to which Dr. Nandabalan, InveniAI and Invea agreed not to compete with the Company and its controlled affiliates in the fields of neuroscience and immuno-oncology for a period of five years from the Effective Date and not to solicit employees of the Company or its controlled affiliates for a period of two years from the Effective Date. Inveni and Invea are subsidiaries of BioXcel LLC.</w:t>
      </w:r>
    </w:p>
    <w:p>
      <w:pPr>
        <w:spacing w:after="0" w:line="166" w:lineRule="exact"/>
        <w:rPr>
          <w:sz w:val="20"/>
          <w:szCs w:val="20"/>
          <w:color w:val="auto"/>
        </w:rPr>
      </w:pPr>
    </w:p>
    <w:p>
      <w:pPr>
        <w:ind w:left="40" w:right="199" w:firstLine="315"/>
        <w:spacing w:after="0" w:line="279" w:lineRule="auto"/>
        <w:rPr>
          <w:sz w:val="20"/>
          <w:szCs w:val="20"/>
          <w:color w:val="auto"/>
        </w:rPr>
      </w:pPr>
      <w:r>
        <w:rPr>
          <w:rFonts w:ascii="Arial" w:cs="Arial" w:eastAsia="Arial" w:hAnsi="Arial"/>
          <w:sz w:val="16"/>
          <w:szCs w:val="16"/>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31" w:lineRule="exact"/>
        <w:rPr>
          <w:sz w:val="20"/>
          <w:szCs w:val="20"/>
          <w:color w:val="auto"/>
        </w:rPr>
      </w:pPr>
    </w:p>
    <w:p>
      <w:pPr>
        <w:ind w:left="40" w:right="359"/>
        <w:spacing w:after="0" w:line="261" w:lineRule="auto"/>
        <w:rPr>
          <w:sz w:val="20"/>
          <w:szCs w:val="20"/>
          <w:color w:val="auto"/>
        </w:rPr>
      </w:pPr>
      <w:r>
        <w:rPr>
          <w:rFonts w:ascii="Arial" w:cs="Arial" w:eastAsia="Arial" w:hAnsi="Arial"/>
          <w:sz w:val="18"/>
          <w:szCs w:val="18"/>
          <w:b w:val="1"/>
          <w:bCs w:val="1"/>
          <w:i w:val="1"/>
          <w:iCs w:val="1"/>
          <w:color w:val="auto"/>
        </w:rPr>
        <w:t>The management of and beneficial ownership in BioXcel LLC may create, or may create the appearance of, conflicts of interest.</w:t>
      </w:r>
    </w:p>
    <w:p>
      <w:pPr>
        <w:spacing w:after="0" w:line="141" w:lineRule="exact"/>
        <w:rPr>
          <w:sz w:val="20"/>
          <w:szCs w:val="20"/>
          <w:color w:val="auto"/>
        </w:rPr>
      </w:pPr>
    </w:p>
    <w:p>
      <w:pPr>
        <w:ind w:left="40" w:right="179" w:firstLine="315"/>
        <w:spacing w:after="0" w:line="279" w:lineRule="auto"/>
        <w:rPr>
          <w:sz w:val="20"/>
          <w:szCs w:val="20"/>
          <w:color w:val="auto"/>
        </w:rPr>
      </w:pPr>
      <w:r>
        <w:rPr>
          <w:rFonts w:ascii="Arial" w:cs="Arial" w:eastAsia="Arial" w:hAnsi="Arial"/>
          <w:sz w:val="16"/>
          <w:szCs w:val="16"/>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September 30, 2023, Dr. Mehta, through his beneficial ownership of BioXcel LLC, beneficially owned approximately 31.5%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174" w:lineRule="exact"/>
        <w:rPr>
          <w:sz w:val="20"/>
          <w:szCs w:val="20"/>
          <w:color w:val="auto"/>
        </w:rPr>
      </w:pPr>
    </w:p>
    <w:p>
      <w:pPr>
        <w:ind w:left="40" w:right="359"/>
        <w:spacing w:after="0" w:line="261" w:lineRule="auto"/>
        <w:rPr>
          <w:sz w:val="20"/>
          <w:szCs w:val="20"/>
          <w:color w:val="auto"/>
        </w:rPr>
      </w:pPr>
      <w:r>
        <w:rPr>
          <w:rFonts w:ascii="Arial" w:cs="Arial" w:eastAsia="Arial" w:hAnsi="Arial"/>
          <w:sz w:val="18"/>
          <w:szCs w:val="18"/>
          <w:b w:val="1"/>
          <w:bCs w:val="1"/>
          <w:i w:val="1"/>
          <w:iCs w:val="1"/>
          <w:color w:val="auto"/>
        </w:rPr>
        <w:t>Any disputes that arise between us and BioXcel LLC with respect to our past and ongoing relationships could harm our business operations.</w:t>
      </w:r>
    </w:p>
    <w:p>
      <w:pPr>
        <w:spacing w:after="0" w:line="154" w:lineRule="exact"/>
        <w:rPr>
          <w:sz w:val="20"/>
          <w:szCs w:val="20"/>
          <w:color w:val="auto"/>
        </w:rPr>
      </w:pPr>
    </w:p>
    <w:p>
      <w:pPr>
        <w:ind w:left="40" w:right="459" w:firstLine="315"/>
        <w:spacing w:after="0" w:line="261" w:lineRule="auto"/>
        <w:rPr>
          <w:sz w:val="20"/>
          <w:szCs w:val="20"/>
          <w:color w:val="auto"/>
        </w:rPr>
      </w:pPr>
      <w:r>
        <w:rPr>
          <w:rFonts w:ascii="Arial" w:cs="Arial" w:eastAsia="Arial" w:hAnsi="Arial"/>
          <w:sz w:val="18"/>
          <w:szCs w:val="18"/>
          <w:color w:val="auto"/>
        </w:rPr>
        <w:t>Disputes may arise between BioXcel LLC and us in a number of areas relating to our past and ongoing relationships, including:</w:t>
      </w:r>
    </w:p>
    <w:p>
      <w:pPr>
        <w:spacing w:after="0" w:line="141" w:lineRule="exact"/>
        <w:rPr>
          <w:sz w:val="20"/>
          <w:szCs w:val="20"/>
          <w:color w:val="auto"/>
        </w:rPr>
      </w:pPr>
    </w:p>
    <w:p>
      <w:pPr>
        <w:ind w:left="700" w:right="299" w:hanging="310"/>
        <w:spacing w:after="0" w:line="261"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41" w:lineRule="exact"/>
        <w:rPr>
          <w:rFonts w:ascii="Arial" w:cs="Arial" w:eastAsia="Arial" w:hAnsi="Arial"/>
          <w:sz w:val="18"/>
          <w:szCs w:val="18"/>
          <w:color w:val="auto"/>
        </w:rPr>
      </w:pPr>
    </w:p>
    <w:p>
      <w:pPr>
        <w:ind w:left="700" w:right="459" w:hanging="310"/>
        <w:spacing w:after="0" w:line="261"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 of BTI from BioXcel LLC;</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or distributions by BioXcel LLC of all or any portion of its ownership interest in us;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LLC has agreed to provide us; and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3" w:name="page94"/>
    <w:bookmarkEnd w:id="9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hanging="310"/>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LLC and us.</w:t>
      </w:r>
    </w:p>
    <w:p>
      <w:pPr>
        <w:spacing w:after="0" w:line="187" w:lineRule="exact"/>
        <w:rPr>
          <w:sz w:val="20"/>
          <w:szCs w:val="20"/>
          <w:color w:val="auto"/>
        </w:rPr>
      </w:pPr>
    </w:p>
    <w:p>
      <w:pPr>
        <w:ind w:left="40" w:right="399" w:firstLine="315"/>
        <w:spacing w:after="0" w:line="249" w:lineRule="auto"/>
        <w:rPr>
          <w:sz w:val="20"/>
          <w:szCs w:val="20"/>
          <w:color w:val="auto"/>
        </w:rPr>
      </w:pPr>
      <w:r>
        <w:rPr>
          <w:rFonts w:ascii="Arial" w:cs="Arial" w:eastAsia="Arial" w:hAnsi="Arial"/>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53" w:lineRule="exact"/>
        <w:rPr>
          <w:sz w:val="20"/>
          <w:szCs w:val="20"/>
          <w:color w:val="auto"/>
        </w:rPr>
      </w:pPr>
    </w:p>
    <w:p>
      <w:pPr>
        <w:jc w:val="both"/>
        <w:ind w:left="40" w:right="379"/>
        <w:spacing w:after="0" w:line="252" w:lineRule="auto"/>
        <w:rPr>
          <w:sz w:val="20"/>
          <w:szCs w:val="20"/>
          <w:color w:val="auto"/>
        </w:rPr>
      </w:pPr>
      <w:r>
        <w:rPr>
          <w:rFonts w:ascii="Arial" w:cs="Arial" w:eastAsia="Arial" w:hAnsi="Arial"/>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50" w:lineRule="exact"/>
        <w:rPr>
          <w:sz w:val="20"/>
          <w:szCs w:val="20"/>
          <w:color w:val="auto"/>
        </w:rPr>
      </w:pPr>
    </w:p>
    <w:p>
      <w:pPr>
        <w:ind w:left="40" w:right="179" w:firstLine="315"/>
        <w:spacing w:after="0" w:line="302" w:lineRule="auto"/>
        <w:rPr>
          <w:sz w:val="20"/>
          <w:szCs w:val="20"/>
          <w:color w:val="auto"/>
        </w:rPr>
      </w:pPr>
      <w:r>
        <w:rPr>
          <w:rFonts w:ascii="Arial" w:cs="Arial" w:eastAsia="Arial" w:hAnsi="Arial"/>
          <w:sz w:val="15"/>
          <w:szCs w:val="15"/>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30"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its ability to adapt to changing technologies, manage and process ever-increasing amounts of data and information and improve the performance, features and reliability of its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80" w:lineRule="exact"/>
        <w:rPr>
          <w:sz w:val="20"/>
          <w:szCs w:val="20"/>
          <w:color w:val="auto"/>
        </w:rPr>
      </w:pPr>
    </w:p>
    <w:p>
      <w:pPr>
        <w:ind w:left="40" w:right="159"/>
        <w:spacing w:after="0" w:line="241" w:lineRule="auto"/>
        <w:rPr>
          <w:sz w:val="20"/>
          <w:szCs w:val="20"/>
          <w:color w:val="auto"/>
        </w:rPr>
      </w:pPr>
      <w:r>
        <w:rPr>
          <w:rFonts w:ascii="Arial" w:cs="Arial" w:eastAsia="Arial" w:hAnsi="Arial"/>
          <w:sz w:val="17"/>
          <w:szCs w:val="17"/>
          <w:b w:val="1"/>
          <w:bCs w:val="1"/>
          <w:i w:val="1"/>
          <w:iCs w:val="1"/>
          <w:color w:val="auto"/>
        </w:rPr>
        <w:t>We are substantially dependent on third parties for the manufacture of our clinical supplies of our product candidates and our commercial supplies of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76" w:lineRule="exact"/>
        <w:rPr>
          <w:sz w:val="20"/>
          <w:szCs w:val="20"/>
          <w:color w:val="auto"/>
        </w:rPr>
      </w:pPr>
    </w:p>
    <w:p>
      <w:pPr>
        <w:ind w:left="40" w:right="139" w:firstLine="315"/>
        <w:spacing w:after="0" w:line="247" w:lineRule="auto"/>
        <w:rPr>
          <w:sz w:val="20"/>
          <w:szCs w:val="20"/>
          <w:color w:val="auto"/>
        </w:rPr>
      </w:pPr>
      <w:r>
        <w:rPr>
          <w:rFonts w:ascii="Arial" w:cs="Arial" w:eastAsia="Arial" w:hAnsi="Arial"/>
          <w:sz w:val="17"/>
          <w:szCs w:val="17"/>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4" w:name="page95"/>
    <w:bookmarkEnd w:id="9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619"/>
        <w:spacing w:after="0" w:line="261" w:lineRule="auto"/>
        <w:rPr>
          <w:sz w:val="20"/>
          <w:szCs w:val="20"/>
          <w:color w:val="auto"/>
        </w:rPr>
      </w:pPr>
      <w:r>
        <w:rPr>
          <w:rFonts w:ascii="Arial" w:cs="Arial" w:eastAsia="Arial" w:hAnsi="Arial"/>
          <w:sz w:val="18"/>
          <w:szCs w:val="18"/>
          <w:color w:val="auto"/>
        </w:rPr>
        <w:t>harmed. Our specified minimum annual payment could adversely affect our cash flows, such as in times when we have sufficient inventory and would otherwise be able to use our cash for other purposes.</w:t>
      </w:r>
    </w:p>
    <w:p>
      <w:pPr>
        <w:spacing w:after="0" w:line="154" w:lineRule="exact"/>
        <w:rPr>
          <w:sz w:val="20"/>
          <w:szCs w:val="20"/>
          <w:color w:val="auto"/>
        </w:rPr>
      </w:pPr>
    </w:p>
    <w:p>
      <w:pPr>
        <w:ind w:left="40" w:right="179" w:firstLine="315"/>
        <w:spacing w:after="0" w:line="27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37" w:lineRule="exact"/>
        <w:rPr>
          <w:sz w:val="20"/>
          <w:szCs w:val="20"/>
          <w:color w:val="auto"/>
        </w:rPr>
      </w:pPr>
    </w:p>
    <w:p>
      <w:pPr>
        <w:ind w:left="40" w:right="139" w:firstLine="315"/>
        <w:spacing w:after="0" w:line="280" w:lineRule="auto"/>
        <w:rPr>
          <w:sz w:val="20"/>
          <w:szCs w:val="20"/>
          <w:color w:val="auto"/>
        </w:rPr>
      </w:pPr>
      <w:r>
        <w:rPr>
          <w:rFonts w:ascii="Arial" w:cs="Arial" w:eastAsia="Arial" w:hAnsi="Arial"/>
          <w:sz w:val="16"/>
          <w:szCs w:val="16"/>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32"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47" w:lineRule="exact"/>
        <w:rPr>
          <w:sz w:val="20"/>
          <w:szCs w:val="20"/>
          <w:color w:val="auto"/>
        </w:rPr>
      </w:pPr>
    </w:p>
    <w:p>
      <w:pPr>
        <w:jc w:val="both"/>
        <w:ind w:left="40" w:right="159"/>
        <w:spacing w:after="0" w:line="299" w:lineRule="auto"/>
        <w:rPr>
          <w:sz w:val="20"/>
          <w:szCs w:val="20"/>
          <w:color w:val="auto"/>
        </w:rPr>
      </w:pPr>
      <w:r>
        <w:rPr>
          <w:rFonts w:ascii="Arial" w:cs="Arial" w:eastAsia="Arial" w:hAnsi="Arial"/>
          <w:sz w:val="16"/>
          <w:szCs w:val="16"/>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14" w:lineRule="exact"/>
        <w:rPr>
          <w:sz w:val="20"/>
          <w:szCs w:val="20"/>
          <w:color w:val="auto"/>
        </w:rPr>
      </w:pPr>
    </w:p>
    <w:p>
      <w:pPr>
        <w:ind w:left="40" w:right="279" w:firstLine="315"/>
        <w:spacing w:after="0" w:line="290"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5" w:name="page96"/>
    <w:bookmarkEnd w:id="9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46" w:lineRule="auto"/>
        <w:rPr>
          <w:sz w:val="20"/>
          <w:szCs w:val="20"/>
          <w:color w:val="auto"/>
        </w:rPr>
      </w:pPr>
      <w:r>
        <w:rPr>
          <w:rFonts w:ascii="Arial" w:cs="Arial" w:eastAsia="Arial" w:hAnsi="Arial"/>
          <w:sz w:val="18"/>
          <w:szCs w:val="18"/>
          <w:color w:val="auto"/>
        </w:rPr>
        <w:t>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71" w:lineRule="exact"/>
        <w:rPr>
          <w:sz w:val="20"/>
          <w:szCs w:val="20"/>
          <w:color w:val="auto"/>
        </w:rPr>
      </w:pPr>
    </w:p>
    <w:p>
      <w:pPr>
        <w:ind w:left="40" w:right="319"/>
        <w:spacing w:after="0" w:line="261" w:lineRule="auto"/>
        <w:rPr>
          <w:sz w:val="20"/>
          <w:szCs w:val="20"/>
          <w:color w:val="auto"/>
        </w:rPr>
      </w:pPr>
      <w:r>
        <w:rPr>
          <w:rFonts w:ascii="Arial" w:cs="Arial" w:eastAsia="Arial" w:hAnsi="Arial"/>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41" w:lineRule="exact"/>
        <w:rPr>
          <w:sz w:val="20"/>
          <w:szCs w:val="20"/>
          <w:color w:val="auto"/>
        </w:rPr>
      </w:pPr>
    </w:p>
    <w:p>
      <w:pPr>
        <w:ind w:left="40" w:right="159" w:firstLine="315"/>
        <w:spacing w:after="0" w:line="248" w:lineRule="auto"/>
        <w:rPr>
          <w:sz w:val="20"/>
          <w:szCs w:val="20"/>
          <w:color w:val="auto"/>
        </w:rPr>
      </w:pPr>
      <w:r>
        <w:rPr>
          <w:rFonts w:ascii="Arial" w:cs="Arial" w:eastAsia="Arial" w:hAnsi="Arial"/>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53" w:lineRule="exact"/>
        <w:rPr>
          <w:sz w:val="20"/>
          <w:szCs w:val="20"/>
          <w:color w:val="auto"/>
        </w:rPr>
      </w:pPr>
    </w:p>
    <w:p>
      <w:pPr>
        <w:ind w:left="700" w:hanging="31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164" w:lineRule="exact"/>
        <w:rPr>
          <w:rFonts w:ascii="Arial" w:cs="Arial" w:eastAsia="Arial" w:hAnsi="Arial"/>
          <w:sz w:val="18"/>
          <w:szCs w:val="18"/>
          <w:color w:val="auto"/>
        </w:rPr>
      </w:pPr>
    </w:p>
    <w:p>
      <w:pPr>
        <w:ind w:left="700" w:hanging="31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successfully commercializing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product candidates.</w:t>
      </w:r>
    </w:p>
    <w:p>
      <w:pPr>
        <w:spacing w:after="0" w:line="92" w:lineRule="exact"/>
        <w:rPr>
          <w:sz w:val="20"/>
          <w:szCs w:val="20"/>
          <w:color w:val="auto"/>
        </w:rPr>
      </w:pPr>
    </w:p>
    <w:p>
      <w:pPr>
        <w:ind w:left="40" w:right="199" w:firstLine="315"/>
        <w:spacing w:after="0" w:line="290" w:lineRule="auto"/>
        <w:rPr>
          <w:sz w:val="20"/>
          <w:szCs w:val="20"/>
          <w:color w:val="auto"/>
        </w:rPr>
      </w:pPr>
      <w:r>
        <w:rPr>
          <w:rFonts w:ascii="Arial" w:cs="Arial" w:eastAsia="Arial" w:hAnsi="Arial"/>
          <w:sz w:val="16"/>
          <w:szCs w:val="16"/>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36" w:lineRule="exact"/>
        <w:rPr>
          <w:sz w:val="20"/>
          <w:szCs w:val="20"/>
          <w:color w:val="auto"/>
        </w:rPr>
      </w:pPr>
    </w:p>
    <w:p>
      <w:pPr>
        <w:ind w:left="40" w:right="219" w:firstLine="315"/>
        <w:spacing w:after="0" w:line="281" w:lineRule="auto"/>
        <w:rPr>
          <w:sz w:val="20"/>
          <w:szCs w:val="20"/>
          <w:color w:val="auto"/>
        </w:rPr>
      </w:pPr>
      <w:r>
        <w:rPr>
          <w:rFonts w:ascii="Arial" w:cs="Arial" w:eastAsia="Arial" w:hAnsi="Arial"/>
          <w:sz w:val="16"/>
          <w:szCs w:val="16"/>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30" w:lineRule="exact"/>
        <w:rPr>
          <w:sz w:val="20"/>
          <w:szCs w:val="20"/>
          <w:color w:val="auto"/>
        </w:rPr>
      </w:pPr>
    </w:p>
    <w:p>
      <w:pPr>
        <w:ind w:left="40" w:right="199"/>
        <w:spacing w:after="0" w:line="299"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4" w:lineRule="exact"/>
        <w:rPr>
          <w:sz w:val="20"/>
          <w:szCs w:val="20"/>
          <w:color w:val="auto"/>
        </w:rPr>
      </w:pPr>
    </w:p>
    <w:p>
      <w:pPr>
        <w:jc w:val="both"/>
        <w:ind w:left="40" w:right="379" w:firstLine="315"/>
        <w:spacing w:after="0" w:line="298" w:lineRule="auto"/>
        <w:rPr>
          <w:sz w:val="20"/>
          <w:szCs w:val="20"/>
          <w:color w:val="auto"/>
        </w:rPr>
      </w:pPr>
      <w:r>
        <w:rPr>
          <w:rFonts w:ascii="Arial" w:cs="Arial" w:eastAsia="Arial" w:hAnsi="Arial"/>
          <w:sz w:val="15"/>
          <w:szCs w:val="15"/>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ind w:left="40" w:right="319"/>
        <w:spacing w:after="0" w:line="282"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(“EEA”) and comparable foreign regulatory authorities for all of our products in clinical development.</w:t>
      </w:r>
    </w:p>
    <w:p>
      <w:pPr>
        <w:spacing w:after="0" w:line="143" w:lineRule="exact"/>
        <w:rPr>
          <w:sz w:val="20"/>
          <w:szCs w:val="20"/>
          <w:color w:val="auto"/>
        </w:rPr>
      </w:pPr>
    </w:p>
    <w:p>
      <w:pPr>
        <w:ind w:left="40" w:right="159" w:firstLine="315"/>
        <w:spacing w:after="0" w:line="286" w:lineRule="auto"/>
        <w:rPr>
          <w:sz w:val="20"/>
          <w:szCs w:val="20"/>
          <w:color w:val="auto"/>
        </w:rPr>
      </w:pPr>
      <w:r>
        <w:rPr>
          <w:rFonts w:ascii="Arial" w:cs="Arial" w:eastAsia="Arial" w:hAnsi="Arial"/>
          <w:sz w:val="16"/>
          <w:szCs w:val="16"/>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w:t>
      </w:r>
    </w:p>
    <w:p>
      <w:pPr>
        <w:sectPr>
          <w:pgSz w:w="11900" w:h="16838" w:orient="portrait"/>
          <w:cols w:equalWidth="0" w:num="1">
            <w:col w:w="9019"/>
          </w:cols>
          <w:pgMar w:left="1440" w:top="508" w:right="1440" w:bottom="1440" w:gutter="0" w:footer="0" w:header="0"/>
        </w:sect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358140</wp:posOffset>
            </wp:positionV>
            <wp:extent cx="561721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96" w:name="page97"/>
    <w:bookmarkEnd w:id="9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99"/>
        <w:spacing w:after="0" w:line="252" w:lineRule="auto"/>
        <w:rPr>
          <w:sz w:val="20"/>
          <w:szCs w:val="20"/>
          <w:color w:val="auto"/>
        </w:rPr>
      </w:pPr>
      <w:r>
        <w:rPr>
          <w:rFonts w:ascii="Arial" w:cs="Arial" w:eastAsia="Arial" w:hAnsi="Arial"/>
          <w:sz w:val="18"/>
          <w:szCs w:val="18"/>
          <w:color w:val="auto"/>
        </w:rPr>
        <w:t>that any of our clinical trials comply with GCP regulations. In addition, our clinical trials must be conducted with product produced under cGMP regulations. Any failure, whether by us or our CROs, to comply with these regulations may require us to repeat clinical trials, which would delay the regulatory approval process.</w:t>
      </w:r>
    </w:p>
    <w:p>
      <w:pPr>
        <w:spacing w:after="0" w:line="163" w:lineRule="exact"/>
        <w:rPr>
          <w:sz w:val="20"/>
          <w:szCs w:val="20"/>
          <w:color w:val="auto"/>
        </w:rPr>
      </w:pPr>
    </w:p>
    <w:p>
      <w:pPr>
        <w:ind w:left="40" w:right="159" w:firstLine="315"/>
        <w:spacing w:after="0" w:line="277" w:lineRule="auto"/>
        <w:rPr>
          <w:sz w:val="20"/>
          <w:szCs w:val="20"/>
          <w:color w:val="auto"/>
        </w:rPr>
      </w:pPr>
      <w:r>
        <w:rPr>
          <w:rFonts w:ascii="Arial" w:cs="Arial" w:eastAsia="Arial" w:hAnsi="Arial"/>
          <w:sz w:val="16"/>
          <w:szCs w:val="16"/>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Arial" w:cs="Arial" w:eastAsia="Arial" w:hAnsi="Arial"/>
          <w:sz w:val="16"/>
          <w:szCs w:val="16"/>
          <w:i w:val="1"/>
          <w:iCs w:val="1"/>
          <w:color w:val="auto"/>
        </w:rPr>
        <w:t>Developments relating to our TRANQUILITY II</w:t>
      </w:r>
      <w:r>
        <w:rPr>
          <w:rFonts w:ascii="Arial" w:cs="Arial" w:eastAsia="Arial" w:hAnsi="Arial"/>
          <w:sz w:val="16"/>
          <w:szCs w:val="16"/>
          <w:color w:val="auto"/>
        </w:rPr>
        <w:t xml:space="preserve"> </w:t>
      </w:r>
      <w:r>
        <w:rPr>
          <w:rFonts w:ascii="Arial" w:cs="Arial" w:eastAsia="Arial" w:hAnsi="Arial"/>
          <w:sz w:val="16"/>
          <w:szCs w:val="16"/>
          <w:i w:val="1"/>
          <w:iCs w:val="1"/>
          <w:color w:val="auto"/>
        </w:rPr>
        <w:t>Phase 3 trial may impact the timing of our development plans for, and prospects for seeking or obtaining regulatory approval of, BXCL501 for the acute treatment of agitation (non-daily) associated with dementia in patients with probable Alzheimer’s disease</w:t>
      </w:r>
      <w:r>
        <w:rPr>
          <w:rFonts w:ascii="Arial" w:cs="Arial" w:eastAsia="Arial" w:hAnsi="Arial"/>
          <w:sz w:val="16"/>
          <w:szCs w:val="16"/>
          <w:color w:val="auto"/>
        </w:rPr>
        <w:t>.” As a result, our results of operations and the commercial prospects for our product candidates would be harmed,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costs could increase and our ability to generate revenues could be delayed.</w:t>
      </w:r>
    </w:p>
    <w:p>
      <w:pPr>
        <w:spacing w:after="0" w:line="140" w:lineRule="exact"/>
        <w:rPr>
          <w:sz w:val="20"/>
          <w:szCs w:val="20"/>
          <w:color w:val="auto"/>
        </w:rPr>
      </w:pPr>
    </w:p>
    <w:p>
      <w:pPr>
        <w:ind w:left="40" w:right="139" w:firstLine="315"/>
        <w:spacing w:after="0" w:line="279"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93" w:lineRule="exact"/>
        <w:rPr>
          <w:sz w:val="20"/>
          <w:szCs w:val="20"/>
          <w:color w:val="auto"/>
        </w:rPr>
      </w:pPr>
    </w:p>
    <w:p>
      <w:pPr>
        <w:ind w:left="40" w:right="219"/>
        <w:spacing w:after="0" w:line="261" w:lineRule="auto"/>
        <w:rPr>
          <w:sz w:val="20"/>
          <w:szCs w:val="20"/>
          <w:color w:val="auto"/>
        </w:rPr>
      </w:pPr>
      <w:r>
        <w:rPr>
          <w:rFonts w:ascii="Arial" w:cs="Arial" w:eastAsia="Arial" w:hAnsi="Arial"/>
          <w:sz w:val="18"/>
          <w:szCs w:val="18"/>
          <w:b w:val="1"/>
          <w:bCs w:val="1"/>
          <w:i w:val="1"/>
          <w:iCs w:val="1"/>
          <w:color w:val="auto"/>
        </w:rPr>
        <w:t>Pandemics, epidemics or outbreaks of an infectious disease, such as COVID-19, may materially and adversely impact our business, including our preclinical studies and clinical trials.</w:t>
      </w:r>
    </w:p>
    <w:p>
      <w:pPr>
        <w:spacing w:after="0" w:line="141" w:lineRule="exact"/>
        <w:rPr>
          <w:sz w:val="20"/>
          <w:szCs w:val="20"/>
          <w:color w:val="auto"/>
        </w:rPr>
      </w:pPr>
    </w:p>
    <w:p>
      <w:pPr>
        <w:ind w:left="40" w:right="319" w:firstLine="315"/>
        <w:spacing w:after="0" w:line="361" w:lineRule="auto"/>
        <w:rPr>
          <w:sz w:val="20"/>
          <w:szCs w:val="20"/>
          <w:color w:val="auto"/>
        </w:rPr>
      </w:pPr>
      <w:r>
        <w:rPr>
          <w:rFonts w:ascii="Arial" w:cs="Arial" w:eastAsia="Arial" w:hAnsi="Arial"/>
          <w:sz w:val="15"/>
          <w:szCs w:val="15"/>
          <w:color w:val="auto"/>
        </w:rPr>
        <w:t>As a result of outbreaks from variants of COVID-19, or other pandemics, epidemics or outbreaks of infectious disease, we may experience disruptions that could severely impact our business, preclinical studies and clinical trials, including:</w:t>
      </w:r>
    </w:p>
    <w:p>
      <w:pPr>
        <w:spacing w:after="0" w:line="73" w:lineRule="exact"/>
        <w:rPr>
          <w:sz w:val="20"/>
          <w:szCs w:val="20"/>
          <w:color w:val="auto"/>
        </w:rPr>
      </w:pPr>
    </w:p>
    <w:p>
      <w:pPr>
        <w:ind w:left="700" w:hanging="310"/>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87" w:lineRule="exact"/>
        <w:rPr>
          <w:rFonts w:ascii="Arial" w:cs="Arial" w:eastAsia="Arial" w:hAnsi="Arial"/>
          <w:sz w:val="18"/>
          <w:szCs w:val="18"/>
          <w:color w:val="auto"/>
        </w:rPr>
      </w:pPr>
    </w:p>
    <w:p>
      <w:pPr>
        <w:ind w:left="700" w:right="639" w:hanging="310"/>
        <w:spacing w:after="0" w:line="261"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1" w:lineRule="exact"/>
        <w:rPr>
          <w:rFonts w:ascii="Arial" w:cs="Arial" w:eastAsia="Arial" w:hAnsi="Arial"/>
          <w:sz w:val="18"/>
          <w:szCs w:val="18"/>
          <w:color w:val="auto"/>
        </w:rPr>
      </w:pPr>
    </w:p>
    <w:p>
      <w:pPr>
        <w:ind w:left="700" w:right="599" w:hanging="310"/>
        <w:spacing w:after="0" w:line="324" w:lineRule="auto"/>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diversion of health care resources away from the conduct of clinical trials, including the diversion of hospitals serving as our clinical trial sites and hospital staff supporting the conduct of our clinical trials;</w:t>
      </w:r>
    </w:p>
    <w:p>
      <w:pPr>
        <w:spacing w:after="0" w:line="94" w:lineRule="exact"/>
        <w:rPr>
          <w:rFonts w:ascii="Arial" w:cs="Arial" w:eastAsia="Arial" w:hAnsi="Arial"/>
          <w:sz w:val="16"/>
          <w:szCs w:val="16"/>
          <w:color w:val="auto"/>
        </w:rPr>
      </w:pPr>
    </w:p>
    <w:p>
      <w:pPr>
        <w:ind w:left="700" w:right="359" w:hanging="310"/>
        <w:spacing w:after="0" w:line="299" w:lineRule="auto"/>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7" w:name="page98"/>
    <w:bookmarkEnd w:id="9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419" w:hanging="310"/>
        <w:spacing w:after="0" w:line="261"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54" w:lineRule="exact"/>
        <w:rPr>
          <w:rFonts w:ascii="Arial" w:cs="Arial" w:eastAsia="Arial" w:hAnsi="Arial"/>
          <w:sz w:val="18"/>
          <w:szCs w:val="18"/>
          <w:color w:val="auto"/>
        </w:rPr>
      </w:pPr>
    </w:p>
    <w:p>
      <w:pPr>
        <w:ind w:left="700" w:right="439" w:hanging="310"/>
        <w:spacing w:after="0" w:line="361" w:lineRule="auto"/>
        <w:tabs>
          <w:tab w:leader="none" w:pos="7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interruption of, or delays in receiving, supplies of our product candidates from our contract manufacturing organizations due to staffing shortages, production slowdowns or stoppages and disruptions in delivery systems;</w:t>
      </w:r>
    </w:p>
    <w:p>
      <w:pPr>
        <w:spacing w:after="0" w:line="72" w:lineRule="exact"/>
        <w:rPr>
          <w:rFonts w:ascii="Arial" w:cs="Arial" w:eastAsia="Arial" w:hAnsi="Arial"/>
          <w:sz w:val="15"/>
          <w:szCs w:val="15"/>
          <w:color w:val="auto"/>
        </w:rPr>
      </w:pPr>
    </w:p>
    <w:p>
      <w:pPr>
        <w:ind w:left="700" w:right="379" w:hanging="310"/>
        <w:spacing w:after="0" w:line="261"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141" w:lineRule="exact"/>
        <w:rPr>
          <w:rFonts w:ascii="Arial" w:cs="Arial" w:eastAsia="Arial" w:hAnsi="Arial"/>
          <w:sz w:val="18"/>
          <w:szCs w:val="18"/>
          <w:color w:val="auto"/>
        </w:rPr>
      </w:pPr>
    </w:p>
    <w:p>
      <w:pPr>
        <w:ind w:left="700" w:right="459" w:hanging="310"/>
        <w:spacing w:after="0" w:line="252"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62" w:lineRule="exact"/>
        <w:rPr>
          <w:rFonts w:ascii="Arial" w:cs="Arial" w:eastAsia="Arial" w:hAnsi="Arial"/>
          <w:sz w:val="18"/>
          <w:szCs w:val="18"/>
          <w:color w:val="auto"/>
        </w:rPr>
      </w:pPr>
    </w:p>
    <w:p>
      <w:pPr>
        <w:ind w:left="700" w:right="279" w:hanging="310"/>
        <w:spacing w:after="0" w:line="261"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impacts from prolonged remote work arrangements, such as strains on our business continuity plans, cybersecurity risks, and inability of certain employees to perform their work remotely; and</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74" w:lineRule="exact"/>
        <w:rPr>
          <w:sz w:val="20"/>
          <w:szCs w:val="20"/>
          <w:color w:val="auto"/>
        </w:rPr>
      </w:pPr>
    </w:p>
    <w:p>
      <w:pPr>
        <w:ind w:left="40" w:right="239" w:firstLine="315"/>
        <w:spacing w:after="0" w:line="299" w:lineRule="auto"/>
        <w:rPr>
          <w:sz w:val="20"/>
          <w:szCs w:val="20"/>
          <w:color w:val="auto"/>
        </w:rPr>
      </w:pPr>
      <w:r>
        <w:rPr>
          <w:rFonts w:ascii="Arial" w:cs="Arial" w:eastAsia="Arial" w:hAnsi="Arial"/>
          <w:sz w:val="16"/>
          <w:szCs w:val="16"/>
          <w:color w:val="auto"/>
        </w:rPr>
        <w:t>If we or any of the third parties with whom we engage were to experience shutdowns or other business disruptions from COVID-19 or other pandemics, epidemics or outbreaks of infectious disease, our ability to conduct our business in the manner and on the timelines presently planned could be materially and negatively impacted.</w:t>
      </w:r>
    </w:p>
    <w:p>
      <w:pPr>
        <w:spacing w:after="0" w:line="127" w:lineRule="exact"/>
        <w:rPr>
          <w:sz w:val="20"/>
          <w:szCs w:val="20"/>
          <w:color w:val="auto"/>
        </w:rPr>
      </w:pPr>
    </w:p>
    <w:p>
      <w:pPr>
        <w:ind w:left="40" w:right="679"/>
        <w:spacing w:after="0" w:line="261"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41" w:lineRule="exact"/>
        <w:rPr>
          <w:sz w:val="20"/>
          <w:szCs w:val="20"/>
          <w:color w:val="auto"/>
        </w:rPr>
      </w:pPr>
    </w:p>
    <w:p>
      <w:pPr>
        <w:ind w:left="40" w:right="259" w:firstLine="315"/>
        <w:spacing w:after="0" w:line="284" w:lineRule="auto"/>
        <w:rPr>
          <w:sz w:val="20"/>
          <w:szCs w:val="20"/>
          <w:color w:val="auto"/>
        </w:rPr>
      </w:pPr>
      <w:r>
        <w:rPr>
          <w:rFonts w:ascii="Arial" w:cs="Arial" w:eastAsia="Arial" w:hAnsi="Arial"/>
          <w:sz w:val="16"/>
          <w:szCs w:val="16"/>
          <w:color w:val="auto"/>
        </w:rPr>
        <w:t>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187" w:lineRule="exact"/>
        <w:rPr>
          <w:sz w:val="20"/>
          <w:szCs w:val="20"/>
          <w:color w:val="auto"/>
        </w:rPr>
      </w:pPr>
    </w:p>
    <w:p>
      <w:pPr>
        <w:ind w:left="700" w:right="459" w:hanging="310"/>
        <w:spacing w:after="0" w:line="261"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our current, and any future, product candidates;</w:t>
      </w:r>
    </w:p>
    <w:p>
      <w:pPr>
        <w:spacing w:after="0" w:line="141" w:lineRule="exact"/>
        <w:rPr>
          <w:rFonts w:ascii="Arial" w:cs="Arial" w:eastAsia="Arial" w:hAnsi="Arial"/>
          <w:sz w:val="18"/>
          <w:szCs w:val="18"/>
          <w:color w:val="auto"/>
        </w:rPr>
      </w:pPr>
    </w:p>
    <w:p>
      <w:pPr>
        <w:ind w:left="700" w:right="539" w:hanging="310"/>
        <w:spacing w:after="0" w:line="261"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 our commercial operations effectively;</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continue to improve our operational, financial and management controls and reporting systems and procedures; and</w:t>
      </w:r>
    </w:p>
    <w:p>
      <w:pPr>
        <w:spacing w:after="0" w:line="208" w:lineRule="exact"/>
        <w:rPr>
          <w:rFonts w:ascii="Arial" w:cs="Arial" w:eastAsia="Arial" w:hAnsi="Arial"/>
          <w:sz w:val="15"/>
          <w:szCs w:val="15"/>
          <w:color w:val="auto"/>
        </w:rPr>
      </w:pPr>
    </w:p>
    <w:p>
      <w:pPr>
        <w:ind w:left="700" w:hanging="310"/>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 and retain enough talented employees.</w:t>
      </w:r>
    </w:p>
    <w:p>
      <w:pPr>
        <w:spacing w:after="0" w:line="174" w:lineRule="exact"/>
        <w:rPr>
          <w:sz w:val="20"/>
          <w:szCs w:val="20"/>
          <w:color w:val="auto"/>
        </w:rPr>
      </w:pPr>
    </w:p>
    <w:p>
      <w:pPr>
        <w:ind w:left="40" w:right="139" w:firstLine="315"/>
        <w:spacing w:after="0" w:line="282"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8" w:name="page99"/>
    <w:bookmarkEnd w:id="9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79"/>
        <w:spacing w:after="0" w:line="281" w:lineRule="auto"/>
        <w:rPr>
          <w:sz w:val="20"/>
          <w:szCs w:val="20"/>
          <w:color w:val="auto"/>
        </w:rPr>
      </w:pPr>
      <w:r>
        <w:rPr>
          <w:rFonts w:ascii="Arial" w:cs="Arial" w:eastAsia="Arial" w:hAnsi="Arial"/>
          <w:sz w:val="16"/>
          <w:szCs w:val="16"/>
          <w:color w:val="auto"/>
        </w:rPr>
        <w:t>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43" w:lineRule="exact"/>
        <w:rPr>
          <w:sz w:val="20"/>
          <w:szCs w:val="20"/>
          <w:color w:val="auto"/>
        </w:rPr>
      </w:pPr>
    </w:p>
    <w:p>
      <w:pPr>
        <w:ind w:left="40" w:right="259"/>
        <w:spacing w:after="0" w:line="324"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95" w:lineRule="exact"/>
        <w:rPr>
          <w:sz w:val="20"/>
          <w:szCs w:val="20"/>
          <w:color w:val="auto"/>
        </w:rPr>
      </w:pPr>
    </w:p>
    <w:p>
      <w:pPr>
        <w:ind w:left="40" w:right="219" w:firstLine="315"/>
        <w:spacing w:after="0" w:line="280" w:lineRule="auto"/>
        <w:rPr>
          <w:sz w:val="20"/>
          <w:szCs w:val="20"/>
          <w:color w:val="auto"/>
        </w:rPr>
      </w:pPr>
      <w:r>
        <w:rPr>
          <w:rFonts w:ascii="Arial" w:cs="Arial" w:eastAsia="Arial" w:hAnsi="Arial"/>
          <w:sz w:val="16"/>
          <w:szCs w:val="16"/>
          <w:color w:val="auto"/>
        </w:rPr>
        <w:t>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32" w:lineRule="exact"/>
        <w:rPr>
          <w:sz w:val="20"/>
          <w:szCs w:val="20"/>
          <w:color w:val="auto"/>
        </w:rPr>
      </w:pPr>
    </w:p>
    <w:p>
      <w:pPr>
        <w:ind w:left="40" w:right="259" w:firstLine="315"/>
        <w:spacing w:after="0" w:line="282" w:lineRule="auto"/>
        <w:rPr>
          <w:sz w:val="20"/>
          <w:szCs w:val="20"/>
          <w:color w:val="auto"/>
        </w:rPr>
      </w:pPr>
      <w:r>
        <w:rPr>
          <w:rFonts w:ascii="Arial" w:cs="Arial" w:eastAsia="Arial" w:hAnsi="Arial"/>
          <w:sz w:val="16"/>
          <w:szCs w:val="16"/>
          <w:color w:val="auto"/>
        </w:rPr>
        <w:t>To continue to execute our growth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If we begin recruiting new employees we may experience such difficulties in the future.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43" w:lineRule="exact"/>
        <w:rPr>
          <w:sz w:val="20"/>
          <w:szCs w:val="20"/>
          <w:color w:val="auto"/>
        </w:rPr>
      </w:pPr>
    </w:p>
    <w:p>
      <w:pPr>
        <w:ind w:left="40" w:right="159" w:firstLine="315"/>
        <w:spacing w:after="0" w:line="282" w:lineRule="auto"/>
        <w:rPr>
          <w:sz w:val="20"/>
          <w:szCs w:val="20"/>
          <w:color w:val="auto"/>
        </w:rPr>
      </w:pPr>
      <w:r>
        <w:rPr>
          <w:rFonts w:ascii="Arial" w:cs="Arial" w:eastAsia="Arial" w:hAnsi="Arial"/>
          <w:sz w:val="16"/>
          <w:szCs w:val="16"/>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30" w:lineRule="exact"/>
        <w:rPr>
          <w:sz w:val="20"/>
          <w:szCs w:val="20"/>
          <w:color w:val="auto"/>
        </w:rPr>
      </w:pPr>
    </w:p>
    <w:p>
      <w:pPr>
        <w:ind w:left="40" w:right="159"/>
        <w:spacing w:after="0" w:line="324"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95" w:lineRule="exact"/>
        <w:rPr>
          <w:sz w:val="20"/>
          <w:szCs w:val="20"/>
          <w:color w:val="auto"/>
        </w:rPr>
      </w:pPr>
    </w:p>
    <w:p>
      <w:pPr>
        <w:ind w:left="40" w:right="419" w:firstLine="315"/>
        <w:spacing w:after="0" w:line="290"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36" w:lineRule="exact"/>
        <w:rPr>
          <w:sz w:val="20"/>
          <w:szCs w:val="20"/>
          <w:color w:val="auto"/>
        </w:rPr>
      </w:pPr>
    </w:p>
    <w:p>
      <w:pPr>
        <w:ind w:left="40" w:right="199" w:firstLine="315"/>
        <w:spacing w:after="0" w:line="24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53" w:lineRule="exact"/>
        <w:rPr>
          <w:sz w:val="20"/>
          <w:szCs w:val="20"/>
          <w:color w:val="auto"/>
        </w:rPr>
      </w:pPr>
    </w:p>
    <w:p>
      <w:pPr>
        <w:ind w:left="700" w:hanging="310"/>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99" w:name="page100"/>
    <w:bookmarkEnd w:id="9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hanging="31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87" w:lineRule="exact"/>
        <w:rPr>
          <w:rFonts w:ascii="Arial" w:cs="Arial" w:eastAsia="Arial" w:hAnsi="Arial"/>
          <w:sz w:val="18"/>
          <w:szCs w:val="18"/>
          <w:color w:val="auto"/>
        </w:rPr>
      </w:pPr>
    </w:p>
    <w:p>
      <w:pPr>
        <w:ind w:left="700" w:right="499" w:hanging="310"/>
        <w:spacing w:after="0" w:line="261"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41" w:lineRule="exact"/>
        <w:rPr>
          <w:rFonts w:ascii="Arial" w:cs="Arial" w:eastAsia="Arial" w:hAnsi="Arial"/>
          <w:sz w:val="18"/>
          <w:szCs w:val="18"/>
          <w:color w:val="auto"/>
        </w:rPr>
      </w:pPr>
    </w:p>
    <w:p>
      <w:pPr>
        <w:ind w:left="700" w:right="759" w:hanging="310"/>
        <w:spacing w:after="0" w:line="324"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94" w:lineRule="exact"/>
        <w:rPr>
          <w:rFonts w:ascii="Arial" w:cs="Arial" w:eastAsia="Arial" w:hAnsi="Arial"/>
          <w:sz w:val="16"/>
          <w:szCs w:val="16"/>
          <w:color w:val="auto"/>
        </w:rPr>
      </w:pPr>
    </w:p>
    <w:p>
      <w:pPr>
        <w:ind w:left="700" w:hanging="31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87" w:lineRule="exact"/>
        <w:rPr>
          <w:rFonts w:ascii="Arial" w:cs="Arial" w:eastAsia="Arial" w:hAnsi="Arial"/>
          <w:sz w:val="18"/>
          <w:szCs w:val="18"/>
          <w:color w:val="auto"/>
        </w:rPr>
      </w:pPr>
    </w:p>
    <w:p>
      <w:pPr>
        <w:ind w:left="700" w:right="799" w:hanging="310"/>
        <w:spacing w:after="0" w:line="261"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74" w:lineRule="exact"/>
        <w:rPr>
          <w:sz w:val="20"/>
          <w:szCs w:val="20"/>
          <w:color w:val="auto"/>
        </w:rPr>
      </w:pPr>
    </w:p>
    <w:p>
      <w:pPr>
        <w:ind w:left="40" w:right="299" w:firstLine="315"/>
        <w:spacing w:after="0" w:line="290"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23" w:lineRule="exact"/>
        <w:rPr>
          <w:sz w:val="20"/>
          <w:szCs w:val="20"/>
          <w:color w:val="auto"/>
        </w:rPr>
      </w:pPr>
    </w:p>
    <w:p>
      <w:pPr>
        <w:jc w:val="both"/>
        <w:ind w:left="40" w:right="239" w:firstLine="315"/>
        <w:spacing w:after="0" w:line="252"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63" w:lineRule="exact"/>
        <w:rPr>
          <w:sz w:val="20"/>
          <w:szCs w:val="20"/>
          <w:color w:val="auto"/>
        </w:rPr>
      </w:pPr>
    </w:p>
    <w:p>
      <w:pPr>
        <w:ind w:left="40" w:right="839"/>
        <w:spacing w:after="0" w:line="261"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41" w:lineRule="exact"/>
        <w:rPr>
          <w:sz w:val="20"/>
          <w:szCs w:val="20"/>
          <w:color w:val="auto"/>
        </w:rPr>
      </w:pPr>
    </w:p>
    <w:p>
      <w:pPr>
        <w:ind w:left="40" w:right="179" w:firstLine="315"/>
        <w:spacing w:after="0" w:line="279"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31" w:lineRule="exact"/>
        <w:rPr>
          <w:sz w:val="20"/>
          <w:szCs w:val="20"/>
          <w:color w:val="auto"/>
        </w:rPr>
      </w:pPr>
    </w:p>
    <w:p>
      <w:pPr>
        <w:ind w:left="40" w:right="219"/>
        <w:spacing w:after="0" w:line="261"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54"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0" w:name="page101"/>
    <w:bookmarkEnd w:id="10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79"/>
        <w:spacing w:after="0" w:line="286" w:lineRule="auto"/>
        <w:rPr>
          <w:sz w:val="20"/>
          <w:szCs w:val="20"/>
          <w:color w:val="auto"/>
        </w:rPr>
      </w:pPr>
      <w:r>
        <w:rPr>
          <w:rFonts w:ascii="Arial" w:cs="Arial" w:eastAsia="Arial" w:hAnsi="Arial"/>
          <w:sz w:val="16"/>
          <w:szCs w:val="16"/>
          <w:color w:val="auto"/>
        </w:rPr>
        <w:t>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30" w:lineRule="exact"/>
        <w:rPr>
          <w:sz w:val="20"/>
          <w:szCs w:val="20"/>
          <w:color w:val="auto"/>
        </w:rPr>
      </w:pPr>
    </w:p>
    <w:p>
      <w:pPr>
        <w:ind w:left="40" w:right="139" w:firstLine="315"/>
        <w:spacing w:after="0" w:line="244" w:lineRule="auto"/>
        <w:rPr>
          <w:sz w:val="20"/>
          <w:szCs w:val="20"/>
          <w:color w:val="auto"/>
        </w:rPr>
      </w:pPr>
      <w:r>
        <w:rPr>
          <w:rFonts w:ascii="Arial" w:cs="Arial" w:eastAsia="Arial" w:hAnsi="Arial"/>
          <w:sz w:val="17"/>
          <w:szCs w:val="17"/>
          <w:color w:val="auto"/>
        </w:rPr>
        <w:t>Likewise, we will rely on third parties, including ARx, to manufacture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6" w:lineRule="exact"/>
        <w:rPr>
          <w:sz w:val="20"/>
          <w:szCs w:val="20"/>
          <w:color w:val="auto"/>
        </w:rPr>
      </w:pPr>
    </w:p>
    <w:p>
      <w:pPr>
        <w:ind w:left="40" w:right="359"/>
        <w:spacing w:after="0" w:line="299" w:lineRule="auto"/>
        <w:rPr>
          <w:sz w:val="20"/>
          <w:szCs w:val="20"/>
          <w:color w:val="auto"/>
        </w:rPr>
      </w:pPr>
      <w:r>
        <w:rPr>
          <w:rFonts w:ascii="Arial" w:cs="Arial" w:eastAsia="Arial" w:hAnsi="Arial"/>
          <w:sz w:val="16"/>
          <w:szCs w:val="16"/>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14" w:lineRule="exact"/>
        <w:rPr>
          <w:sz w:val="20"/>
          <w:szCs w:val="20"/>
          <w:color w:val="auto"/>
        </w:rPr>
      </w:pPr>
    </w:p>
    <w:p>
      <w:pPr>
        <w:ind w:left="40" w:right="239" w:firstLine="315"/>
        <w:spacing w:after="0" w:line="300" w:lineRule="auto"/>
        <w:rPr>
          <w:sz w:val="20"/>
          <w:szCs w:val="20"/>
          <w:color w:val="auto"/>
        </w:rPr>
      </w:pPr>
      <w:r>
        <w:rPr>
          <w:rFonts w:ascii="Arial" w:cs="Arial" w:eastAsia="Arial" w:hAnsi="Arial"/>
          <w:sz w:val="15"/>
          <w:szCs w:val="15"/>
          <w:color w:val="auto"/>
        </w:rPr>
        <w:t>Our information technology systems and those of third parties on which we rely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w:t>
      </w:r>
    </w:p>
    <w:p>
      <w:pPr>
        <w:spacing w:after="0" w:line="131" w:lineRule="exact"/>
        <w:rPr>
          <w:sz w:val="20"/>
          <w:szCs w:val="20"/>
          <w:color w:val="auto"/>
        </w:rPr>
      </w:pPr>
    </w:p>
    <w:p>
      <w:pPr>
        <w:ind w:left="40" w:right="139" w:firstLine="315"/>
        <w:spacing w:after="0" w:line="290" w:lineRule="auto"/>
        <w:rPr>
          <w:sz w:val="20"/>
          <w:szCs w:val="20"/>
          <w:color w:val="auto"/>
        </w:rPr>
      </w:pPr>
      <w:r>
        <w:rPr>
          <w:rFonts w:ascii="Arial" w:cs="Arial" w:eastAsia="Arial" w:hAnsi="Arial"/>
          <w:sz w:val="16"/>
          <w:szCs w:val="16"/>
          <w:color w:val="auto"/>
        </w:rPr>
        <w:t>Any attack on such systems that results in disruptions to our operations, or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123" w:lineRule="exact"/>
        <w:rPr>
          <w:sz w:val="20"/>
          <w:szCs w:val="20"/>
          <w:color w:val="auto"/>
        </w:rPr>
      </w:pPr>
    </w:p>
    <w:p>
      <w:pPr>
        <w:ind w:left="40" w:right="139" w:firstLine="315"/>
        <w:spacing w:after="0" w:line="278" w:lineRule="auto"/>
        <w:rPr>
          <w:sz w:val="20"/>
          <w:szCs w:val="20"/>
          <w:color w:val="auto"/>
        </w:rPr>
      </w:pPr>
      <w:r>
        <w:rPr>
          <w:rFonts w:ascii="Arial" w:cs="Arial" w:eastAsia="Arial" w:hAnsi="Arial"/>
          <w:sz w:val="16"/>
          <w:szCs w:val="16"/>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37" w:lineRule="exact"/>
        <w:rPr>
          <w:sz w:val="20"/>
          <w:szCs w:val="20"/>
          <w:color w:val="auto"/>
        </w:rPr>
      </w:pPr>
    </w:p>
    <w:p>
      <w:pPr>
        <w:ind w:left="40" w:right="359"/>
        <w:spacing w:after="0" w:line="36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86" w:lineRule="exact"/>
        <w:rPr>
          <w:sz w:val="20"/>
          <w:szCs w:val="20"/>
          <w:color w:val="auto"/>
        </w:rPr>
      </w:pPr>
    </w:p>
    <w:p>
      <w:pPr>
        <w:ind w:left="40" w:right="139" w:firstLine="315"/>
        <w:spacing w:after="0" w:line="290"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1" w:name="page102"/>
    <w:bookmarkEnd w:id="10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39"/>
        <w:spacing w:after="0" w:line="279" w:lineRule="auto"/>
        <w:rPr>
          <w:sz w:val="20"/>
          <w:szCs w:val="20"/>
          <w:color w:val="auto"/>
        </w:rPr>
      </w:pPr>
      <w:r>
        <w:rPr>
          <w:rFonts w:ascii="Arial" w:cs="Arial" w:eastAsia="Arial" w:hAnsi="Arial"/>
          <w:sz w:val="16"/>
          <w:szCs w:val="16"/>
          <w:color w:val="auto"/>
        </w:rPr>
        <w:t>AI or 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48" w:lineRule="exact"/>
        <w:rPr>
          <w:sz w:val="20"/>
          <w:szCs w:val="20"/>
          <w:color w:val="auto"/>
        </w:rPr>
      </w:pPr>
    </w:p>
    <w:p>
      <w:pPr>
        <w:ind w:left="40" w:right="159" w:firstLine="315"/>
        <w:spacing w:after="0" w:line="279"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35" w:lineRule="exact"/>
        <w:rPr>
          <w:sz w:val="20"/>
          <w:szCs w:val="20"/>
          <w:color w:val="auto"/>
        </w:rPr>
      </w:pPr>
    </w:p>
    <w:p>
      <w:pPr>
        <w:ind w:left="40" w:right="279" w:firstLine="315"/>
        <w:spacing w:after="0" w:line="277"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The CCPA may increase our compliance costs and potential liability, and many similar laws have been proposed at the federal level and in other states in the U.S. Further, the California Privacy Rights Act (“CPRA”) passed in California, generally went into effect in January 2023, and significantly amends CCPA, imposing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If we are subject to or affected by HIPAA, the CCPA, the CPRA or other domestic privacy and data protection laws, any liability from failure to comply with the requirements of these laws could adversely affect our financial condition.</w:t>
      </w:r>
    </w:p>
    <w:p>
      <w:pPr>
        <w:spacing w:after="0" w:line="138"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As supervisory authorities issue further guidance on personal data export mechanisms, including circumstances where the standard contractual clauses cannot be used, and/or start taking enforcement action, we could suffer additional costs,</w:t>
      </w:r>
    </w:p>
    <w:p>
      <w:pPr>
        <w:sectPr>
          <w:pgSz w:w="11900" w:h="16838" w:orient="portrait"/>
          <w:cols w:equalWidth="0" w:num="1">
            <w:col w:w="9019"/>
          </w:cols>
          <w:pgMar w:left="1440" w:top="508" w:right="1440" w:bottom="1440" w:gutter="0" w:footer="0" w:header="0"/>
        </w:sect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365760</wp:posOffset>
            </wp:positionV>
            <wp:extent cx="5617210"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102" w:name="page103"/>
    <w:bookmarkEnd w:id="10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spacing w:after="0" w:line="327" w:lineRule="auto"/>
        <w:rPr>
          <w:sz w:val="20"/>
          <w:szCs w:val="20"/>
          <w:color w:val="auto"/>
        </w:rPr>
      </w:pPr>
      <w:r>
        <w:rPr>
          <w:rFonts w:ascii="Arial" w:cs="Arial" w:eastAsia="Arial" w:hAnsi="Arial"/>
          <w:sz w:val="15"/>
          <w:szCs w:val="15"/>
          <w:color w:val="auto"/>
        </w:rPr>
        <w:t>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10" w:lineRule="exact"/>
        <w:rPr>
          <w:sz w:val="20"/>
          <w:szCs w:val="20"/>
          <w:color w:val="auto"/>
        </w:rPr>
      </w:pPr>
    </w:p>
    <w:p>
      <w:pPr>
        <w:ind w:left="40" w:right="299" w:firstLine="315"/>
        <w:spacing w:after="0" w:line="299" w:lineRule="auto"/>
        <w:rPr>
          <w:sz w:val="20"/>
          <w:szCs w:val="20"/>
          <w:color w:val="auto"/>
        </w:rPr>
      </w:pPr>
      <w:r>
        <w:rPr>
          <w:rFonts w:ascii="Arial" w:cs="Arial" w:eastAsia="Arial" w:hAnsi="Arial"/>
          <w:sz w:val="16"/>
          <w:szCs w:val="16"/>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£17,500 or 4% of global turnover).</w:t>
      </w:r>
    </w:p>
    <w:p>
      <w:pPr>
        <w:spacing w:after="0" w:line="114" w:lineRule="exact"/>
        <w:rPr>
          <w:sz w:val="20"/>
          <w:szCs w:val="20"/>
          <w:color w:val="auto"/>
        </w:rPr>
      </w:pPr>
    </w:p>
    <w:p>
      <w:pPr>
        <w:ind w:left="40" w:right="179" w:firstLine="315"/>
        <w:spacing w:after="0" w:line="306" w:lineRule="auto"/>
        <w:rPr>
          <w:sz w:val="20"/>
          <w:szCs w:val="20"/>
          <w:color w:val="auto"/>
        </w:rPr>
      </w:pPr>
      <w:r>
        <w:rPr>
          <w:rFonts w:ascii="Arial" w:cs="Arial" w:eastAsia="Arial" w:hAnsi="Arial"/>
          <w:sz w:val="15"/>
          <w:szCs w:val="15"/>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13" w:lineRule="exact"/>
        <w:rPr>
          <w:sz w:val="20"/>
          <w:szCs w:val="20"/>
          <w:color w:val="auto"/>
        </w:rPr>
      </w:pPr>
    </w:p>
    <w:p>
      <w:pPr>
        <w:ind w:left="40" w:right="159"/>
        <w:spacing w:after="0" w:line="261" w:lineRule="auto"/>
        <w:rPr>
          <w:sz w:val="20"/>
          <w:szCs w:val="20"/>
          <w:color w:val="auto"/>
        </w:rPr>
      </w:pPr>
      <w:r>
        <w:rPr>
          <w:rFonts w:ascii="Arial" w:cs="Arial" w:eastAsia="Arial" w:hAnsi="Arial"/>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54" w:lineRule="exact"/>
        <w:rPr>
          <w:sz w:val="20"/>
          <w:szCs w:val="20"/>
          <w:color w:val="auto"/>
        </w:rPr>
      </w:pPr>
    </w:p>
    <w:p>
      <w:pPr>
        <w:ind w:left="40" w:right="139" w:firstLine="315"/>
        <w:spacing w:after="0" w:line="279" w:lineRule="auto"/>
        <w:rPr>
          <w:sz w:val="20"/>
          <w:szCs w:val="20"/>
          <w:color w:val="auto"/>
        </w:rPr>
      </w:pPr>
      <w:r>
        <w:rPr>
          <w:rFonts w:ascii="Arial" w:cs="Arial" w:eastAsia="Arial" w:hAnsi="Arial"/>
          <w:sz w:val="16"/>
          <w:szCs w:val="16"/>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35" w:lineRule="exact"/>
        <w:rPr>
          <w:sz w:val="20"/>
          <w:szCs w:val="20"/>
          <w:color w:val="auto"/>
        </w:rPr>
      </w:pPr>
    </w:p>
    <w:p>
      <w:pPr>
        <w:ind w:left="40" w:right="399" w:firstLine="315"/>
        <w:spacing w:after="0" w:line="284" w:lineRule="auto"/>
        <w:rPr>
          <w:sz w:val="20"/>
          <w:szCs w:val="20"/>
          <w:color w:val="auto"/>
        </w:rPr>
      </w:pPr>
      <w:r>
        <w:rPr>
          <w:rFonts w:ascii="Arial" w:cs="Arial" w:eastAsia="Arial" w:hAnsi="Arial"/>
          <w:sz w:val="16"/>
          <w:szCs w:val="16"/>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26" w:lineRule="exact"/>
        <w:rPr>
          <w:sz w:val="20"/>
          <w:szCs w:val="20"/>
          <w:color w:val="auto"/>
        </w:rPr>
      </w:pPr>
    </w:p>
    <w:p>
      <w:pPr>
        <w:ind w:left="40" w:right="379"/>
        <w:spacing w:after="0" w:line="261"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54" w:lineRule="exact"/>
        <w:rPr>
          <w:sz w:val="20"/>
          <w:szCs w:val="20"/>
          <w:color w:val="auto"/>
        </w:rPr>
      </w:pPr>
    </w:p>
    <w:p>
      <w:pPr>
        <w:ind w:left="40" w:right="199" w:firstLine="315"/>
        <w:spacing w:after="0" w:line="299" w:lineRule="auto"/>
        <w:rPr>
          <w:sz w:val="20"/>
          <w:szCs w:val="20"/>
          <w:color w:val="auto"/>
        </w:rPr>
      </w:pPr>
      <w:r>
        <w:rPr>
          <w:rFonts w:ascii="Arial" w:cs="Arial" w:eastAsia="Arial" w:hAnsi="Arial"/>
          <w:sz w:val="15"/>
          <w:szCs w:val="15"/>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3" w:name="page104"/>
    <w:bookmarkEnd w:id="10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hanging="31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7" w:lineRule="exact"/>
        <w:rPr>
          <w:rFonts w:ascii="Arial" w:cs="Arial" w:eastAsia="Arial" w:hAnsi="Arial"/>
          <w:sz w:val="18"/>
          <w:szCs w:val="18"/>
          <w:color w:val="auto"/>
        </w:rPr>
      </w:pPr>
    </w:p>
    <w:p>
      <w:pPr>
        <w:ind w:left="700" w:right="679" w:hanging="310"/>
        <w:spacing w:after="0" w:line="261"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74" w:lineRule="exact"/>
        <w:rPr>
          <w:rFonts w:ascii="Arial" w:cs="Arial" w:eastAsia="Arial" w:hAnsi="Arial"/>
          <w:sz w:val="18"/>
          <w:szCs w:val="18"/>
          <w:color w:val="auto"/>
        </w:rPr>
      </w:pPr>
    </w:p>
    <w:p>
      <w:pPr>
        <w:ind w:left="700" w:right="399" w:hanging="310"/>
        <w:spacing w:after="0" w:line="261"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41" w:lineRule="exact"/>
        <w:rPr>
          <w:rFonts w:ascii="Arial" w:cs="Arial" w:eastAsia="Arial" w:hAnsi="Arial"/>
          <w:sz w:val="18"/>
          <w:szCs w:val="18"/>
          <w:color w:val="auto"/>
        </w:rPr>
      </w:pPr>
    </w:p>
    <w:p>
      <w:pPr>
        <w:ind w:left="700" w:right="919" w:hanging="310"/>
        <w:spacing w:after="0" w:line="261"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74" w:lineRule="exact"/>
        <w:rPr>
          <w:sz w:val="20"/>
          <w:szCs w:val="20"/>
          <w:color w:val="auto"/>
        </w:rPr>
      </w:pPr>
    </w:p>
    <w:p>
      <w:pPr>
        <w:ind w:left="40" w:right="159" w:firstLine="315"/>
        <w:spacing w:after="0" w:line="247"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55" w:lineRule="exact"/>
        <w:rPr>
          <w:sz w:val="20"/>
          <w:szCs w:val="20"/>
          <w:color w:val="auto"/>
        </w:rPr>
      </w:pPr>
    </w:p>
    <w:p>
      <w:pPr>
        <w:ind w:left="40" w:right="199"/>
        <w:spacing w:after="0" w:line="261" w:lineRule="auto"/>
        <w:rPr>
          <w:sz w:val="20"/>
          <w:szCs w:val="20"/>
          <w:color w:val="auto"/>
        </w:rPr>
      </w:pPr>
      <w:r>
        <w:rPr>
          <w:rFonts w:ascii="Arial" w:cs="Arial" w:eastAsia="Arial" w:hAnsi="Arial"/>
          <w:sz w:val="18"/>
          <w:szCs w:val="18"/>
          <w:b w:val="1"/>
          <w:bCs w:val="1"/>
          <w:i w:val="1"/>
          <w:iCs w:val="1"/>
          <w:color w:val="auto"/>
        </w:rPr>
        <w:t>Our ability to use our net operating losses and tax credits to offset future taxable income and income tax liabilities may be limited.</w:t>
      </w:r>
    </w:p>
    <w:p>
      <w:pPr>
        <w:spacing w:after="0" w:line="154" w:lineRule="exact"/>
        <w:rPr>
          <w:sz w:val="20"/>
          <w:szCs w:val="20"/>
          <w:color w:val="auto"/>
        </w:rPr>
      </w:pPr>
    </w:p>
    <w:p>
      <w:pPr>
        <w:ind w:left="40" w:right="179" w:firstLine="315"/>
        <w:spacing w:after="0" w:line="281" w:lineRule="auto"/>
        <w:rPr>
          <w:sz w:val="20"/>
          <w:szCs w:val="20"/>
          <w:color w:val="auto"/>
        </w:rPr>
      </w:pPr>
      <w:r>
        <w:rPr>
          <w:rFonts w:ascii="Arial" w:cs="Arial" w:eastAsia="Arial" w:hAnsi="Arial"/>
          <w:sz w:val="16"/>
          <w:szCs w:val="16"/>
          <w:color w:val="auto"/>
        </w:rPr>
        <w:t>As of December 31, 2022, the Company had federal net operating loss carryforwards (“NOLs”) of approximately $222.4 million and state NOLs of approximately $214.5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2022, we also had approximately $10.0 million of federal orphan drug credits and research and development credits, or tax credits, which will begin to expire in 2037 if not utilized. The utilization of such NOLs and tax credits and realization of tax benefits in future years depends upon our having taxable income and income tax liabilities.</w:t>
      </w:r>
    </w:p>
    <w:p>
      <w:pPr>
        <w:spacing w:after="0" w:line="130" w:lineRule="exact"/>
        <w:rPr>
          <w:sz w:val="20"/>
          <w:szCs w:val="20"/>
          <w:color w:val="auto"/>
        </w:rPr>
      </w:pPr>
    </w:p>
    <w:p>
      <w:pPr>
        <w:ind w:left="40" w:right="159" w:firstLine="315"/>
        <w:spacing w:after="0" w:line="279" w:lineRule="auto"/>
        <w:rPr>
          <w:sz w:val="20"/>
          <w:szCs w:val="20"/>
          <w:color w:val="auto"/>
        </w:rPr>
      </w:pPr>
      <w:r>
        <w:rPr>
          <w:rFonts w:ascii="Arial" w:cs="Arial" w:eastAsia="Arial" w:hAnsi="Arial"/>
          <w:sz w:val="16"/>
          <w:szCs w:val="16"/>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4" w:name="page105"/>
    <w:bookmarkEnd w:id="10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93" w:lineRule="exact"/>
        <w:rPr>
          <w:sz w:val="20"/>
          <w:szCs w:val="20"/>
          <w:color w:val="auto"/>
        </w:rPr>
      </w:pPr>
    </w:p>
    <w:p>
      <w:pPr>
        <w:jc w:val="both"/>
        <w:ind w:left="40" w:right="299"/>
        <w:spacing w:after="0" w:line="252"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50" w:lineRule="exact"/>
        <w:rPr>
          <w:sz w:val="20"/>
          <w:szCs w:val="20"/>
          <w:color w:val="auto"/>
        </w:rPr>
      </w:pPr>
    </w:p>
    <w:p>
      <w:pPr>
        <w:ind w:left="40" w:right="139" w:firstLine="315"/>
        <w:spacing w:after="0" w:line="282"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approved products and product candidates, the processes used to manufacture them and the methods for using them, as well as successfully defending these patents against third-party challenges. We are the owner of record of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30" w:lineRule="exact"/>
        <w:rPr>
          <w:sz w:val="20"/>
          <w:szCs w:val="20"/>
          <w:color w:val="auto"/>
        </w:rPr>
      </w:pPr>
    </w:p>
    <w:p>
      <w:pPr>
        <w:jc w:val="both"/>
        <w:ind w:left="40" w:right="239" w:firstLine="315"/>
        <w:spacing w:after="0" w:line="299" w:lineRule="auto"/>
        <w:rPr>
          <w:sz w:val="20"/>
          <w:szCs w:val="20"/>
          <w:color w:val="auto"/>
        </w:rPr>
      </w:pPr>
      <w:r>
        <w:rPr>
          <w:rFonts w:ascii="Arial" w:cs="Arial" w:eastAsia="Arial" w:hAnsi="Arial"/>
          <w:sz w:val="16"/>
          <w:szCs w:val="16"/>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27"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30" w:lineRule="exact"/>
        <w:rPr>
          <w:sz w:val="20"/>
          <w:szCs w:val="20"/>
          <w:color w:val="auto"/>
        </w:rPr>
      </w:pPr>
    </w:p>
    <w:p>
      <w:pPr>
        <w:ind w:left="40" w:right="139" w:firstLine="315"/>
        <w:spacing w:after="0" w:line="248"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53" w:lineRule="exact"/>
        <w:rPr>
          <w:sz w:val="20"/>
          <w:szCs w:val="20"/>
          <w:color w:val="auto"/>
        </w:rPr>
      </w:pPr>
    </w:p>
    <w:p>
      <w:pPr>
        <w:ind w:left="40" w:right="219" w:firstLine="315"/>
        <w:spacing w:after="0" w:line="324"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08" w:lineRule="exact"/>
        <w:rPr>
          <w:sz w:val="20"/>
          <w:szCs w:val="20"/>
          <w:color w:val="auto"/>
        </w:rPr>
      </w:pPr>
    </w:p>
    <w:p>
      <w:pPr>
        <w:ind w:left="700" w:right="399" w:hanging="310"/>
        <w:spacing w:after="0" w:line="261"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174" w:lineRule="exact"/>
        <w:rPr>
          <w:rFonts w:ascii="Arial" w:cs="Arial" w:eastAsia="Arial" w:hAnsi="Arial"/>
          <w:sz w:val="18"/>
          <w:szCs w:val="18"/>
          <w:color w:val="auto"/>
        </w:rPr>
      </w:pPr>
    </w:p>
    <w:p>
      <w:pPr>
        <w:ind w:left="700" w:right="919" w:hanging="310"/>
        <w:spacing w:after="0" w:line="261"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197" w:lineRule="exact"/>
        <w:rPr>
          <w:rFonts w:ascii="Arial" w:cs="Arial" w:eastAsia="Arial" w:hAnsi="Arial"/>
          <w:sz w:val="16"/>
          <w:szCs w:val="16"/>
          <w:color w:val="auto"/>
        </w:rPr>
      </w:pPr>
    </w:p>
    <w:p>
      <w:pPr>
        <w:ind w:left="700" w:hanging="31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5" w:name="page106"/>
    <w:bookmarkEnd w:id="10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79"/>
        <w:spacing w:after="0" w:line="299"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7" w:lineRule="exact"/>
        <w:rPr>
          <w:sz w:val="20"/>
          <w:szCs w:val="20"/>
          <w:color w:val="auto"/>
        </w:rPr>
      </w:pPr>
    </w:p>
    <w:p>
      <w:pPr>
        <w:ind w:left="40" w:right="219" w:firstLine="315"/>
        <w:spacing w:after="0" w:line="278"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37" w:lineRule="exact"/>
        <w:rPr>
          <w:sz w:val="20"/>
          <w:szCs w:val="20"/>
          <w:color w:val="auto"/>
        </w:rPr>
      </w:pPr>
    </w:p>
    <w:p>
      <w:pPr>
        <w:ind w:left="40" w:right="199"/>
        <w:spacing w:after="0" w:line="252"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50" w:lineRule="exact"/>
        <w:rPr>
          <w:sz w:val="20"/>
          <w:szCs w:val="20"/>
          <w:color w:val="auto"/>
        </w:rPr>
      </w:pPr>
    </w:p>
    <w:p>
      <w:pPr>
        <w:ind w:left="40" w:right="279" w:firstLine="315"/>
        <w:spacing w:after="0" w:line="281"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174" w:lineRule="exact"/>
        <w:rPr>
          <w:sz w:val="20"/>
          <w:szCs w:val="20"/>
          <w:color w:val="auto"/>
        </w:rPr>
      </w:pPr>
    </w:p>
    <w:p>
      <w:pPr>
        <w:ind w:left="700" w:hanging="310"/>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4" w:lineRule="exact"/>
        <w:rPr>
          <w:rFonts w:ascii="Arial" w:cs="Arial" w:eastAsia="Arial" w:hAnsi="Arial"/>
          <w:sz w:val="18"/>
          <w:szCs w:val="18"/>
          <w:color w:val="auto"/>
        </w:rPr>
      </w:pPr>
    </w:p>
    <w:p>
      <w:pPr>
        <w:ind w:left="700" w:right="259" w:hanging="310"/>
        <w:spacing w:after="0" w:line="261"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174" w:lineRule="exact"/>
        <w:rPr>
          <w:rFonts w:ascii="Arial" w:cs="Arial" w:eastAsia="Arial" w:hAnsi="Arial"/>
          <w:sz w:val="18"/>
          <w:szCs w:val="18"/>
          <w:color w:val="auto"/>
        </w:rPr>
      </w:pPr>
    </w:p>
    <w:p>
      <w:pPr>
        <w:ind w:left="700" w:right="379" w:hanging="310"/>
        <w:spacing w:after="0" w:line="252"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49" w:lineRule="exact"/>
        <w:rPr>
          <w:rFonts w:ascii="Arial" w:cs="Arial" w:eastAsia="Arial" w:hAnsi="Arial"/>
          <w:sz w:val="18"/>
          <w:szCs w:val="18"/>
          <w:color w:val="auto"/>
        </w:rPr>
      </w:pPr>
    </w:p>
    <w:p>
      <w:pPr>
        <w:ind w:left="700" w:right="379" w:hanging="310"/>
        <w:spacing w:after="0" w:line="261"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54" w:lineRule="exact"/>
        <w:rPr>
          <w:sz w:val="20"/>
          <w:szCs w:val="20"/>
          <w:color w:val="auto"/>
        </w:rPr>
      </w:pPr>
    </w:p>
    <w:p>
      <w:pPr>
        <w:ind w:left="40" w:right="199" w:firstLine="315"/>
        <w:spacing w:after="0" w:line="252"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50" w:lineRule="exact"/>
        <w:rPr>
          <w:sz w:val="20"/>
          <w:szCs w:val="20"/>
          <w:color w:val="auto"/>
        </w:rPr>
      </w:pPr>
    </w:p>
    <w:p>
      <w:pPr>
        <w:ind w:left="40" w:right="459" w:firstLine="315"/>
        <w:spacing w:after="0" w:line="324"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We may fail to obtain any of these licenses at a reasonable cost or on reasonable terms, if at all. In</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6" w:name="page107"/>
    <w:bookmarkEnd w:id="10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459"/>
        <w:spacing w:after="0" w:line="261" w:lineRule="auto"/>
        <w:rPr>
          <w:sz w:val="20"/>
          <w:szCs w:val="20"/>
          <w:color w:val="auto"/>
        </w:rPr>
      </w:pPr>
      <w:r>
        <w:rPr>
          <w:rFonts w:ascii="Arial" w:cs="Arial" w:eastAsia="Arial" w:hAnsi="Arial"/>
          <w:sz w:val="18"/>
          <w:szCs w:val="18"/>
          <w:color w:val="auto"/>
        </w:rPr>
        <w:t>that event, we would be unable to further develop and commercialize one or more of our product candidates, which could harm our business significantly.</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09" w:lineRule="exact"/>
        <w:rPr>
          <w:sz w:val="20"/>
          <w:szCs w:val="20"/>
          <w:color w:val="auto"/>
        </w:rPr>
      </w:pPr>
    </w:p>
    <w:p>
      <w:pPr>
        <w:ind w:left="40" w:right="159" w:firstLine="315"/>
        <w:spacing w:after="0" w:line="279"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35" w:lineRule="exact"/>
        <w:rPr>
          <w:sz w:val="20"/>
          <w:szCs w:val="20"/>
          <w:color w:val="auto"/>
        </w:rPr>
      </w:pPr>
    </w:p>
    <w:p>
      <w:pPr>
        <w:ind w:left="40" w:right="219"/>
        <w:spacing w:after="0" w:line="261"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54"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32" w:lineRule="exact"/>
        <w:rPr>
          <w:sz w:val="20"/>
          <w:szCs w:val="20"/>
          <w:color w:val="auto"/>
        </w:rPr>
      </w:pPr>
    </w:p>
    <w:p>
      <w:pPr>
        <w:ind w:left="40" w:right="159" w:firstLine="315"/>
        <w:spacing w:after="0" w:line="277"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40" w:lineRule="exact"/>
        <w:rPr>
          <w:sz w:val="20"/>
          <w:szCs w:val="20"/>
          <w:color w:val="auto"/>
        </w:rPr>
      </w:pPr>
    </w:p>
    <w:p>
      <w:pPr>
        <w:ind w:left="40" w:right="599"/>
        <w:spacing w:after="0" w:line="261"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54" w:lineRule="exact"/>
        <w:rPr>
          <w:sz w:val="20"/>
          <w:szCs w:val="20"/>
          <w:color w:val="auto"/>
        </w:rPr>
      </w:pPr>
    </w:p>
    <w:p>
      <w:pPr>
        <w:ind w:left="40" w:right="179" w:firstLine="315"/>
        <w:spacing w:after="0" w:line="290"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7" w:name="page108"/>
    <w:bookmarkEnd w:id="10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79"/>
        <w:spacing w:after="0" w:line="279" w:lineRule="auto"/>
        <w:rPr>
          <w:sz w:val="20"/>
          <w:szCs w:val="20"/>
          <w:color w:val="auto"/>
        </w:rPr>
      </w:pPr>
      <w:r>
        <w:rPr>
          <w:rFonts w:ascii="Arial" w:cs="Arial" w:eastAsia="Arial" w:hAnsi="Arial"/>
          <w:sz w:val="16"/>
          <w:szCs w:val="16"/>
          <w:color w:val="auto"/>
        </w:rPr>
        <w:t>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48" w:lineRule="exact"/>
        <w:rPr>
          <w:sz w:val="20"/>
          <w:szCs w:val="20"/>
          <w:color w:val="auto"/>
        </w:rPr>
      </w:pPr>
    </w:p>
    <w:p>
      <w:pPr>
        <w:ind w:left="40" w:right="259"/>
        <w:spacing w:after="0" w:line="29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14"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36" w:lineRule="exact"/>
        <w:rPr>
          <w:sz w:val="20"/>
          <w:szCs w:val="20"/>
          <w:color w:val="auto"/>
        </w:rPr>
      </w:pPr>
    </w:p>
    <w:p>
      <w:pPr>
        <w:ind w:left="40" w:right="179" w:firstLine="315"/>
        <w:spacing w:after="0" w:line="278"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50" w:lineRule="exact"/>
        <w:rPr>
          <w:sz w:val="20"/>
          <w:szCs w:val="20"/>
          <w:color w:val="auto"/>
        </w:rPr>
      </w:pPr>
    </w:p>
    <w:p>
      <w:pPr>
        <w:ind w:left="40" w:right="139" w:firstLine="315"/>
        <w:spacing w:after="0" w:line="261"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41" w:lineRule="exact"/>
        <w:rPr>
          <w:sz w:val="20"/>
          <w:szCs w:val="20"/>
          <w:color w:val="auto"/>
        </w:rPr>
      </w:pPr>
    </w:p>
    <w:p>
      <w:pPr>
        <w:ind w:left="700" w:hanging="31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some patent applications in the U.S. may be maintained in secrecy until the patents are issued;</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 applications in the U.S. are typically not published until 18 months after the priority date; and</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8" w:name="page109"/>
    <w:bookmarkEnd w:id="10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45" w:lineRule="exact"/>
        <w:rPr>
          <w:sz w:val="20"/>
          <w:szCs w:val="20"/>
          <w:color w:val="auto"/>
        </w:rPr>
      </w:pPr>
    </w:p>
    <w:p>
      <w:pPr>
        <w:ind w:left="40" w:right="219" w:firstLine="315"/>
        <w:spacing w:after="0" w:line="327" w:lineRule="auto"/>
        <w:rPr>
          <w:sz w:val="20"/>
          <w:szCs w:val="20"/>
          <w:color w:val="auto"/>
        </w:rPr>
      </w:pPr>
      <w:r>
        <w:rPr>
          <w:rFonts w:ascii="Arial" w:cs="Arial" w:eastAsia="Arial" w:hAnsi="Arial"/>
          <w:sz w:val="15"/>
          <w:szCs w:val="15"/>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97" w:lineRule="exact"/>
        <w:rPr>
          <w:sz w:val="20"/>
          <w:szCs w:val="20"/>
          <w:color w:val="auto"/>
        </w:rPr>
      </w:pPr>
    </w:p>
    <w:p>
      <w:pPr>
        <w:ind w:left="40" w:right="479"/>
        <w:spacing w:after="0" w:line="261"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41" w:lineRule="exact"/>
        <w:rPr>
          <w:sz w:val="20"/>
          <w:szCs w:val="20"/>
          <w:color w:val="auto"/>
        </w:rPr>
      </w:pPr>
    </w:p>
    <w:p>
      <w:pPr>
        <w:ind w:left="40" w:right="139" w:firstLine="315"/>
        <w:spacing w:after="0" w:line="277"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53" w:lineRule="exact"/>
        <w:rPr>
          <w:sz w:val="20"/>
          <w:szCs w:val="20"/>
          <w:color w:val="auto"/>
        </w:rPr>
      </w:pPr>
    </w:p>
    <w:p>
      <w:pPr>
        <w:ind w:left="40" w:right="159"/>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41"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32"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54" w:lineRule="exact"/>
        <w:rPr>
          <w:sz w:val="20"/>
          <w:szCs w:val="20"/>
          <w:color w:val="auto"/>
        </w:rPr>
      </w:pPr>
    </w:p>
    <w:p>
      <w:pPr>
        <w:ind w:left="40" w:right="299" w:firstLine="315"/>
        <w:spacing w:after="0" w:line="290" w:lineRule="auto"/>
        <w:rPr>
          <w:sz w:val="20"/>
          <w:szCs w:val="20"/>
          <w:color w:val="auto"/>
        </w:rPr>
      </w:pPr>
      <w:r>
        <w:rPr>
          <w:rFonts w:ascii="Arial" w:cs="Arial" w:eastAsia="Arial" w:hAnsi="Arial"/>
          <w:sz w:val="16"/>
          <w:szCs w:val="16"/>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09" w:name="page110"/>
    <w:bookmarkEnd w:id="10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259" w:firstLine="315"/>
        <w:spacing w:after="0" w:line="252" w:lineRule="auto"/>
        <w:rPr>
          <w:sz w:val="20"/>
          <w:szCs w:val="20"/>
          <w:color w:val="auto"/>
        </w:rPr>
      </w:pPr>
      <w:r>
        <w:rPr>
          <w:rFonts w:ascii="Arial" w:cs="Arial" w:eastAsia="Arial" w:hAnsi="Arial"/>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63" w:lineRule="exact"/>
        <w:rPr>
          <w:sz w:val="20"/>
          <w:szCs w:val="20"/>
          <w:color w:val="auto"/>
        </w:rPr>
      </w:pPr>
    </w:p>
    <w:p>
      <w:pPr>
        <w:ind w:left="40" w:right="139" w:firstLine="315"/>
        <w:spacing w:after="0" w:line="282" w:lineRule="auto"/>
        <w:rPr>
          <w:sz w:val="20"/>
          <w:szCs w:val="20"/>
          <w:color w:val="auto"/>
        </w:rPr>
      </w:pPr>
      <w:r>
        <w:rPr>
          <w:rFonts w:ascii="Arial" w:cs="Arial" w:eastAsia="Arial" w:hAnsi="Arial"/>
          <w:sz w:val="16"/>
          <w:szCs w:val="16"/>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30" w:lineRule="exact"/>
        <w:rPr>
          <w:sz w:val="20"/>
          <w:szCs w:val="20"/>
          <w:color w:val="auto"/>
        </w:rPr>
      </w:pPr>
    </w:p>
    <w:p>
      <w:pPr>
        <w:ind w:left="40" w:right="219" w:firstLine="315"/>
        <w:spacing w:after="0" w:line="249" w:lineRule="auto"/>
        <w:rPr>
          <w:sz w:val="20"/>
          <w:szCs w:val="20"/>
          <w:color w:val="auto"/>
        </w:rPr>
      </w:pPr>
      <w:r>
        <w:rPr>
          <w:rFonts w:ascii="Arial" w:cs="Arial" w:eastAsia="Arial" w:hAnsi="Arial"/>
          <w:sz w:val="18"/>
          <w:szCs w:val="18"/>
          <w:color w:val="auto"/>
        </w:rPr>
        <w:t>We may elect to sue a third-party,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53" w:lineRule="exact"/>
        <w:rPr>
          <w:sz w:val="20"/>
          <w:szCs w:val="20"/>
          <w:color w:val="auto"/>
        </w:rPr>
      </w:pPr>
    </w:p>
    <w:p>
      <w:pPr>
        <w:ind w:left="700" w:hanging="310"/>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third-party;</w:t>
      </w:r>
    </w:p>
    <w:p>
      <w:pPr>
        <w:spacing w:after="0" w:line="187" w:lineRule="exact"/>
        <w:rPr>
          <w:rFonts w:ascii="Arial" w:cs="Arial" w:eastAsia="Arial" w:hAnsi="Arial"/>
          <w:sz w:val="18"/>
          <w:szCs w:val="18"/>
          <w:color w:val="auto"/>
        </w:rPr>
      </w:pPr>
    </w:p>
    <w:p>
      <w:pPr>
        <w:ind w:left="700" w:right="659" w:hanging="310"/>
        <w:spacing w:after="0" w:line="324"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facing additional competition that may have a significant adverse effect on our product pricing, market share, business operations, financial condition, and the commercial viability of our products; and</w:t>
      </w:r>
    </w:p>
    <w:p>
      <w:pPr>
        <w:spacing w:after="0" w:line="94" w:lineRule="exact"/>
        <w:rPr>
          <w:rFonts w:ascii="Arial" w:cs="Arial" w:eastAsia="Arial" w:hAnsi="Arial"/>
          <w:sz w:val="16"/>
          <w:szCs w:val="16"/>
          <w:color w:val="auto"/>
        </w:rPr>
      </w:pPr>
    </w:p>
    <w:p>
      <w:pPr>
        <w:jc w:val="both"/>
        <w:ind w:left="700" w:right="439" w:hanging="310"/>
        <w:spacing w:after="0" w:line="252"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50" w:lineRule="exact"/>
        <w:rPr>
          <w:sz w:val="20"/>
          <w:szCs w:val="20"/>
          <w:color w:val="auto"/>
        </w:rPr>
      </w:pPr>
    </w:p>
    <w:p>
      <w:pPr>
        <w:ind w:left="40" w:right="139" w:firstLine="315"/>
        <w:spacing w:after="0" w:line="248" w:lineRule="auto"/>
        <w:rPr>
          <w:sz w:val="20"/>
          <w:szCs w:val="20"/>
          <w:color w:val="auto"/>
        </w:rPr>
      </w:pPr>
      <w:r>
        <w:rPr>
          <w:rFonts w:ascii="Arial" w:cs="Arial" w:eastAsia="Arial" w:hAnsi="Arial"/>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66" w:lineRule="exact"/>
        <w:rPr>
          <w:sz w:val="20"/>
          <w:szCs w:val="20"/>
          <w:color w:val="auto"/>
        </w:rPr>
      </w:pPr>
    </w:p>
    <w:p>
      <w:pPr>
        <w:jc w:val="both"/>
        <w:ind w:left="40" w:right="199" w:firstLine="315"/>
        <w:spacing w:after="0" w:line="252"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50" w:lineRule="exact"/>
        <w:rPr>
          <w:sz w:val="20"/>
          <w:szCs w:val="20"/>
          <w:color w:val="auto"/>
        </w:rPr>
      </w:pPr>
    </w:p>
    <w:p>
      <w:pPr>
        <w:ind w:left="40" w:right="179" w:firstLine="315"/>
        <w:spacing w:after="0" w:line="286" w:lineRule="auto"/>
        <w:rPr>
          <w:sz w:val="20"/>
          <w:szCs w:val="20"/>
          <w:color w:val="auto"/>
        </w:rPr>
      </w:pPr>
      <w:r>
        <w:rPr>
          <w:rFonts w:ascii="Arial" w:cs="Arial" w:eastAsia="Arial" w:hAnsi="Arial"/>
          <w:sz w:val="16"/>
          <w:szCs w:val="16"/>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26" w:lineRule="exact"/>
        <w:rPr>
          <w:sz w:val="20"/>
          <w:szCs w:val="20"/>
          <w:color w:val="auto"/>
        </w:rPr>
      </w:pPr>
    </w:p>
    <w:p>
      <w:pPr>
        <w:ind w:left="40" w:right="739" w:firstLine="315"/>
        <w:spacing w:after="0" w:line="24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174" w:lineRule="exact"/>
        <w:rPr>
          <w:sz w:val="20"/>
          <w:szCs w:val="20"/>
          <w:color w:val="auto"/>
        </w:rPr>
      </w:pPr>
    </w:p>
    <w:p>
      <w:pPr>
        <w:ind w:left="40" w:right="239" w:firstLine="315"/>
        <w:spacing w:after="0" w:line="24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ectPr>
          <w:pgSz w:w="11900" w:h="16838" w:orient="portrait"/>
          <w:cols w:equalWidth="0" w:num="1">
            <w:col w:w="9019"/>
          </w:cols>
          <w:pgMar w:left="1440" w:top="508"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365760</wp:posOffset>
            </wp:positionV>
            <wp:extent cx="5617210"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110" w:name="page111"/>
    <w:bookmarkEnd w:id="1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174" w:lineRule="exact"/>
        <w:rPr>
          <w:rFonts w:ascii="Arial" w:cs="Arial" w:eastAsia="Arial" w:hAnsi="Arial"/>
          <w:sz w:val="18"/>
          <w:szCs w:val="18"/>
          <w:color w:val="auto"/>
        </w:rPr>
      </w:pPr>
    </w:p>
    <w:p>
      <w:pPr>
        <w:ind w:left="700" w:right="439" w:hanging="310"/>
        <w:spacing w:after="0" w:line="261"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speculative trading in and short sales of our stock, as well as trading phenomena such as the “short squeeze” and “short and distort” schemes;</w:t>
      </w:r>
    </w:p>
    <w:p>
      <w:pPr>
        <w:spacing w:after="0" w:line="141" w:lineRule="exact"/>
        <w:rPr>
          <w:rFonts w:ascii="Arial" w:cs="Arial" w:eastAsia="Arial" w:hAnsi="Arial"/>
          <w:sz w:val="18"/>
          <w:szCs w:val="18"/>
          <w:color w:val="auto"/>
        </w:rPr>
      </w:pPr>
    </w:p>
    <w:p>
      <w:pPr>
        <w:ind w:left="700" w:right="559" w:hanging="310"/>
        <w:spacing w:after="0" w:line="261"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possible delays in the expected recognition of revenue due to lengthy and sometimes unpredictable sales timelines;</w:t>
      </w:r>
    </w:p>
    <w:p>
      <w:pPr>
        <w:spacing w:after="0" w:line="208" w:lineRule="exact"/>
        <w:rPr>
          <w:rFonts w:ascii="Arial" w:cs="Arial" w:eastAsia="Arial" w:hAnsi="Arial"/>
          <w:sz w:val="15"/>
          <w:szCs w:val="15"/>
          <w:color w:val="auto"/>
        </w:rPr>
      </w:pPr>
    </w:p>
    <w:p>
      <w:pPr>
        <w:jc w:val="both"/>
        <w:ind w:left="700" w:right="599" w:hanging="310"/>
        <w:spacing w:after="0" w:line="25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49"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210" w:lineRule="exact"/>
        <w:rPr>
          <w:rFonts w:ascii="Arial" w:cs="Arial" w:eastAsia="Arial" w:hAnsi="Arial"/>
          <w:sz w:val="16"/>
          <w:szCs w:val="16"/>
          <w:color w:val="auto"/>
        </w:rPr>
      </w:pPr>
    </w:p>
    <w:p>
      <w:pPr>
        <w:ind w:left="700" w:right="219" w:hanging="310"/>
        <w:spacing w:after="0" w:line="261"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174" w:lineRule="exact"/>
        <w:rPr>
          <w:rFonts w:ascii="Arial" w:cs="Arial" w:eastAsia="Arial" w:hAnsi="Arial"/>
          <w:sz w:val="18"/>
          <w:szCs w:val="18"/>
          <w:color w:val="auto"/>
        </w:rPr>
      </w:pPr>
    </w:p>
    <w:p>
      <w:pPr>
        <w:ind w:left="700" w:right="459" w:hanging="310"/>
        <w:spacing w:after="0" w:line="261"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154" w:lineRule="exact"/>
        <w:rPr>
          <w:rFonts w:ascii="Arial" w:cs="Arial" w:eastAsia="Arial" w:hAnsi="Arial"/>
          <w:sz w:val="18"/>
          <w:szCs w:val="18"/>
          <w:color w:val="auto"/>
        </w:rPr>
      </w:pPr>
    </w:p>
    <w:p>
      <w:pPr>
        <w:ind w:left="700" w:right="419" w:hanging="310"/>
        <w:spacing w:after="0" w:line="261"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187" w:lineRule="exact"/>
        <w:rPr>
          <w:rFonts w:ascii="Arial" w:cs="Arial" w:eastAsia="Arial" w:hAnsi="Arial"/>
          <w:sz w:val="18"/>
          <w:szCs w:val="18"/>
          <w:color w:val="auto"/>
        </w:rPr>
      </w:pPr>
    </w:p>
    <w:p>
      <w:pPr>
        <w:ind w:left="700" w:right="339" w:hanging="310"/>
        <w:spacing w:after="0" w:line="261"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141"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competition from existing technologies and products or new technologies and products that may emerge;</w:t>
      </w:r>
    </w:p>
    <w:p>
      <w:pPr>
        <w:spacing w:after="0" w:line="210" w:lineRule="exact"/>
        <w:rPr>
          <w:rFonts w:ascii="Arial" w:cs="Arial" w:eastAsia="Arial" w:hAnsi="Arial"/>
          <w:sz w:val="16"/>
          <w:szCs w:val="16"/>
          <w:color w:val="auto"/>
        </w:rPr>
      </w:pPr>
    </w:p>
    <w:p>
      <w:pPr>
        <w:ind w:left="700" w:right="279" w:hanging="310"/>
        <w:spacing w:after="0" w:line="261"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1" w:name="page112"/>
    <w:bookmarkEnd w:id="1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0" w:right="579" w:hanging="310"/>
        <w:spacing w:after="0" w:line="261"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174" w:lineRule="exact"/>
        <w:rPr>
          <w:rFonts w:ascii="Arial" w:cs="Arial" w:eastAsia="Arial" w:hAnsi="Arial"/>
          <w:sz w:val="18"/>
          <w:szCs w:val="18"/>
          <w:color w:val="auto"/>
        </w:rPr>
      </w:pPr>
    </w:p>
    <w:p>
      <w:pPr>
        <w:ind w:left="700" w:right="639" w:hanging="310"/>
        <w:spacing w:after="0" w:line="261"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154" w:lineRule="exact"/>
        <w:rPr>
          <w:rFonts w:ascii="Arial" w:cs="Arial" w:eastAsia="Arial" w:hAnsi="Arial"/>
          <w:sz w:val="18"/>
          <w:szCs w:val="18"/>
          <w:color w:val="auto"/>
        </w:rPr>
      </w:pPr>
    </w:p>
    <w:p>
      <w:pPr>
        <w:ind w:left="700" w:hanging="31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and litigations related to intellectual properties, proprietary rights, and contractual obligations;</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187" w:lineRule="exact"/>
        <w:rPr>
          <w:rFonts w:ascii="Arial" w:cs="Arial" w:eastAsia="Arial" w:hAnsi="Arial"/>
          <w:sz w:val="18"/>
          <w:szCs w:val="18"/>
          <w:color w:val="auto"/>
        </w:rPr>
      </w:pPr>
    </w:p>
    <w:p>
      <w:pPr>
        <w:ind w:left="700" w:hanging="31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174" w:lineRule="exact"/>
        <w:rPr>
          <w:sz w:val="20"/>
          <w:szCs w:val="20"/>
          <w:color w:val="auto"/>
        </w:rPr>
      </w:pPr>
    </w:p>
    <w:p>
      <w:pPr>
        <w:ind w:left="40" w:right="139" w:firstLine="315"/>
        <w:spacing w:after="0" w:line="290"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23" w:lineRule="exact"/>
        <w:rPr>
          <w:sz w:val="20"/>
          <w:szCs w:val="20"/>
          <w:color w:val="auto"/>
        </w:rPr>
      </w:pPr>
    </w:p>
    <w:p>
      <w:pPr>
        <w:ind w:left="40" w:right="279"/>
        <w:spacing w:after="0" w:line="252" w:lineRule="auto"/>
        <w:rPr>
          <w:sz w:val="20"/>
          <w:szCs w:val="20"/>
          <w:color w:val="auto"/>
        </w:rPr>
      </w:pPr>
      <w:r>
        <w:rPr>
          <w:rFonts w:ascii="Arial" w:cs="Arial" w:eastAsia="Arial" w:hAnsi="Arial"/>
          <w:sz w:val="18"/>
          <w:szCs w:val="18"/>
          <w:b w:val="1"/>
          <w:bCs w:val="1"/>
          <w:i w:val="1"/>
          <w:iCs w:val="1"/>
          <w:color w:val="auto"/>
        </w:rPr>
        <w:t>Developments with respect to the recently completed TRANQUILITY II trial have subjected us to a number of additional risks and uncertainties, including regulatory, stockholder or other actions, loss of investor confidence and negative impacts on the trading price of our common stock.</w:t>
      </w:r>
    </w:p>
    <w:p>
      <w:pPr>
        <w:spacing w:after="0" w:line="163" w:lineRule="exact"/>
        <w:rPr>
          <w:sz w:val="20"/>
          <w:szCs w:val="20"/>
          <w:color w:val="auto"/>
        </w:rPr>
      </w:pPr>
    </w:p>
    <w:p>
      <w:pPr>
        <w:ind w:left="40" w:right="139" w:firstLine="315"/>
        <w:spacing w:after="0" w:line="276" w:lineRule="auto"/>
        <w:rPr>
          <w:sz w:val="20"/>
          <w:szCs w:val="20"/>
          <w:color w:val="auto"/>
        </w:rPr>
      </w:pPr>
      <w:r>
        <w:rPr>
          <w:rFonts w:ascii="Arial" w:cs="Arial" w:eastAsia="Arial" w:hAnsi="Arial"/>
          <w:sz w:val="16"/>
          <w:szCs w:val="16"/>
          <w:color w:val="auto"/>
        </w:rPr>
        <w:t>In December 2022, the FDA conducted an inspection of one of the clinical trial sites in the Phase 3 TRANQUILITY II clinical trial, where the principal investigator enrolled approximately 40% of the subjects who participated in the trial. At the conclusion of this inspection, the FDA issued an FDA Form 483 identifying three inspectional observations. These observations related to the principal investigator’s failure to adhere to the informed consent form approved by the IRB for a limited number of subjects whose records the FDA reviewed, maintain adequate case histories for certain patients whose records the FDA reviewed, and adhere to the investigational plan in certain instances. In May 2023, it came to our attention that this same principal investigator in the TRANQUILITY II clinical trial may have fabricated email correspondence purporting to demonstrate that the investigator timely submitted to our pharmacovigilance safety vendor a report of an SAE from a different subject than the one cited in the FDA Form 483, and purporting to show that the vendor had confirmed receipt. Upon receipt of this information, we promptly initiated an investigation and subsequently received confirmation that the principal investigator fabricated the email correspondence related to the timing of the reporting of this SAE to our pharmacovigilance vendor to make it appear as though this SAE had been timely reported to the pharmacovigilance vendor as required by the clinical trial protocol. We are currently in the process of conducting an investigation into certain clinical trial and data integrity issues related to the TRANQUILITY II Phase 3 clinical trial. These investigations may take a significant amount of time, may be costly, and may lead to the conclusion that there is a risk that FDA will not accept the TRANQUILITY II data in support of an sNDA. These developments have caused us to incur substantial expenses for legal, accounting, tax and other professional services and has diverted our management’s attention from our business and could continue to do so. In addition, as a result of these developments, investors may lose confidence in our previous clinical trial results, current preclinical and clinical trial plans and our future projections, the price of our common stock may decline and we have been, and may be subject to future, shareholder or other litigation or regulatory enforcement actions in connection with the conduct of the TRANQUILITY II trial.</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2" w:name="page113"/>
    <w:bookmarkEnd w:id="1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879"/>
        <w:spacing w:after="0" w:line="261"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54" w:lineRule="exact"/>
        <w:rPr>
          <w:sz w:val="20"/>
          <w:szCs w:val="20"/>
          <w:color w:val="auto"/>
        </w:rPr>
      </w:pPr>
    </w:p>
    <w:p>
      <w:pPr>
        <w:ind w:left="40" w:right="139" w:firstLine="315"/>
        <w:spacing w:after="0" w:line="284" w:lineRule="auto"/>
        <w:rPr>
          <w:sz w:val="20"/>
          <w:szCs w:val="20"/>
          <w:color w:val="auto"/>
        </w:rPr>
      </w:pPr>
      <w:r>
        <w:rPr>
          <w:rFonts w:ascii="Arial" w:cs="Arial" w:eastAsia="Arial" w:hAnsi="Arial"/>
          <w:sz w:val="16"/>
          <w:szCs w:val="16"/>
          <w:color w:val="auto"/>
        </w:rPr>
        <w:t>As of September 30, 2023, our directors, executive officers and BioXcel LLC, and their respective affiliates, beneficially owned approximately 36%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6" w:lineRule="exact"/>
        <w:rPr>
          <w:sz w:val="20"/>
          <w:szCs w:val="20"/>
          <w:color w:val="auto"/>
        </w:rPr>
      </w:pPr>
    </w:p>
    <w:p>
      <w:pPr>
        <w:ind w:left="700" w:hanging="31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10" w:lineRule="exact"/>
        <w:rPr>
          <w:sz w:val="20"/>
          <w:szCs w:val="20"/>
          <w:color w:val="auto"/>
        </w:rPr>
      </w:pPr>
    </w:p>
    <w:p>
      <w:pPr>
        <w:ind w:left="40" w:right="379"/>
        <w:spacing w:after="0" w:line="261"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41" w:lineRule="exact"/>
        <w:rPr>
          <w:sz w:val="20"/>
          <w:szCs w:val="20"/>
          <w:color w:val="auto"/>
        </w:rPr>
      </w:pPr>
    </w:p>
    <w:p>
      <w:pPr>
        <w:ind w:left="40" w:right="259" w:firstLine="315"/>
        <w:spacing w:after="0" w:line="252"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50" w:lineRule="exact"/>
        <w:rPr>
          <w:sz w:val="20"/>
          <w:szCs w:val="20"/>
          <w:color w:val="auto"/>
        </w:rPr>
      </w:pPr>
    </w:p>
    <w:p>
      <w:pPr>
        <w:ind w:left="40" w:right="259"/>
        <w:spacing w:after="0" w:line="299"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27" w:lineRule="exact"/>
        <w:rPr>
          <w:sz w:val="20"/>
          <w:szCs w:val="20"/>
          <w:color w:val="auto"/>
        </w:rPr>
      </w:pPr>
    </w:p>
    <w:p>
      <w:pPr>
        <w:ind w:left="40" w:right="179" w:firstLine="315"/>
        <w:spacing w:after="0" w:line="284"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26" w:lineRule="exact"/>
        <w:rPr>
          <w:sz w:val="20"/>
          <w:szCs w:val="20"/>
          <w:color w:val="auto"/>
        </w:rPr>
      </w:pPr>
    </w:p>
    <w:p>
      <w:pPr>
        <w:ind w:left="40" w:right="259" w:firstLine="315"/>
        <w:spacing w:after="0" w:line="298" w:lineRule="auto"/>
        <w:rPr>
          <w:sz w:val="20"/>
          <w:szCs w:val="20"/>
          <w:color w:val="auto"/>
        </w:rPr>
      </w:pPr>
      <w:r>
        <w:rPr>
          <w:rFonts w:ascii="Arial" w:cs="Arial" w:eastAsia="Arial" w:hAnsi="Arial"/>
          <w:sz w:val="15"/>
          <w:szCs w:val="15"/>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w:t>
      </w:r>
    </w:p>
    <w:p>
      <w:pPr>
        <w:jc w:val="both"/>
        <w:ind w:left="40" w:right="159"/>
        <w:spacing w:after="0" w:line="245" w:lineRule="auto"/>
        <w:rPr>
          <w:sz w:val="20"/>
          <w:szCs w:val="20"/>
          <w:color w:val="auto"/>
        </w:rPr>
      </w:pPr>
      <w:r>
        <w:rPr>
          <w:rFonts w:ascii="Arial" w:cs="Arial" w:eastAsia="Arial" w:hAnsi="Arial"/>
          <w:sz w:val="18"/>
          <w:szCs w:val="18"/>
          <w:color w:val="auto"/>
        </w:rPr>
        <w:t>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56" w:lineRule="exact"/>
        <w:rPr>
          <w:sz w:val="20"/>
          <w:szCs w:val="20"/>
          <w:color w:val="auto"/>
        </w:rPr>
      </w:pPr>
    </w:p>
    <w:p>
      <w:pPr>
        <w:ind w:left="40" w:right="359"/>
        <w:spacing w:after="0" w:line="252"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smaller reporting companies, which could make our common stock less attractive to investors.</w:t>
      </w:r>
    </w:p>
    <w:p>
      <w:pPr>
        <w:spacing w:after="0" w:line="163" w:lineRule="exact"/>
        <w:rPr>
          <w:sz w:val="20"/>
          <w:szCs w:val="20"/>
          <w:color w:val="auto"/>
        </w:rPr>
      </w:pPr>
    </w:p>
    <w:p>
      <w:pPr>
        <w:ind w:left="40" w:right="159" w:firstLine="315"/>
        <w:spacing w:after="0" w:line="280"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3" w:name="page114"/>
    <w:bookmarkEnd w:id="1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spacing w:after="0" w:line="281" w:lineRule="auto"/>
        <w:rPr>
          <w:sz w:val="20"/>
          <w:szCs w:val="20"/>
          <w:color w:val="auto"/>
        </w:rPr>
      </w:pPr>
      <w:r>
        <w:rPr>
          <w:rFonts w:ascii="Arial" w:cs="Arial" w:eastAsia="Arial" w:hAnsi="Arial"/>
          <w:sz w:val="16"/>
          <w:szCs w:val="16"/>
          <w:color w:val="auto"/>
        </w:rPr>
        <w:t>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no longer be an “emerging growth company” beginning December 31, 2023.</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also a smaller reporting company, and we will remain a smaller reporting company until we determine that either</w:t>
      </w:r>
    </w:p>
    <w:p>
      <w:pPr>
        <w:spacing w:after="0" w:line="38" w:lineRule="exact"/>
        <w:rPr>
          <w:sz w:val="20"/>
          <w:szCs w:val="20"/>
          <w:color w:val="auto"/>
        </w:rPr>
      </w:pPr>
    </w:p>
    <w:p>
      <w:pPr>
        <w:ind w:left="40" w:right="379" w:firstLine="8"/>
        <w:spacing w:after="0" w:line="279" w:lineRule="auto"/>
        <w:tabs>
          <w:tab w:leader="none" w:pos="2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of the Sarbanes-Oxley Act,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30" w:lineRule="exact"/>
        <w:rPr>
          <w:sz w:val="20"/>
          <w:szCs w:val="20"/>
          <w:color w:val="auto"/>
        </w:rPr>
      </w:pPr>
    </w:p>
    <w:p>
      <w:pPr>
        <w:ind w:left="40" w:right="299" w:firstLine="315"/>
        <w:spacing w:after="0" w:line="24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53" w:lineRule="exact"/>
        <w:rPr>
          <w:sz w:val="20"/>
          <w:szCs w:val="20"/>
          <w:color w:val="auto"/>
        </w:rPr>
      </w:pPr>
    </w:p>
    <w:p>
      <w:pPr>
        <w:ind w:left="40" w:right="159"/>
        <w:spacing w:after="0" w:line="324" w:lineRule="auto"/>
        <w:rPr>
          <w:sz w:val="20"/>
          <w:szCs w:val="20"/>
          <w:color w:val="auto"/>
        </w:rPr>
      </w:pPr>
      <w:r>
        <w:rPr>
          <w:rFonts w:ascii="Arial" w:cs="Arial" w:eastAsia="Arial" w:hAnsi="Arial"/>
          <w:sz w:val="16"/>
          <w:szCs w:val="16"/>
          <w:b w:val="1"/>
          <w:bCs w:val="1"/>
          <w:i w:val="1"/>
          <w:iCs w:val="1"/>
          <w:color w:val="auto"/>
        </w:rPr>
        <w:t>A securities class action has been filed against the Company, which could result in significant costs and/or liabilities; and, as a public Company, we continue to be at risk of securities class action litigation.</w:t>
      </w:r>
    </w:p>
    <w:p>
      <w:pPr>
        <w:spacing w:after="0" w:line="108" w:lineRule="exact"/>
        <w:rPr>
          <w:sz w:val="20"/>
          <w:szCs w:val="20"/>
          <w:color w:val="auto"/>
        </w:rPr>
      </w:pPr>
    </w:p>
    <w:p>
      <w:pPr>
        <w:ind w:left="40" w:right="219" w:firstLine="315"/>
        <w:spacing w:after="0" w:line="279" w:lineRule="auto"/>
        <w:rPr>
          <w:sz w:val="20"/>
          <w:szCs w:val="20"/>
          <w:color w:val="auto"/>
        </w:rPr>
      </w:pPr>
      <w:r>
        <w:rPr>
          <w:rFonts w:ascii="Arial" w:cs="Arial" w:eastAsia="Arial" w:hAnsi="Arial"/>
          <w:sz w:val="16"/>
          <w:szCs w:val="16"/>
          <w:color w:val="auto"/>
        </w:rPr>
        <w:t xml:space="preserve">On July 7, 2023, plaintiff Katelyn Martin filed a class action complaint against the Company and certain executives in the United States District Court for the District of Connecticut, captioned </w:t>
      </w:r>
      <w:r>
        <w:rPr>
          <w:rFonts w:ascii="Arial" w:cs="Arial" w:eastAsia="Arial" w:hAnsi="Arial"/>
          <w:sz w:val="16"/>
          <w:szCs w:val="16"/>
          <w:i w:val="1"/>
          <w:iCs w:val="1"/>
          <w:color w:val="auto"/>
        </w:rPr>
        <w:t>Martin v. BioXcel Therapeutics, et al.</w:t>
      </w:r>
      <w:r>
        <w:rPr>
          <w:rFonts w:ascii="Arial" w:cs="Arial" w:eastAsia="Arial" w:hAnsi="Arial"/>
          <w:sz w:val="16"/>
          <w:szCs w:val="16"/>
          <w:color w:val="auto"/>
        </w:rPr>
        <w:t>, 3:23-cv-00915 (D. Conn). The complaints generally allege violations of Sections 10(b) and 20A of the Securities and Exchange Act of 1934 (the “Exchange Act”) and SEC Rule 10b-5 promulgated thereunder, based on certain public statements related to the development of BXCL501, TRANQUILITY II and TRANQUILITY III between December 15, 2021 and June 28, 2023. Pursuant to the Private Securities Litigation Reform Act, other investors may seek to serve as lead plaintiff and pursue these claims on behalf of a putative class of investors. The allegations and claims at issue in matter may be amended or supplemented in the future, including when a lead plaintiff is appointed by the Court. The potential costs and liabilities associated with this litigation are uncertain. The above-captioned action may result in substantial costs or liabilities, as well as a diversion of management’s attention and resources, which could harm our business and result in a decline in the market price of our common stock.</w:t>
      </w:r>
    </w:p>
    <w:p>
      <w:pPr>
        <w:spacing w:after="0" w:line="131" w:lineRule="exact"/>
        <w:rPr>
          <w:sz w:val="20"/>
          <w:szCs w:val="20"/>
          <w:color w:val="auto"/>
        </w:rPr>
      </w:pPr>
    </w:p>
    <w:p>
      <w:pPr>
        <w:ind w:left="40" w:right="239" w:firstLine="315"/>
        <w:spacing w:after="0" w:line="247" w:lineRule="auto"/>
        <w:rPr>
          <w:sz w:val="20"/>
          <w:szCs w:val="20"/>
          <w:color w:val="auto"/>
        </w:rPr>
      </w:pPr>
      <w:r>
        <w:rPr>
          <w:rFonts w:ascii="Arial" w:cs="Arial" w:eastAsia="Arial" w:hAnsi="Arial"/>
          <w:sz w:val="18"/>
          <w:szCs w:val="18"/>
          <w:color w:val="auto"/>
        </w:rPr>
        <w:t>We may be at risk of costs and liabilities if further securities class actions or claims are filed against the Company. 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5" w:lineRule="exact"/>
        <w:rPr>
          <w:sz w:val="20"/>
          <w:szCs w:val="20"/>
          <w:color w:val="auto"/>
        </w:rPr>
      </w:pPr>
    </w:p>
    <w:p>
      <w:pPr>
        <w:ind w:left="40" w:right="539"/>
        <w:spacing w:after="0" w:line="324" w:lineRule="auto"/>
        <w:rPr>
          <w:sz w:val="20"/>
          <w:szCs w:val="20"/>
          <w:color w:val="auto"/>
        </w:rPr>
      </w:pPr>
      <w:r>
        <w:rPr>
          <w:rFonts w:ascii="Arial" w:cs="Arial" w:eastAsia="Arial" w:hAnsi="Arial"/>
          <w:sz w:val="16"/>
          <w:szCs w:val="16"/>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08" w:lineRule="exact"/>
        <w:rPr>
          <w:sz w:val="20"/>
          <w:szCs w:val="20"/>
          <w:color w:val="auto"/>
        </w:rPr>
      </w:pPr>
    </w:p>
    <w:p>
      <w:pPr>
        <w:ind w:left="40" w:right="179" w:firstLine="315"/>
        <w:spacing w:after="0" w:line="284" w:lineRule="auto"/>
        <w:rPr>
          <w:sz w:val="20"/>
          <w:szCs w:val="20"/>
          <w:color w:val="auto"/>
        </w:rPr>
      </w:pPr>
      <w:r>
        <w:rPr>
          <w:rFonts w:ascii="Arial" w:cs="Arial" w:eastAsia="Arial" w:hAnsi="Arial"/>
          <w:sz w:val="16"/>
          <w:szCs w:val="16"/>
          <w:color w:val="auto"/>
        </w:rPr>
        <w:t>Our amended and restated certificate of incorporation, our amended and restated bylaws and Delaware law could make it more difficult for a third-party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w:t>
      </w:r>
    </w:p>
    <w:p>
      <w:pPr>
        <w:sectPr>
          <w:pgSz w:w="11900" w:h="16838" w:orient="portrait"/>
          <w:cols w:equalWidth="0" w:num="1">
            <w:col w:w="9019"/>
          </w:cols>
          <w:pgMar w:left="1440" w:top="508" w:right="1440" w:bottom="1440" w:gutter="0" w:footer="0" w:header="0"/>
        </w:sect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365760</wp:posOffset>
            </wp:positionV>
            <wp:extent cx="561721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114" w:name="page115"/>
    <w:bookmarkEnd w:id="1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159"/>
        <w:spacing w:after="0" w:line="290" w:lineRule="auto"/>
        <w:rPr>
          <w:sz w:val="20"/>
          <w:szCs w:val="20"/>
          <w:color w:val="auto"/>
        </w:rPr>
      </w:pPr>
      <w:r>
        <w:rPr>
          <w:rFonts w:ascii="Arial" w:cs="Arial" w:eastAsia="Arial" w:hAnsi="Arial"/>
          <w:sz w:val="16"/>
          <w:szCs w:val="16"/>
          <w:color w:val="auto"/>
        </w:rPr>
        <w:t>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third-party and thereby preserve control by the present management.</w:t>
      </w:r>
    </w:p>
    <w:p>
      <w:pPr>
        <w:spacing w:after="0" w:line="136" w:lineRule="exact"/>
        <w:rPr>
          <w:sz w:val="20"/>
          <w:szCs w:val="20"/>
          <w:color w:val="auto"/>
        </w:rPr>
      </w:pPr>
    </w:p>
    <w:p>
      <w:pPr>
        <w:ind w:left="40" w:right="259" w:firstLine="315"/>
        <w:spacing w:after="0" w:line="286" w:lineRule="auto"/>
        <w:rPr>
          <w:sz w:val="20"/>
          <w:szCs w:val="20"/>
          <w:color w:val="auto"/>
        </w:rPr>
      </w:pPr>
      <w:r>
        <w:rPr>
          <w:rFonts w:ascii="Arial" w:cs="Arial" w:eastAsia="Arial" w:hAnsi="Arial"/>
          <w:sz w:val="16"/>
          <w:szCs w:val="16"/>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26" w:lineRule="exact"/>
        <w:rPr>
          <w:sz w:val="20"/>
          <w:szCs w:val="20"/>
          <w:color w:val="auto"/>
        </w:rPr>
      </w:pPr>
    </w:p>
    <w:p>
      <w:pPr>
        <w:ind w:left="700" w:hanging="31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174" w:lineRule="exact"/>
        <w:rPr>
          <w:rFonts w:ascii="Arial" w:cs="Arial" w:eastAsia="Arial" w:hAnsi="Arial"/>
          <w:sz w:val="18"/>
          <w:szCs w:val="18"/>
          <w:color w:val="auto"/>
        </w:rPr>
      </w:pPr>
    </w:p>
    <w:p>
      <w:pPr>
        <w:ind w:left="700" w:hanging="31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187" w:lineRule="exact"/>
        <w:rPr>
          <w:rFonts w:ascii="Arial" w:cs="Arial" w:eastAsia="Arial" w:hAnsi="Arial"/>
          <w:sz w:val="18"/>
          <w:szCs w:val="18"/>
          <w:color w:val="auto"/>
        </w:rPr>
      </w:pPr>
    </w:p>
    <w:p>
      <w:pPr>
        <w:ind w:left="700" w:right="519" w:hanging="310"/>
        <w:spacing w:after="0" w:line="261"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141" w:lineRule="exact"/>
        <w:rPr>
          <w:rFonts w:ascii="Arial" w:cs="Arial" w:eastAsia="Arial" w:hAnsi="Arial"/>
          <w:sz w:val="18"/>
          <w:szCs w:val="18"/>
          <w:color w:val="auto"/>
        </w:rPr>
      </w:pPr>
    </w:p>
    <w:p>
      <w:pPr>
        <w:ind w:left="700" w:right="199" w:hanging="310"/>
        <w:spacing w:after="0" w:line="261"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41"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54" w:lineRule="exact"/>
        <w:rPr>
          <w:sz w:val="20"/>
          <w:szCs w:val="20"/>
          <w:color w:val="auto"/>
        </w:rPr>
      </w:pPr>
    </w:p>
    <w:p>
      <w:pPr>
        <w:ind w:left="40" w:right="159" w:firstLine="315"/>
        <w:spacing w:after="0" w:line="277"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beginning December 31, 2023.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Risk Factors</w:t>
      </w:r>
    </w:p>
    <w:p>
      <w:pPr>
        <w:spacing w:after="0" w:line="180"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54" w:lineRule="exact"/>
        <w:rPr>
          <w:sz w:val="20"/>
          <w:szCs w:val="20"/>
          <w:color w:val="auto"/>
        </w:rPr>
      </w:pPr>
    </w:p>
    <w:p>
      <w:pPr>
        <w:ind w:left="40" w:right="139" w:firstLine="315"/>
        <w:spacing w:after="0" w:line="28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5" w:name="page116"/>
    <w:bookmarkEnd w:id="1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419"/>
        <w:spacing w:after="0" w:line="261"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54" w:lineRule="exact"/>
        <w:rPr>
          <w:sz w:val="20"/>
          <w:szCs w:val="20"/>
          <w:color w:val="auto"/>
        </w:rPr>
      </w:pPr>
    </w:p>
    <w:p>
      <w:pPr>
        <w:ind w:left="40" w:right="239" w:firstLine="315"/>
        <w:spacing w:after="0" w:line="304" w:lineRule="auto"/>
        <w:rPr>
          <w:sz w:val="20"/>
          <w:szCs w:val="20"/>
          <w:color w:val="auto"/>
        </w:rPr>
      </w:pPr>
      <w:r>
        <w:rPr>
          <w:rFonts w:ascii="Arial" w:cs="Arial" w:eastAsia="Arial" w:hAnsi="Arial"/>
          <w:sz w:val="15"/>
          <w:szCs w:val="15"/>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14" w:lineRule="exact"/>
        <w:rPr>
          <w:sz w:val="20"/>
          <w:szCs w:val="20"/>
          <w:color w:val="auto"/>
        </w:rPr>
      </w:pPr>
    </w:p>
    <w:p>
      <w:pPr>
        <w:ind w:left="40" w:right="359"/>
        <w:spacing w:after="0" w:line="299"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14" w:lineRule="exact"/>
        <w:rPr>
          <w:sz w:val="20"/>
          <w:szCs w:val="20"/>
          <w:color w:val="auto"/>
        </w:rPr>
      </w:pPr>
    </w:p>
    <w:p>
      <w:pPr>
        <w:ind w:left="40" w:right="159" w:firstLine="315"/>
        <w:spacing w:after="0" w:line="27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74" w:lineRule="exact"/>
        <w:rPr>
          <w:sz w:val="20"/>
          <w:szCs w:val="20"/>
          <w:color w:val="auto"/>
        </w:rPr>
      </w:pPr>
    </w:p>
    <w:p>
      <w:pPr>
        <w:ind w:left="40" w:right="259" w:firstLine="315"/>
        <w:spacing w:after="0" w:line="282"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Unregistered Sales of Equity Securities, and Use of Proceeds and Issuer Purchases of Equity Securities</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0" w:lineRule="exact"/>
        <w:rPr>
          <w:sz w:val="20"/>
          <w:szCs w:val="20"/>
          <w:color w:val="auto"/>
        </w:rPr>
      </w:pPr>
    </w:p>
    <w:p>
      <w:pPr>
        <w:ind w:left="40" w:right="259" w:firstLine="315"/>
        <w:spacing w:after="0" w:line="249" w:lineRule="auto"/>
        <w:rPr>
          <w:sz w:val="20"/>
          <w:szCs w:val="20"/>
          <w:color w:val="auto"/>
        </w:rPr>
      </w:pPr>
      <w:r>
        <w:rPr>
          <w:rFonts w:ascii="Arial" w:cs="Arial" w:eastAsia="Arial" w:hAnsi="Arial"/>
          <w:sz w:val="18"/>
          <w:szCs w:val="18"/>
          <w:color w:val="auto"/>
        </w:rPr>
        <w:t>The information included in Part I, Item 2, “Management’s Discussion and Analysis of Financial Condition and Results of Operations — Liquidity and Capital Resources — Sources of Liquidity” regarding including our having invested an amount in excess of what was previously permitted under the OnkosXcel investment covenant is incorporated herein by reference.</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6" w:name="page117"/>
    <w:bookmarkEnd w:id="1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40" w:right="199" w:firstLine="324"/>
        <w:spacing w:after="0" w:line="300" w:lineRule="auto"/>
        <w:tabs>
          <w:tab w:leader="none" w:pos="594" w:val="left"/>
        </w:tabs>
        <w:numPr>
          <w:ilvl w:val="0"/>
          <w:numId w:val="57"/>
        </w:numPr>
        <w:rPr>
          <w:rFonts w:ascii="Arial" w:cs="Arial" w:eastAsia="Arial" w:hAnsi="Arial"/>
          <w:sz w:val="15"/>
          <w:szCs w:val="15"/>
          <w:color w:val="auto"/>
        </w:rPr>
      </w:pPr>
      <w:r>
        <w:rPr>
          <w:rFonts w:ascii="Arial" w:cs="Arial" w:eastAsia="Arial" w:hAnsi="Arial"/>
          <w:sz w:val="15"/>
          <w:szCs w:val="15"/>
          <w:color w:val="auto"/>
        </w:rPr>
        <w:t>On November 13, 2023, we, the Lenders party to our Credit Agreement and OFA entered into a Waiver and First Amendment to Credit Agreement and Guaranty (the “First Amendment”) that provides for (i) a waiver and a modification to the covenant in the Credit Agreement regarding investments in OnkosXcel and (ii) an agreement with the parties to further revise key financial terms between us, OFA and the Lenders. Pursuant to the First Amendment, the lenders agreed to permit us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our obligation to notify OFA of such default. In connection with the First Amendment, we will pay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57" w:lineRule="exact"/>
        <w:rPr>
          <w:sz w:val="20"/>
          <w:szCs w:val="20"/>
          <w:color w:val="auto"/>
        </w:rPr>
      </w:pPr>
    </w:p>
    <w:p>
      <w:pPr>
        <w:ind w:left="40" w:right="239" w:firstLine="315"/>
        <w:spacing w:after="0" w:line="299" w:lineRule="auto"/>
        <w:rPr>
          <w:sz w:val="20"/>
          <w:szCs w:val="20"/>
          <w:color w:val="auto"/>
        </w:rPr>
      </w:pPr>
      <w:r>
        <w:rPr>
          <w:rFonts w:ascii="Arial" w:cs="Arial" w:eastAsia="Arial" w:hAnsi="Arial"/>
          <w:sz w:val="16"/>
          <w:szCs w:val="16"/>
          <w:color w:val="auto"/>
        </w:rPr>
        <w:t>In addition, pursuant to the First Amendment, we, OFA and the Lenders agreed to enter into an additional amendment (the “Subsequent Amendment”) to the Credit Agreement on or before December 1, 2023 (or such later date as determined in the sole discretion of OFA), on terms set forth in a term sheet attached to the First Amendment that will:</w:t>
      </w:r>
    </w:p>
    <w:p>
      <w:pPr>
        <w:spacing w:after="0" w:line="154" w:lineRule="exact"/>
        <w:rPr>
          <w:sz w:val="20"/>
          <w:szCs w:val="20"/>
          <w:color w:val="auto"/>
        </w:rPr>
      </w:pPr>
    </w:p>
    <w:p>
      <w:pPr>
        <w:ind w:left="1020" w:right="299" w:hanging="315"/>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defer the effectiveness of the Credit Agreement’s Revenue Covenant to the fourth quarter of 2024, and reduce the required minimum revenue levels;</w:t>
      </w:r>
    </w:p>
    <w:p>
      <w:pPr>
        <w:spacing w:after="0" w:line="141" w:lineRule="exact"/>
        <w:rPr>
          <w:rFonts w:ascii="Arial" w:cs="Arial" w:eastAsia="Arial" w:hAnsi="Arial"/>
          <w:sz w:val="18"/>
          <w:szCs w:val="18"/>
          <w:color w:val="auto"/>
        </w:rPr>
      </w:pPr>
    </w:p>
    <w:p>
      <w:pPr>
        <w:ind w:left="1020" w:right="219" w:hanging="315"/>
        <w:spacing w:after="0" w:line="282"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replace the Credit Agreement’s existing “Tranche B” term loan with a new $20,000 tranche available upon satisfaction of the following conditions on or before December 31, 2024: (i) our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29" w:lineRule="exact"/>
        <w:rPr>
          <w:rFonts w:ascii="Arial" w:cs="Arial" w:eastAsia="Arial" w:hAnsi="Arial"/>
          <w:sz w:val="16"/>
          <w:szCs w:val="16"/>
          <w:color w:val="auto"/>
        </w:rPr>
      </w:pPr>
    </w:p>
    <w:p>
      <w:pPr>
        <w:ind w:left="1020" w:right="159" w:hanging="315"/>
        <w:spacing w:after="0" w:line="280"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replace the Credit Agreement’s existing “Tranche C” term loan with a new $30,000 tranche available upon satisfaction of the following conditions on or before December 31, 2025: (i) either (a) receipt of approval from the FDA of an sNDA in respect of the use of BXCL 501 for the acute treatment of agitation associated with dementia or (b) the receipt of approval from the FDA of an sNDA in respect of the use of BXCL 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w:t>
      </w:r>
    </w:p>
    <w:p>
      <w:pPr>
        <w:spacing w:after="0" w:line="144" w:lineRule="exact"/>
        <w:rPr>
          <w:rFonts w:ascii="Arial" w:cs="Arial" w:eastAsia="Arial" w:hAnsi="Arial"/>
          <w:sz w:val="16"/>
          <w:szCs w:val="16"/>
          <w:color w:val="auto"/>
        </w:rPr>
      </w:pPr>
    </w:p>
    <w:p>
      <w:pPr>
        <w:ind w:left="1020" w:right="199" w:hanging="315"/>
        <w:spacing w:after="0" w:line="286"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add to the Credit Agreement a new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 501 for opioid withdrawal) for the trailing twelve consecutive month period exceeding a specified amount;</w:t>
      </w:r>
    </w:p>
    <w:p>
      <w:pPr>
        <w:spacing w:after="0" w:line="126" w:lineRule="exact"/>
        <w:rPr>
          <w:rFonts w:ascii="Arial" w:cs="Arial" w:eastAsia="Arial" w:hAnsi="Arial"/>
          <w:sz w:val="16"/>
          <w:szCs w:val="16"/>
          <w:color w:val="auto"/>
        </w:rPr>
      </w:pPr>
    </w:p>
    <w:p>
      <w:pPr>
        <w:ind w:left="1020" w:right="559" w:hanging="315"/>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terminate the RIFA and convert the financing previously provided to us under the RIFA to loans under the Credit Agreement;</w:t>
      </w:r>
    </w:p>
    <w:p>
      <w:pPr>
        <w:spacing w:after="0" w:line="141" w:lineRule="exact"/>
        <w:rPr>
          <w:rFonts w:ascii="Arial" w:cs="Arial" w:eastAsia="Arial" w:hAnsi="Arial"/>
          <w:sz w:val="18"/>
          <w:szCs w:val="18"/>
          <w:color w:val="auto"/>
        </w:rPr>
      </w:pPr>
    </w:p>
    <w:p>
      <w:pPr>
        <w:ind w:left="1020" w:right="159" w:hanging="315"/>
        <w:spacing w:after="0" w:line="324"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modify the interest rate of the loans provided under the Credit Agreement to be a floating rate equal to the secured overnight financing rate (“SOFR”) (subject to a SOFR floor of 2.5% and a cap of 5.5%) plus 7.5%; and</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7" w:name="page118"/>
    <w:bookmarkEnd w:id="1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20" w:right="219" w:hanging="315"/>
        <w:spacing w:after="0" w:line="249"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for warrants to be issued to the Lenders to purchase 69,630 shares of our common stock, and for the strike price of all warrants issued to the Lenders under the Credit Agreement to be reset at a price per share equal to the trailing 30-day volume weighted average price per share of our common stock as of the date of the Subsequent Amendment.</w:t>
      </w:r>
    </w:p>
    <w:p>
      <w:pPr>
        <w:spacing w:after="0" w:line="166" w:lineRule="exact"/>
        <w:rPr>
          <w:sz w:val="20"/>
          <w:szCs w:val="20"/>
          <w:color w:val="auto"/>
        </w:rPr>
      </w:pPr>
    </w:p>
    <w:p>
      <w:pPr>
        <w:ind w:left="40" w:right="419"/>
        <w:spacing w:after="0" w:line="252" w:lineRule="auto"/>
        <w:rPr>
          <w:sz w:val="20"/>
          <w:szCs w:val="20"/>
          <w:color w:val="auto"/>
        </w:rPr>
      </w:pPr>
      <w:r>
        <w:rPr>
          <w:rFonts w:ascii="Arial" w:cs="Arial" w:eastAsia="Arial" w:hAnsi="Arial"/>
          <w:sz w:val="18"/>
          <w:szCs w:val="18"/>
          <w:color w:val="auto"/>
        </w:rPr>
        <w:t>The foregoing description of the First Amendment is qualified in its entirety by reference to the full text of the First Amendment, a copy of which is filed as Exhibit 10.2 to this Quarterly Report on Form 10-Q and is incorporated herein by reference.</w:t>
      </w:r>
    </w:p>
    <w:p>
      <w:pPr>
        <w:spacing w:after="0" w:line="294" w:lineRule="exact"/>
        <w:rPr>
          <w:sz w:val="20"/>
          <w:szCs w:val="20"/>
          <w:color w:val="auto"/>
        </w:rPr>
      </w:pPr>
    </w:p>
    <w:p>
      <w:pPr>
        <w:ind w:left="300" w:hanging="25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w:t>
      </w:r>
    </w:p>
    <w:p>
      <w:pPr>
        <w:spacing w:after="0" w:line="174" w:lineRule="exact"/>
        <w:rPr>
          <w:rFonts w:ascii="Arial" w:cs="Arial" w:eastAsia="Arial" w:hAnsi="Arial"/>
          <w:sz w:val="18"/>
          <w:szCs w:val="18"/>
          <w:color w:val="auto"/>
        </w:rPr>
      </w:pPr>
    </w:p>
    <w:p>
      <w:pPr>
        <w:ind w:left="280" w:hanging="23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18" w:name="page119"/>
    <w:bookmarkEnd w:id="1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ind w:right="121"/>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5"/>
        </w:trPr>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540" w:type="dxa"/>
            <w:vAlign w:val="bottom"/>
            <w:gridSpan w:val="4"/>
            <w:vMerge w:val="restart"/>
          </w:tcPr>
          <w:p>
            <w:pPr>
              <w:ind w:left="1120"/>
              <w:spacing w:after="0"/>
              <w:rPr>
                <w:sz w:val="20"/>
                <w:szCs w:val="20"/>
                <w:color w:val="auto"/>
              </w:rPr>
            </w:pPr>
            <w:r>
              <w:rPr>
                <w:rFonts w:ascii="Arial" w:cs="Arial" w:eastAsia="Arial" w:hAnsi="Arial"/>
                <w:sz w:val="14"/>
                <w:szCs w:val="14"/>
                <w:b w:val="1"/>
                <w:bCs w:val="1"/>
                <w:color w:val="auto"/>
              </w:rPr>
              <w:t>Description</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67"/>
        </w:trPr>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40" w:type="dxa"/>
            <w:vAlign w:val="bottom"/>
            <w:gridSpan w:val="4"/>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580" w:type="dxa"/>
            <w:vAlign w:val="bottom"/>
          </w:tcPr>
          <w:p>
            <w:pPr>
              <w:jc w:val="right"/>
              <w:ind w:right="21"/>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230"/>
        </w:trPr>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gridSpan w:val="5"/>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Amended and Restated Certificate of Incorporation, as</w:t>
              </w:r>
            </w:hyperlink>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10-Q</w:t>
            </w:r>
          </w:p>
        </w:tc>
        <w:tc>
          <w:tcPr>
            <w:tcW w:w="10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001-38410</w:t>
            </w: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580" w:type="dxa"/>
            <w:vAlign w:val="bottom"/>
            <w:tcBorders>
              <w:top w:val="single" w:sz="8" w:color="auto"/>
            </w:tcBorders>
          </w:tcPr>
          <w:p>
            <w:pPr>
              <w:jc w:val="right"/>
              <w:ind w:right="721"/>
              <w:spacing w:after="0"/>
              <w:rPr>
                <w:sz w:val="20"/>
                <w:szCs w:val="20"/>
                <w:color w:val="auto"/>
              </w:rPr>
            </w:pPr>
            <w:r>
              <w:rPr>
                <w:rFonts w:ascii="Arial" w:cs="Arial" w:eastAsia="Arial" w:hAnsi="Arial"/>
                <w:sz w:val="18"/>
                <w:szCs w:val="18"/>
                <w:color w:val="auto"/>
                <w:w w:val="94"/>
              </w:rPr>
              <w:t>8/10/2021</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82"/>
              </w:rPr>
            </w:pPr>
            <w:hyperlink r:id="rId130">
              <w:r>
                <w:rPr>
                  <w:rFonts w:ascii="Arial" w:cs="Arial" w:eastAsia="Arial" w:hAnsi="Arial"/>
                  <w:sz w:val="18"/>
                  <w:szCs w:val="18"/>
                  <w:color w:val="0000EE"/>
                  <w:w w:val="82"/>
                </w:rPr>
                <w:t>amended.</w:t>
              </w:r>
            </w:hyperlink>
          </w:p>
        </w:tc>
        <w:tc>
          <w:tcPr>
            <w:tcW w:w="3140" w:type="dxa"/>
            <w:vAlign w:val="bottom"/>
            <w:tcBorders>
              <w:top w:val="single" w:sz="8" w:color="0000EE"/>
            </w:tcBorders>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tcPr>
          <w:p>
            <w:pPr>
              <w:jc w:val="right"/>
              <w:ind w:right="119"/>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40" w:type="dxa"/>
            <w:vAlign w:val="bottom"/>
            <w:tcBorders>
              <w:bottom w:val="single" w:sz="8" w:color="0000EE"/>
            </w:tcBorders>
            <w:gridSpan w:val="2"/>
          </w:tcPr>
          <w:p>
            <w:pPr>
              <w:spacing w:after="0"/>
              <w:rPr>
                <w:rFonts w:ascii="Arial" w:cs="Arial" w:eastAsia="Arial" w:hAnsi="Arial"/>
                <w:sz w:val="18"/>
                <w:szCs w:val="18"/>
                <w:color w:val="0000EE"/>
                <w:w w:val="86"/>
              </w:rPr>
            </w:pPr>
            <w:hyperlink r:id="rId131">
              <w:r>
                <w:rPr>
                  <w:rFonts w:ascii="Arial" w:cs="Arial" w:eastAsia="Arial" w:hAnsi="Arial"/>
                  <w:sz w:val="18"/>
                  <w:szCs w:val="18"/>
                  <w:color w:val="0000EE"/>
                  <w:w w:val="86"/>
                </w:rPr>
                <w:t>Amended and Restated Bylaws.</w:t>
              </w:r>
            </w:hyperlink>
          </w:p>
        </w:tc>
        <w:tc>
          <w:tcPr>
            <w:tcW w:w="1980" w:type="dxa"/>
            <w:vAlign w:val="bottom"/>
            <w:gridSpan w:val="3"/>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ind w:left="80"/>
              <w:spacing w:after="0"/>
              <w:rPr>
                <w:sz w:val="20"/>
                <w:szCs w:val="20"/>
                <w:color w:val="auto"/>
              </w:rPr>
            </w:pPr>
            <w:r>
              <w:rPr>
                <w:rFonts w:ascii="Arial" w:cs="Arial" w:eastAsia="Arial" w:hAnsi="Arial"/>
                <w:sz w:val="18"/>
                <w:szCs w:val="18"/>
                <w:color w:val="auto"/>
              </w:rPr>
              <w:t>001-38410</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80" w:type="dxa"/>
            <w:vAlign w:val="bottom"/>
          </w:tcPr>
          <w:p>
            <w:pPr>
              <w:jc w:val="right"/>
              <w:ind w:right="721"/>
              <w:spacing w:after="0"/>
              <w:rPr>
                <w:sz w:val="20"/>
                <w:szCs w:val="20"/>
                <w:color w:val="auto"/>
              </w:rPr>
            </w:pPr>
            <w:r>
              <w:rPr>
                <w:rFonts w:ascii="Arial" w:cs="Arial" w:eastAsia="Arial" w:hAnsi="Arial"/>
                <w:sz w:val="18"/>
                <w:szCs w:val="18"/>
                <w:color w:val="auto"/>
                <w:w w:val="94"/>
              </w:rPr>
              <w:t>3/13/2018</w:t>
            </w:r>
          </w:p>
        </w:tc>
        <w:tc>
          <w:tcPr>
            <w:tcW w:w="0" w:type="dxa"/>
            <w:vAlign w:val="bottom"/>
          </w:tcPr>
          <w:p>
            <w:pPr>
              <w:spacing w:after="0"/>
              <w:rPr>
                <w:sz w:val="1"/>
                <w:szCs w:val="1"/>
                <w:color w:val="auto"/>
              </w:rPr>
            </w:pPr>
          </w:p>
        </w:tc>
      </w:tr>
      <w:tr>
        <w:trPr>
          <w:trHeight w:val="256"/>
        </w:trPr>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10.1 †</w:t>
            </w:r>
          </w:p>
        </w:tc>
        <w:tc>
          <w:tcPr>
            <w:tcW w:w="20" w:type="dxa"/>
            <w:vAlign w:val="bottom"/>
          </w:tcPr>
          <w:p>
            <w:pPr>
              <w:spacing w:after="0"/>
              <w:rPr>
                <w:sz w:val="22"/>
                <w:szCs w:val="22"/>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88"/>
              </w:rPr>
            </w:pPr>
            <w:hyperlink r:id="rId132">
              <w:r>
                <w:rPr>
                  <w:rFonts w:ascii="Arial" w:cs="Arial" w:eastAsia="Arial" w:hAnsi="Arial"/>
                  <w:sz w:val="18"/>
                  <w:szCs w:val="18"/>
                  <w:color w:val="0000EE"/>
                  <w:w w:val="88"/>
                </w:rPr>
                <w:t>Non-Compete Agreement, by and among the Company, Dr.</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ind w:left="80"/>
              <w:spacing w:after="0"/>
              <w:rPr>
                <w:sz w:val="20"/>
                <w:szCs w:val="20"/>
                <w:color w:val="auto"/>
              </w:rPr>
            </w:pPr>
            <w:r>
              <w:rPr>
                <w:rFonts w:ascii="Arial" w:cs="Arial" w:eastAsia="Arial" w:hAnsi="Arial"/>
                <w:sz w:val="18"/>
                <w:szCs w:val="18"/>
                <w:color w:val="auto"/>
                <w:w w:val="92"/>
              </w:rPr>
              <w:t>001-8-38410</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right"/>
              <w:ind w:right="721"/>
              <w:spacing w:after="0"/>
              <w:rPr>
                <w:sz w:val="20"/>
                <w:szCs w:val="20"/>
                <w:color w:val="auto"/>
              </w:rPr>
            </w:pPr>
            <w:r>
              <w:rPr>
                <w:rFonts w:ascii="Arial" w:cs="Arial" w:eastAsia="Arial" w:hAnsi="Arial"/>
                <w:sz w:val="18"/>
                <w:szCs w:val="18"/>
                <w:color w:val="auto"/>
                <w:w w:val="94"/>
              </w:rPr>
              <w:t>9/25/2023</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tcBorders>
              <w:bottom w:val="single" w:sz="8" w:color="0000EE"/>
            </w:tcBorders>
            <w:gridSpan w:val="4"/>
          </w:tcPr>
          <w:p>
            <w:pPr>
              <w:spacing w:after="0" w:line="190"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Krishnan Nandabalan, InveniAI LLC, Invea Therapeutics,</w:t>
              </w:r>
            </w:hyperlink>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Borders>
              <w:bottom w:val="single" w:sz="8" w:color="0000EE"/>
            </w:tcBorders>
            <w:gridSpan w:val="5"/>
          </w:tcPr>
          <w:p>
            <w:pPr>
              <w:spacing w:after="0" w:line="190" w:lineRule="exact"/>
              <w:rPr>
                <w:rFonts w:ascii="Arial" w:cs="Arial" w:eastAsia="Arial" w:hAnsi="Arial"/>
                <w:sz w:val="18"/>
                <w:szCs w:val="18"/>
                <w:color w:val="0000EE"/>
                <w:w w:val="86"/>
              </w:rPr>
            </w:pPr>
            <w:hyperlink r:id="rId132">
              <w:r>
                <w:rPr>
                  <w:rFonts w:ascii="Arial" w:cs="Arial" w:eastAsia="Arial" w:hAnsi="Arial"/>
                  <w:sz w:val="18"/>
                  <w:szCs w:val="18"/>
                  <w:color w:val="0000EE"/>
                  <w:w w:val="86"/>
                </w:rPr>
                <w:t>Inc. and the other parties thereto, dated September 19, 2023.</w:t>
              </w:r>
            </w:hyperlink>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9019"/>
          </w:cols>
          <w:pgMar w:left="1440" w:top="508" w:right="1440" w:bottom="1440" w:gutter="0" w:footer="0" w:header="0"/>
        </w:sectPr>
      </w:pPr>
    </w:p>
    <w:tbl>
      <w:tblPr>
        <w:tblLayout w:type="fixed"/>
        <w:tblInd w:w="60" w:type="dxa"/>
        <w:tblCellMar>
          <w:top w:w="0" w:type="dxa"/>
          <w:left w:w="0" w:type="dxa"/>
          <w:bottom w:w="0" w:type="dxa"/>
          <w:right w:w="0" w:type="dxa"/>
        </w:tblCellMar>
      </w:tblPr>
      <w:tr>
        <w:trPr>
          <w:trHeight w:val="207"/>
        </w:trPr>
        <w:tc>
          <w:tcPr>
            <w:tcW w:w="860" w:type="dxa"/>
            <w:vAlign w:val="bottom"/>
          </w:tcPr>
          <w:p>
            <w:pPr>
              <w:jc w:val="center"/>
              <w:ind w:right="92"/>
              <w:spacing w:after="0"/>
              <w:rPr>
                <w:sz w:val="20"/>
                <w:szCs w:val="20"/>
                <w:color w:val="auto"/>
              </w:rPr>
            </w:pPr>
            <w:r>
              <w:rPr>
                <w:rFonts w:ascii="Arial" w:cs="Arial" w:eastAsia="Arial" w:hAnsi="Arial"/>
                <w:sz w:val="18"/>
                <w:szCs w:val="18"/>
                <w:color w:val="auto"/>
                <w:w w:val="87"/>
              </w:rPr>
              <w:t>10.2 †</w:t>
            </w:r>
          </w:p>
        </w:tc>
        <w:tc>
          <w:tcPr>
            <w:tcW w:w="4260" w:type="dxa"/>
            <w:vAlign w:val="bottom"/>
            <w:gridSpan w:val="16"/>
          </w:tcPr>
          <w:p>
            <w:pPr>
              <w:spacing w:after="0"/>
              <w:rPr>
                <w:sz w:val="20"/>
                <w:szCs w:val="20"/>
                <w:color w:val="auto"/>
              </w:rPr>
            </w:pPr>
            <w:r>
              <w:rPr>
                <w:rFonts w:ascii="Arial" w:cs="Arial" w:eastAsia="Arial" w:hAnsi="Arial"/>
                <w:sz w:val="18"/>
                <w:szCs w:val="18"/>
                <w:color w:val="0000EE"/>
                <w:w w:val="97"/>
              </w:rPr>
              <w:t>Waiver and First Amendment to Credit Agreement and</w:t>
            </w:r>
          </w:p>
        </w:tc>
      </w:tr>
      <w:tr>
        <w:trPr>
          <w:trHeight w:val="20"/>
        </w:trPr>
        <w:tc>
          <w:tcPr>
            <w:tcW w:w="8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4060" w:type="dxa"/>
            <w:vAlign w:val="bottom"/>
            <w:tcBorders>
              <w:bottom w:val="single" w:sz="8" w:color="0000EE"/>
            </w:tcBorders>
            <w:gridSpan w:val="11"/>
          </w:tcPr>
          <w:p>
            <w:pPr>
              <w:spacing w:after="0" w:line="190" w:lineRule="exact"/>
              <w:rPr>
                <w:sz w:val="20"/>
                <w:szCs w:val="20"/>
                <w:color w:val="auto"/>
              </w:rPr>
            </w:pPr>
            <w:r>
              <w:rPr>
                <w:rFonts w:ascii="Arial" w:cs="Arial" w:eastAsia="Arial" w:hAnsi="Arial"/>
                <w:sz w:val="18"/>
                <w:szCs w:val="18"/>
                <w:color w:val="0000EE"/>
                <w:w w:val="86"/>
              </w:rPr>
              <w:t>Guaranty, by and between the Company, the lenders party</w:t>
            </w:r>
          </w:p>
        </w:tc>
        <w:tc>
          <w:tcPr>
            <w:tcW w:w="200" w:type="dxa"/>
            <w:vAlign w:val="bottom"/>
            <w:gridSpan w:val="5"/>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4260" w:type="dxa"/>
            <w:vAlign w:val="bottom"/>
            <w:gridSpan w:val="16"/>
          </w:tcPr>
          <w:p>
            <w:pPr>
              <w:spacing w:after="0" w:line="190" w:lineRule="exact"/>
              <w:rPr>
                <w:sz w:val="20"/>
                <w:szCs w:val="20"/>
                <w:color w:val="auto"/>
              </w:rPr>
            </w:pPr>
            <w:r>
              <w:rPr>
                <w:rFonts w:ascii="Arial" w:cs="Arial" w:eastAsia="Arial" w:hAnsi="Arial"/>
                <w:sz w:val="18"/>
                <w:szCs w:val="18"/>
                <w:color w:val="0000EE"/>
              </w:rPr>
              <w:t>thereto and Oaktree Fund Administration LLC dated</w:t>
            </w:r>
          </w:p>
        </w:tc>
      </w:tr>
      <w:tr>
        <w:trPr>
          <w:trHeight w:val="190"/>
        </w:trPr>
        <w:tc>
          <w:tcPr>
            <w:tcW w:w="860" w:type="dxa"/>
            <w:vAlign w:val="bottom"/>
          </w:tcPr>
          <w:p>
            <w:pPr>
              <w:spacing w:after="0"/>
              <w:rPr>
                <w:sz w:val="16"/>
                <w:szCs w:val="16"/>
                <w:color w:val="auto"/>
              </w:rPr>
            </w:pPr>
          </w:p>
        </w:tc>
        <w:tc>
          <w:tcPr>
            <w:tcW w:w="1440" w:type="dxa"/>
            <w:vAlign w:val="bottom"/>
            <w:tcBorders>
              <w:top w:val="single" w:sz="8" w:color="0000EE"/>
              <w:bottom w:val="single" w:sz="8" w:color="0000EE"/>
            </w:tcBorders>
          </w:tcPr>
          <w:p>
            <w:pPr>
              <w:spacing w:after="0" w:line="190" w:lineRule="exact"/>
              <w:rPr>
                <w:sz w:val="20"/>
                <w:szCs w:val="20"/>
                <w:color w:val="auto"/>
              </w:rPr>
            </w:pPr>
            <w:r>
              <w:rPr>
                <w:rFonts w:ascii="Arial" w:cs="Arial" w:eastAsia="Arial" w:hAnsi="Arial"/>
                <w:sz w:val="18"/>
                <w:szCs w:val="18"/>
                <w:color w:val="0000EE"/>
                <w:w w:val="87"/>
              </w:rPr>
              <w:t>November 13, 2023.</w:t>
            </w:r>
          </w:p>
        </w:tc>
        <w:tc>
          <w:tcPr>
            <w:tcW w:w="2240" w:type="dxa"/>
            <w:vAlign w:val="bottom"/>
            <w:tcBorders>
              <w:top w:val="single" w:sz="8" w:color="0000EE"/>
            </w:tcBorders>
            <w:gridSpan w:val="6"/>
          </w:tcPr>
          <w:p>
            <w:pPr>
              <w:spacing w:after="0"/>
              <w:rPr>
                <w:sz w:val="16"/>
                <w:szCs w:val="16"/>
                <w:color w:val="auto"/>
              </w:rPr>
            </w:pPr>
          </w:p>
        </w:tc>
        <w:tc>
          <w:tcPr>
            <w:tcW w:w="580" w:type="dxa"/>
            <w:vAlign w:val="bottom"/>
            <w:gridSpan w:val="9"/>
          </w:tcPr>
          <w:p>
            <w:pPr>
              <w:spacing w:after="0"/>
              <w:rPr>
                <w:sz w:val="16"/>
                <w:szCs w:val="16"/>
                <w:color w:val="auto"/>
              </w:rPr>
            </w:pPr>
          </w:p>
        </w:tc>
      </w:tr>
      <w:tr>
        <w:trPr>
          <w:trHeight w:val="256"/>
        </w:trPr>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31.1</w:t>
            </w:r>
          </w:p>
        </w:tc>
        <w:tc>
          <w:tcPr>
            <w:tcW w:w="38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Certification of Principal Executive Officer Pursuant to</w:t>
            </w:r>
          </w:p>
        </w:tc>
        <w:tc>
          <w:tcPr>
            <w:tcW w:w="380" w:type="dxa"/>
            <w:vAlign w:val="bottom"/>
            <w:gridSpan w:val="7"/>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3600" w:type="dxa"/>
            <w:vAlign w:val="bottom"/>
            <w:tcBorders>
              <w:bottom w:val="single" w:sz="8" w:color="0000EE"/>
            </w:tcBorders>
            <w:gridSpan w:val="6"/>
          </w:tcPr>
          <w:p>
            <w:pPr>
              <w:spacing w:after="0" w:line="190" w:lineRule="exact"/>
              <w:rPr>
                <w:sz w:val="20"/>
                <w:szCs w:val="20"/>
                <w:color w:val="auto"/>
              </w:rPr>
            </w:pPr>
            <w:r>
              <w:rPr>
                <w:rFonts w:ascii="Arial" w:cs="Arial" w:eastAsia="Arial" w:hAnsi="Arial"/>
                <w:sz w:val="18"/>
                <w:szCs w:val="18"/>
                <w:color w:val="0000EE"/>
                <w:w w:val="86"/>
              </w:rPr>
              <w:t>Rules 13a-14(a) and 15d-14(a) under the Securities</w:t>
            </w:r>
          </w:p>
        </w:tc>
        <w:tc>
          <w:tcPr>
            <w:tcW w:w="660" w:type="dxa"/>
            <w:vAlign w:val="bottom"/>
            <w:gridSpan w:val="10"/>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4260" w:type="dxa"/>
            <w:vAlign w:val="bottom"/>
            <w:gridSpan w:val="16"/>
          </w:tcPr>
          <w:p>
            <w:pPr>
              <w:spacing w:after="0" w:line="190" w:lineRule="exact"/>
              <w:rPr>
                <w:sz w:val="20"/>
                <w:szCs w:val="20"/>
                <w:color w:val="auto"/>
              </w:rPr>
            </w:pPr>
            <w:r>
              <w:rPr>
                <w:rFonts w:ascii="Arial" w:cs="Arial" w:eastAsia="Arial" w:hAnsi="Arial"/>
                <w:sz w:val="18"/>
                <w:szCs w:val="18"/>
                <w:color w:val="0000EE"/>
                <w:w w:val="89"/>
              </w:rPr>
              <w:t>Exchange Act of 1934, as Adopted Pursuant to Section 302</w:t>
            </w:r>
          </w:p>
        </w:tc>
      </w:tr>
      <w:tr>
        <w:trPr>
          <w:trHeight w:val="190"/>
        </w:trPr>
        <w:tc>
          <w:tcPr>
            <w:tcW w:w="860" w:type="dxa"/>
            <w:vAlign w:val="bottom"/>
          </w:tcPr>
          <w:p>
            <w:pPr>
              <w:spacing w:after="0"/>
              <w:rPr>
                <w:sz w:val="16"/>
                <w:szCs w:val="16"/>
                <w:color w:val="auto"/>
              </w:rPr>
            </w:pPr>
          </w:p>
        </w:tc>
        <w:tc>
          <w:tcPr>
            <w:tcW w:w="4160" w:type="dxa"/>
            <w:vAlign w:val="bottom"/>
            <w:tcBorders>
              <w:top w:val="single" w:sz="8" w:color="0000EE"/>
            </w:tcBorders>
            <w:gridSpan w:val="13"/>
          </w:tcPr>
          <w:p>
            <w:pPr>
              <w:spacing w:after="0" w:line="190" w:lineRule="exact"/>
              <w:rPr>
                <w:sz w:val="20"/>
                <w:szCs w:val="20"/>
                <w:color w:val="auto"/>
              </w:rPr>
            </w:pPr>
            <w:r>
              <w:rPr>
                <w:rFonts w:ascii="Arial" w:cs="Arial" w:eastAsia="Arial" w:hAnsi="Arial"/>
                <w:sz w:val="18"/>
                <w:szCs w:val="18"/>
                <w:color w:val="0000EE"/>
              </w:rPr>
              <w:t>of the Sarbanes-Oxley Act of 2002.</w:t>
            </w:r>
          </w:p>
        </w:tc>
        <w:tc>
          <w:tcPr>
            <w:tcW w:w="100" w:type="dxa"/>
            <w:vAlign w:val="bottom"/>
            <w:gridSpan w:val="3"/>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31.2</w:t>
            </w:r>
          </w:p>
        </w:tc>
        <w:tc>
          <w:tcPr>
            <w:tcW w:w="42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Certification of Principal Financial Officer Pursuant to Rules</w:t>
            </w:r>
          </w:p>
        </w:tc>
      </w:tr>
      <w:tr>
        <w:trPr>
          <w:trHeight w:val="190"/>
        </w:trPr>
        <w:tc>
          <w:tcPr>
            <w:tcW w:w="860" w:type="dxa"/>
            <w:vAlign w:val="bottom"/>
          </w:tcPr>
          <w:p>
            <w:pPr>
              <w:spacing w:after="0"/>
              <w:rPr>
                <w:sz w:val="16"/>
                <w:szCs w:val="16"/>
                <w:color w:val="auto"/>
              </w:rPr>
            </w:pPr>
          </w:p>
        </w:tc>
        <w:tc>
          <w:tcPr>
            <w:tcW w:w="4180" w:type="dxa"/>
            <w:vAlign w:val="bottom"/>
            <w:tcBorders>
              <w:bottom w:val="single" w:sz="8" w:color="0000EE"/>
            </w:tcBorders>
            <w:gridSpan w:val="14"/>
          </w:tcPr>
          <w:p>
            <w:pPr>
              <w:spacing w:after="0" w:line="190" w:lineRule="exact"/>
              <w:rPr>
                <w:sz w:val="20"/>
                <w:szCs w:val="20"/>
                <w:color w:val="auto"/>
              </w:rPr>
            </w:pPr>
            <w:r>
              <w:rPr>
                <w:rFonts w:ascii="Arial" w:cs="Arial" w:eastAsia="Arial" w:hAnsi="Arial"/>
                <w:sz w:val="18"/>
                <w:szCs w:val="18"/>
                <w:color w:val="0000EE"/>
                <w:w w:val="87"/>
              </w:rPr>
              <w:t>13a-14(a) and 15d-14(a) under the Securities Exchange Act</w:t>
            </w:r>
          </w:p>
        </w:tc>
        <w:tc>
          <w:tcPr>
            <w:tcW w:w="80" w:type="dxa"/>
            <w:vAlign w:val="bottom"/>
            <w:gridSpan w:val="2"/>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3580" w:type="dxa"/>
            <w:vAlign w:val="bottom"/>
            <w:tcBorders>
              <w:bottom w:val="single" w:sz="8" w:color="0000EE"/>
            </w:tcBorders>
            <w:gridSpan w:val="5"/>
          </w:tcPr>
          <w:p>
            <w:pPr>
              <w:spacing w:after="0" w:line="190" w:lineRule="exact"/>
              <w:rPr>
                <w:sz w:val="20"/>
                <w:szCs w:val="20"/>
                <w:color w:val="auto"/>
              </w:rPr>
            </w:pPr>
            <w:r>
              <w:rPr>
                <w:rFonts w:ascii="Arial" w:cs="Arial" w:eastAsia="Arial" w:hAnsi="Arial"/>
                <w:sz w:val="18"/>
                <w:szCs w:val="18"/>
                <w:color w:val="0000EE"/>
                <w:w w:val="87"/>
              </w:rPr>
              <w:t>of 1934, as Adopted Pursuant to Section 302 of the</w:t>
            </w:r>
          </w:p>
        </w:tc>
        <w:tc>
          <w:tcPr>
            <w:tcW w:w="680" w:type="dxa"/>
            <w:vAlign w:val="bottom"/>
            <w:gridSpan w:val="11"/>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204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87"/>
              </w:rPr>
              <w:t>Sarbanes-Oxley Act of 2002.</w:t>
            </w:r>
          </w:p>
        </w:tc>
        <w:tc>
          <w:tcPr>
            <w:tcW w:w="2220" w:type="dxa"/>
            <w:vAlign w:val="bottom"/>
            <w:gridSpan w:val="14"/>
          </w:tcPr>
          <w:p>
            <w:pPr>
              <w:spacing w:after="0"/>
              <w:rPr>
                <w:sz w:val="16"/>
                <w:szCs w:val="16"/>
                <w:color w:val="auto"/>
              </w:rPr>
            </w:pPr>
          </w:p>
        </w:tc>
      </w:tr>
      <w:tr>
        <w:trPr>
          <w:trHeight w:val="256"/>
        </w:trPr>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32.1</w:t>
            </w:r>
          </w:p>
        </w:tc>
        <w:tc>
          <w:tcPr>
            <w:tcW w:w="41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Certification of Principal Executive Officer Pursuant to 18</w:t>
            </w:r>
          </w:p>
        </w:tc>
        <w:tc>
          <w:tcPr>
            <w:tcW w:w="160" w:type="dxa"/>
            <w:vAlign w:val="bottom"/>
            <w:gridSpan w:val="4"/>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4220" w:type="dxa"/>
            <w:vAlign w:val="bottom"/>
            <w:tcBorders>
              <w:bottom w:val="single" w:sz="8" w:color="0000EE"/>
            </w:tcBorders>
            <w:gridSpan w:val="15"/>
          </w:tcPr>
          <w:p>
            <w:pPr>
              <w:spacing w:after="0" w:line="190" w:lineRule="exact"/>
              <w:rPr>
                <w:sz w:val="20"/>
                <w:szCs w:val="20"/>
                <w:color w:val="auto"/>
              </w:rPr>
            </w:pPr>
            <w:r>
              <w:rPr>
                <w:rFonts w:ascii="Arial" w:cs="Arial" w:eastAsia="Arial" w:hAnsi="Arial"/>
                <w:sz w:val="18"/>
                <w:szCs w:val="18"/>
                <w:color w:val="0000EE"/>
                <w:w w:val="87"/>
              </w:rPr>
              <w:t>U.S.C. Section 1350, as Adopted Pursuant to Section 906 of</w:t>
            </w:r>
          </w:p>
        </w:tc>
        <w:tc>
          <w:tcPr>
            <w:tcW w:w="40" w:type="dxa"/>
            <w:vAlign w:val="bottom"/>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230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87"/>
              </w:rPr>
              <w:t>the Sarbanes-Oxley Act of 2002.</w:t>
            </w:r>
          </w:p>
        </w:tc>
        <w:tc>
          <w:tcPr>
            <w:tcW w:w="1960" w:type="dxa"/>
            <w:vAlign w:val="bottom"/>
            <w:gridSpan w:val="13"/>
          </w:tcPr>
          <w:p>
            <w:pPr>
              <w:spacing w:after="0"/>
              <w:rPr>
                <w:sz w:val="16"/>
                <w:szCs w:val="16"/>
                <w:color w:val="auto"/>
              </w:rPr>
            </w:pPr>
          </w:p>
        </w:tc>
      </w:tr>
      <w:tr>
        <w:trPr>
          <w:trHeight w:val="256"/>
        </w:trPr>
        <w:tc>
          <w:tcPr>
            <w:tcW w:w="860" w:type="dxa"/>
            <w:vAlign w:val="bottom"/>
          </w:tcPr>
          <w:p>
            <w:pPr>
              <w:jc w:val="center"/>
              <w:ind w:right="112"/>
              <w:spacing w:after="0"/>
              <w:rPr>
                <w:sz w:val="20"/>
                <w:szCs w:val="20"/>
                <w:color w:val="auto"/>
              </w:rPr>
            </w:pPr>
            <w:r>
              <w:rPr>
                <w:rFonts w:ascii="Arial" w:cs="Arial" w:eastAsia="Arial" w:hAnsi="Arial"/>
                <w:sz w:val="18"/>
                <w:szCs w:val="18"/>
                <w:color w:val="auto"/>
                <w:w w:val="85"/>
              </w:rPr>
              <w:t>32.2</w:t>
            </w:r>
          </w:p>
        </w:tc>
        <w:tc>
          <w:tcPr>
            <w:tcW w:w="4260" w:type="dxa"/>
            <w:vAlign w:val="bottom"/>
            <w:gridSpan w:val="16"/>
          </w:tcPr>
          <w:p>
            <w:pPr>
              <w:spacing w:after="0"/>
              <w:rPr>
                <w:sz w:val="20"/>
                <w:szCs w:val="20"/>
                <w:color w:val="auto"/>
              </w:rPr>
            </w:pPr>
            <w:r>
              <w:rPr>
                <w:rFonts w:ascii="Arial" w:cs="Arial" w:eastAsia="Arial" w:hAnsi="Arial"/>
                <w:sz w:val="18"/>
                <w:szCs w:val="18"/>
                <w:color w:val="0000EE"/>
                <w:w w:val="95"/>
              </w:rPr>
              <w:t>Certification of Principal Financial Officer Pursuant to 18</w:t>
            </w:r>
          </w:p>
        </w:tc>
      </w:tr>
      <w:tr>
        <w:trPr>
          <w:trHeight w:val="20"/>
        </w:trPr>
        <w:tc>
          <w:tcPr>
            <w:tcW w:w="860" w:type="dxa"/>
            <w:vAlign w:val="bottom"/>
          </w:tcPr>
          <w:p>
            <w:pPr>
              <w:spacing w:after="0" w:line="20" w:lineRule="exact"/>
              <w:rPr>
                <w:sz w:val="1"/>
                <w:szCs w:val="1"/>
                <w:color w:val="auto"/>
              </w:rPr>
            </w:pPr>
          </w:p>
        </w:tc>
        <w:tc>
          <w:tcPr>
            <w:tcW w:w="4040" w:type="dxa"/>
            <w:vAlign w:val="bottom"/>
            <w:gridSpan w:val="10"/>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4220" w:type="dxa"/>
            <w:vAlign w:val="bottom"/>
            <w:tcBorders>
              <w:bottom w:val="single" w:sz="8" w:color="0000EE"/>
            </w:tcBorders>
            <w:gridSpan w:val="15"/>
          </w:tcPr>
          <w:p>
            <w:pPr>
              <w:spacing w:after="0" w:line="190" w:lineRule="exact"/>
              <w:rPr>
                <w:sz w:val="20"/>
                <w:szCs w:val="20"/>
                <w:color w:val="auto"/>
              </w:rPr>
            </w:pPr>
            <w:r>
              <w:rPr>
                <w:rFonts w:ascii="Arial" w:cs="Arial" w:eastAsia="Arial" w:hAnsi="Arial"/>
                <w:sz w:val="18"/>
                <w:szCs w:val="18"/>
                <w:color w:val="0000EE"/>
                <w:w w:val="87"/>
              </w:rPr>
              <w:t>U.S.C. Section 1350, as Adopted Pursuant to Section 906 of</w:t>
            </w:r>
          </w:p>
        </w:tc>
        <w:tc>
          <w:tcPr>
            <w:tcW w:w="40" w:type="dxa"/>
            <w:vAlign w:val="bottom"/>
          </w:tcPr>
          <w:p>
            <w:pPr>
              <w:spacing w:after="0"/>
              <w:rPr>
                <w:sz w:val="16"/>
                <w:szCs w:val="16"/>
                <w:color w:val="auto"/>
              </w:rPr>
            </w:pPr>
          </w:p>
        </w:tc>
      </w:tr>
      <w:tr>
        <w:trPr>
          <w:trHeight w:val="190"/>
        </w:trPr>
        <w:tc>
          <w:tcPr>
            <w:tcW w:w="860" w:type="dxa"/>
            <w:vAlign w:val="bottom"/>
          </w:tcPr>
          <w:p>
            <w:pPr>
              <w:spacing w:after="0"/>
              <w:rPr>
                <w:sz w:val="16"/>
                <w:szCs w:val="16"/>
                <w:color w:val="auto"/>
              </w:rPr>
            </w:pPr>
          </w:p>
        </w:tc>
        <w:tc>
          <w:tcPr>
            <w:tcW w:w="230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87"/>
              </w:rPr>
              <w:t>the Sarbanes-Oxley Act of 2002.</w:t>
            </w:r>
          </w:p>
        </w:tc>
        <w:tc>
          <w:tcPr>
            <w:tcW w:w="1960" w:type="dxa"/>
            <w:vAlign w:val="bottom"/>
            <w:gridSpan w:val="13"/>
          </w:tcPr>
          <w:p>
            <w:pPr>
              <w:spacing w:after="0"/>
              <w:rPr>
                <w:sz w:val="16"/>
                <w:szCs w:val="16"/>
                <w:color w:val="auto"/>
              </w:rPr>
            </w:pPr>
          </w:p>
        </w:tc>
      </w:tr>
      <w:tr>
        <w:trPr>
          <w:trHeight w:val="283"/>
        </w:trPr>
        <w:tc>
          <w:tcPr>
            <w:tcW w:w="860" w:type="dxa"/>
            <w:vAlign w:val="bottom"/>
          </w:tcPr>
          <w:p>
            <w:pPr>
              <w:jc w:val="center"/>
              <w:ind w:right="92"/>
              <w:spacing w:after="0"/>
              <w:rPr>
                <w:sz w:val="20"/>
                <w:szCs w:val="20"/>
                <w:color w:val="auto"/>
              </w:rPr>
            </w:pPr>
            <w:r>
              <w:rPr>
                <w:rFonts w:ascii="Arial" w:cs="Arial" w:eastAsia="Arial" w:hAnsi="Arial"/>
                <w:sz w:val="18"/>
                <w:szCs w:val="18"/>
                <w:color w:val="auto"/>
                <w:w w:val="92"/>
              </w:rPr>
              <w:t>101.INS</w:t>
            </w:r>
          </w:p>
        </w:tc>
        <w:tc>
          <w:tcPr>
            <w:tcW w:w="426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r>
      <w:tr>
        <w:trPr>
          <w:trHeight w:val="210"/>
        </w:trPr>
        <w:tc>
          <w:tcPr>
            <w:tcW w:w="860" w:type="dxa"/>
            <w:vAlign w:val="bottom"/>
          </w:tcPr>
          <w:p>
            <w:pPr>
              <w:spacing w:after="0"/>
              <w:rPr>
                <w:sz w:val="18"/>
                <w:szCs w:val="18"/>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w w:val="91"/>
              </w:rPr>
              <w:t>- the instance document does not appear in the Interactive</w:t>
            </w:r>
          </w:p>
        </w:tc>
      </w:tr>
      <w:tr>
        <w:trPr>
          <w:trHeight w:val="210"/>
        </w:trPr>
        <w:tc>
          <w:tcPr>
            <w:tcW w:w="860" w:type="dxa"/>
            <w:vAlign w:val="bottom"/>
          </w:tcPr>
          <w:p>
            <w:pPr>
              <w:spacing w:after="0"/>
              <w:rPr>
                <w:sz w:val="18"/>
                <w:szCs w:val="18"/>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w w:val="91"/>
              </w:rPr>
              <w:t>Data File because its XBRL tags are embedded within the</w:t>
            </w:r>
          </w:p>
        </w:tc>
      </w:tr>
      <w:tr>
        <w:trPr>
          <w:trHeight w:val="222"/>
        </w:trPr>
        <w:tc>
          <w:tcPr>
            <w:tcW w:w="860" w:type="dxa"/>
            <w:vAlign w:val="bottom"/>
          </w:tcPr>
          <w:p>
            <w:pPr>
              <w:spacing w:after="0"/>
              <w:rPr>
                <w:sz w:val="19"/>
                <w:szCs w:val="19"/>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Inline XBRL document</w:t>
            </w:r>
          </w:p>
        </w:tc>
      </w:tr>
      <w:tr>
        <w:trPr>
          <w:trHeight w:val="276"/>
        </w:trPr>
        <w:tc>
          <w:tcPr>
            <w:tcW w:w="860" w:type="dxa"/>
            <w:vAlign w:val="bottom"/>
          </w:tcPr>
          <w:p>
            <w:pPr>
              <w:jc w:val="center"/>
              <w:ind w:right="92"/>
              <w:spacing w:after="0"/>
              <w:rPr>
                <w:sz w:val="20"/>
                <w:szCs w:val="20"/>
                <w:color w:val="auto"/>
              </w:rPr>
            </w:pPr>
            <w:r>
              <w:rPr>
                <w:rFonts w:ascii="Arial" w:cs="Arial" w:eastAsia="Arial" w:hAnsi="Arial"/>
                <w:sz w:val="18"/>
                <w:szCs w:val="18"/>
                <w:color w:val="auto"/>
                <w:w w:val="87"/>
              </w:rPr>
              <w:t>101.SCH</w:t>
            </w:r>
          </w:p>
        </w:tc>
        <w:tc>
          <w:tcPr>
            <w:tcW w:w="4260" w:type="dxa"/>
            <w:vAlign w:val="bottom"/>
            <w:gridSpan w:val="16"/>
          </w:tcPr>
          <w:p>
            <w:pPr>
              <w:spacing w:after="0"/>
              <w:rPr>
                <w:sz w:val="20"/>
                <w:szCs w:val="20"/>
                <w:color w:val="auto"/>
              </w:rPr>
            </w:pPr>
            <w:r>
              <w:rPr>
                <w:rFonts w:ascii="Arial" w:cs="Arial" w:eastAsia="Arial" w:hAnsi="Arial"/>
                <w:sz w:val="18"/>
                <w:szCs w:val="18"/>
                <w:color w:val="auto"/>
                <w:w w:val="99"/>
              </w:rPr>
              <w:t>Inline XBRL Taxonomy Extension Schema Document</w:t>
            </w:r>
          </w:p>
        </w:tc>
      </w:tr>
      <w:tr>
        <w:trPr>
          <w:trHeight w:val="264"/>
        </w:trPr>
        <w:tc>
          <w:tcPr>
            <w:tcW w:w="860" w:type="dxa"/>
            <w:vAlign w:val="bottom"/>
          </w:tcPr>
          <w:p>
            <w:pPr>
              <w:jc w:val="center"/>
              <w:ind w:right="112"/>
              <w:spacing w:after="0"/>
              <w:rPr>
                <w:sz w:val="20"/>
                <w:szCs w:val="20"/>
                <w:color w:val="auto"/>
              </w:rPr>
            </w:pPr>
            <w:r>
              <w:rPr>
                <w:rFonts w:ascii="Arial" w:cs="Arial" w:eastAsia="Arial" w:hAnsi="Arial"/>
                <w:sz w:val="18"/>
                <w:szCs w:val="18"/>
                <w:color w:val="auto"/>
                <w:w w:val="94"/>
              </w:rPr>
              <w:t>101.CAL</w:t>
            </w:r>
          </w:p>
        </w:tc>
        <w:tc>
          <w:tcPr>
            <w:tcW w:w="4260" w:type="dxa"/>
            <w:vAlign w:val="bottom"/>
            <w:gridSpan w:val="16"/>
          </w:tcPr>
          <w:p>
            <w:pPr>
              <w:spacing w:after="0"/>
              <w:rPr>
                <w:sz w:val="20"/>
                <w:szCs w:val="20"/>
                <w:color w:val="auto"/>
              </w:rPr>
            </w:pPr>
            <w:r>
              <w:rPr>
                <w:rFonts w:ascii="Arial" w:cs="Arial" w:eastAsia="Arial" w:hAnsi="Arial"/>
                <w:sz w:val="18"/>
                <w:szCs w:val="18"/>
                <w:color w:val="auto"/>
                <w:w w:val="96"/>
              </w:rPr>
              <w:t>Inline XBRL Taxonomy Extension Calculation Linkbase</w:t>
            </w:r>
          </w:p>
        </w:tc>
      </w:tr>
      <w:tr>
        <w:trPr>
          <w:trHeight w:val="222"/>
        </w:trPr>
        <w:tc>
          <w:tcPr>
            <w:tcW w:w="860" w:type="dxa"/>
            <w:vAlign w:val="bottom"/>
          </w:tcPr>
          <w:p>
            <w:pPr>
              <w:spacing w:after="0"/>
              <w:rPr>
                <w:sz w:val="19"/>
                <w:szCs w:val="19"/>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Document</w:t>
            </w:r>
          </w:p>
        </w:tc>
      </w:tr>
      <w:tr>
        <w:trPr>
          <w:trHeight w:val="264"/>
        </w:trPr>
        <w:tc>
          <w:tcPr>
            <w:tcW w:w="860" w:type="dxa"/>
            <w:vAlign w:val="bottom"/>
          </w:tcPr>
          <w:p>
            <w:pPr>
              <w:jc w:val="center"/>
              <w:ind w:right="92"/>
              <w:spacing w:after="0"/>
              <w:rPr>
                <w:sz w:val="20"/>
                <w:szCs w:val="20"/>
                <w:color w:val="auto"/>
              </w:rPr>
            </w:pPr>
            <w:r>
              <w:rPr>
                <w:rFonts w:ascii="Arial" w:cs="Arial" w:eastAsia="Arial" w:hAnsi="Arial"/>
                <w:sz w:val="18"/>
                <w:szCs w:val="18"/>
                <w:color w:val="auto"/>
                <w:w w:val="90"/>
              </w:rPr>
              <w:t>101.DEF</w:t>
            </w:r>
          </w:p>
        </w:tc>
        <w:tc>
          <w:tcPr>
            <w:tcW w:w="4260" w:type="dxa"/>
            <w:vAlign w:val="bottom"/>
            <w:gridSpan w:val="16"/>
          </w:tcPr>
          <w:p>
            <w:pPr>
              <w:spacing w:after="0"/>
              <w:rPr>
                <w:sz w:val="20"/>
                <w:szCs w:val="20"/>
                <w:color w:val="auto"/>
              </w:rPr>
            </w:pPr>
            <w:r>
              <w:rPr>
                <w:rFonts w:ascii="Arial" w:cs="Arial" w:eastAsia="Arial" w:hAnsi="Arial"/>
                <w:sz w:val="18"/>
                <w:szCs w:val="18"/>
                <w:color w:val="auto"/>
                <w:w w:val="99"/>
              </w:rPr>
              <w:t>Inline XBRL Taxonomy Extension Definition Linkbase</w:t>
            </w:r>
          </w:p>
        </w:tc>
      </w:tr>
      <w:tr>
        <w:trPr>
          <w:trHeight w:val="222"/>
        </w:trPr>
        <w:tc>
          <w:tcPr>
            <w:tcW w:w="860" w:type="dxa"/>
            <w:vAlign w:val="bottom"/>
          </w:tcPr>
          <w:p>
            <w:pPr>
              <w:spacing w:after="0"/>
              <w:rPr>
                <w:sz w:val="19"/>
                <w:szCs w:val="19"/>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Document</w:t>
            </w:r>
          </w:p>
        </w:tc>
      </w:tr>
      <w:tr>
        <w:trPr>
          <w:trHeight w:val="264"/>
        </w:trPr>
        <w:tc>
          <w:tcPr>
            <w:tcW w:w="860" w:type="dxa"/>
            <w:vAlign w:val="bottom"/>
          </w:tcPr>
          <w:p>
            <w:pPr>
              <w:jc w:val="center"/>
              <w:ind w:right="112"/>
              <w:spacing w:after="0"/>
              <w:rPr>
                <w:sz w:val="20"/>
                <w:szCs w:val="20"/>
                <w:color w:val="auto"/>
              </w:rPr>
            </w:pPr>
            <w:r>
              <w:rPr>
                <w:rFonts w:ascii="Arial" w:cs="Arial" w:eastAsia="Arial" w:hAnsi="Arial"/>
                <w:sz w:val="18"/>
                <w:szCs w:val="18"/>
                <w:color w:val="auto"/>
                <w:w w:val="95"/>
              </w:rPr>
              <w:t>101.LAB</w:t>
            </w:r>
          </w:p>
        </w:tc>
        <w:tc>
          <w:tcPr>
            <w:tcW w:w="42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22"/>
        </w:trPr>
        <w:tc>
          <w:tcPr>
            <w:tcW w:w="860" w:type="dxa"/>
            <w:vAlign w:val="bottom"/>
          </w:tcPr>
          <w:p>
            <w:pPr>
              <w:spacing w:after="0"/>
              <w:rPr>
                <w:sz w:val="19"/>
                <w:szCs w:val="19"/>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Document</w:t>
            </w:r>
          </w:p>
        </w:tc>
      </w:tr>
      <w:tr>
        <w:trPr>
          <w:trHeight w:val="264"/>
        </w:trPr>
        <w:tc>
          <w:tcPr>
            <w:tcW w:w="860" w:type="dxa"/>
            <w:vAlign w:val="bottom"/>
          </w:tcPr>
          <w:p>
            <w:pPr>
              <w:jc w:val="center"/>
              <w:ind w:right="92"/>
              <w:spacing w:after="0"/>
              <w:rPr>
                <w:sz w:val="20"/>
                <w:szCs w:val="20"/>
                <w:color w:val="auto"/>
              </w:rPr>
            </w:pPr>
            <w:r>
              <w:rPr>
                <w:rFonts w:ascii="Arial" w:cs="Arial" w:eastAsia="Arial" w:hAnsi="Arial"/>
                <w:sz w:val="18"/>
                <w:szCs w:val="18"/>
                <w:color w:val="auto"/>
                <w:w w:val="88"/>
              </w:rPr>
              <w:t>101.PRE</w:t>
            </w:r>
          </w:p>
        </w:tc>
        <w:tc>
          <w:tcPr>
            <w:tcW w:w="4260" w:type="dxa"/>
            <w:vAlign w:val="bottom"/>
            <w:gridSpan w:val="16"/>
          </w:tcPr>
          <w:p>
            <w:pPr>
              <w:spacing w:after="0"/>
              <w:rPr>
                <w:sz w:val="20"/>
                <w:szCs w:val="20"/>
                <w:color w:val="auto"/>
              </w:rPr>
            </w:pPr>
            <w:r>
              <w:rPr>
                <w:rFonts w:ascii="Arial" w:cs="Arial" w:eastAsia="Arial" w:hAnsi="Arial"/>
                <w:sz w:val="18"/>
                <w:szCs w:val="18"/>
                <w:color w:val="auto"/>
                <w:w w:val="93"/>
              </w:rPr>
              <w:t>Inline XBRL Taxonomy Extension Presentation Linkbase</w:t>
            </w:r>
          </w:p>
        </w:tc>
      </w:tr>
      <w:tr>
        <w:trPr>
          <w:trHeight w:val="222"/>
        </w:trPr>
        <w:tc>
          <w:tcPr>
            <w:tcW w:w="860" w:type="dxa"/>
            <w:vAlign w:val="bottom"/>
          </w:tcPr>
          <w:p>
            <w:pPr>
              <w:spacing w:after="0"/>
              <w:rPr>
                <w:sz w:val="19"/>
                <w:szCs w:val="19"/>
                <w:color w:val="auto"/>
              </w:rPr>
            </w:pPr>
          </w:p>
        </w:tc>
        <w:tc>
          <w:tcPr>
            <w:tcW w:w="4260" w:type="dxa"/>
            <w:vAlign w:val="bottom"/>
            <w:gridSpan w:val="16"/>
          </w:tcPr>
          <w:p>
            <w:pPr>
              <w:spacing w:after="0"/>
              <w:rPr>
                <w:sz w:val="20"/>
                <w:szCs w:val="20"/>
                <w:color w:val="auto"/>
              </w:rPr>
            </w:pPr>
            <w:r>
              <w:rPr>
                <w:rFonts w:ascii="Arial" w:cs="Arial" w:eastAsia="Arial" w:hAnsi="Arial"/>
                <w:sz w:val="18"/>
                <w:szCs w:val="18"/>
                <w:color w:val="auto"/>
              </w:rPr>
              <w:t>Document</w:t>
            </w:r>
          </w:p>
        </w:tc>
      </w:tr>
    </w:tbl>
    <w:p>
      <w:pPr>
        <w:spacing w:after="0" w:line="54" w:lineRule="exact"/>
        <w:rPr>
          <w:sz w:val="20"/>
          <w:szCs w:val="20"/>
          <w:color w:val="auto"/>
        </w:rPr>
      </w:pPr>
    </w:p>
    <w:p>
      <w:pPr>
        <w:ind w:left="920" w:right="2560" w:hanging="655"/>
        <w:spacing w:after="0" w:line="261" w:lineRule="auto"/>
        <w:tabs>
          <w:tab w:leader="none" w:pos="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42" w:lineRule="exact"/>
        <w:rPr>
          <w:rFonts w:ascii="Arial" w:cs="Arial" w:eastAsia="Arial" w:hAnsi="Arial"/>
          <w:sz w:val="18"/>
          <w:szCs w:val="18"/>
          <w:color w:val="auto"/>
        </w:rPr>
      </w:pPr>
    </w:p>
    <w:p>
      <w:pPr>
        <w:ind w:left="360" w:hanging="31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-373380</wp:posOffset>
            </wp:positionV>
            <wp:extent cx="14103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Portions of this exhibit have been omitted pursuant to Item 601(b)(10)(iv) of Regulation S-K.</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1220" w:lineRule="exact"/>
        <w:rPr>
          <w:sz w:val="20"/>
          <w:szCs w:val="20"/>
          <w:color w:val="auto"/>
        </w:rPr>
      </w:pPr>
    </w:p>
    <w:p>
      <w:pPr>
        <w:sectPr>
          <w:pgSz w:w="11900" w:h="16838" w:orient="portrait"/>
          <w:cols w:equalWidth="0" w:num="2">
            <w:col w:w="7700" w:space="720"/>
            <w:col w:w="599"/>
          </w:cols>
          <w:pgMar w:left="1440" w:top="508" w:right="1440"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365760</wp:posOffset>
            </wp:positionV>
            <wp:extent cx="561721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5617210" cy="2476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type w:val="continuous"/>
        </w:sectPr>
      </w:pPr>
    </w:p>
    <w:bookmarkStart w:id="119" w:name="page120"/>
    <w:bookmarkEnd w:id="1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left="40" w:right="539" w:firstLine="31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4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09"/>
        </w:trPr>
        <w:tc>
          <w:tcPr>
            <w:tcW w:w="4420" w:type="dxa"/>
            <w:vAlign w:val="bottom"/>
          </w:tcPr>
          <w:p>
            <w:pPr>
              <w:spacing w:after="0"/>
              <w:rPr>
                <w:sz w:val="20"/>
                <w:szCs w:val="20"/>
                <w:color w:val="auto"/>
              </w:rPr>
            </w:pPr>
            <w:r>
              <w:rPr>
                <w:rFonts w:ascii="Arial" w:cs="Arial" w:eastAsia="Arial" w:hAnsi="Arial"/>
                <w:sz w:val="18"/>
                <w:szCs w:val="18"/>
                <w:color w:val="auto"/>
              </w:rPr>
              <w:t>Dated: November 14, 2023</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22"/>
        </w:trPr>
        <w:tc>
          <w:tcPr>
            <w:tcW w:w="4420" w:type="dxa"/>
            <w:vAlign w:val="bottom"/>
          </w:tcPr>
          <w:p>
            <w:pPr>
              <w:spacing w:after="0"/>
              <w:rPr>
                <w:sz w:val="19"/>
                <w:szCs w:val="19"/>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1"/>
        </w:trPr>
        <w:tc>
          <w:tcPr>
            <w:tcW w:w="442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Arial" w:cs="Arial" w:eastAsia="Arial" w:hAnsi="Arial"/>
                <w:sz w:val="18"/>
                <w:szCs w:val="18"/>
                <w:color w:val="auto"/>
              </w:rPr>
              <w:t>Vimal Mehta</w:t>
            </w:r>
          </w:p>
        </w:tc>
      </w:tr>
      <w:tr>
        <w:trPr>
          <w:trHeight w:val="210"/>
        </w:trPr>
        <w:tc>
          <w:tcPr>
            <w:tcW w:w="4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2"/>
        </w:trPr>
        <w:tc>
          <w:tcPr>
            <w:tcW w:w="44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19"/>
        </w:trPr>
        <w:tc>
          <w:tcPr>
            <w:tcW w:w="4420" w:type="dxa"/>
            <w:vAlign w:val="bottom"/>
          </w:tcPr>
          <w:p>
            <w:pPr>
              <w:spacing w:after="0"/>
              <w:rPr>
                <w:sz w:val="20"/>
                <w:szCs w:val="20"/>
                <w:color w:val="auto"/>
              </w:rPr>
            </w:pPr>
            <w:r>
              <w:rPr>
                <w:rFonts w:ascii="Arial" w:cs="Arial" w:eastAsia="Arial" w:hAnsi="Arial"/>
                <w:sz w:val="18"/>
                <w:szCs w:val="18"/>
                <w:color w:val="auto"/>
              </w:rPr>
              <w:t>Dated: November 14, 2023</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22"/>
        </w:trPr>
        <w:tc>
          <w:tcPr>
            <w:tcW w:w="4420" w:type="dxa"/>
            <w:vAlign w:val="bottom"/>
          </w:tcPr>
          <w:p>
            <w:pPr>
              <w:spacing w:after="0"/>
              <w:rPr>
                <w:sz w:val="19"/>
                <w:szCs w:val="19"/>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1"/>
        </w:trPr>
        <w:tc>
          <w:tcPr>
            <w:tcW w:w="442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Arial" w:cs="Arial" w:eastAsia="Arial" w:hAnsi="Arial"/>
                <w:sz w:val="18"/>
                <w:szCs w:val="18"/>
                <w:color w:val="auto"/>
              </w:rPr>
              <w:t>Richard Steinhart</w:t>
            </w:r>
          </w:p>
        </w:tc>
      </w:tr>
      <w:tr>
        <w:trPr>
          <w:trHeight w:val="210"/>
        </w:trPr>
        <w:tc>
          <w:tcPr>
            <w:tcW w:w="4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44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343535</wp:posOffset>
            </wp:positionV>
            <wp:extent cx="561721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5617210" cy="1651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20" w:name="page121"/>
    <w:bookmarkEnd w:id="120"/>
    <w:p>
      <w:pPr>
        <w:jc w:val="right"/>
        <w:ind w:right="219"/>
        <w:spacing w:after="0"/>
        <w:rPr>
          <w:sz w:val="20"/>
          <w:szCs w:val="20"/>
          <w:color w:val="auto"/>
        </w:rPr>
      </w:pPr>
      <w:r>
        <w:rPr>
          <w:rFonts w:ascii="Arial" w:cs="Arial" w:eastAsia="Arial" w:hAnsi="Arial"/>
          <w:sz w:val="21"/>
          <w:szCs w:val="21"/>
          <w:b w:val="1"/>
          <w:bCs w:val="1"/>
          <w:color w:val="auto"/>
        </w:rPr>
        <w:t>Exhibit 10.2</w:t>
      </w:r>
    </w:p>
    <w:p>
      <w:pPr>
        <w:spacing w:after="0" w:line="18" w:lineRule="exact"/>
        <w:rPr>
          <w:sz w:val="20"/>
          <w:szCs w:val="20"/>
          <w:color w:val="auto"/>
        </w:rPr>
      </w:pPr>
    </w:p>
    <w:p>
      <w:pPr>
        <w:ind w:left="200" w:right="239" w:firstLine="7"/>
        <w:spacing w:after="0" w:line="239" w:lineRule="auto"/>
        <w:tabs>
          <w:tab w:leader="none" w:pos="708" w:val="left"/>
        </w:tabs>
        <w:numPr>
          <w:ilvl w:val="0"/>
          <w:numId w:val="63"/>
        </w:numPr>
        <w:rPr>
          <w:rFonts w:ascii="Arial" w:cs="Arial" w:eastAsia="Arial" w:hAnsi="Arial"/>
          <w:sz w:val="21"/>
          <w:szCs w:val="21"/>
          <w:color w:val="auto"/>
        </w:rPr>
      </w:pPr>
      <w:r>
        <w:rPr>
          <w:rFonts w:ascii="Arial" w:cs="Arial" w:eastAsia="Arial" w:hAnsi="Arial"/>
          <w:sz w:val="21"/>
          <w:szCs w:val="21"/>
          <w:color w:val="auto"/>
        </w:rPr>
        <w:t>Certain information in this document has been excluded pursuant to Regulation S-K, Item (601) (b)(10)(iv). Such excluded information is both (i) not material and (ii) the type that the Registrant treats as private or confidential.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WAIVER AND FIRST AMENDMENT TO CREDIT AGREEMENT AND GUARANTY</w:t>
      </w:r>
    </w:p>
    <w:p>
      <w:pPr>
        <w:spacing w:after="0" w:line="200" w:lineRule="exact"/>
        <w:rPr>
          <w:sz w:val="20"/>
          <w:szCs w:val="20"/>
          <w:color w:val="auto"/>
        </w:rPr>
      </w:pPr>
    </w:p>
    <w:p>
      <w:pPr>
        <w:spacing w:after="0" w:line="242" w:lineRule="exact"/>
        <w:rPr>
          <w:sz w:val="20"/>
          <w:szCs w:val="20"/>
          <w:color w:val="auto"/>
        </w:rPr>
      </w:pPr>
    </w:p>
    <w:p>
      <w:pPr>
        <w:jc w:val="both"/>
        <w:ind w:left="200" w:right="219" w:firstLine="631"/>
        <w:spacing w:after="0" w:line="274" w:lineRule="auto"/>
        <w:rPr>
          <w:sz w:val="20"/>
          <w:szCs w:val="20"/>
          <w:color w:val="auto"/>
        </w:rPr>
      </w:pPr>
      <w:r>
        <w:rPr>
          <w:rFonts w:ascii="Arial" w:cs="Arial" w:eastAsia="Arial" w:hAnsi="Arial"/>
          <w:sz w:val="19"/>
          <w:szCs w:val="19"/>
          <w:color w:val="auto"/>
        </w:rPr>
        <w:t>This Waiver and First Amendment to Credit Agreement and Guaranty (this “</w:t>
      </w:r>
      <w:r>
        <w:rPr>
          <w:rFonts w:ascii="Arial" w:cs="Arial" w:eastAsia="Arial" w:hAnsi="Arial"/>
          <w:sz w:val="19"/>
          <w:szCs w:val="19"/>
          <w:b w:val="1"/>
          <w:bCs w:val="1"/>
          <w:color w:val="auto"/>
        </w:rPr>
        <w:t>Amendment</w:t>
      </w:r>
      <w:r>
        <w:rPr>
          <w:rFonts w:ascii="Arial" w:cs="Arial" w:eastAsia="Arial" w:hAnsi="Arial"/>
          <w:sz w:val="19"/>
          <w:szCs w:val="19"/>
          <w:color w:val="auto"/>
        </w:rPr>
        <w:t>”) is made as of November 13, 2023, by and among BIOXCEL THERAPEUTICS, INC.,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lenders party hereto (collectively, the “</w:t>
      </w:r>
      <w:r>
        <w:rPr>
          <w:rFonts w:ascii="Arial" w:cs="Arial" w:eastAsia="Arial" w:hAnsi="Arial"/>
          <w:sz w:val="19"/>
          <w:szCs w:val="19"/>
          <w:b w:val="1"/>
          <w:bCs w:val="1"/>
          <w:color w:val="auto"/>
        </w:rPr>
        <w:t>Lenders</w:t>
      </w:r>
      <w:r>
        <w:rPr>
          <w:rFonts w:ascii="Arial" w:cs="Arial" w:eastAsia="Arial" w:hAnsi="Arial"/>
          <w:sz w:val="19"/>
          <w:szCs w:val="19"/>
          <w:color w:val="auto"/>
        </w:rPr>
        <w:t>” and individually, a “</w:t>
      </w:r>
      <w:r>
        <w:rPr>
          <w:rFonts w:ascii="Arial" w:cs="Arial" w:eastAsia="Arial" w:hAnsi="Arial"/>
          <w:sz w:val="19"/>
          <w:szCs w:val="19"/>
          <w:b w:val="1"/>
          <w:bCs w:val="1"/>
          <w:color w:val="auto"/>
        </w:rPr>
        <w:t>Lender</w:t>
      </w:r>
      <w:r>
        <w:rPr>
          <w:rFonts w:ascii="Arial" w:cs="Arial" w:eastAsia="Arial" w:hAnsi="Arial"/>
          <w:sz w:val="19"/>
          <w:szCs w:val="19"/>
          <w:color w:val="auto"/>
        </w:rPr>
        <w:t>”) and OAKTREE FUND ADMINISTRATION, LLC, as administrative agent on behalf of the Lenders (in such capacity, together with its successors and assigns, the “</w:t>
      </w:r>
      <w:r>
        <w:rPr>
          <w:rFonts w:ascii="Arial" w:cs="Arial" w:eastAsia="Arial" w:hAnsi="Arial"/>
          <w:sz w:val="19"/>
          <w:szCs w:val="19"/>
          <w:b w:val="1"/>
          <w:bCs w:val="1"/>
          <w:color w:val="auto"/>
        </w:rPr>
        <w:t>Administrative Agent</w:t>
      </w:r>
      <w:r>
        <w:rPr>
          <w:rFonts w:ascii="Arial" w:cs="Arial" w:eastAsia="Arial" w:hAnsi="Arial"/>
          <w:sz w:val="19"/>
          <w:szCs w:val="19"/>
          <w:color w:val="auto"/>
        </w:rPr>
        <w:t>”).</w:t>
      </w:r>
    </w:p>
    <w:p>
      <w:pPr>
        <w:spacing w:after="0" w:line="152" w:lineRule="exact"/>
        <w:rPr>
          <w:sz w:val="20"/>
          <w:szCs w:val="20"/>
          <w:color w:val="auto"/>
        </w:rPr>
      </w:pPr>
    </w:p>
    <w:p>
      <w:pPr>
        <w:jc w:val="both"/>
        <w:ind w:left="200" w:right="219" w:firstLine="631"/>
        <w:spacing w:after="0" w:line="241" w:lineRule="auto"/>
        <w:rPr>
          <w:sz w:val="20"/>
          <w:szCs w:val="20"/>
          <w:color w:val="auto"/>
        </w:rPr>
      </w:pPr>
      <w:r>
        <w:rPr>
          <w:rFonts w:ascii="Arial" w:cs="Arial" w:eastAsia="Arial" w:hAnsi="Arial"/>
          <w:sz w:val="21"/>
          <w:szCs w:val="21"/>
          <w:color w:val="auto"/>
        </w:rPr>
        <w:t>WHEREAS, the Borrower, the Administrative Agent and the Lenders previously entered into that certain Credit Agreement and Guaranty, dated as of April 19, 2022 (as amended, amended and restated, restated, supplemented, modified or otherwise in effect from time to time prior to the date hereof, the “</w:t>
      </w:r>
      <w:r>
        <w:rPr>
          <w:rFonts w:ascii="Arial" w:cs="Arial" w:eastAsia="Arial" w:hAnsi="Arial"/>
          <w:sz w:val="21"/>
          <w:szCs w:val="21"/>
          <w:b w:val="1"/>
          <w:bCs w:val="1"/>
          <w:color w:val="auto"/>
        </w:rPr>
        <w:t>Existing Credit Agreement</w:t>
      </w:r>
      <w:r>
        <w:rPr>
          <w:rFonts w:ascii="Arial" w:cs="Arial" w:eastAsia="Arial" w:hAnsi="Arial"/>
          <w:sz w:val="21"/>
          <w:szCs w:val="21"/>
          <w:color w:val="auto"/>
        </w:rPr>
        <w:t>”, and as further amended by this Amendment, the “</w:t>
      </w:r>
      <w:r>
        <w:rPr>
          <w:rFonts w:ascii="Arial" w:cs="Arial" w:eastAsia="Arial" w:hAnsi="Arial"/>
          <w:sz w:val="21"/>
          <w:szCs w:val="21"/>
          <w:b w:val="1"/>
          <w:bCs w:val="1"/>
          <w:color w:val="auto"/>
        </w:rPr>
        <w:t>Credit</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81" w:lineRule="exact"/>
        <w:rPr>
          <w:sz w:val="20"/>
          <w:szCs w:val="20"/>
          <w:color w:val="auto"/>
        </w:rPr>
      </w:pPr>
    </w:p>
    <w:p>
      <w:pPr>
        <w:jc w:val="both"/>
        <w:ind w:left="200" w:right="219" w:firstLine="631"/>
        <w:spacing w:after="0" w:line="247" w:lineRule="auto"/>
        <w:rPr>
          <w:sz w:val="20"/>
          <w:szCs w:val="20"/>
          <w:color w:val="auto"/>
        </w:rPr>
      </w:pPr>
      <w:r>
        <w:rPr>
          <w:rFonts w:ascii="Arial" w:cs="Arial" w:eastAsia="Arial" w:hAnsi="Arial"/>
          <w:sz w:val="21"/>
          <w:szCs w:val="21"/>
          <w:color w:val="auto"/>
        </w:rPr>
        <w:t>WHEREAS, the Borrower’s Investments in the BXCL 701 Subsidiaries prior to the date hereof have exceeded the amount permitted pursuant to Section 9.19(a)(i)(C) of the Credit Agreement (the “</w:t>
      </w:r>
      <w:r>
        <w:rPr>
          <w:rFonts w:ascii="Arial" w:cs="Arial" w:eastAsia="Arial" w:hAnsi="Arial"/>
          <w:sz w:val="21"/>
          <w:szCs w:val="21"/>
          <w:u w:val="single" w:color="auto"/>
          <w:color w:val="auto"/>
        </w:rPr>
        <w:t>Excess Investment</w:t>
      </w:r>
      <w:r>
        <w:rPr>
          <w:rFonts w:ascii="Arial" w:cs="Arial" w:eastAsia="Arial" w:hAnsi="Arial"/>
          <w:sz w:val="21"/>
          <w:szCs w:val="21"/>
          <w:color w:val="auto"/>
        </w:rPr>
        <w:t>”);</w:t>
      </w:r>
    </w:p>
    <w:p>
      <w:pPr>
        <w:spacing w:after="0" w:line="174" w:lineRule="exact"/>
        <w:rPr>
          <w:sz w:val="20"/>
          <w:szCs w:val="20"/>
          <w:color w:val="auto"/>
        </w:rPr>
      </w:pPr>
    </w:p>
    <w:p>
      <w:pPr>
        <w:jc w:val="both"/>
        <w:ind w:left="200" w:right="219" w:firstLine="631"/>
        <w:spacing w:after="0" w:line="256" w:lineRule="auto"/>
        <w:rPr>
          <w:sz w:val="20"/>
          <w:szCs w:val="20"/>
          <w:color w:val="auto"/>
        </w:rPr>
      </w:pPr>
      <w:r>
        <w:rPr>
          <w:rFonts w:ascii="Arial" w:cs="Arial" w:eastAsia="Arial" w:hAnsi="Arial"/>
          <w:sz w:val="20"/>
          <w:szCs w:val="20"/>
          <w:color w:val="auto"/>
        </w:rPr>
        <w:t>WHEREAS, the Borrower has requested that Administrative Agent and the Lenders (i) waive any Defaults or Events of Default arising as a result of the Excess Investment and (ii) amend the Existing Agreement to increase the dollar amount of permitted Investments in the BXCL 701 Subsidiaries, and Administrative Agent and the Lenders have agreed to provide such waiver and amendment on the terms and subject to the conditions set forth herein.</w:t>
      </w:r>
    </w:p>
    <w:p>
      <w:pPr>
        <w:spacing w:after="0" w:line="167" w:lineRule="exact"/>
        <w:rPr>
          <w:sz w:val="20"/>
          <w:szCs w:val="20"/>
          <w:color w:val="auto"/>
        </w:rPr>
      </w:pPr>
    </w:p>
    <w:p>
      <w:pPr>
        <w:jc w:val="both"/>
        <w:ind w:left="200" w:right="219" w:firstLine="710"/>
        <w:spacing w:after="0" w:line="243" w:lineRule="auto"/>
        <w:rPr>
          <w:sz w:val="20"/>
          <w:szCs w:val="20"/>
          <w:color w:val="auto"/>
        </w:rPr>
      </w:pPr>
      <w:r>
        <w:rPr>
          <w:rFonts w:ascii="Arial" w:cs="Arial" w:eastAsia="Arial" w:hAnsi="Arial"/>
          <w:sz w:val="21"/>
          <w:szCs w:val="21"/>
          <w:color w:val="auto"/>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p>
      <w:pPr>
        <w:spacing w:after="0" w:line="179" w:lineRule="exact"/>
        <w:rPr>
          <w:sz w:val="20"/>
          <w:szCs w:val="20"/>
          <w:color w:val="auto"/>
        </w:rPr>
      </w:pPr>
    </w:p>
    <w:p>
      <w:pPr>
        <w:ind w:left="840" w:right="239" w:hanging="633"/>
        <w:spacing w:after="0" w:line="260" w:lineRule="auto"/>
        <w:tabs>
          <w:tab w:leader="none" w:pos="84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Capitalized terms used herein and not otherwise defined herein shall have the meanings assigned to such terms in the Existing Credit Agreement.</w:t>
      </w:r>
    </w:p>
    <w:p>
      <w:pPr>
        <w:spacing w:after="0" w:line="160" w:lineRule="exact"/>
        <w:rPr>
          <w:rFonts w:ascii="Arial" w:cs="Arial" w:eastAsia="Arial" w:hAnsi="Arial"/>
          <w:sz w:val="21"/>
          <w:szCs w:val="21"/>
          <w:color w:val="auto"/>
        </w:rPr>
      </w:pPr>
    </w:p>
    <w:p>
      <w:pPr>
        <w:jc w:val="both"/>
        <w:ind w:left="840" w:right="239" w:hanging="633"/>
        <w:spacing w:after="0" w:line="256" w:lineRule="auto"/>
        <w:tabs>
          <w:tab w:leader="none" w:pos="84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Subject to the satisfaction of the conditions precedent specified in Section 5 hereof, effective as of the date hereof, Administrative Agent and the Lenders hereby waive any Defaults or Events of Default arising out of (i) Excess Investment in the BXCL 701 Subsidiaries prior to the date hereof and (ii) failure to provide notice to Administrative Agent and the Lenders of such Excess Investment described in the preceding clause (i).</w:t>
      </w:r>
    </w:p>
    <w:p>
      <w:pPr>
        <w:spacing w:after="0" w:line="166" w:lineRule="exact"/>
        <w:rPr>
          <w:rFonts w:ascii="Arial" w:cs="Arial" w:eastAsia="Arial" w:hAnsi="Arial"/>
          <w:sz w:val="20"/>
          <w:szCs w:val="20"/>
          <w:color w:val="auto"/>
        </w:rPr>
      </w:pPr>
    </w:p>
    <w:p>
      <w:pPr>
        <w:jc w:val="both"/>
        <w:ind w:left="840" w:right="239" w:hanging="633"/>
        <w:spacing w:after="0" w:line="286" w:lineRule="auto"/>
        <w:tabs>
          <w:tab w:leader="none" w:pos="84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Subject to the satisfaction of the conditions precedent specified in Section 5 hereof, effective as of the date hereof, the Credit Agreement is hereby amended to replace “$25,000,000” in Section 9.19(a)(i)(C) of the Credit Agreement with “$30,000,000”.</w:t>
      </w:r>
    </w:p>
    <w:p>
      <w:pPr>
        <w:spacing w:after="0" w:line="138" w:lineRule="exact"/>
        <w:rPr>
          <w:rFonts w:ascii="Arial" w:cs="Arial" w:eastAsia="Arial" w:hAnsi="Arial"/>
          <w:sz w:val="19"/>
          <w:szCs w:val="19"/>
          <w:color w:val="auto"/>
        </w:rPr>
      </w:pPr>
    </w:p>
    <w:p>
      <w:pPr>
        <w:ind w:left="840" w:right="239" w:hanging="633"/>
        <w:spacing w:after="0" w:line="313" w:lineRule="auto"/>
        <w:tabs>
          <w:tab w:leader="none" w:pos="84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Reaffirmation of Loan Documents</w:t>
      </w:r>
      <w:r>
        <w:rPr>
          <w:rFonts w:ascii="Arial" w:cs="Arial" w:eastAsia="Arial" w:hAnsi="Arial"/>
          <w:sz w:val="19"/>
          <w:szCs w:val="19"/>
          <w:color w:val="auto"/>
        </w:rPr>
        <w:t>. Except as otherwise expressly provided herein, the parties hereto agree that all terms and conditions of the Existing Credit Agreement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569595</wp:posOffset>
            </wp:positionV>
            <wp:extent cx="5450205"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545020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1" w:name="page122"/>
    <w:bookmarkEnd w:id="121"/>
    <w:p>
      <w:pPr>
        <w:jc w:val="both"/>
        <w:ind w:left="840" w:right="239"/>
        <w:spacing w:after="0" w:line="247" w:lineRule="auto"/>
        <w:rPr>
          <w:sz w:val="20"/>
          <w:szCs w:val="20"/>
          <w:color w:val="auto"/>
        </w:rPr>
      </w:pPr>
      <w:r>
        <w:rPr>
          <w:rFonts w:ascii="Arial" w:cs="Arial" w:eastAsia="Arial" w:hAnsi="Arial"/>
          <w:sz w:val="21"/>
          <w:szCs w:val="21"/>
          <w:color w:val="auto"/>
        </w:rPr>
        <w:t>other Loan Documents remain in full force and effect. The Borrower hereby confirms that the Security Documents and all of the Collateral described therein do, and shall continue to, secure the payment in full and performance of all of the Obligations.</w:t>
      </w:r>
    </w:p>
    <w:p>
      <w:pPr>
        <w:spacing w:after="0" w:line="174" w:lineRule="exact"/>
        <w:rPr>
          <w:sz w:val="20"/>
          <w:szCs w:val="20"/>
          <w:color w:val="auto"/>
        </w:rPr>
      </w:pPr>
    </w:p>
    <w:p>
      <w:pPr>
        <w:ind w:left="840" w:right="239" w:hanging="633"/>
        <w:spacing w:after="0" w:line="260" w:lineRule="auto"/>
        <w:tabs>
          <w:tab w:leader="none" w:pos="840"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Conditions Precedent to Effectiveness</w:t>
      </w:r>
      <w:r>
        <w:rPr>
          <w:rFonts w:ascii="Arial" w:cs="Arial" w:eastAsia="Arial" w:hAnsi="Arial"/>
          <w:sz w:val="21"/>
          <w:szCs w:val="21"/>
          <w:color w:val="auto"/>
        </w:rPr>
        <w:t>. The effectiveness of this Amendment shall be subject to the following conditions precedent:</w:t>
      </w:r>
    </w:p>
    <w:p>
      <w:pPr>
        <w:spacing w:after="0" w:line="160" w:lineRule="exact"/>
        <w:rPr>
          <w:rFonts w:ascii="Arial" w:cs="Arial" w:eastAsia="Arial" w:hAnsi="Arial"/>
          <w:sz w:val="21"/>
          <w:szCs w:val="21"/>
          <w:color w:val="auto"/>
        </w:rPr>
      </w:pPr>
    </w:p>
    <w:p>
      <w:pPr>
        <w:ind w:left="1460" w:right="239" w:hanging="622"/>
        <w:spacing w:after="0" w:line="260" w:lineRule="auto"/>
        <w:tabs>
          <w:tab w:leader="none" w:pos="1460" w:val="left"/>
        </w:tabs>
        <w:numPr>
          <w:ilvl w:val="1"/>
          <w:numId w:val="65"/>
        </w:numPr>
        <w:rPr>
          <w:rFonts w:ascii="Arial" w:cs="Arial" w:eastAsia="Arial" w:hAnsi="Arial"/>
          <w:sz w:val="21"/>
          <w:szCs w:val="21"/>
          <w:color w:val="auto"/>
        </w:rPr>
      </w:pPr>
      <w:r>
        <w:rPr>
          <w:rFonts w:ascii="Arial" w:cs="Arial" w:eastAsia="Arial" w:hAnsi="Arial"/>
          <w:sz w:val="21"/>
          <w:szCs w:val="21"/>
          <w:color w:val="auto"/>
        </w:rPr>
        <w:t>Execution of this Amendment by the Borrower, the Administrative Agent, and each of the Lenders;</w:t>
      </w:r>
    </w:p>
    <w:p>
      <w:pPr>
        <w:spacing w:after="0" w:line="160" w:lineRule="exact"/>
        <w:rPr>
          <w:rFonts w:ascii="Arial" w:cs="Arial" w:eastAsia="Arial" w:hAnsi="Arial"/>
          <w:sz w:val="21"/>
          <w:szCs w:val="21"/>
          <w:color w:val="auto"/>
        </w:rPr>
      </w:pPr>
    </w:p>
    <w:p>
      <w:pPr>
        <w:jc w:val="both"/>
        <w:ind w:left="1460" w:right="239" w:hanging="622"/>
        <w:spacing w:after="0" w:line="267" w:lineRule="auto"/>
        <w:tabs>
          <w:tab w:leader="none" w:pos="1460" w:val="left"/>
        </w:tabs>
        <w:numPr>
          <w:ilvl w:val="1"/>
          <w:numId w:val="65"/>
        </w:numPr>
        <w:rPr>
          <w:rFonts w:ascii="Arial" w:cs="Arial" w:eastAsia="Arial" w:hAnsi="Arial"/>
          <w:sz w:val="19"/>
          <w:szCs w:val="19"/>
          <w:color w:val="auto"/>
        </w:rPr>
      </w:pPr>
      <w:r>
        <w:rPr>
          <w:rFonts w:ascii="Arial" w:cs="Arial" w:eastAsia="Arial" w:hAnsi="Arial"/>
          <w:sz w:val="19"/>
          <w:szCs w:val="19"/>
          <w:color w:val="auto"/>
        </w:rPr>
        <w:t>Each of the representations and warranties in Section 8 of this Amendment, Section 7 of the Credit Agreement and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 respects) on and as of the date hereof, except to the extent such representations and warranties specifically relate to an earlier date, in which case such representations and warranties shall have been true and correct in all respects on and as of such earlier date;</w:t>
      </w:r>
    </w:p>
    <w:p>
      <w:pPr>
        <w:spacing w:after="0" w:line="158" w:lineRule="exact"/>
        <w:rPr>
          <w:rFonts w:ascii="Arial" w:cs="Arial" w:eastAsia="Arial" w:hAnsi="Arial"/>
          <w:sz w:val="19"/>
          <w:szCs w:val="19"/>
          <w:color w:val="auto"/>
        </w:rPr>
      </w:pPr>
    </w:p>
    <w:p>
      <w:pPr>
        <w:ind w:left="1460" w:right="239" w:hanging="622"/>
        <w:spacing w:after="0" w:line="260" w:lineRule="auto"/>
        <w:tabs>
          <w:tab w:leader="none" w:pos="1460" w:val="left"/>
        </w:tabs>
        <w:numPr>
          <w:ilvl w:val="1"/>
          <w:numId w:val="65"/>
        </w:numPr>
        <w:rPr>
          <w:rFonts w:ascii="Arial" w:cs="Arial" w:eastAsia="Arial" w:hAnsi="Arial"/>
          <w:sz w:val="21"/>
          <w:szCs w:val="21"/>
          <w:color w:val="auto"/>
        </w:rPr>
      </w:pPr>
      <w:r>
        <w:rPr>
          <w:rFonts w:ascii="Arial" w:cs="Arial" w:eastAsia="Arial" w:hAnsi="Arial"/>
          <w:sz w:val="21"/>
          <w:szCs w:val="21"/>
          <w:color w:val="auto"/>
        </w:rPr>
        <w:t>Immediately after giving effect to the Waiver set forth in Section 2 hereof, no Default or Event of Default shall have occurred and be continuing;</w:t>
      </w:r>
    </w:p>
    <w:p>
      <w:pPr>
        <w:spacing w:after="0" w:line="160" w:lineRule="exact"/>
        <w:rPr>
          <w:rFonts w:ascii="Arial" w:cs="Arial" w:eastAsia="Arial" w:hAnsi="Arial"/>
          <w:sz w:val="21"/>
          <w:szCs w:val="21"/>
          <w:color w:val="auto"/>
        </w:rPr>
      </w:pPr>
    </w:p>
    <w:p>
      <w:pPr>
        <w:ind w:left="1460" w:right="239" w:hanging="622"/>
        <w:spacing w:after="0" w:line="313" w:lineRule="auto"/>
        <w:tabs>
          <w:tab w:leader="none" w:pos="1460" w:val="left"/>
        </w:tabs>
        <w:numPr>
          <w:ilvl w:val="1"/>
          <w:numId w:val="65"/>
        </w:numPr>
        <w:rPr>
          <w:rFonts w:ascii="Arial" w:cs="Arial" w:eastAsia="Arial" w:hAnsi="Arial"/>
          <w:sz w:val="19"/>
          <w:szCs w:val="19"/>
          <w:color w:val="auto"/>
        </w:rPr>
      </w:pPr>
      <w:r>
        <w:rPr>
          <w:rFonts w:ascii="Arial" w:cs="Arial" w:eastAsia="Arial" w:hAnsi="Arial"/>
          <w:sz w:val="19"/>
          <w:szCs w:val="19"/>
          <w:color w:val="auto"/>
        </w:rPr>
        <w:t>Receipt by the Administrative Agent, for the account of the Lenders, of the portion of the Amendment Fee due and payable upon the execution of this Amendment; and</w:t>
      </w:r>
    </w:p>
    <w:p>
      <w:pPr>
        <w:spacing w:after="0" w:line="113" w:lineRule="exact"/>
        <w:rPr>
          <w:rFonts w:ascii="Arial" w:cs="Arial" w:eastAsia="Arial" w:hAnsi="Arial"/>
          <w:sz w:val="19"/>
          <w:szCs w:val="19"/>
          <w:color w:val="auto"/>
        </w:rPr>
      </w:pPr>
    </w:p>
    <w:p>
      <w:pPr>
        <w:jc w:val="both"/>
        <w:ind w:left="1460" w:right="239" w:hanging="622"/>
        <w:spacing w:after="0" w:line="239" w:lineRule="auto"/>
        <w:tabs>
          <w:tab w:leader="none" w:pos="1460"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Borrower shall have paid all reasonable and documented costs, fees and expenses of the Administrative Agent and the Lenders, including, without limitation, the reasonable and documented fees and reasonable and documented out-of-pocket expenses of Sullivan &amp; Cromwell LLP, as outside counsel to Administrative Agent and the Lenders, to the extent invoiced (or as to which a good faith estimate has been provided to the Borrower) at least two (2) Business Days prior to the date of this Amendment.</w:t>
      </w:r>
    </w:p>
    <w:p>
      <w:pPr>
        <w:spacing w:after="0" w:line="183" w:lineRule="exact"/>
        <w:rPr>
          <w:rFonts w:ascii="Arial" w:cs="Arial" w:eastAsia="Arial" w:hAnsi="Arial"/>
          <w:sz w:val="21"/>
          <w:szCs w:val="21"/>
          <w:color w:val="auto"/>
        </w:rPr>
      </w:pPr>
    </w:p>
    <w:p>
      <w:pPr>
        <w:jc w:val="both"/>
        <w:ind w:left="840" w:right="239" w:hanging="633"/>
        <w:spacing w:after="0" w:line="265" w:lineRule="auto"/>
        <w:tabs>
          <w:tab w:leader="none" w:pos="84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Post-Closing Covenant</w:t>
      </w:r>
      <w:r>
        <w:rPr>
          <w:rFonts w:ascii="Arial" w:cs="Arial" w:eastAsia="Arial" w:hAnsi="Arial"/>
          <w:sz w:val="19"/>
          <w:szCs w:val="19"/>
          <w:color w:val="auto"/>
        </w:rPr>
        <w:t>. On or before December 1, 2023 (or such later date as the Administrative Agent may agree in its sole and absolute discretion), the Borrower shall, and shall cause the other Obligors to, execute and deliver to the Administrative Agent and the Lenders its duly executed signature pages to an amendment to the Credit Agreement and documents related thereto or contemplated thereby, in each case, on substantially the terms described in Exhibit A to this Amendment or such other terms as the parties may mutually agree (it being agreed that any such other terms shall be subject to approval by Administrative Agent in its sole and absolute discretion, and shall in any event be no less favorable in any respect to the Lenders than the terms set forth on Exhibit A). A breach of the covenant in this Section 6 shall constitute an immediate Event of Default. It is understood and agreed that the Obligors, the Administrative Agent, the Lenders and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344170</wp:posOffset>
            </wp:positionV>
            <wp:extent cx="5450205"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5450205" cy="2476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122" w:name="page123"/>
    <w:bookmarkEnd w:id="122"/>
    <w:p>
      <w:pPr>
        <w:ind w:left="840" w:right="239"/>
        <w:spacing w:after="0" w:line="260" w:lineRule="auto"/>
        <w:rPr>
          <w:sz w:val="20"/>
          <w:szCs w:val="20"/>
          <w:color w:val="auto"/>
        </w:rPr>
      </w:pPr>
      <w:r>
        <w:rPr>
          <w:rFonts w:ascii="Arial" w:cs="Arial" w:eastAsia="Arial" w:hAnsi="Arial"/>
          <w:sz w:val="21"/>
          <w:szCs w:val="21"/>
          <w:color w:val="auto"/>
        </w:rPr>
        <w:t>Purchasers (under and as defined in the Revenue Interest Financing Agreement) will negotiate the amendment contemplated by this Section 6 in good faith.</w:t>
      </w:r>
    </w:p>
    <w:p>
      <w:pPr>
        <w:spacing w:after="0" w:line="160" w:lineRule="exact"/>
        <w:rPr>
          <w:sz w:val="20"/>
          <w:szCs w:val="20"/>
          <w:color w:val="auto"/>
        </w:rPr>
      </w:pPr>
    </w:p>
    <w:p>
      <w:pPr>
        <w:jc w:val="both"/>
        <w:ind w:left="840" w:right="239" w:hanging="633"/>
        <w:spacing w:after="0" w:line="267" w:lineRule="auto"/>
        <w:tabs>
          <w:tab w:leader="none" w:pos="84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Amendment Fee</w:t>
      </w:r>
      <w:r>
        <w:rPr>
          <w:rFonts w:ascii="Arial" w:cs="Arial" w:eastAsia="Arial" w:hAnsi="Arial"/>
          <w:sz w:val="19"/>
          <w:szCs w:val="19"/>
          <w:color w:val="auto"/>
        </w:rPr>
        <w:t>. In consideration of this Amendment and agreements of the Administrative Agent and the Lenders contained herein, the Borrower shall pay an amendment fee (the “</w:t>
      </w:r>
      <w:r>
        <w:rPr>
          <w:rFonts w:ascii="Arial" w:cs="Arial" w:eastAsia="Arial" w:hAnsi="Arial"/>
          <w:sz w:val="19"/>
          <w:szCs w:val="19"/>
          <w:b w:val="1"/>
          <w:bCs w:val="1"/>
          <w:color w:val="auto"/>
        </w:rPr>
        <w:t>Amendment Fee</w:t>
      </w:r>
      <w:r>
        <w:rPr>
          <w:rFonts w:ascii="Arial" w:cs="Arial" w:eastAsia="Arial" w:hAnsi="Arial"/>
          <w:sz w:val="19"/>
          <w:szCs w:val="19"/>
          <w:color w:val="auto"/>
        </w:rPr>
        <w:t>”) in cash to the Administrative Agent, for the account of the Lenders, in the amount of (i) 0.25% of the aggregate principal amount of Loans outstanding on the date hereof, due and payable upon the execution of the Amendment (for the avoidance of doubt, the Amendment Fee due and payable under this clause (i) is $180,044.68) plus (ii) 0.25% of the aggregate principal amount of Loans prepaid or repaid from time to time, due and payable on the date of each such prepayment or repayment.</w:t>
      </w:r>
    </w:p>
    <w:p>
      <w:pPr>
        <w:spacing w:after="0" w:line="158" w:lineRule="exact"/>
        <w:rPr>
          <w:rFonts w:ascii="Arial" w:cs="Arial" w:eastAsia="Arial" w:hAnsi="Arial"/>
          <w:sz w:val="19"/>
          <w:szCs w:val="19"/>
          <w:color w:val="auto"/>
        </w:rPr>
      </w:pPr>
    </w:p>
    <w:p>
      <w:pPr>
        <w:ind w:left="840" w:hanging="633"/>
        <w:spacing w:after="0"/>
        <w:tabs>
          <w:tab w:leader="none" w:pos="84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The Borrower hereby represents and warrants:</w:t>
      </w:r>
    </w:p>
    <w:p>
      <w:pPr>
        <w:spacing w:after="0" w:line="205" w:lineRule="exact"/>
        <w:rPr>
          <w:rFonts w:ascii="Arial" w:cs="Arial" w:eastAsia="Arial" w:hAnsi="Arial"/>
          <w:sz w:val="21"/>
          <w:szCs w:val="21"/>
          <w:color w:val="auto"/>
        </w:rPr>
      </w:pPr>
    </w:p>
    <w:p>
      <w:pPr>
        <w:jc w:val="both"/>
        <w:ind w:left="1460" w:right="239" w:hanging="622"/>
        <w:spacing w:after="0" w:line="263" w:lineRule="auto"/>
        <w:tabs>
          <w:tab w:leader="none" w:pos="14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None of the execution, delivery and performance by the Borrower of this Amendment and the documents, instruments and agreements executed in connection herewith (collectively, the “</w:t>
      </w:r>
      <w:r>
        <w:rPr>
          <w:rFonts w:ascii="Arial" w:cs="Arial" w:eastAsia="Arial" w:hAnsi="Arial"/>
          <w:sz w:val="19"/>
          <w:szCs w:val="19"/>
          <w:b w:val="1"/>
          <w:bCs w:val="1"/>
          <w:color w:val="auto"/>
        </w:rPr>
        <w:t>Amendment Documents</w:t>
      </w:r>
      <w:r>
        <w:rPr>
          <w:rFonts w:ascii="Arial" w:cs="Arial" w:eastAsia="Arial" w:hAnsi="Arial"/>
          <w:sz w:val="19"/>
          <w:szCs w:val="19"/>
          <w:color w:val="auto"/>
        </w:rPr>
        <w:t xml:space="preserve">”)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w:t>
      </w:r>
      <w:r>
        <w:rPr>
          <w:rFonts w:ascii="Arial" w:cs="Arial" w:eastAsia="Arial" w:hAnsi="Arial"/>
          <w:sz w:val="19"/>
          <w:szCs w:val="19"/>
          <w:b w:val="1"/>
          <w:bCs w:val="1"/>
          <w:color w:val="auto"/>
        </w:rPr>
        <w:t>clause (ii)(1)</w:t>
      </w:r>
      <w:r>
        <w:rPr>
          <w:rFonts w:ascii="Arial" w:cs="Arial" w:eastAsia="Arial" w:hAnsi="Arial"/>
          <w:sz w:val="19"/>
          <w:szCs w:val="19"/>
          <w:color w:val="auto"/>
        </w:rPr>
        <w:t xml:space="preserve"> or </w:t>
      </w:r>
      <w:r>
        <w:rPr>
          <w:rFonts w:ascii="Arial" w:cs="Arial" w:eastAsia="Arial" w:hAnsi="Arial"/>
          <w:sz w:val="19"/>
          <w:szCs w:val="19"/>
          <w:b w:val="1"/>
          <w:bCs w:val="1"/>
          <w:color w:val="auto"/>
        </w:rPr>
        <w:t>clause (ii)(3)</w:t>
      </w:r>
      <w:r>
        <w:rPr>
          <w:rFonts w:ascii="Arial" w:cs="Arial" w:eastAsia="Arial" w:hAnsi="Arial"/>
          <w:sz w:val="19"/>
          <w:szCs w:val="19"/>
          <w:color w:val="auto"/>
        </w:rPr>
        <w:t>,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p>
      <w:pPr>
        <w:spacing w:after="0" w:line="164" w:lineRule="exact"/>
        <w:rPr>
          <w:rFonts w:ascii="Arial" w:cs="Arial" w:eastAsia="Arial" w:hAnsi="Arial"/>
          <w:sz w:val="19"/>
          <w:szCs w:val="19"/>
          <w:color w:val="auto"/>
        </w:rPr>
      </w:pPr>
    </w:p>
    <w:p>
      <w:pPr>
        <w:jc w:val="both"/>
        <w:ind w:left="1460" w:right="239" w:hanging="622"/>
        <w:spacing w:after="0" w:line="265" w:lineRule="auto"/>
        <w:tabs>
          <w:tab w:leader="none" w:pos="14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163" w:lineRule="exact"/>
        <w:rPr>
          <w:rFonts w:ascii="Arial" w:cs="Arial" w:eastAsia="Arial" w:hAnsi="Arial"/>
          <w:sz w:val="19"/>
          <w:szCs w:val="19"/>
          <w:color w:val="auto"/>
        </w:rPr>
      </w:pPr>
    </w:p>
    <w:p>
      <w:pPr>
        <w:ind w:left="840" w:hanging="633"/>
        <w:spacing w:after="0"/>
        <w:tabs>
          <w:tab w:leader="none" w:pos="84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Release.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344170</wp:posOffset>
            </wp:positionV>
            <wp:extent cx="5450205"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5450205" cy="24765"/>
                    </a:xfrm>
                    <a:prstGeom prst="rect">
                      <a:avLst/>
                    </a:prstGeom>
                    <a:noFill/>
                  </pic:spPr>
                </pic:pic>
              </a:graphicData>
            </a:graphic>
          </wp:anchor>
        </w:drawing>
      </w:r>
    </w:p>
    <w:p>
      <w:pPr>
        <w:sectPr>
          <w:pgSz w:w="11900" w:h="16838" w:orient="portrait"/>
          <w:cols w:equalWidth="0" w:num="1">
            <w:col w:w="9019"/>
          </w:cols>
          <w:pgMar w:left="1440" w:top="1353" w:right="1440" w:bottom="1440" w:gutter="0" w:footer="0" w:header="0"/>
        </w:sectPr>
      </w:pPr>
    </w:p>
    <w:bookmarkStart w:id="123" w:name="page124"/>
    <w:bookmarkEnd w:id="123"/>
    <w:p>
      <w:pPr>
        <w:jc w:val="both"/>
        <w:ind w:left="1460" w:right="239" w:hanging="622"/>
        <w:spacing w:after="0" w:line="261" w:lineRule="auto"/>
        <w:tabs>
          <w:tab w:leader="none" w:pos="14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consideration of this Amendment and agreements of the Administrative Agent and the Lenders contained herein and for other good and valuable consideration, the receipt and sufficiency of which is hereby acknowledged, the Borrower (the “</w:t>
      </w:r>
      <w:r>
        <w:rPr>
          <w:rFonts w:ascii="Arial" w:cs="Arial" w:eastAsia="Arial" w:hAnsi="Arial"/>
          <w:sz w:val="19"/>
          <w:szCs w:val="19"/>
          <w:b w:val="1"/>
          <w:bCs w:val="1"/>
          <w:i w:val="1"/>
          <w:iCs w:val="1"/>
          <w:color w:val="auto"/>
        </w:rPr>
        <w:t>Releasing Party</w:t>
      </w:r>
      <w:r>
        <w:rPr>
          <w:rFonts w:ascii="Arial" w:cs="Arial" w:eastAsia="Arial" w:hAnsi="Arial"/>
          <w:sz w:val="19"/>
          <w:szCs w:val="19"/>
          <w:color w:val="auto"/>
        </w:rPr>
        <w:t>”), on behalf of itself and its successors, assigns and other legal representatives hereby absolutely, unconditionally and irrevocably releases, remises and forever discharges the Administrative Agent,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and individually as a “</w:t>
      </w:r>
      <w:r>
        <w:rPr>
          <w:rFonts w:ascii="Arial" w:cs="Arial" w:eastAsia="Arial" w:hAnsi="Arial"/>
          <w:sz w:val="19"/>
          <w:szCs w:val="19"/>
          <w:b w:val="1"/>
          <w:bCs w:val="1"/>
          <w:i w:val="1"/>
          <w:iCs w:val="1"/>
          <w:color w:val="auto"/>
        </w:rPr>
        <w:t>Releasee</w:t>
      </w:r>
      <w:r>
        <w:rPr>
          <w:rFonts w:ascii="Arial" w:cs="Arial" w:eastAsia="Arial" w:hAnsi="Arial"/>
          <w:sz w:val="19"/>
          <w:szCs w:val="19"/>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The Releasing Party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Section 9. Furthermore, the Releasing Party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Section 9. The foregoing release, covenant and waivers of this Section 9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p>
      <w:pPr>
        <w:spacing w:after="0" w:line="173" w:lineRule="exact"/>
        <w:rPr>
          <w:rFonts w:ascii="Arial" w:cs="Arial" w:eastAsia="Arial" w:hAnsi="Arial"/>
          <w:sz w:val="19"/>
          <w:szCs w:val="19"/>
          <w:color w:val="auto"/>
        </w:rPr>
      </w:pPr>
    </w:p>
    <w:p>
      <w:pPr>
        <w:jc w:val="both"/>
        <w:ind w:left="1460" w:right="239" w:hanging="622"/>
        <w:spacing w:after="0" w:line="259" w:lineRule="auto"/>
        <w:tabs>
          <w:tab w:leader="none" w:pos="14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w:t>
      </w:r>
    </w:p>
    <w:p>
      <w:pPr>
        <w:spacing w:after="0" w:line="163" w:lineRule="exact"/>
        <w:rPr>
          <w:rFonts w:ascii="Arial" w:cs="Arial" w:eastAsia="Arial" w:hAnsi="Arial"/>
          <w:sz w:val="20"/>
          <w:szCs w:val="20"/>
          <w:color w:val="auto"/>
        </w:rPr>
      </w:pPr>
    </w:p>
    <w:p>
      <w:pPr>
        <w:jc w:val="both"/>
        <w:ind w:left="1460" w:right="239" w:hanging="622"/>
        <w:spacing w:after="0" w:line="286" w:lineRule="auto"/>
        <w:tabs>
          <w:tab w:leader="none" w:pos="14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344170</wp:posOffset>
            </wp:positionV>
            <wp:extent cx="5450205"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5450205" cy="2476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124" w:name="page125"/>
    <w:bookmarkEnd w:id="124"/>
    <w:p>
      <w:pPr>
        <w:ind w:left="840" w:hanging="633"/>
        <w:spacing w:after="0"/>
        <w:tabs>
          <w:tab w:leader="none" w:pos="84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left="1460" w:right="239" w:hanging="622"/>
        <w:spacing w:after="0" w:line="247" w:lineRule="auto"/>
        <w:tabs>
          <w:tab w:leader="none" w:pos="14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Except as otherwise expressly provided herein, all provisions of the Credit Agreement and the other Loan Documents remain in full force and effect. This Amendment shall constitute a Loan Document.</w:t>
      </w:r>
    </w:p>
    <w:p>
      <w:pPr>
        <w:spacing w:after="0" w:line="174" w:lineRule="exact"/>
        <w:rPr>
          <w:rFonts w:ascii="Arial" w:cs="Arial" w:eastAsia="Arial" w:hAnsi="Arial"/>
          <w:sz w:val="21"/>
          <w:szCs w:val="21"/>
          <w:color w:val="auto"/>
        </w:rPr>
      </w:pPr>
    </w:p>
    <w:p>
      <w:pPr>
        <w:jc w:val="both"/>
        <w:ind w:left="1460" w:right="239" w:hanging="622"/>
        <w:spacing w:after="0" w:line="241" w:lineRule="auto"/>
        <w:tabs>
          <w:tab w:leader="none" w:pos="14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p>
      <w:pPr>
        <w:spacing w:after="0" w:line="180" w:lineRule="exact"/>
        <w:rPr>
          <w:rFonts w:ascii="Arial" w:cs="Arial" w:eastAsia="Arial" w:hAnsi="Arial"/>
          <w:sz w:val="21"/>
          <w:szCs w:val="21"/>
          <w:color w:val="auto"/>
        </w:rPr>
      </w:pPr>
    </w:p>
    <w:p>
      <w:pPr>
        <w:jc w:val="both"/>
        <w:ind w:left="1460" w:right="239" w:hanging="622"/>
        <w:spacing w:after="0" w:line="247" w:lineRule="auto"/>
        <w:tabs>
          <w:tab w:leader="none" w:pos="14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This Amendment expresses the entire understanding of the parties with respect to the amendments contemplated hereby. No prior negotiations or discussions shall limit, modify, or otherwise affect the provisions hereof.</w:t>
      </w:r>
    </w:p>
    <w:p>
      <w:pPr>
        <w:spacing w:after="0" w:line="174" w:lineRule="exact"/>
        <w:rPr>
          <w:rFonts w:ascii="Arial" w:cs="Arial" w:eastAsia="Arial" w:hAnsi="Arial"/>
          <w:sz w:val="21"/>
          <w:szCs w:val="21"/>
          <w:color w:val="auto"/>
        </w:rPr>
      </w:pPr>
    </w:p>
    <w:p>
      <w:pPr>
        <w:jc w:val="both"/>
        <w:ind w:left="1460" w:right="239" w:hanging="622"/>
        <w:spacing w:after="0" w:line="247" w:lineRule="auto"/>
        <w:tabs>
          <w:tab w:leader="none" w:pos="14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 xml:space="preserve">This Amendment and its contents shall be subject to the governing law, indemnification, venue, service of process, waivers of jury trial and severability provisions of the Existing Credit Agreement,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[SIGNATURE PAGES FOLLOW]</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332740</wp:posOffset>
            </wp:positionV>
            <wp:extent cx="5450205"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5450205" cy="2476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125" w:name="page126"/>
    <w:bookmarkEnd w:id="125"/>
    <w:p>
      <w:pPr>
        <w:spacing w:after="0" w:line="151" w:lineRule="exact"/>
        <w:rPr>
          <w:sz w:val="20"/>
          <w:szCs w:val="20"/>
          <w:color w:val="auto"/>
        </w:rPr>
      </w:pPr>
    </w:p>
    <w:p>
      <w:pPr>
        <w:ind w:left="200" w:right="219" w:firstLine="631"/>
        <w:spacing w:after="0" w:line="260" w:lineRule="auto"/>
        <w:rPr>
          <w:sz w:val="20"/>
          <w:szCs w:val="20"/>
          <w:color w:val="auto"/>
        </w:rPr>
      </w:pPr>
      <w:r>
        <w:rPr>
          <w:rFonts w:ascii="Arial" w:cs="Arial" w:eastAsia="Arial" w:hAnsi="Arial"/>
          <w:sz w:val="21"/>
          <w:szCs w:val="21"/>
          <w:color w:val="auto"/>
        </w:rPr>
        <w:t>IN WITNESS WHEREOF, the parties have hereunto caused this Amendment to be executed as of the date first above written.</w:t>
      </w:r>
    </w:p>
    <w:p>
      <w:pPr>
        <w:spacing w:after="0" w:line="391"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BIOXCEL THERAPEUTICS, INC.</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21"/>
          <w:szCs w:val="21"/>
          <w:color w:val="auto"/>
        </w:rPr>
        <w:t>as the Borrower</w:t>
      </w:r>
    </w:p>
    <w:p>
      <w:pPr>
        <w:spacing w:after="0" w:line="200" w:lineRule="exact"/>
        <w:rPr>
          <w:sz w:val="20"/>
          <w:szCs w:val="20"/>
          <w:color w:val="auto"/>
        </w:rPr>
      </w:pPr>
    </w:p>
    <w:p>
      <w:pPr>
        <w:spacing w:after="0" w:line="250"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Vimal D. Mehta</w:t>
      </w:r>
    </w:p>
    <w:p>
      <w:pPr>
        <w:spacing w:after="0" w:line="16" w:lineRule="exact"/>
        <w:rPr>
          <w:sz w:val="20"/>
          <w:szCs w:val="20"/>
          <w:color w:val="auto"/>
        </w:rPr>
      </w:pPr>
    </w:p>
    <w:tbl>
      <w:tblPr>
        <w:tblLayout w:type="fixed"/>
        <w:tblInd w:w="700" w:type="dxa"/>
        <w:tblCellMar>
          <w:top w:w="0" w:type="dxa"/>
          <w:left w:w="0" w:type="dxa"/>
          <w:bottom w:w="0" w:type="dxa"/>
          <w:right w:w="0" w:type="dxa"/>
        </w:tblCellMar>
      </w:tblPr>
      <w:tr>
        <w:trPr>
          <w:trHeight w:val="208"/>
        </w:trPr>
        <w:tc>
          <w:tcPr>
            <w:tcW w:w="700" w:type="dxa"/>
            <w:vAlign w:val="bottom"/>
            <w:tcBorders>
              <w:top w:val="single" w:sz="8" w:color="auto"/>
            </w:tcBorders>
          </w:tcPr>
          <w:p>
            <w:pPr>
              <w:spacing w:after="0" w:line="209" w:lineRule="exact"/>
              <w:rPr>
                <w:sz w:val="20"/>
                <w:szCs w:val="20"/>
                <w:color w:val="auto"/>
              </w:rPr>
            </w:pPr>
            <w:r>
              <w:rPr>
                <w:rFonts w:ascii="Arial" w:cs="Arial" w:eastAsia="Arial" w:hAnsi="Arial"/>
                <w:sz w:val="21"/>
                <w:szCs w:val="21"/>
                <w:color w:val="auto"/>
              </w:rPr>
              <w:t>Name:</w:t>
            </w:r>
          </w:p>
        </w:tc>
        <w:tc>
          <w:tcPr>
            <w:tcW w:w="3020" w:type="dxa"/>
            <w:vAlign w:val="bottom"/>
            <w:tcBorders>
              <w:top w:val="single" w:sz="8" w:color="auto"/>
            </w:tcBorders>
          </w:tcPr>
          <w:p>
            <w:pPr>
              <w:ind w:left="140"/>
              <w:spacing w:after="0" w:line="209" w:lineRule="exact"/>
              <w:rPr>
                <w:sz w:val="20"/>
                <w:szCs w:val="20"/>
                <w:color w:val="auto"/>
              </w:rPr>
            </w:pPr>
            <w:r>
              <w:rPr>
                <w:rFonts w:ascii="Arial" w:cs="Arial" w:eastAsia="Arial" w:hAnsi="Arial"/>
                <w:sz w:val="21"/>
                <w:szCs w:val="21"/>
                <w:color w:val="auto"/>
              </w:rPr>
              <w:t>Vimal Mehta</w:t>
            </w:r>
          </w:p>
        </w:tc>
      </w:tr>
      <w:tr>
        <w:trPr>
          <w:trHeight w:val="267"/>
        </w:trPr>
        <w:tc>
          <w:tcPr>
            <w:tcW w:w="700" w:type="dxa"/>
            <w:vAlign w:val="bottom"/>
          </w:tcPr>
          <w:p>
            <w:pPr>
              <w:spacing w:after="0"/>
              <w:rPr>
                <w:sz w:val="20"/>
                <w:szCs w:val="20"/>
                <w:color w:val="auto"/>
              </w:rPr>
            </w:pPr>
            <w:r>
              <w:rPr>
                <w:rFonts w:ascii="Arial" w:cs="Arial" w:eastAsia="Arial" w:hAnsi="Arial"/>
                <w:sz w:val="21"/>
                <w:szCs w:val="21"/>
                <w:color w:val="auto"/>
              </w:rPr>
              <w:t>Title:</w:t>
            </w:r>
          </w:p>
        </w:tc>
        <w:tc>
          <w:tcPr>
            <w:tcW w:w="3020" w:type="dxa"/>
            <w:vAlign w:val="bottom"/>
          </w:tcPr>
          <w:p>
            <w:pPr>
              <w:ind w:left="140"/>
              <w:spacing w:after="0"/>
              <w:rPr>
                <w:sz w:val="20"/>
                <w:szCs w:val="20"/>
                <w:color w:val="auto"/>
              </w:rPr>
            </w:pPr>
            <w:r>
              <w:rPr>
                <w:rFonts w:ascii="Arial" w:cs="Arial" w:eastAsia="Arial" w:hAnsi="Arial"/>
                <w:sz w:val="21"/>
                <w:szCs w:val="2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[Signature Page to Waiver and First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344170</wp:posOffset>
            </wp:positionV>
            <wp:extent cx="5450205"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5450205" cy="247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ind w:left="3160"/>
        <w:spacing w:after="0"/>
        <w:rPr>
          <w:sz w:val="20"/>
          <w:szCs w:val="20"/>
          <w:color w:val="auto"/>
        </w:rPr>
      </w:pPr>
      <w:r>
        <w:rPr>
          <w:rFonts w:ascii="Arial" w:cs="Arial" w:eastAsia="Arial" w:hAnsi="Arial"/>
          <w:sz w:val="21"/>
          <w:szCs w:val="21"/>
          <w:b w:val="1"/>
          <w:bCs w:val="1"/>
          <w:color w:val="auto"/>
        </w:rPr>
        <w:t>ADMINISTRATIVE AGENT</w:t>
      </w:r>
      <w:r>
        <w:rPr>
          <w:rFonts w:ascii="Arial" w:cs="Arial" w:eastAsia="Arial" w:hAnsi="Arial"/>
          <w:sz w:val="21"/>
          <w:szCs w:val="21"/>
          <w:color w:val="auto"/>
        </w:rPr>
        <w:t>:</w:t>
      </w:r>
    </w:p>
    <w:p>
      <w:pPr>
        <w:spacing w:after="0" w:line="23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OAKTREE FUND</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ADMINISTRATION, LLC</w:t>
      </w:r>
    </w:p>
    <w:p>
      <w:pPr>
        <w:spacing w:after="0" w:line="95"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Capital Management,</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L.P.</w:t>
      </w:r>
    </w:p>
    <w:p>
      <w:pPr>
        <w:ind w:left="3160"/>
        <w:spacing w:after="0"/>
        <w:rPr>
          <w:sz w:val="20"/>
          <w:szCs w:val="20"/>
          <w:color w:val="auto"/>
        </w:rPr>
      </w:pPr>
      <w:r>
        <w:rPr>
          <w:rFonts w:ascii="Arial" w:cs="Arial" w:eastAsia="Arial" w:hAnsi="Arial"/>
          <w:sz w:val="21"/>
          <w:szCs w:val="21"/>
          <w:color w:val="auto"/>
        </w:rPr>
        <w:t>Its: Managing Member</w:t>
      </w:r>
    </w:p>
    <w:p>
      <w:pPr>
        <w:spacing w:after="0" w:line="200" w:lineRule="exact"/>
        <w:rPr>
          <w:sz w:val="20"/>
          <w:szCs w:val="20"/>
          <w:color w:val="auto"/>
        </w:rPr>
      </w:pPr>
    </w:p>
    <w:p>
      <w:pPr>
        <w:spacing w:after="0" w:line="26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w:t>
      </w:r>
    </w:p>
    <w:p>
      <w:pPr>
        <w:ind w:left="3160"/>
        <w:spacing w:after="0" w:line="235" w:lineRule="auto"/>
        <w:rPr>
          <w:sz w:val="20"/>
          <w:szCs w:val="20"/>
          <w:color w:val="auto"/>
        </w:rPr>
      </w:pPr>
      <w:r>
        <w:rPr>
          <w:rFonts w:ascii="Arial" w:cs="Arial" w:eastAsia="Arial" w:hAnsi="Arial"/>
          <w:sz w:val="21"/>
          <w:szCs w:val="21"/>
          <w:color w:val="auto"/>
        </w:rPr>
        <w:t>Administration, LLC</w:t>
      </w:r>
    </w:p>
    <w:p>
      <w:pPr>
        <w:ind w:left="3160"/>
        <w:spacing w:after="0" w:line="235" w:lineRule="auto"/>
        <w:rPr>
          <w:sz w:val="20"/>
          <w:szCs w:val="20"/>
          <w:color w:val="auto"/>
        </w:rPr>
      </w:pPr>
      <w:r>
        <w:rPr>
          <w:rFonts w:ascii="Arial" w:cs="Arial" w:eastAsia="Arial" w:hAnsi="Arial"/>
          <w:sz w:val="21"/>
          <w:szCs w:val="21"/>
          <w:color w:val="auto"/>
        </w:rPr>
        <w:t>333 S. Grand Avenue,</w:t>
      </w:r>
    </w:p>
    <w:p>
      <w:pPr>
        <w:ind w:left="31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Oaktree</w:t>
      </w:r>
    </w:p>
    <w:p>
      <w:pPr>
        <w:ind w:left="3160"/>
        <w:spacing w:after="0" w:line="235" w:lineRule="auto"/>
        <w:rPr>
          <w:sz w:val="20"/>
          <w:szCs w:val="20"/>
          <w:color w:val="auto"/>
        </w:rPr>
      </w:pPr>
      <w:r>
        <w:rPr>
          <w:rFonts w:ascii="Arial" w:cs="Arial" w:eastAsia="Arial" w:hAnsi="Arial"/>
          <w:sz w:val="21"/>
          <w:szCs w:val="21"/>
          <w:color w:val="auto"/>
        </w:rPr>
        <w:t>Agency</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19"/>
          <w:szCs w:val="19"/>
          <w:color w:val="auto"/>
        </w:rPr>
        <w:t>Oaktreeagency@alterdomus.com</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w:t>
      </w:r>
    </w:p>
    <w:p>
      <w:pPr>
        <w:ind w:left="3160"/>
        <w:spacing w:after="0" w:line="235" w:lineRule="auto"/>
        <w:rPr>
          <w:sz w:val="20"/>
          <w:szCs w:val="20"/>
          <w:color w:val="auto"/>
        </w:rPr>
      </w:pPr>
      <w:r>
        <w:rPr>
          <w:rFonts w:ascii="Arial" w:cs="Arial" w:eastAsia="Arial" w:hAnsi="Arial"/>
          <w:sz w:val="21"/>
          <w:szCs w:val="21"/>
          <w:color w:val="auto"/>
        </w:rPr>
        <w:t>Management, L.P. 333</w:t>
      </w:r>
    </w:p>
    <w:p>
      <w:pPr>
        <w:ind w:left="31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Aman</w:t>
      </w:r>
    </w:p>
    <w:p>
      <w:pPr>
        <w:ind w:left="3160"/>
        <w:spacing w:after="0" w:line="235" w:lineRule="auto"/>
        <w:rPr>
          <w:sz w:val="20"/>
          <w:szCs w:val="20"/>
          <w:color w:val="auto"/>
        </w:rPr>
      </w:pPr>
      <w:r>
        <w:rPr>
          <w:rFonts w:ascii="Arial" w:cs="Arial" w:eastAsia="Arial" w:hAnsi="Arial"/>
          <w:sz w:val="21"/>
          <w:szCs w:val="21"/>
          <w:color w:val="auto"/>
        </w:rPr>
        <w:t>Kumar</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20"/>
          <w:szCs w:val="20"/>
          <w:color w:val="auto"/>
        </w:rPr>
        <w:t>AmKumar@oaktreecapital.com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w:t>
      </w:r>
    </w:p>
    <w:p>
      <w:pPr>
        <w:ind w:left="3160"/>
        <w:spacing w:after="0" w:line="235" w:lineRule="auto"/>
        <w:rPr>
          <w:sz w:val="20"/>
          <w:szCs w:val="20"/>
          <w:color w:val="auto"/>
        </w:rPr>
      </w:pPr>
      <w:r>
        <w:rPr>
          <w:rFonts w:ascii="Arial" w:cs="Arial" w:eastAsia="Arial" w:hAnsi="Arial"/>
          <w:sz w:val="21"/>
          <w:szCs w:val="21"/>
          <w:color w:val="auto"/>
        </w:rPr>
        <w:t>Cromwell LLP</w:t>
      </w:r>
    </w:p>
    <w:p>
      <w:pPr>
        <w:ind w:left="3160" w:right="4979" w:firstLine="3"/>
        <w:spacing w:after="0" w:line="269" w:lineRule="auto"/>
        <w:tabs>
          <w:tab w:leader="none" w:pos="3528" w:val="left"/>
        </w:tabs>
        <w:numPr>
          <w:ilvl w:val="0"/>
          <w:numId w:val="69"/>
        </w:numPr>
        <w:rPr>
          <w:rFonts w:ascii="Arial" w:cs="Arial" w:eastAsia="Arial" w:hAnsi="Arial"/>
          <w:sz w:val="19"/>
          <w:szCs w:val="19"/>
          <w:color w:val="auto"/>
        </w:rPr>
      </w:pPr>
      <w:r>
        <w:rPr>
          <w:rFonts w:ascii="Arial" w:cs="Arial" w:eastAsia="Arial" w:hAnsi="Arial"/>
          <w:sz w:val="19"/>
          <w:szCs w:val="19"/>
          <w:color w:val="auto"/>
        </w:rPr>
        <w:t>Broad Street New York,</w:t>
      </w:r>
    </w:p>
    <w:p>
      <w:pPr>
        <w:spacing w:after="0" w:line="211" w:lineRule="exact"/>
        <w:rPr>
          <w:rFonts w:ascii="Arial" w:cs="Arial" w:eastAsia="Arial" w:hAnsi="Arial"/>
          <w:sz w:val="19"/>
          <w:szCs w:val="19"/>
          <w:color w:val="auto"/>
        </w:rPr>
      </w:pPr>
    </w:p>
    <w:p>
      <w:pPr>
        <w:ind w:left="3160" w:right="5099"/>
        <w:spacing w:after="0" w:line="235" w:lineRule="auto"/>
        <w:rPr>
          <w:rFonts w:ascii="Arial" w:cs="Arial" w:eastAsia="Arial" w:hAnsi="Arial"/>
          <w:sz w:val="19"/>
          <w:szCs w:val="19"/>
          <w:color w:val="auto"/>
        </w:rPr>
      </w:pPr>
      <w:r>
        <w:rPr>
          <w:rFonts w:ascii="Arial" w:cs="Arial" w:eastAsia="Arial" w:hAnsi="Arial"/>
          <w:sz w:val="21"/>
          <w:szCs w:val="21"/>
          <w:color w:val="auto"/>
        </w:rPr>
        <w:t>NY 10004 Attn: Ari B. Blaut</w:t>
      </w:r>
    </w:p>
    <w:p>
      <w:pPr>
        <w:ind w:left="3160"/>
        <w:spacing w:after="0"/>
        <w:rPr>
          <w:rFonts w:ascii="Arial" w:cs="Arial" w:eastAsia="Arial" w:hAnsi="Arial"/>
          <w:sz w:val="19"/>
          <w:szCs w:val="19"/>
          <w:color w:val="auto"/>
        </w:rPr>
      </w:pPr>
      <w:r>
        <w:rPr>
          <w:rFonts w:ascii="Arial" w:cs="Arial" w:eastAsia="Arial" w:hAnsi="Arial"/>
          <w:sz w:val="21"/>
          <w:szCs w:val="21"/>
          <w:color w:val="auto"/>
        </w:rPr>
        <w:t>Email: blauta@sullcrom.com</w:t>
      </w:r>
    </w:p>
    <w:p>
      <w:pPr>
        <w:sectPr>
          <w:pgSz w:w="11900" w:h="16838" w:orient="portrait"/>
          <w:cols w:equalWidth="0" w:num="1">
            <w:col w:w="9019"/>
          </w:cols>
          <w:pgMar w:left="1440" w:top="572" w:right="1440" w:bottom="1440" w:gutter="0" w:footer="0" w:header="0"/>
        </w:sect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365760</wp:posOffset>
            </wp:positionV>
            <wp:extent cx="5641975"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5641975" cy="24765"/>
                    </a:xfrm>
                    <a:prstGeom prst="rect">
                      <a:avLst/>
                    </a:prstGeom>
                    <a:noFill/>
                  </pic:spPr>
                </pic:pic>
              </a:graphicData>
            </a:graphic>
          </wp:anchor>
        </w:drawing>
      </w:r>
    </w:p>
    <w:p>
      <w:pPr>
        <w:sectPr>
          <w:pgSz w:w="11900" w:h="16838" w:orient="portrait"/>
          <w:cols w:equalWidth="0" w:num="1">
            <w:col w:w="9019"/>
          </w:cols>
          <w:pgMar w:left="1440" w:top="572" w:right="1440" w:bottom="1440" w:gutter="0" w:footer="0" w:header="0"/>
          <w:type w:val="continuous"/>
        </w:sectPr>
      </w:pPr>
    </w:p>
    <w:bookmarkStart w:id="127" w:name="page128"/>
    <w:bookmarkEnd w:id="127"/>
    <w:p>
      <w:pPr>
        <w:ind w:left="3160"/>
        <w:spacing w:after="0"/>
        <w:rPr>
          <w:sz w:val="20"/>
          <w:szCs w:val="20"/>
          <w:color w:val="auto"/>
        </w:rPr>
      </w:pPr>
      <w:r>
        <w:rPr>
          <w:rFonts w:ascii="Arial" w:cs="Arial" w:eastAsia="Arial" w:hAnsi="Arial"/>
          <w:sz w:val="21"/>
          <w:szCs w:val="21"/>
          <w:b w:val="1"/>
          <w:bCs w:val="1"/>
          <w:color w:val="auto"/>
        </w:rPr>
        <w:t>LENDERS</w:t>
      </w:r>
      <w:r>
        <w:rPr>
          <w:rFonts w:ascii="Arial" w:cs="Arial" w:eastAsia="Arial" w:hAnsi="Arial"/>
          <w:sz w:val="21"/>
          <w:szCs w:val="21"/>
          <w:color w:val="auto"/>
        </w:rPr>
        <w:t>:</w:t>
      </w:r>
    </w:p>
    <w:p>
      <w:pPr>
        <w:spacing w:after="0" w:line="23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OAKTREE-TCDRS STRATEGIC</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CREDIT, LLC</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Capital Management, L.P.</w:t>
      </w:r>
    </w:p>
    <w:p>
      <w:pPr>
        <w:spacing w:after="0" w:line="36"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6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 Administration,</w:t>
      </w:r>
    </w:p>
    <w:p>
      <w:pPr>
        <w:ind w:left="3160"/>
        <w:spacing w:after="0" w:line="235" w:lineRule="auto"/>
        <w:rPr>
          <w:sz w:val="20"/>
          <w:szCs w:val="20"/>
          <w:color w:val="auto"/>
        </w:rPr>
      </w:pPr>
      <w:r>
        <w:rPr>
          <w:rFonts w:ascii="Arial" w:cs="Arial" w:eastAsia="Arial" w:hAnsi="Arial"/>
          <w:sz w:val="21"/>
          <w:szCs w:val="21"/>
          <w:color w:val="auto"/>
        </w:rPr>
        <w:t>LLC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w:t>
      </w:r>
    </w:p>
    <w:p>
      <w:pPr>
        <w:ind w:left="3160"/>
        <w:spacing w:after="0" w:line="235" w:lineRule="auto"/>
        <w:rPr>
          <w:sz w:val="20"/>
          <w:szCs w:val="20"/>
          <w:color w:val="auto"/>
        </w:rPr>
      </w:pPr>
      <w:r>
        <w:rPr>
          <w:rFonts w:ascii="Arial" w:cs="Arial" w:eastAsia="Arial" w:hAnsi="Arial"/>
          <w:sz w:val="21"/>
          <w:szCs w:val="21"/>
          <w:color w:val="auto"/>
        </w:rPr>
        <w:t>Oaktree Agency</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Email: Oaktreeagency@alterdomus.com</w:t>
      </w:r>
    </w:p>
    <w:p>
      <w:pPr>
        <w:spacing w:after="0" w:line="24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 Management,</w:t>
      </w:r>
    </w:p>
    <w:p>
      <w:pPr>
        <w:ind w:left="3160"/>
        <w:spacing w:after="0" w:line="235" w:lineRule="auto"/>
        <w:rPr>
          <w:sz w:val="20"/>
          <w:szCs w:val="20"/>
          <w:color w:val="auto"/>
        </w:rPr>
      </w:pPr>
      <w:r>
        <w:rPr>
          <w:rFonts w:ascii="Arial" w:cs="Arial" w:eastAsia="Arial" w:hAnsi="Arial"/>
          <w:sz w:val="21"/>
          <w:szCs w:val="21"/>
          <w:color w:val="auto"/>
        </w:rPr>
        <w:t>L.P.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 Aman</w:t>
      </w:r>
    </w:p>
    <w:p>
      <w:pPr>
        <w:ind w:left="3160"/>
        <w:spacing w:after="0" w:line="235" w:lineRule="auto"/>
        <w:rPr>
          <w:sz w:val="20"/>
          <w:szCs w:val="20"/>
          <w:color w:val="auto"/>
        </w:rPr>
      </w:pPr>
      <w:r>
        <w:rPr>
          <w:rFonts w:ascii="Arial" w:cs="Arial" w:eastAsia="Arial" w:hAnsi="Arial"/>
          <w:sz w:val="21"/>
          <w:szCs w:val="21"/>
          <w:color w:val="auto"/>
        </w:rPr>
        <w:t>Kumar</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Email: AmKumar@oaktreecapital.com</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 Cromwell</w:t>
      </w:r>
    </w:p>
    <w:p>
      <w:pPr>
        <w:ind w:left="3160"/>
        <w:spacing w:after="0" w:line="235" w:lineRule="auto"/>
        <w:rPr>
          <w:sz w:val="20"/>
          <w:szCs w:val="20"/>
          <w:color w:val="auto"/>
        </w:rPr>
      </w:pPr>
      <w:r>
        <w:rPr>
          <w:rFonts w:ascii="Arial" w:cs="Arial" w:eastAsia="Arial" w:hAnsi="Arial"/>
          <w:sz w:val="21"/>
          <w:szCs w:val="21"/>
          <w:color w:val="auto"/>
        </w:rPr>
        <w:t>LLP 125 Broad Street</w:t>
      </w:r>
    </w:p>
    <w:p>
      <w:pPr>
        <w:ind w:left="3160"/>
        <w:spacing w:after="0" w:line="235" w:lineRule="auto"/>
        <w:rPr>
          <w:sz w:val="20"/>
          <w:szCs w:val="20"/>
          <w:color w:val="auto"/>
        </w:rPr>
      </w:pPr>
      <w:r>
        <w:rPr>
          <w:rFonts w:ascii="Arial" w:cs="Arial" w:eastAsia="Arial" w:hAnsi="Arial"/>
          <w:sz w:val="21"/>
          <w:szCs w:val="21"/>
          <w:color w:val="auto"/>
        </w:rPr>
        <w:t>New York, NY</w:t>
      </w:r>
    </w:p>
    <w:p>
      <w:pPr>
        <w:ind w:left="3160"/>
        <w:spacing w:after="0" w:line="235" w:lineRule="auto"/>
        <w:rPr>
          <w:sz w:val="20"/>
          <w:szCs w:val="20"/>
          <w:color w:val="auto"/>
        </w:rPr>
      </w:pPr>
      <w:r>
        <w:rPr>
          <w:rFonts w:ascii="Arial" w:cs="Arial" w:eastAsia="Arial" w:hAnsi="Arial"/>
          <w:sz w:val="21"/>
          <w:szCs w:val="21"/>
          <w:color w:val="auto"/>
        </w:rPr>
        <w:t>10004 Attn: Ari</w:t>
      </w:r>
    </w:p>
    <w:p>
      <w:pPr>
        <w:ind w:left="3160"/>
        <w:spacing w:after="0" w:line="235" w:lineRule="auto"/>
        <w:rPr>
          <w:sz w:val="20"/>
          <w:szCs w:val="20"/>
          <w:color w:val="auto"/>
        </w:rPr>
      </w:pPr>
      <w:r>
        <w:rPr>
          <w:rFonts w:ascii="Arial" w:cs="Arial" w:eastAsia="Arial" w:hAnsi="Arial"/>
          <w:sz w:val="21"/>
          <w:szCs w:val="21"/>
          <w:color w:val="auto"/>
        </w:rPr>
        <w:t>B. Blaut</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Email: blauta@sullcrom.com</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358140</wp:posOffset>
            </wp:positionV>
            <wp:extent cx="5641975"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5641975" cy="24765"/>
                    </a:xfrm>
                    <a:prstGeom prst="rect">
                      <a:avLst/>
                    </a:prstGeom>
                    <a:noFill/>
                  </pic:spPr>
                </pic:pic>
              </a:graphicData>
            </a:graphic>
          </wp:anchor>
        </w:drawing>
      </w:r>
    </w:p>
    <w:p>
      <w:pPr>
        <w:sectPr>
          <w:pgSz w:w="11900" w:h="16838" w:orient="portrait"/>
          <w:cols w:equalWidth="0" w:num="1">
            <w:col w:w="9019"/>
          </w:cols>
          <w:pgMar w:left="1440" w:top="572" w:right="1440" w:bottom="1440" w:gutter="0" w:footer="0" w:header="0"/>
        </w:sectPr>
      </w:pPr>
    </w:p>
    <w:bookmarkStart w:id="128" w:name="page129"/>
    <w:bookmarkEnd w:id="128"/>
    <w:p>
      <w:pPr>
        <w:ind w:left="3160"/>
        <w:spacing w:after="0"/>
        <w:rPr>
          <w:sz w:val="20"/>
          <w:szCs w:val="20"/>
          <w:color w:val="auto"/>
        </w:rPr>
      </w:pPr>
      <w:r>
        <w:rPr>
          <w:rFonts w:ascii="Arial" w:cs="Arial" w:eastAsia="Arial" w:hAnsi="Arial"/>
          <w:sz w:val="21"/>
          <w:szCs w:val="21"/>
          <w:b w:val="1"/>
          <w:bCs w:val="1"/>
          <w:color w:val="auto"/>
        </w:rPr>
        <w:t>OAKTREE-FORREST MULTI-</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STRATEGY, LLC</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Capital Management, L.P.</w:t>
      </w:r>
    </w:p>
    <w:p>
      <w:pPr>
        <w:spacing w:after="0" w:line="4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 Administration,</w:t>
      </w:r>
    </w:p>
    <w:p>
      <w:pPr>
        <w:ind w:left="3160"/>
        <w:spacing w:after="0" w:line="235" w:lineRule="auto"/>
        <w:rPr>
          <w:sz w:val="20"/>
          <w:szCs w:val="20"/>
          <w:color w:val="auto"/>
        </w:rPr>
      </w:pPr>
      <w:r>
        <w:rPr>
          <w:rFonts w:ascii="Arial" w:cs="Arial" w:eastAsia="Arial" w:hAnsi="Arial"/>
          <w:sz w:val="21"/>
          <w:szCs w:val="21"/>
          <w:color w:val="auto"/>
        </w:rPr>
        <w:t>LLC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w:t>
      </w:r>
    </w:p>
    <w:p>
      <w:pPr>
        <w:ind w:left="3160"/>
        <w:spacing w:after="0" w:line="235" w:lineRule="auto"/>
        <w:rPr>
          <w:sz w:val="20"/>
          <w:szCs w:val="20"/>
          <w:color w:val="auto"/>
        </w:rPr>
      </w:pPr>
      <w:r>
        <w:rPr>
          <w:rFonts w:ascii="Arial" w:cs="Arial" w:eastAsia="Arial" w:hAnsi="Arial"/>
          <w:sz w:val="21"/>
          <w:szCs w:val="21"/>
          <w:color w:val="auto"/>
        </w:rPr>
        <w:t>Oaktree Agency</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Email: Oaktreeagency@alterdomus.com</w:t>
      </w:r>
    </w:p>
    <w:p>
      <w:pPr>
        <w:spacing w:after="0" w:line="24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 Management,</w:t>
      </w:r>
    </w:p>
    <w:p>
      <w:pPr>
        <w:ind w:left="3160"/>
        <w:spacing w:after="0" w:line="235" w:lineRule="auto"/>
        <w:rPr>
          <w:sz w:val="20"/>
          <w:szCs w:val="20"/>
          <w:color w:val="auto"/>
        </w:rPr>
      </w:pPr>
      <w:r>
        <w:rPr>
          <w:rFonts w:ascii="Arial" w:cs="Arial" w:eastAsia="Arial" w:hAnsi="Arial"/>
          <w:sz w:val="21"/>
          <w:szCs w:val="21"/>
          <w:color w:val="auto"/>
        </w:rPr>
        <w:t>L.P. 333 S. Grand Avenue, 28</w:t>
      </w:r>
      <w:r>
        <w:rPr>
          <w:rFonts w:ascii="Arial" w:cs="Arial" w:eastAsia="Arial" w:hAnsi="Arial"/>
          <w:sz w:val="15"/>
          <w:szCs w:val="15"/>
          <w:color w:val="auto"/>
        </w:rPr>
        <w:t>th</w:t>
      </w:r>
    </w:p>
    <w:p>
      <w:pPr>
        <w:ind w:left="3160"/>
        <w:spacing w:after="0"/>
        <w:rPr>
          <w:sz w:val="20"/>
          <w:szCs w:val="20"/>
          <w:color w:val="auto"/>
        </w:rPr>
      </w:pPr>
      <w:r>
        <w:rPr>
          <w:rFonts w:ascii="Arial" w:cs="Arial" w:eastAsia="Arial" w:hAnsi="Arial"/>
          <w:sz w:val="21"/>
          <w:szCs w:val="21"/>
          <w:color w:val="auto"/>
        </w:rPr>
        <w:t>Fl.</w:t>
      </w:r>
    </w:p>
    <w:p>
      <w:pPr>
        <w:spacing w:after="0" w:line="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Los Angeles, CA</w:t>
      </w:r>
    </w:p>
    <w:p>
      <w:pPr>
        <w:ind w:left="3160"/>
        <w:spacing w:after="0"/>
        <w:rPr>
          <w:sz w:val="20"/>
          <w:szCs w:val="20"/>
          <w:color w:val="auto"/>
        </w:rPr>
      </w:pPr>
      <w:r>
        <w:rPr>
          <w:rFonts w:ascii="Arial" w:cs="Arial" w:eastAsia="Arial" w:hAnsi="Arial"/>
          <w:sz w:val="21"/>
          <w:szCs w:val="21"/>
          <w:color w:val="auto"/>
        </w:rPr>
        <w:t>90071 Attn: Aman</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Kumar</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Email: AmKumar@oaktreecapital.com</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 Cromwell</w:t>
      </w:r>
    </w:p>
    <w:p>
      <w:pPr>
        <w:ind w:left="3160"/>
        <w:spacing w:after="0" w:line="235" w:lineRule="auto"/>
        <w:rPr>
          <w:sz w:val="20"/>
          <w:szCs w:val="20"/>
          <w:color w:val="auto"/>
        </w:rPr>
      </w:pPr>
      <w:r>
        <w:rPr>
          <w:rFonts w:ascii="Arial" w:cs="Arial" w:eastAsia="Arial" w:hAnsi="Arial"/>
          <w:sz w:val="21"/>
          <w:szCs w:val="21"/>
          <w:color w:val="auto"/>
        </w:rPr>
        <w:t>LLP 125 Broad Street</w:t>
      </w:r>
    </w:p>
    <w:p>
      <w:pPr>
        <w:ind w:left="3160"/>
        <w:spacing w:after="0" w:line="235" w:lineRule="auto"/>
        <w:rPr>
          <w:sz w:val="20"/>
          <w:szCs w:val="20"/>
          <w:color w:val="auto"/>
        </w:rPr>
      </w:pPr>
      <w:r>
        <w:rPr>
          <w:rFonts w:ascii="Arial" w:cs="Arial" w:eastAsia="Arial" w:hAnsi="Arial"/>
          <w:sz w:val="21"/>
          <w:szCs w:val="21"/>
          <w:color w:val="auto"/>
        </w:rPr>
        <w:t>New York, NY</w:t>
      </w:r>
    </w:p>
    <w:p>
      <w:pPr>
        <w:ind w:left="3160"/>
        <w:spacing w:after="0" w:line="235" w:lineRule="auto"/>
        <w:rPr>
          <w:sz w:val="20"/>
          <w:szCs w:val="20"/>
          <w:color w:val="auto"/>
        </w:rPr>
      </w:pPr>
      <w:r>
        <w:rPr>
          <w:rFonts w:ascii="Arial" w:cs="Arial" w:eastAsia="Arial" w:hAnsi="Arial"/>
          <w:sz w:val="21"/>
          <w:szCs w:val="21"/>
          <w:color w:val="auto"/>
        </w:rPr>
        <w:t>10004 Attn: Ari</w:t>
      </w:r>
    </w:p>
    <w:p>
      <w:pPr>
        <w:ind w:left="3160"/>
        <w:spacing w:after="0" w:line="235" w:lineRule="auto"/>
        <w:rPr>
          <w:sz w:val="20"/>
          <w:szCs w:val="20"/>
          <w:color w:val="auto"/>
        </w:rPr>
      </w:pPr>
      <w:r>
        <w:rPr>
          <w:rFonts w:ascii="Arial" w:cs="Arial" w:eastAsia="Arial" w:hAnsi="Arial"/>
          <w:sz w:val="21"/>
          <w:szCs w:val="21"/>
          <w:color w:val="auto"/>
        </w:rPr>
        <w:t>B. Blaut</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Email: blauta@sullcrom.com</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367030</wp:posOffset>
            </wp:positionV>
            <wp:extent cx="564197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1006" w:right="1440" w:bottom="1440" w:gutter="0" w:footer="0" w:header="0"/>
        </w:sectPr>
      </w:pPr>
    </w:p>
    <w:bookmarkStart w:id="129" w:name="page130"/>
    <w:bookmarkEnd w:id="129"/>
    <w:p>
      <w:pPr>
        <w:ind w:left="3160"/>
        <w:spacing w:after="0"/>
        <w:rPr>
          <w:sz w:val="20"/>
          <w:szCs w:val="20"/>
          <w:color w:val="auto"/>
        </w:rPr>
      </w:pPr>
      <w:r>
        <w:rPr>
          <w:rFonts w:ascii="Arial" w:cs="Arial" w:eastAsia="Arial" w:hAnsi="Arial"/>
          <w:sz w:val="21"/>
          <w:szCs w:val="21"/>
          <w:b w:val="1"/>
          <w:bCs w:val="1"/>
          <w:color w:val="auto"/>
        </w:rPr>
        <w:t>OAKTREE-TBMR STRATEGIC CREDIT</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FUND C, LLC</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Capital Management, L.P.</w:t>
      </w:r>
    </w:p>
    <w:p>
      <w:pPr>
        <w:spacing w:after="0" w:line="1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6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 Administration,</w:t>
      </w:r>
    </w:p>
    <w:p>
      <w:pPr>
        <w:ind w:left="3160"/>
        <w:spacing w:after="0" w:line="235" w:lineRule="auto"/>
        <w:rPr>
          <w:sz w:val="20"/>
          <w:szCs w:val="20"/>
          <w:color w:val="auto"/>
        </w:rPr>
      </w:pPr>
      <w:r>
        <w:rPr>
          <w:rFonts w:ascii="Arial" w:cs="Arial" w:eastAsia="Arial" w:hAnsi="Arial"/>
          <w:sz w:val="21"/>
          <w:szCs w:val="21"/>
          <w:color w:val="auto"/>
        </w:rPr>
        <w:t>LLC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w:t>
      </w:r>
    </w:p>
    <w:p>
      <w:pPr>
        <w:ind w:left="3160"/>
        <w:spacing w:after="0" w:line="235" w:lineRule="auto"/>
        <w:rPr>
          <w:sz w:val="20"/>
          <w:szCs w:val="20"/>
          <w:color w:val="auto"/>
        </w:rPr>
      </w:pPr>
      <w:r>
        <w:rPr>
          <w:rFonts w:ascii="Arial" w:cs="Arial" w:eastAsia="Arial" w:hAnsi="Arial"/>
          <w:sz w:val="21"/>
          <w:szCs w:val="21"/>
          <w:color w:val="auto"/>
        </w:rPr>
        <w:t>Oaktree Agency</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Oaktreeagency@alterdomus.com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 Management,</w:t>
      </w:r>
    </w:p>
    <w:p>
      <w:pPr>
        <w:ind w:left="3160"/>
        <w:spacing w:after="0" w:line="235" w:lineRule="auto"/>
        <w:rPr>
          <w:sz w:val="20"/>
          <w:szCs w:val="20"/>
          <w:color w:val="auto"/>
        </w:rPr>
      </w:pPr>
      <w:r>
        <w:rPr>
          <w:rFonts w:ascii="Arial" w:cs="Arial" w:eastAsia="Arial" w:hAnsi="Arial"/>
          <w:sz w:val="21"/>
          <w:szCs w:val="21"/>
          <w:color w:val="auto"/>
        </w:rPr>
        <w:t>L.P.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 Aman</w:t>
      </w:r>
    </w:p>
    <w:p>
      <w:pPr>
        <w:ind w:left="3160"/>
        <w:spacing w:after="0" w:line="235" w:lineRule="auto"/>
        <w:rPr>
          <w:sz w:val="20"/>
          <w:szCs w:val="20"/>
          <w:color w:val="auto"/>
        </w:rPr>
      </w:pPr>
      <w:r>
        <w:rPr>
          <w:rFonts w:ascii="Arial" w:cs="Arial" w:eastAsia="Arial" w:hAnsi="Arial"/>
          <w:sz w:val="21"/>
          <w:szCs w:val="21"/>
          <w:color w:val="auto"/>
        </w:rPr>
        <w:t>Kumar</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AmKumar@oaktreecapital.com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 Cromwell</w:t>
      </w:r>
    </w:p>
    <w:p>
      <w:pPr>
        <w:ind w:left="3160"/>
        <w:spacing w:after="0" w:line="235" w:lineRule="auto"/>
        <w:rPr>
          <w:sz w:val="20"/>
          <w:szCs w:val="20"/>
          <w:color w:val="auto"/>
        </w:rPr>
      </w:pPr>
      <w:r>
        <w:rPr>
          <w:rFonts w:ascii="Arial" w:cs="Arial" w:eastAsia="Arial" w:hAnsi="Arial"/>
          <w:sz w:val="21"/>
          <w:szCs w:val="21"/>
          <w:color w:val="auto"/>
        </w:rPr>
        <w:t>LLP 125 Broad Street</w:t>
      </w:r>
    </w:p>
    <w:p>
      <w:pPr>
        <w:ind w:left="3160"/>
        <w:spacing w:after="0" w:line="235" w:lineRule="auto"/>
        <w:rPr>
          <w:sz w:val="20"/>
          <w:szCs w:val="20"/>
          <w:color w:val="auto"/>
        </w:rPr>
      </w:pPr>
      <w:r>
        <w:rPr>
          <w:rFonts w:ascii="Arial" w:cs="Arial" w:eastAsia="Arial" w:hAnsi="Arial"/>
          <w:sz w:val="21"/>
          <w:szCs w:val="21"/>
          <w:color w:val="auto"/>
        </w:rPr>
        <w:t>New York, NY</w:t>
      </w:r>
    </w:p>
    <w:p>
      <w:pPr>
        <w:ind w:left="3160"/>
        <w:spacing w:after="0" w:line="235" w:lineRule="auto"/>
        <w:rPr>
          <w:sz w:val="20"/>
          <w:szCs w:val="20"/>
          <w:color w:val="auto"/>
        </w:rPr>
      </w:pPr>
      <w:r>
        <w:rPr>
          <w:rFonts w:ascii="Arial" w:cs="Arial" w:eastAsia="Arial" w:hAnsi="Arial"/>
          <w:sz w:val="21"/>
          <w:szCs w:val="21"/>
          <w:color w:val="auto"/>
        </w:rPr>
        <w:t>10004 Attn: Ari</w:t>
      </w:r>
    </w:p>
    <w:p>
      <w:pPr>
        <w:ind w:left="3160"/>
        <w:spacing w:after="0" w:line="235" w:lineRule="auto"/>
        <w:rPr>
          <w:sz w:val="20"/>
          <w:szCs w:val="20"/>
          <w:color w:val="auto"/>
        </w:rPr>
      </w:pPr>
      <w:r>
        <w:rPr>
          <w:rFonts w:ascii="Arial" w:cs="Arial" w:eastAsia="Arial" w:hAnsi="Arial"/>
          <w:sz w:val="21"/>
          <w:szCs w:val="21"/>
          <w:color w:val="auto"/>
        </w:rPr>
        <w:t>B. Blaut</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Email: blauta@sullcrom.com</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358140</wp:posOffset>
            </wp:positionV>
            <wp:extent cx="5641975"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5641975" cy="2476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130" w:name="page131"/>
    <w:bookmarkEnd w:id="130"/>
    <w:p>
      <w:pPr>
        <w:ind w:left="3160"/>
        <w:spacing w:after="0"/>
        <w:rPr>
          <w:sz w:val="20"/>
          <w:szCs w:val="20"/>
          <w:color w:val="auto"/>
        </w:rPr>
      </w:pPr>
      <w:r>
        <w:rPr>
          <w:rFonts w:ascii="Arial" w:cs="Arial" w:eastAsia="Arial" w:hAnsi="Arial"/>
          <w:sz w:val="21"/>
          <w:szCs w:val="21"/>
          <w:b w:val="1"/>
          <w:bCs w:val="1"/>
          <w:color w:val="auto"/>
        </w:rPr>
        <w:t>OAKTREE-TBMR STRATEGIC CREDIT</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FUND F, LLC</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Capital Management, L.P.</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 Administration,</w:t>
      </w:r>
    </w:p>
    <w:p>
      <w:pPr>
        <w:ind w:left="3160"/>
        <w:spacing w:after="0" w:line="235" w:lineRule="auto"/>
        <w:rPr>
          <w:sz w:val="20"/>
          <w:szCs w:val="20"/>
          <w:color w:val="auto"/>
        </w:rPr>
      </w:pPr>
      <w:r>
        <w:rPr>
          <w:rFonts w:ascii="Arial" w:cs="Arial" w:eastAsia="Arial" w:hAnsi="Arial"/>
          <w:sz w:val="21"/>
          <w:szCs w:val="21"/>
          <w:color w:val="auto"/>
        </w:rPr>
        <w:t>LLC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w:t>
      </w:r>
    </w:p>
    <w:p>
      <w:pPr>
        <w:ind w:left="3160"/>
        <w:spacing w:after="0" w:line="235" w:lineRule="auto"/>
        <w:rPr>
          <w:sz w:val="20"/>
          <w:szCs w:val="20"/>
          <w:color w:val="auto"/>
        </w:rPr>
      </w:pPr>
      <w:r>
        <w:rPr>
          <w:rFonts w:ascii="Arial" w:cs="Arial" w:eastAsia="Arial" w:hAnsi="Arial"/>
          <w:sz w:val="21"/>
          <w:szCs w:val="21"/>
          <w:color w:val="auto"/>
        </w:rPr>
        <w:t>Oaktree Agency</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Oaktreeagency@alterdomus.com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 Management,</w:t>
      </w:r>
    </w:p>
    <w:p>
      <w:pPr>
        <w:ind w:left="3160"/>
        <w:spacing w:after="0" w:line="235" w:lineRule="auto"/>
        <w:rPr>
          <w:sz w:val="20"/>
          <w:szCs w:val="20"/>
          <w:color w:val="auto"/>
        </w:rPr>
      </w:pPr>
      <w:r>
        <w:rPr>
          <w:rFonts w:ascii="Arial" w:cs="Arial" w:eastAsia="Arial" w:hAnsi="Arial"/>
          <w:sz w:val="21"/>
          <w:szCs w:val="21"/>
          <w:color w:val="auto"/>
        </w:rPr>
        <w:t>L.P.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 Aman</w:t>
      </w:r>
    </w:p>
    <w:p>
      <w:pPr>
        <w:ind w:left="3160"/>
        <w:spacing w:after="0" w:line="235" w:lineRule="auto"/>
        <w:rPr>
          <w:sz w:val="20"/>
          <w:szCs w:val="20"/>
          <w:color w:val="auto"/>
        </w:rPr>
      </w:pPr>
      <w:r>
        <w:rPr>
          <w:rFonts w:ascii="Arial" w:cs="Arial" w:eastAsia="Arial" w:hAnsi="Arial"/>
          <w:sz w:val="21"/>
          <w:szCs w:val="21"/>
          <w:color w:val="auto"/>
        </w:rPr>
        <w:t>Kumar</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AmKumar@oaktreecapital.com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 Cromwell</w:t>
      </w:r>
    </w:p>
    <w:p>
      <w:pPr>
        <w:ind w:left="3160"/>
        <w:spacing w:after="0" w:line="235" w:lineRule="auto"/>
        <w:rPr>
          <w:sz w:val="20"/>
          <w:szCs w:val="20"/>
          <w:color w:val="auto"/>
        </w:rPr>
      </w:pPr>
      <w:r>
        <w:rPr>
          <w:rFonts w:ascii="Arial" w:cs="Arial" w:eastAsia="Arial" w:hAnsi="Arial"/>
          <w:sz w:val="21"/>
          <w:szCs w:val="21"/>
          <w:color w:val="auto"/>
        </w:rPr>
        <w:t>LLP 125 Broad Street</w:t>
      </w:r>
    </w:p>
    <w:p>
      <w:pPr>
        <w:ind w:left="3160"/>
        <w:spacing w:after="0" w:line="235" w:lineRule="auto"/>
        <w:rPr>
          <w:sz w:val="20"/>
          <w:szCs w:val="20"/>
          <w:color w:val="auto"/>
        </w:rPr>
      </w:pPr>
      <w:r>
        <w:rPr>
          <w:rFonts w:ascii="Arial" w:cs="Arial" w:eastAsia="Arial" w:hAnsi="Arial"/>
          <w:sz w:val="21"/>
          <w:szCs w:val="21"/>
          <w:color w:val="auto"/>
        </w:rPr>
        <w:t>New York, NY</w:t>
      </w:r>
    </w:p>
    <w:p>
      <w:pPr>
        <w:ind w:left="3160"/>
        <w:spacing w:after="0" w:line="235" w:lineRule="auto"/>
        <w:rPr>
          <w:sz w:val="20"/>
          <w:szCs w:val="20"/>
          <w:color w:val="auto"/>
        </w:rPr>
      </w:pPr>
      <w:r>
        <w:rPr>
          <w:rFonts w:ascii="Arial" w:cs="Arial" w:eastAsia="Arial" w:hAnsi="Arial"/>
          <w:sz w:val="21"/>
          <w:szCs w:val="21"/>
          <w:color w:val="auto"/>
        </w:rPr>
        <w:t>10004 Attn: Ari</w:t>
      </w:r>
    </w:p>
    <w:p>
      <w:pPr>
        <w:ind w:left="3160"/>
        <w:spacing w:after="0" w:line="235" w:lineRule="auto"/>
        <w:rPr>
          <w:sz w:val="20"/>
          <w:szCs w:val="20"/>
          <w:color w:val="auto"/>
        </w:rPr>
      </w:pPr>
      <w:r>
        <w:rPr>
          <w:rFonts w:ascii="Arial" w:cs="Arial" w:eastAsia="Arial" w:hAnsi="Arial"/>
          <w:sz w:val="21"/>
          <w:szCs w:val="21"/>
          <w:color w:val="auto"/>
        </w:rPr>
        <w:t>B. Blaut</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Email: blauta@sullcrom.com</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367030</wp:posOffset>
            </wp:positionV>
            <wp:extent cx="564197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131" w:name="page132"/>
    <w:bookmarkEnd w:id="131"/>
    <w:p>
      <w:pPr>
        <w:ind w:left="3160"/>
        <w:spacing w:after="0"/>
        <w:rPr>
          <w:sz w:val="20"/>
          <w:szCs w:val="20"/>
          <w:color w:val="auto"/>
        </w:rPr>
      </w:pPr>
      <w:r>
        <w:rPr>
          <w:rFonts w:ascii="Arial" w:cs="Arial" w:eastAsia="Arial" w:hAnsi="Arial"/>
          <w:sz w:val="21"/>
          <w:szCs w:val="21"/>
          <w:b w:val="1"/>
          <w:bCs w:val="1"/>
          <w:color w:val="auto"/>
        </w:rPr>
        <w:t>OAKTREE-TBMR STRATEGIC CREDIT</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FUND G, LLC</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Capital Management, L.P.</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 Administration,</w:t>
      </w:r>
    </w:p>
    <w:p>
      <w:pPr>
        <w:ind w:left="3160"/>
        <w:spacing w:after="0" w:line="235" w:lineRule="auto"/>
        <w:rPr>
          <w:sz w:val="20"/>
          <w:szCs w:val="20"/>
          <w:color w:val="auto"/>
        </w:rPr>
      </w:pPr>
      <w:r>
        <w:rPr>
          <w:rFonts w:ascii="Arial" w:cs="Arial" w:eastAsia="Arial" w:hAnsi="Arial"/>
          <w:sz w:val="21"/>
          <w:szCs w:val="21"/>
          <w:color w:val="auto"/>
        </w:rPr>
        <w:t>LLC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w:t>
      </w:r>
    </w:p>
    <w:p>
      <w:pPr>
        <w:ind w:left="3160"/>
        <w:spacing w:after="0" w:line="235" w:lineRule="auto"/>
        <w:rPr>
          <w:sz w:val="20"/>
          <w:szCs w:val="20"/>
          <w:color w:val="auto"/>
        </w:rPr>
      </w:pPr>
      <w:r>
        <w:rPr>
          <w:rFonts w:ascii="Arial" w:cs="Arial" w:eastAsia="Arial" w:hAnsi="Arial"/>
          <w:sz w:val="21"/>
          <w:szCs w:val="21"/>
          <w:color w:val="auto"/>
        </w:rPr>
        <w:t>Oaktree Agency</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Oaktreeagency@alterdomus.com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 Management,</w:t>
      </w:r>
    </w:p>
    <w:p>
      <w:pPr>
        <w:ind w:left="3160"/>
        <w:spacing w:after="0" w:line="235" w:lineRule="auto"/>
        <w:rPr>
          <w:sz w:val="20"/>
          <w:szCs w:val="20"/>
          <w:color w:val="auto"/>
        </w:rPr>
      </w:pPr>
      <w:r>
        <w:rPr>
          <w:rFonts w:ascii="Arial" w:cs="Arial" w:eastAsia="Arial" w:hAnsi="Arial"/>
          <w:sz w:val="21"/>
          <w:szCs w:val="21"/>
          <w:color w:val="auto"/>
        </w:rPr>
        <w:t>L.P.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 Aman</w:t>
      </w:r>
    </w:p>
    <w:p>
      <w:pPr>
        <w:ind w:left="3160"/>
        <w:spacing w:after="0" w:line="235" w:lineRule="auto"/>
        <w:rPr>
          <w:sz w:val="20"/>
          <w:szCs w:val="20"/>
          <w:color w:val="auto"/>
        </w:rPr>
      </w:pPr>
      <w:r>
        <w:rPr>
          <w:rFonts w:ascii="Arial" w:cs="Arial" w:eastAsia="Arial" w:hAnsi="Arial"/>
          <w:sz w:val="21"/>
          <w:szCs w:val="21"/>
          <w:color w:val="auto"/>
        </w:rPr>
        <w:t>Kumar</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AmKumar@oaktreecapital.com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 Cromwell</w:t>
      </w:r>
    </w:p>
    <w:p>
      <w:pPr>
        <w:ind w:left="3160"/>
        <w:spacing w:after="0" w:line="235" w:lineRule="auto"/>
        <w:rPr>
          <w:sz w:val="20"/>
          <w:szCs w:val="20"/>
          <w:color w:val="auto"/>
        </w:rPr>
      </w:pPr>
      <w:r>
        <w:rPr>
          <w:rFonts w:ascii="Arial" w:cs="Arial" w:eastAsia="Arial" w:hAnsi="Arial"/>
          <w:sz w:val="21"/>
          <w:szCs w:val="21"/>
          <w:color w:val="auto"/>
        </w:rPr>
        <w:t>LLP 125 Broad Street</w:t>
      </w:r>
    </w:p>
    <w:p>
      <w:pPr>
        <w:ind w:left="3160"/>
        <w:spacing w:after="0" w:line="235" w:lineRule="auto"/>
        <w:rPr>
          <w:sz w:val="20"/>
          <w:szCs w:val="20"/>
          <w:color w:val="auto"/>
        </w:rPr>
      </w:pPr>
      <w:r>
        <w:rPr>
          <w:rFonts w:ascii="Arial" w:cs="Arial" w:eastAsia="Arial" w:hAnsi="Arial"/>
          <w:sz w:val="21"/>
          <w:szCs w:val="21"/>
          <w:color w:val="auto"/>
        </w:rPr>
        <w:t>New York, NY</w:t>
      </w:r>
    </w:p>
    <w:p>
      <w:pPr>
        <w:ind w:left="3160"/>
        <w:spacing w:after="0" w:line="235" w:lineRule="auto"/>
        <w:rPr>
          <w:sz w:val="20"/>
          <w:szCs w:val="20"/>
          <w:color w:val="auto"/>
        </w:rPr>
      </w:pPr>
      <w:r>
        <w:rPr>
          <w:rFonts w:ascii="Arial" w:cs="Arial" w:eastAsia="Arial" w:hAnsi="Arial"/>
          <w:sz w:val="21"/>
          <w:szCs w:val="21"/>
          <w:color w:val="auto"/>
        </w:rPr>
        <w:t>10004 Attn: Ari</w:t>
      </w:r>
    </w:p>
    <w:p>
      <w:pPr>
        <w:ind w:left="3160"/>
        <w:spacing w:after="0" w:line="235" w:lineRule="auto"/>
        <w:rPr>
          <w:sz w:val="20"/>
          <w:szCs w:val="20"/>
          <w:color w:val="auto"/>
        </w:rPr>
      </w:pPr>
      <w:r>
        <w:rPr>
          <w:rFonts w:ascii="Arial" w:cs="Arial" w:eastAsia="Arial" w:hAnsi="Arial"/>
          <w:sz w:val="21"/>
          <w:szCs w:val="21"/>
          <w:color w:val="auto"/>
        </w:rPr>
        <w:t>B. Blaut</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Email: blauta@sullcrom.com</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367030</wp:posOffset>
            </wp:positionV>
            <wp:extent cx="564197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132" w:name="page133"/>
    <w:bookmarkEnd w:id="132"/>
    <w:p>
      <w:pPr>
        <w:ind w:left="3160"/>
        <w:spacing w:after="0"/>
        <w:rPr>
          <w:sz w:val="20"/>
          <w:szCs w:val="20"/>
          <w:color w:val="auto"/>
        </w:rPr>
      </w:pPr>
      <w:r>
        <w:rPr>
          <w:rFonts w:ascii="Arial" w:cs="Arial" w:eastAsia="Arial" w:hAnsi="Arial"/>
          <w:sz w:val="20"/>
          <w:szCs w:val="20"/>
          <w:b w:val="1"/>
          <w:bCs w:val="1"/>
          <w:color w:val="auto"/>
        </w:rPr>
        <w:t>OAKTREE-TSE 16 STRATEGIC CREDIT,</w:t>
      </w:r>
    </w:p>
    <w:p>
      <w:pPr>
        <w:spacing w:after="0" w:line="31"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LLC</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Capital Management, L.P.</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 Administration,</w:t>
      </w:r>
    </w:p>
    <w:p>
      <w:pPr>
        <w:ind w:left="3160"/>
        <w:spacing w:after="0" w:line="235" w:lineRule="auto"/>
        <w:rPr>
          <w:sz w:val="20"/>
          <w:szCs w:val="20"/>
          <w:color w:val="auto"/>
        </w:rPr>
      </w:pPr>
      <w:r>
        <w:rPr>
          <w:rFonts w:ascii="Arial" w:cs="Arial" w:eastAsia="Arial" w:hAnsi="Arial"/>
          <w:sz w:val="21"/>
          <w:szCs w:val="21"/>
          <w:color w:val="auto"/>
        </w:rPr>
        <w:t>LLC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w:t>
      </w:r>
    </w:p>
    <w:p>
      <w:pPr>
        <w:ind w:left="3160"/>
        <w:spacing w:after="0" w:line="235" w:lineRule="auto"/>
        <w:rPr>
          <w:sz w:val="20"/>
          <w:szCs w:val="20"/>
          <w:color w:val="auto"/>
        </w:rPr>
      </w:pPr>
      <w:r>
        <w:rPr>
          <w:rFonts w:ascii="Arial" w:cs="Arial" w:eastAsia="Arial" w:hAnsi="Arial"/>
          <w:sz w:val="21"/>
          <w:szCs w:val="21"/>
          <w:color w:val="auto"/>
        </w:rPr>
        <w:t>Oaktree Agency</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Oaktreeagency@alterdomus.com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 Management,</w:t>
      </w:r>
    </w:p>
    <w:p>
      <w:pPr>
        <w:ind w:left="3160"/>
        <w:spacing w:after="0" w:line="235" w:lineRule="auto"/>
        <w:rPr>
          <w:sz w:val="20"/>
          <w:szCs w:val="20"/>
          <w:color w:val="auto"/>
        </w:rPr>
      </w:pPr>
      <w:r>
        <w:rPr>
          <w:rFonts w:ascii="Arial" w:cs="Arial" w:eastAsia="Arial" w:hAnsi="Arial"/>
          <w:sz w:val="21"/>
          <w:szCs w:val="21"/>
          <w:color w:val="auto"/>
        </w:rPr>
        <w:t>L.P.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 Aman</w:t>
      </w:r>
    </w:p>
    <w:p>
      <w:pPr>
        <w:ind w:left="3160"/>
        <w:spacing w:after="0" w:line="235" w:lineRule="auto"/>
        <w:rPr>
          <w:sz w:val="20"/>
          <w:szCs w:val="20"/>
          <w:color w:val="auto"/>
        </w:rPr>
      </w:pPr>
      <w:r>
        <w:rPr>
          <w:rFonts w:ascii="Arial" w:cs="Arial" w:eastAsia="Arial" w:hAnsi="Arial"/>
          <w:sz w:val="21"/>
          <w:szCs w:val="21"/>
          <w:color w:val="auto"/>
        </w:rPr>
        <w:t>Kumar</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Email: AmKumar@oaktreecapital.com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 Cromwell</w:t>
      </w:r>
    </w:p>
    <w:p>
      <w:pPr>
        <w:ind w:left="3160"/>
        <w:spacing w:after="0" w:line="235" w:lineRule="auto"/>
        <w:rPr>
          <w:sz w:val="20"/>
          <w:szCs w:val="20"/>
          <w:color w:val="auto"/>
        </w:rPr>
      </w:pPr>
      <w:r>
        <w:rPr>
          <w:rFonts w:ascii="Arial" w:cs="Arial" w:eastAsia="Arial" w:hAnsi="Arial"/>
          <w:sz w:val="21"/>
          <w:szCs w:val="21"/>
          <w:color w:val="auto"/>
        </w:rPr>
        <w:t>LLP 125 Broad Street</w:t>
      </w:r>
    </w:p>
    <w:p>
      <w:pPr>
        <w:ind w:left="3160"/>
        <w:spacing w:after="0" w:line="235" w:lineRule="auto"/>
        <w:rPr>
          <w:sz w:val="20"/>
          <w:szCs w:val="20"/>
          <w:color w:val="auto"/>
        </w:rPr>
      </w:pPr>
      <w:r>
        <w:rPr>
          <w:rFonts w:ascii="Arial" w:cs="Arial" w:eastAsia="Arial" w:hAnsi="Arial"/>
          <w:sz w:val="21"/>
          <w:szCs w:val="21"/>
          <w:color w:val="auto"/>
        </w:rPr>
        <w:t>New York, NY</w:t>
      </w:r>
    </w:p>
    <w:p>
      <w:pPr>
        <w:ind w:left="3160"/>
        <w:spacing w:after="0" w:line="235" w:lineRule="auto"/>
        <w:rPr>
          <w:sz w:val="20"/>
          <w:szCs w:val="20"/>
          <w:color w:val="auto"/>
        </w:rPr>
      </w:pPr>
      <w:r>
        <w:rPr>
          <w:rFonts w:ascii="Arial" w:cs="Arial" w:eastAsia="Arial" w:hAnsi="Arial"/>
          <w:sz w:val="21"/>
          <w:szCs w:val="21"/>
          <w:color w:val="auto"/>
        </w:rPr>
        <w:t>10004 Attn: Ari</w:t>
      </w:r>
    </w:p>
    <w:p>
      <w:pPr>
        <w:ind w:left="3160"/>
        <w:spacing w:after="0" w:line="235" w:lineRule="auto"/>
        <w:rPr>
          <w:sz w:val="20"/>
          <w:szCs w:val="20"/>
          <w:color w:val="auto"/>
        </w:rPr>
      </w:pPr>
      <w:r>
        <w:rPr>
          <w:rFonts w:ascii="Arial" w:cs="Arial" w:eastAsia="Arial" w:hAnsi="Arial"/>
          <w:sz w:val="21"/>
          <w:szCs w:val="21"/>
          <w:color w:val="auto"/>
        </w:rPr>
        <w:t>B. Blaut</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Email: blauta@sullcrom.com</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367030</wp:posOffset>
            </wp:positionV>
            <wp:extent cx="564197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133" w:name="page134"/>
    <w:bookmarkEnd w:id="133"/>
    <w:p>
      <w:pPr>
        <w:ind w:left="3160"/>
        <w:spacing w:after="0"/>
        <w:rPr>
          <w:sz w:val="20"/>
          <w:szCs w:val="20"/>
          <w:color w:val="auto"/>
        </w:rPr>
      </w:pPr>
      <w:r>
        <w:rPr>
          <w:rFonts w:ascii="Arial" w:cs="Arial" w:eastAsia="Arial" w:hAnsi="Arial"/>
          <w:sz w:val="21"/>
          <w:szCs w:val="21"/>
          <w:b w:val="1"/>
          <w:bCs w:val="1"/>
          <w:color w:val="auto"/>
        </w:rPr>
        <w:t>INPRS STRATEGIC CREDIT</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HOLDINGS, LLC</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Capital Management, L.P.</w:t>
      </w:r>
    </w:p>
    <w:p>
      <w:pPr>
        <w:spacing w:after="0" w:line="4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2294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 Administration,</w:t>
      </w:r>
    </w:p>
    <w:p>
      <w:pPr>
        <w:ind w:left="3160"/>
        <w:spacing w:after="0" w:line="235" w:lineRule="auto"/>
        <w:rPr>
          <w:sz w:val="20"/>
          <w:szCs w:val="20"/>
          <w:color w:val="auto"/>
        </w:rPr>
      </w:pPr>
      <w:r>
        <w:rPr>
          <w:rFonts w:ascii="Arial" w:cs="Arial" w:eastAsia="Arial" w:hAnsi="Arial"/>
          <w:sz w:val="21"/>
          <w:szCs w:val="21"/>
          <w:color w:val="auto"/>
        </w:rPr>
        <w:t>LLC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w:t>
      </w:r>
    </w:p>
    <w:p>
      <w:pPr>
        <w:ind w:left="3160"/>
        <w:spacing w:after="0" w:line="235" w:lineRule="auto"/>
        <w:rPr>
          <w:sz w:val="20"/>
          <w:szCs w:val="20"/>
          <w:color w:val="auto"/>
        </w:rPr>
      </w:pPr>
      <w:r>
        <w:rPr>
          <w:rFonts w:ascii="Arial" w:cs="Arial" w:eastAsia="Arial" w:hAnsi="Arial"/>
          <w:sz w:val="21"/>
          <w:szCs w:val="21"/>
          <w:color w:val="auto"/>
        </w:rPr>
        <w:t>Oaktree Agency</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Email: Oaktreeagency@alterdomus.com</w:t>
      </w:r>
    </w:p>
    <w:p>
      <w:pPr>
        <w:spacing w:after="0" w:line="24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 Management,</w:t>
      </w:r>
    </w:p>
    <w:p>
      <w:pPr>
        <w:ind w:left="3160"/>
        <w:spacing w:after="0" w:line="235" w:lineRule="auto"/>
        <w:rPr>
          <w:sz w:val="20"/>
          <w:szCs w:val="20"/>
          <w:color w:val="auto"/>
        </w:rPr>
      </w:pPr>
      <w:r>
        <w:rPr>
          <w:rFonts w:ascii="Arial" w:cs="Arial" w:eastAsia="Arial" w:hAnsi="Arial"/>
          <w:sz w:val="21"/>
          <w:szCs w:val="21"/>
          <w:color w:val="auto"/>
        </w:rPr>
        <w:t>L.P. 333 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 Angeles, CA</w:t>
      </w:r>
    </w:p>
    <w:p>
      <w:pPr>
        <w:ind w:left="3160"/>
        <w:spacing w:after="0" w:line="235" w:lineRule="auto"/>
        <w:rPr>
          <w:sz w:val="20"/>
          <w:szCs w:val="20"/>
          <w:color w:val="auto"/>
        </w:rPr>
      </w:pPr>
      <w:r>
        <w:rPr>
          <w:rFonts w:ascii="Arial" w:cs="Arial" w:eastAsia="Arial" w:hAnsi="Arial"/>
          <w:sz w:val="21"/>
          <w:szCs w:val="21"/>
          <w:color w:val="auto"/>
        </w:rPr>
        <w:t>90071 Attn: Aman</w:t>
      </w:r>
    </w:p>
    <w:p>
      <w:pPr>
        <w:ind w:left="3160"/>
        <w:spacing w:after="0" w:line="235" w:lineRule="auto"/>
        <w:rPr>
          <w:sz w:val="20"/>
          <w:szCs w:val="20"/>
          <w:color w:val="auto"/>
        </w:rPr>
      </w:pPr>
      <w:r>
        <w:rPr>
          <w:rFonts w:ascii="Arial" w:cs="Arial" w:eastAsia="Arial" w:hAnsi="Arial"/>
          <w:sz w:val="21"/>
          <w:szCs w:val="21"/>
          <w:color w:val="auto"/>
        </w:rPr>
        <w:t>Kumar</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Email: AmKumar@oaktreecapital.com</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 Cromwell</w:t>
      </w:r>
    </w:p>
    <w:p>
      <w:pPr>
        <w:ind w:left="3160"/>
        <w:spacing w:after="0" w:line="235" w:lineRule="auto"/>
        <w:rPr>
          <w:sz w:val="20"/>
          <w:szCs w:val="20"/>
          <w:color w:val="auto"/>
        </w:rPr>
      </w:pPr>
      <w:r>
        <w:rPr>
          <w:rFonts w:ascii="Arial" w:cs="Arial" w:eastAsia="Arial" w:hAnsi="Arial"/>
          <w:sz w:val="21"/>
          <w:szCs w:val="21"/>
          <w:color w:val="auto"/>
        </w:rPr>
        <w:t>LLP 125 Broad Street</w:t>
      </w:r>
    </w:p>
    <w:p>
      <w:pPr>
        <w:ind w:left="3160"/>
        <w:spacing w:after="0" w:line="235" w:lineRule="auto"/>
        <w:rPr>
          <w:sz w:val="20"/>
          <w:szCs w:val="20"/>
          <w:color w:val="auto"/>
        </w:rPr>
      </w:pPr>
      <w:r>
        <w:rPr>
          <w:rFonts w:ascii="Arial" w:cs="Arial" w:eastAsia="Arial" w:hAnsi="Arial"/>
          <w:sz w:val="21"/>
          <w:szCs w:val="21"/>
          <w:color w:val="auto"/>
        </w:rPr>
        <w:t>New York, NY</w:t>
      </w:r>
    </w:p>
    <w:p>
      <w:pPr>
        <w:ind w:left="3160"/>
        <w:spacing w:after="0" w:line="235" w:lineRule="auto"/>
        <w:rPr>
          <w:sz w:val="20"/>
          <w:szCs w:val="20"/>
          <w:color w:val="auto"/>
        </w:rPr>
      </w:pPr>
      <w:r>
        <w:rPr>
          <w:rFonts w:ascii="Arial" w:cs="Arial" w:eastAsia="Arial" w:hAnsi="Arial"/>
          <w:sz w:val="21"/>
          <w:szCs w:val="21"/>
          <w:color w:val="auto"/>
        </w:rPr>
        <w:t>10004 Attn: Ari</w:t>
      </w:r>
    </w:p>
    <w:p>
      <w:pPr>
        <w:ind w:left="3160"/>
        <w:spacing w:after="0" w:line="235" w:lineRule="auto"/>
        <w:rPr>
          <w:sz w:val="20"/>
          <w:szCs w:val="20"/>
          <w:color w:val="auto"/>
        </w:rPr>
      </w:pPr>
      <w:r>
        <w:rPr>
          <w:rFonts w:ascii="Arial" w:cs="Arial" w:eastAsia="Arial" w:hAnsi="Arial"/>
          <w:sz w:val="21"/>
          <w:szCs w:val="21"/>
          <w:color w:val="auto"/>
        </w:rPr>
        <w:t>B. Blaut</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Email: blauta@sullcrom.com</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367030</wp:posOffset>
            </wp:positionV>
            <wp:extent cx="564197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134" w:name="page135"/>
    <w:bookmarkEnd w:id="134"/>
    <w:p>
      <w:pPr>
        <w:ind w:left="3160"/>
        <w:spacing w:after="0"/>
        <w:rPr>
          <w:sz w:val="20"/>
          <w:szCs w:val="20"/>
          <w:color w:val="auto"/>
        </w:rPr>
      </w:pPr>
      <w:r>
        <w:rPr>
          <w:rFonts w:ascii="Arial" w:cs="Arial" w:eastAsia="Arial" w:hAnsi="Arial"/>
          <w:sz w:val="21"/>
          <w:szCs w:val="21"/>
          <w:b w:val="1"/>
          <w:bCs w:val="1"/>
          <w:color w:val="auto"/>
        </w:rPr>
        <w:t>OAKTREE SPECIALTY</w:t>
      </w:r>
    </w:p>
    <w:p>
      <w:pPr>
        <w:spacing w:after="0" w:line="6"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LENDING CORPORATION</w:t>
      </w:r>
    </w:p>
    <w:p>
      <w:pPr>
        <w:spacing w:after="0" w:line="82"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Fund Advisors, LLC</w:t>
      </w:r>
    </w:p>
    <w:p>
      <w:pPr>
        <w:spacing w:after="0" w:line="4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Investment Advisor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w:t>
      </w:r>
    </w:p>
    <w:p>
      <w:pPr>
        <w:ind w:left="3160"/>
        <w:spacing w:after="0" w:line="235" w:lineRule="auto"/>
        <w:rPr>
          <w:sz w:val="20"/>
          <w:szCs w:val="20"/>
          <w:color w:val="auto"/>
        </w:rPr>
      </w:pPr>
      <w:r>
        <w:rPr>
          <w:rFonts w:ascii="Arial" w:cs="Arial" w:eastAsia="Arial" w:hAnsi="Arial"/>
          <w:sz w:val="21"/>
          <w:szCs w:val="21"/>
          <w:color w:val="auto"/>
        </w:rPr>
        <w:t>Administration, LLC</w:t>
      </w:r>
    </w:p>
    <w:p>
      <w:pPr>
        <w:ind w:left="3160"/>
        <w:spacing w:after="0" w:line="235" w:lineRule="auto"/>
        <w:rPr>
          <w:sz w:val="20"/>
          <w:szCs w:val="20"/>
          <w:color w:val="auto"/>
        </w:rPr>
      </w:pPr>
      <w:r>
        <w:rPr>
          <w:rFonts w:ascii="Arial" w:cs="Arial" w:eastAsia="Arial" w:hAnsi="Arial"/>
          <w:sz w:val="21"/>
          <w:szCs w:val="21"/>
          <w:color w:val="auto"/>
        </w:rPr>
        <w:t>333 S. Grand Avenue,</w:t>
      </w:r>
    </w:p>
    <w:p>
      <w:pPr>
        <w:ind w:left="31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Oaktree</w:t>
      </w:r>
    </w:p>
    <w:p>
      <w:pPr>
        <w:ind w:left="3160"/>
        <w:spacing w:after="0" w:line="235" w:lineRule="auto"/>
        <w:rPr>
          <w:sz w:val="20"/>
          <w:szCs w:val="20"/>
          <w:color w:val="auto"/>
        </w:rPr>
      </w:pPr>
      <w:r>
        <w:rPr>
          <w:rFonts w:ascii="Arial" w:cs="Arial" w:eastAsia="Arial" w:hAnsi="Arial"/>
          <w:sz w:val="21"/>
          <w:szCs w:val="21"/>
          <w:color w:val="auto"/>
        </w:rPr>
        <w:t>Agency</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18"/>
          <w:szCs w:val="18"/>
          <w:color w:val="auto"/>
        </w:rPr>
        <w:t>Oaktreeagency@alterdomus.com</w:t>
      </w:r>
    </w:p>
    <w:p>
      <w:pPr>
        <w:spacing w:after="0" w:line="24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w:t>
      </w:r>
    </w:p>
    <w:p>
      <w:pPr>
        <w:ind w:left="3160"/>
        <w:spacing w:after="0" w:line="235" w:lineRule="auto"/>
        <w:rPr>
          <w:sz w:val="20"/>
          <w:szCs w:val="20"/>
          <w:color w:val="auto"/>
        </w:rPr>
      </w:pPr>
      <w:r>
        <w:rPr>
          <w:rFonts w:ascii="Arial" w:cs="Arial" w:eastAsia="Arial" w:hAnsi="Arial"/>
          <w:sz w:val="21"/>
          <w:szCs w:val="21"/>
          <w:color w:val="auto"/>
        </w:rPr>
        <w:t>Management, L.P. 333</w:t>
      </w:r>
    </w:p>
    <w:p>
      <w:pPr>
        <w:ind w:left="31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Aman</w:t>
      </w:r>
    </w:p>
    <w:p>
      <w:pPr>
        <w:ind w:left="3160"/>
        <w:spacing w:after="0" w:line="235" w:lineRule="auto"/>
        <w:rPr>
          <w:sz w:val="20"/>
          <w:szCs w:val="20"/>
          <w:color w:val="auto"/>
        </w:rPr>
      </w:pPr>
      <w:r>
        <w:rPr>
          <w:rFonts w:ascii="Arial" w:cs="Arial" w:eastAsia="Arial" w:hAnsi="Arial"/>
          <w:sz w:val="21"/>
          <w:szCs w:val="21"/>
          <w:color w:val="auto"/>
        </w:rPr>
        <w:t>Kumar</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20"/>
          <w:szCs w:val="20"/>
          <w:color w:val="auto"/>
        </w:rPr>
        <w:t>AmKumar@oaktreecapital.com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w:t>
      </w:r>
    </w:p>
    <w:p>
      <w:pPr>
        <w:ind w:left="3160"/>
        <w:spacing w:after="0" w:line="235" w:lineRule="auto"/>
        <w:rPr>
          <w:sz w:val="20"/>
          <w:szCs w:val="20"/>
          <w:color w:val="auto"/>
        </w:rPr>
      </w:pPr>
      <w:r>
        <w:rPr>
          <w:rFonts w:ascii="Arial" w:cs="Arial" w:eastAsia="Arial" w:hAnsi="Arial"/>
          <w:sz w:val="21"/>
          <w:szCs w:val="21"/>
          <w:color w:val="auto"/>
        </w:rPr>
        <w:t>Cromwell LLP</w:t>
      </w:r>
    </w:p>
    <w:p>
      <w:pPr>
        <w:ind w:left="3160" w:right="4979" w:firstLine="3"/>
        <w:spacing w:after="0" w:line="269" w:lineRule="auto"/>
        <w:tabs>
          <w:tab w:leader="none" w:pos="3528" w:val="left"/>
        </w:tabs>
        <w:numPr>
          <w:ilvl w:val="0"/>
          <w:numId w:val="70"/>
        </w:numPr>
        <w:rPr>
          <w:rFonts w:ascii="Arial" w:cs="Arial" w:eastAsia="Arial" w:hAnsi="Arial"/>
          <w:sz w:val="19"/>
          <w:szCs w:val="19"/>
          <w:color w:val="auto"/>
        </w:rPr>
      </w:pPr>
      <w:r>
        <w:rPr>
          <w:rFonts w:ascii="Arial" w:cs="Arial" w:eastAsia="Arial" w:hAnsi="Arial"/>
          <w:sz w:val="19"/>
          <w:szCs w:val="19"/>
          <w:color w:val="auto"/>
        </w:rPr>
        <w:t>Broad Street New York,</w:t>
      </w:r>
    </w:p>
    <w:p>
      <w:pPr>
        <w:spacing w:after="0" w:line="211" w:lineRule="exact"/>
        <w:rPr>
          <w:rFonts w:ascii="Arial" w:cs="Arial" w:eastAsia="Arial" w:hAnsi="Arial"/>
          <w:sz w:val="19"/>
          <w:szCs w:val="19"/>
          <w:color w:val="auto"/>
        </w:rPr>
      </w:pPr>
    </w:p>
    <w:p>
      <w:pPr>
        <w:ind w:left="3160" w:right="5099"/>
        <w:spacing w:after="0" w:line="235" w:lineRule="auto"/>
        <w:rPr>
          <w:rFonts w:ascii="Arial" w:cs="Arial" w:eastAsia="Arial" w:hAnsi="Arial"/>
          <w:sz w:val="19"/>
          <w:szCs w:val="19"/>
          <w:color w:val="auto"/>
        </w:rPr>
      </w:pPr>
      <w:r>
        <w:rPr>
          <w:rFonts w:ascii="Arial" w:cs="Arial" w:eastAsia="Arial" w:hAnsi="Arial"/>
          <w:sz w:val="21"/>
          <w:szCs w:val="21"/>
          <w:color w:val="auto"/>
        </w:rPr>
        <w:t>NY 10004 Attn: Ari B. Blaut</w:t>
      </w:r>
    </w:p>
    <w:p>
      <w:pPr>
        <w:ind w:left="3160"/>
        <w:spacing w:after="0"/>
        <w:rPr>
          <w:rFonts w:ascii="Arial" w:cs="Arial" w:eastAsia="Arial" w:hAnsi="Arial"/>
          <w:sz w:val="19"/>
          <w:szCs w:val="19"/>
          <w:color w:val="auto"/>
        </w:rPr>
      </w:pPr>
      <w:r>
        <w:rPr>
          <w:rFonts w:ascii="Arial" w:cs="Arial" w:eastAsia="Arial" w:hAnsi="Arial"/>
          <w:sz w:val="21"/>
          <w:szCs w:val="21"/>
          <w:color w:val="auto"/>
        </w:rPr>
        <w:t>Email: blauta@sullcrom.com</w:t>
      </w:r>
    </w:p>
    <w:p>
      <w:pPr>
        <w:sectPr>
          <w:pgSz w:w="11900" w:h="16838" w:orient="portrait"/>
          <w:cols w:equalWidth="0" w:num="1">
            <w:col w:w="9019"/>
          </w:cols>
          <w:pgMar w:left="1440" w:top="585" w:right="1440" w:bottom="1440" w:gutter="0" w:footer="0" w:header="0"/>
        </w:sectPr>
      </w:pP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374015</wp:posOffset>
            </wp:positionV>
            <wp:extent cx="564197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type w:val="continuous"/>
        </w:sectPr>
      </w:pPr>
    </w:p>
    <w:bookmarkStart w:id="135" w:name="page136"/>
    <w:bookmarkEnd w:id="135"/>
    <w:p>
      <w:pPr>
        <w:ind w:left="3160"/>
        <w:spacing w:after="0"/>
        <w:rPr>
          <w:sz w:val="20"/>
          <w:szCs w:val="20"/>
          <w:color w:val="auto"/>
        </w:rPr>
      </w:pPr>
      <w:r>
        <w:rPr>
          <w:rFonts w:ascii="Arial" w:cs="Arial" w:eastAsia="Arial" w:hAnsi="Arial"/>
          <w:sz w:val="21"/>
          <w:szCs w:val="21"/>
          <w:b w:val="1"/>
          <w:bCs w:val="1"/>
          <w:color w:val="auto"/>
        </w:rPr>
        <w:t>OAKTREE STRATEGIC</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CREDIT FUND</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Fund Advisors, LLC</w:t>
      </w:r>
    </w:p>
    <w:p>
      <w:pPr>
        <w:spacing w:after="0" w:line="4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Investment Adviser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w:t>
      </w:r>
    </w:p>
    <w:p>
      <w:pPr>
        <w:ind w:left="3160"/>
        <w:spacing w:after="0" w:line="235" w:lineRule="auto"/>
        <w:rPr>
          <w:sz w:val="20"/>
          <w:szCs w:val="20"/>
          <w:color w:val="auto"/>
        </w:rPr>
      </w:pPr>
      <w:r>
        <w:rPr>
          <w:rFonts w:ascii="Arial" w:cs="Arial" w:eastAsia="Arial" w:hAnsi="Arial"/>
          <w:sz w:val="21"/>
          <w:szCs w:val="21"/>
          <w:color w:val="auto"/>
        </w:rPr>
        <w:t>Administration, LLC</w:t>
      </w:r>
    </w:p>
    <w:p>
      <w:pPr>
        <w:ind w:left="3160"/>
        <w:spacing w:after="0" w:line="235" w:lineRule="auto"/>
        <w:rPr>
          <w:sz w:val="20"/>
          <w:szCs w:val="20"/>
          <w:color w:val="auto"/>
        </w:rPr>
      </w:pPr>
      <w:r>
        <w:rPr>
          <w:rFonts w:ascii="Arial" w:cs="Arial" w:eastAsia="Arial" w:hAnsi="Arial"/>
          <w:sz w:val="21"/>
          <w:szCs w:val="21"/>
          <w:color w:val="auto"/>
        </w:rPr>
        <w:t>333 S. Grand Avenue,</w:t>
      </w:r>
    </w:p>
    <w:p>
      <w:pPr>
        <w:ind w:left="31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Oaktree</w:t>
      </w:r>
    </w:p>
    <w:p>
      <w:pPr>
        <w:ind w:left="3160"/>
        <w:spacing w:after="0" w:line="235" w:lineRule="auto"/>
        <w:rPr>
          <w:sz w:val="20"/>
          <w:szCs w:val="20"/>
          <w:color w:val="auto"/>
        </w:rPr>
      </w:pPr>
      <w:r>
        <w:rPr>
          <w:rFonts w:ascii="Arial" w:cs="Arial" w:eastAsia="Arial" w:hAnsi="Arial"/>
          <w:sz w:val="21"/>
          <w:szCs w:val="21"/>
          <w:color w:val="auto"/>
        </w:rPr>
        <w:t>Agency</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18"/>
          <w:szCs w:val="18"/>
          <w:color w:val="auto"/>
        </w:rPr>
        <w:t>Oaktreeagency@alterdomus.com</w:t>
      </w:r>
    </w:p>
    <w:p>
      <w:pPr>
        <w:spacing w:after="0" w:line="24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w:t>
      </w:r>
    </w:p>
    <w:p>
      <w:pPr>
        <w:ind w:left="3160"/>
        <w:spacing w:after="0" w:line="235" w:lineRule="auto"/>
        <w:rPr>
          <w:sz w:val="20"/>
          <w:szCs w:val="20"/>
          <w:color w:val="auto"/>
        </w:rPr>
      </w:pPr>
      <w:r>
        <w:rPr>
          <w:rFonts w:ascii="Arial" w:cs="Arial" w:eastAsia="Arial" w:hAnsi="Arial"/>
          <w:sz w:val="21"/>
          <w:szCs w:val="21"/>
          <w:color w:val="auto"/>
        </w:rPr>
        <w:t>Management, L.P. 333</w:t>
      </w:r>
    </w:p>
    <w:p>
      <w:pPr>
        <w:ind w:left="31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Aman</w:t>
      </w:r>
    </w:p>
    <w:p>
      <w:pPr>
        <w:ind w:left="3160"/>
        <w:spacing w:after="0" w:line="235" w:lineRule="auto"/>
        <w:rPr>
          <w:sz w:val="20"/>
          <w:szCs w:val="20"/>
          <w:color w:val="auto"/>
        </w:rPr>
      </w:pPr>
      <w:r>
        <w:rPr>
          <w:rFonts w:ascii="Arial" w:cs="Arial" w:eastAsia="Arial" w:hAnsi="Arial"/>
          <w:sz w:val="21"/>
          <w:szCs w:val="21"/>
          <w:color w:val="auto"/>
        </w:rPr>
        <w:t>Kumar</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20"/>
          <w:szCs w:val="20"/>
          <w:color w:val="auto"/>
        </w:rPr>
        <w:t>AmKumar@oaktreecapital.com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w:t>
      </w:r>
    </w:p>
    <w:p>
      <w:pPr>
        <w:ind w:left="3160"/>
        <w:spacing w:after="0" w:line="235" w:lineRule="auto"/>
        <w:rPr>
          <w:sz w:val="20"/>
          <w:szCs w:val="20"/>
          <w:color w:val="auto"/>
        </w:rPr>
      </w:pPr>
      <w:r>
        <w:rPr>
          <w:rFonts w:ascii="Arial" w:cs="Arial" w:eastAsia="Arial" w:hAnsi="Arial"/>
          <w:sz w:val="21"/>
          <w:szCs w:val="21"/>
          <w:color w:val="auto"/>
        </w:rPr>
        <w:t>Cromwell LLP</w:t>
      </w:r>
    </w:p>
    <w:p>
      <w:pPr>
        <w:ind w:left="3160" w:right="4979" w:firstLine="3"/>
        <w:spacing w:after="0" w:line="269" w:lineRule="auto"/>
        <w:tabs>
          <w:tab w:leader="none" w:pos="3528" w:val="left"/>
        </w:tabs>
        <w:numPr>
          <w:ilvl w:val="0"/>
          <w:numId w:val="71"/>
        </w:numPr>
        <w:rPr>
          <w:rFonts w:ascii="Arial" w:cs="Arial" w:eastAsia="Arial" w:hAnsi="Arial"/>
          <w:sz w:val="19"/>
          <w:szCs w:val="19"/>
          <w:color w:val="auto"/>
        </w:rPr>
      </w:pPr>
      <w:r>
        <w:rPr>
          <w:rFonts w:ascii="Arial" w:cs="Arial" w:eastAsia="Arial" w:hAnsi="Arial"/>
          <w:sz w:val="19"/>
          <w:szCs w:val="19"/>
          <w:color w:val="auto"/>
        </w:rPr>
        <w:t>Broad Street New York,</w:t>
      </w:r>
    </w:p>
    <w:p>
      <w:pPr>
        <w:spacing w:after="0" w:line="211" w:lineRule="exact"/>
        <w:rPr>
          <w:rFonts w:ascii="Arial" w:cs="Arial" w:eastAsia="Arial" w:hAnsi="Arial"/>
          <w:sz w:val="19"/>
          <w:szCs w:val="19"/>
          <w:color w:val="auto"/>
        </w:rPr>
      </w:pPr>
    </w:p>
    <w:p>
      <w:pPr>
        <w:ind w:left="3160" w:right="5099"/>
        <w:spacing w:after="0" w:line="235" w:lineRule="auto"/>
        <w:rPr>
          <w:rFonts w:ascii="Arial" w:cs="Arial" w:eastAsia="Arial" w:hAnsi="Arial"/>
          <w:sz w:val="19"/>
          <w:szCs w:val="19"/>
          <w:color w:val="auto"/>
        </w:rPr>
      </w:pPr>
      <w:r>
        <w:rPr>
          <w:rFonts w:ascii="Arial" w:cs="Arial" w:eastAsia="Arial" w:hAnsi="Arial"/>
          <w:sz w:val="21"/>
          <w:szCs w:val="21"/>
          <w:color w:val="auto"/>
        </w:rPr>
        <w:t>NY 10004 Attn: Ari B. Blaut</w:t>
      </w:r>
    </w:p>
    <w:p>
      <w:pPr>
        <w:ind w:left="3160"/>
        <w:spacing w:after="0"/>
        <w:rPr>
          <w:rFonts w:ascii="Arial" w:cs="Arial" w:eastAsia="Arial" w:hAnsi="Arial"/>
          <w:sz w:val="19"/>
          <w:szCs w:val="19"/>
          <w:color w:val="auto"/>
        </w:rPr>
      </w:pPr>
      <w:r>
        <w:rPr>
          <w:rFonts w:ascii="Arial" w:cs="Arial" w:eastAsia="Arial" w:hAnsi="Arial"/>
          <w:sz w:val="21"/>
          <w:szCs w:val="21"/>
          <w:color w:val="auto"/>
        </w:rPr>
        <w:t>Email: blauta@sullcrom.com</w:t>
      </w:r>
    </w:p>
    <w:p>
      <w:pPr>
        <w:sectPr>
          <w:pgSz w:w="11900" w:h="16838" w:orient="portrait"/>
          <w:cols w:equalWidth="0" w:num="1">
            <w:col w:w="9019"/>
          </w:cols>
          <w:pgMar w:left="1440" w:top="585" w:right="1440" w:bottom="1440" w:gutter="0" w:footer="0" w:header="0"/>
        </w:sectPr>
      </w:pP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374015</wp:posOffset>
            </wp:positionV>
            <wp:extent cx="564197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type w:val="continuous"/>
        </w:sectPr>
      </w:pPr>
    </w:p>
    <w:bookmarkStart w:id="136" w:name="page137"/>
    <w:bookmarkEnd w:id="136"/>
    <w:p>
      <w:pPr>
        <w:ind w:left="3160"/>
        <w:spacing w:after="0"/>
        <w:rPr>
          <w:sz w:val="20"/>
          <w:szCs w:val="20"/>
          <w:color w:val="auto"/>
        </w:rPr>
      </w:pPr>
      <w:r>
        <w:rPr>
          <w:rFonts w:ascii="Arial" w:cs="Arial" w:eastAsia="Arial" w:hAnsi="Arial"/>
          <w:sz w:val="21"/>
          <w:szCs w:val="21"/>
          <w:b w:val="1"/>
          <w:bCs w:val="1"/>
          <w:color w:val="auto"/>
        </w:rPr>
        <w:t>OAKTREE GCP FUND DELAWARE</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HOLDINGS, L.P.</w:t>
      </w:r>
    </w:p>
    <w:p>
      <w:pPr>
        <w:spacing w:after="0" w:line="214"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Oaktree Global Credit Plus Fund GP,</w:t>
      </w:r>
    </w:p>
    <w:p>
      <w:pPr>
        <w:ind w:left="3640"/>
        <w:spacing w:after="0" w:line="222" w:lineRule="auto"/>
        <w:rPr>
          <w:sz w:val="20"/>
          <w:szCs w:val="20"/>
          <w:color w:val="auto"/>
        </w:rPr>
      </w:pPr>
      <w:r>
        <w:rPr>
          <w:rFonts w:ascii="Arial" w:cs="Arial" w:eastAsia="Arial" w:hAnsi="Arial"/>
          <w:sz w:val="21"/>
          <w:szCs w:val="21"/>
          <w:color w:val="auto"/>
        </w:rPr>
        <w:t>L.P.</w:t>
      </w:r>
    </w:p>
    <w:p>
      <w:pPr>
        <w:ind w:left="3160"/>
        <w:spacing w:after="0"/>
        <w:tabs>
          <w:tab w:leader="none" w:pos="362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18"/>
          <w:szCs w:val="18"/>
          <w:color w:val="auto"/>
        </w:rPr>
        <w:t>General Partner</w:t>
      </w:r>
    </w:p>
    <w:p>
      <w:pPr>
        <w:spacing w:after="0" w:line="227"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Oaktree Global Credit Plus Fund GP</w:t>
      </w:r>
    </w:p>
    <w:p>
      <w:pPr>
        <w:ind w:left="3640"/>
        <w:spacing w:after="0" w:line="235" w:lineRule="auto"/>
        <w:rPr>
          <w:sz w:val="20"/>
          <w:szCs w:val="20"/>
          <w:color w:val="auto"/>
        </w:rPr>
      </w:pPr>
      <w:r>
        <w:rPr>
          <w:rFonts w:ascii="Arial" w:cs="Arial" w:eastAsia="Arial" w:hAnsi="Arial"/>
          <w:sz w:val="21"/>
          <w:szCs w:val="21"/>
          <w:color w:val="auto"/>
        </w:rPr>
        <w:t>Ltd.</w:t>
      </w:r>
    </w:p>
    <w:p>
      <w:pPr>
        <w:ind w:left="3160"/>
        <w:spacing w:after="0"/>
        <w:tabs>
          <w:tab w:leader="none" w:pos="362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18"/>
          <w:szCs w:val="18"/>
          <w:color w:val="auto"/>
        </w:rPr>
        <w:t>General Partner</w:t>
      </w:r>
    </w:p>
    <w:p>
      <w:pPr>
        <w:spacing w:after="0" w:line="109"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Oaktree Capital Management, L.P.</w:t>
      </w:r>
    </w:p>
    <w:p>
      <w:pPr>
        <w:spacing w:after="0" w:line="13"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20"/>
          <w:szCs w:val="20"/>
          <w:color w:val="auto"/>
        </w:rPr>
        <w:t>Director</w:t>
      </w:r>
    </w:p>
    <w:p>
      <w:pPr>
        <w:spacing w:after="0" w:line="214"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Mary Gallegly</w:t>
      </w:r>
    </w:p>
    <w:p>
      <w:pPr>
        <w:spacing w:after="0" w:line="34" w:lineRule="exact"/>
        <w:rPr>
          <w:sz w:val="20"/>
          <w:szCs w:val="20"/>
          <w:color w:val="auto"/>
        </w:rPr>
      </w:pPr>
    </w:p>
    <w:p>
      <w:pPr>
        <w:ind w:left="3640"/>
        <w:spacing w:after="0"/>
        <w:tabs>
          <w:tab w:leader="none" w:pos="4480" w:val="left"/>
        </w:tabs>
        <w:rPr>
          <w:sz w:val="20"/>
          <w:szCs w:val="20"/>
          <w:color w:val="auto"/>
        </w:rPr>
      </w:pPr>
      <w:r>
        <w:rPr>
          <w:rFonts w:ascii="Arial" w:cs="Arial" w:eastAsia="Arial" w:hAnsi="Arial"/>
          <w:sz w:val="21"/>
          <w:szCs w:val="21"/>
          <w:color w:val="auto"/>
        </w:rPr>
        <w:t>Name:</w:t>
        <w:tab/>
        <w:t>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-147320</wp:posOffset>
            </wp:positionV>
            <wp:extent cx="21869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2186940" cy="8255"/>
                    </a:xfrm>
                    <a:prstGeom prst="rect">
                      <a:avLst/>
                    </a:prstGeom>
                    <a:noFill/>
                  </pic:spPr>
                </pic:pic>
              </a:graphicData>
            </a:graphic>
          </wp:anchor>
        </w:drawing>
      </w:r>
    </w:p>
    <w:p>
      <w:pPr>
        <w:ind w:left="3640"/>
        <w:spacing w:after="0"/>
        <w:tabs>
          <w:tab w:leader="none" w:pos="44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Managing Director</w:t>
      </w:r>
    </w:p>
    <w:p>
      <w:pPr>
        <w:spacing w:after="0" w:line="214"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Matthew Stewart</w:t>
      </w:r>
    </w:p>
    <w:p>
      <w:pPr>
        <w:spacing w:after="0" w:line="61" w:lineRule="exact"/>
        <w:rPr>
          <w:sz w:val="20"/>
          <w:szCs w:val="20"/>
          <w:color w:val="auto"/>
        </w:rPr>
      </w:pPr>
    </w:p>
    <w:p>
      <w:pPr>
        <w:ind w:left="3640"/>
        <w:spacing w:after="0"/>
        <w:tabs>
          <w:tab w:leader="none" w:pos="4480" w:val="left"/>
        </w:tabs>
        <w:rPr>
          <w:sz w:val="20"/>
          <w:szCs w:val="20"/>
          <w:color w:val="auto"/>
        </w:rPr>
      </w:pPr>
      <w:r>
        <w:rPr>
          <w:rFonts w:ascii="Arial" w:cs="Arial" w:eastAsia="Arial" w:hAnsi="Arial"/>
          <w:sz w:val="21"/>
          <w:szCs w:val="21"/>
          <w:color w:val="auto"/>
        </w:rPr>
        <w:t>Name:</w:t>
        <w:tab/>
        <w:t>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-147320</wp:posOffset>
            </wp:positionV>
            <wp:extent cx="2186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2186940" cy="8255"/>
                    </a:xfrm>
                    <a:prstGeom prst="rect">
                      <a:avLst/>
                    </a:prstGeom>
                    <a:noFill/>
                  </pic:spPr>
                </pic:pic>
              </a:graphicData>
            </a:graphic>
          </wp:anchor>
        </w:drawing>
      </w:r>
    </w:p>
    <w:p>
      <w:pPr>
        <w:ind w:left="3640"/>
        <w:spacing w:after="0"/>
        <w:tabs>
          <w:tab w:leader="none" w:pos="44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Managing Director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w:t>
      </w:r>
    </w:p>
    <w:p>
      <w:pPr>
        <w:ind w:left="3160"/>
        <w:spacing w:after="0" w:line="235" w:lineRule="auto"/>
        <w:rPr>
          <w:sz w:val="20"/>
          <w:szCs w:val="20"/>
          <w:color w:val="auto"/>
        </w:rPr>
      </w:pPr>
      <w:r>
        <w:rPr>
          <w:rFonts w:ascii="Arial" w:cs="Arial" w:eastAsia="Arial" w:hAnsi="Arial"/>
          <w:sz w:val="21"/>
          <w:szCs w:val="21"/>
          <w:color w:val="auto"/>
        </w:rPr>
        <w:t>Administration, LLC</w:t>
      </w:r>
    </w:p>
    <w:p>
      <w:pPr>
        <w:ind w:left="3160"/>
        <w:spacing w:after="0" w:line="235" w:lineRule="auto"/>
        <w:rPr>
          <w:sz w:val="20"/>
          <w:szCs w:val="20"/>
          <w:color w:val="auto"/>
        </w:rPr>
      </w:pPr>
      <w:r>
        <w:rPr>
          <w:rFonts w:ascii="Arial" w:cs="Arial" w:eastAsia="Arial" w:hAnsi="Arial"/>
          <w:sz w:val="21"/>
          <w:szCs w:val="21"/>
          <w:color w:val="auto"/>
        </w:rPr>
        <w:t>333 S. Grand Avenue,</w:t>
      </w:r>
    </w:p>
    <w:p>
      <w:pPr>
        <w:ind w:left="31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Oaktree</w:t>
      </w:r>
    </w:p>
    <w:p>
      <w:pPr>
        <w:ind w:left="3160"/>
        <w:spacing w:after="0" w:line="235" w:lineRule="auto"/>
        <w:rPr>
          <w:sz w:val="20"/>
          <w:szCs w:val="20"/>
          <w:color w:val="auto"/>
        </w:rPr>
      </w:pPr>
      <w:r>
        <w:rPr>
          <w:rFonts w:ascii="Arial" w:cs="Arial" w:eastAsia="Arial" w:hAnsi="Arial"/>
          <w:sz w:val="21"/>
          <w:szCs w:val="21"/>
          <w:color w:val="auto"/>
        </w:rPr>
        <w:t>Agency</w:t>
      </w:r>
    </w:p>
    <w:p>
      <w:pPr>
        <w:ind w:left="3160"/>
        <w:spacing w:after="0"/>
        <w:rPr>
          <w:sz w:val="20"/>
          <w:szCs w:val="20"/>
          <w:color w:val="auto"/>
        </w:rPr>
      </w:pPr>
      <w:r>
        <w:rPr>
          <w:rFonts w:ascii="Arial" w:cs="Arial" w:eastAsia="Arial" w:hAnsi="Arial"/>
          <w:sz w:val="19"/>
          <w:szCs w:val="19"/>
          <w:color w:val="auto"/>
        </w:rPr>
        <w:t>Email: Oaktreeagency@alterdomus.com</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w:t>
      </w:r>
    </w:p>
    <w:p>
      <w:pPr>
        <w:ind w:left="3160"/>
        <w:spacing w:after="0" w:line="235" w:lineRule="auto"/>
        <w:rPr>
          <w:sz w:val="20"/>
          <w:szCs w:val="20"/>
          <w:color w:val="auto"/>
        </w:rPr>
      </w:pPr>
      <w:r>
        <w:rPr>
          <w:rFonts w:ascii="Arial" w:cs="Arial" w:eastAsia="Arial" w:hAnsi="Arial"/>
          <w:sz w:val="21"/>
          <w:szCs w:val="21"/>
          <w:color w:val="auto"/>
        </w:rPr>
        <w:t>Management, L.P. 333</w:t>
      </w:r>
    </w:p>
    <w:p>
      <w:pPr>
        <w:ind w:left="31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Aman</w:t>
      </w:r>
    </w:p>
    <w:p>
      <w:pPr>
        <w:ind w:left="3160"/>
        <w:spacing w:after="0" w:line="235" w:lineRule="auto"/>
        <w:rPr>
          <w:sz w:val="20"/>
          <w:szCs w:val="20"/>
          <w:color w:val="auto"/>
        </w:rPr>
      </w:pPr>
      <w:r>
        <w:rPr>
          <w:rFonts w:ascii="Arial" w:cs="Arial" w:eastAsia="Arial" w:hAnsi="Arial"/>
          <w:sz w:val="21"/>
          <w:szCs w:val="21"/>
          <w:color w:val="auto"/>
        </w:rPr>
        <w:t>Kumar</w:t>
      </w:r>
    </w:p>
    <w:p>
      <w:pPr>
        <w:ind w:left="3160"/>
        <w:spacing w:after="0"/>
        <w:rPr>
          <w:sz w:val="20"/>
          <w:szCs w:val="20"/>
          <w:color w:val="auto"/>
        </w:rPr>
      </w:pPr>
      <w:r>
        <w:rPr>
          <w:rFonts w:ascii="Arial" w:cs="Arial" w:eastAsia="Arial" w:hAnsi="Arial"/>
          <w:sz w:val="21"/>
          <w:szCs w:val="21"/>
          <w:color w:val="auto"/>
        </w:rPr>
        <w:t>Email: AmKumar@oaktreecapital.com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w:t>
      </w:r>
    </w:p>
    <w:p>
      <w:pPr>
        <w:ind w:left="3160"/>
        <w:spacing w:after="0" w:line="235" w:lineRule="auto"/>
        <w:rPr>
          <w:sz w:val="20"/>
          <w:szCs w:val="20"/>
          <w:color w:val="auto"/>
        </w:rPr>
      </w:pPr>
      <w:r>
        <w:rPr>
          <w:rFonts w:ascii="Arial" w:cs="Arial" w:eastAsia="Arial" w:hAnsi="Arial"/>
          <w:sz w:val="21"/>
          <w:szCs w:val="21"/>
          <w:color w:val="auto"/>
        </w:rPr>
        <w:t>Cromwell</w:t>
      </w:r>
    </w:p>
    <w:p>
      <w:pPr>
        <w:ind w:left="3160"/>
        <w:spacing w:after="0" w:line="235" w:lineRule="auto"/>
        <w:rPr>
          <w:sz w:val="20"/>
          <w:szCs w:val="20"/>
          <w:color w:val="auto"/>
        </w:rPr>
      </w:pPr>
      <w:r>
        <w:rPr>
          <w:rFonts w:ascii="Arial" w:cs="Arial" w:eastAsia="Arial" w:hAnsi="Arial"/>
          <w:sz w:val="21"/>
          <w:szCs w:val="21"/>
          <w:color w:val="auto"/>
        </w:rPr>
        <w:t>LLP 125</w:t>
      </w:r>
    </w:p>
    <w:p>
      <w:pPr>
        <w:ind w:left="3160"/>
        <w:spacing w:after="0" w:line="235" w:lineRule="auto"/>
        <w:rPr>
          <w:sz w:val="20"/>
          <w:szCs w:val="20"/>
          <w:color w:val="auto"/>
        </w:rPr>
      </w:pPr>
      <w:r>
        <w:rPr>
          <w:rFonts w:ascii="Arial" w:cs="Arial" w:eastAsia="Arial" w:hAnsi="Arial"/>
          <w:sz w:val="21"/>
          <w:szCs w:val="21"/>
          <w:color w:val="auto"/>
        </w:rPr>
        <w:t>Broad Street</w:t>
      </w:r>
    </w:p>
    <w:p>
      <w:pPr>
        <w:ind w:left="3160"/>
        <w:spacing w:after="0" w:line="235" w:lineRule="auto"/>
        <w:rPr>
          <w:sz w:val="20"/>
          <w:szCs w:val="20"/>
          <w:color w:val="auto"/>
        </w:rPr>
      </w:pPr>
      <w:r>
        <w:rPr>
          <w:rFonts w:ascii="Arial" w:cs="Arial" w:eastAsia="Arial" w:hAnsi="Arial"/>
          <w:sz w:val="21"/>
          <w:szCs w:val="21"/>
          <w:color w:val="auto"/>
        </w:rPr>
        <w:t>New</w:t>
      </w:r>
    </w:p>
    <w:p>
      <w:pPr>
        <w:ind w:left="3160"/>
        <w:spacing w:after="0" w:line="235" w:lineRule="auto"/>
        <w:rPr>
          <w:sz w:val="20"/>
          <w:szCs w:val="20"/>
          <w:color w:val="auto"/>
        </w:rPr>
      </w:pPr>
      <w:r>
        <w:rPr>
          <w:rFonts w:ascii="Arial" w:cs="Arial" w:eastAsia="Arial" w:hAnsi="Arial"/>
          <w:sz w:val="21"/>
          <w:szCs w:val="21"/>
          <w:color w:val="auto"/>
        </w:rPr>
        <w:t>York,</w:t>
      </w:r>
    </w:p>
    <w:p>
      <w:pPr>
        <w:ind w:left="3160"/>
        <w:spacing w:after="0" w:line="235" w:lineRule="auto"/>
        <w:rPr>
          <w:sz w:val="20"/>
          <w:szCs w:val="20"/>
          <w:color w:val="auto"/>
        </w:rPr>
      </w:pPr>
      <w:r>
        <w:rPr>
          <w:rFonts w:ascii="Arial" w:cs="Arial" w:eastAsia="Arial" w:hAnsi="Arial"/>
          <w:sz w:val="21"/>
          <w:szCs w:val="21"/>
          <w:color w:val="auto"/>
        </w:rPr>
        <w:t>NY</w:t>
      </w:r>
    </w:p>
    <w:p>
      <w:pPr>
        <w:ind w:left="3160"/>
        <w:spacing w:after="0" w:line="235" w:lineRule="auto"/>
        <w:rPr>
          <w:sz w:val="20"/>
          <w:szCs w:val="20"/>
          <w:color w:val="auto"/>
        </w:rPr>
      </w:pPr>
      <w:r>
        <w:rPr>
          <w:rFonts w:ascii="Arial" w:cs="Arial" w:eastAsia="Arial" w:hAnsi="Arial"/>
          <w:sz w:val="21"/>
          <w:szCs w:val="21"/>
          <w:color w:val="auto"/>
        </w:rPr>
        <w:t>10004</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Ari B.</w:t>
      </w:r>
    </w:p>
    <w:p>
      <w:pPr>
        <w:ind w:left="3160"/>
        <w:spacing w:after="0" w:line="235" w:lineRule="auto"/>
        <w:rPr>
          <w:sz w:val="20"/>
          <w:szCs w:val="20"/>
          <w:color w:val="auto"/>
        </w:rPr>
      </w:pPr>
      <w:r>
        <w:rPr>
          <w:rFonts w:ascii="Arial" w:cs="Arial" w:eastAsia="Arial" w:hAnsi="Arial"/>
          <w:sz w:val="21"/>
          <w:szCs w:val="21"/>
          <w:color w:val="auto"/>
        </w:rPr>
        <w:t>Blaut</w:t>
      </w:r>
    </w:p>
    <w:p>
      <w:pPr>
        <w:jc w:val="center"/>
        <w:ind w:right="259"/>
        <w:spacing w:after="0"/>
        <w:rPr>
          <w:sz w:val="20"/>
          <w:szCs w:val="20"/>
          <w:color w:val="auto"/>
        </w:rPr>
      </w:pPr>
      <w:r>
        <w:rPr>
          <w:rFonts w:ascii="Arial" w:cs="Arial" w:eastAsia="Arial" w:hAnsi="Arial"/>
          <w:sz w:val="19"/>
          <w:szCs w:val="19"/>
          <w:color w:val="auto"/>
        </w:rPr>
        <w:t>Email: blauta@sullcrom.com</w:t>
      </w:r>
    </w:p>
    <w:p>
      <w:pPr>
        <w:sectPr>
          <w:pgSz w:w="11900" w:h="16838" w:orient="portrait"/>
          <w:cols w:equalWidth="0" w:num="1">
            <w:col w:w="9019"/>
          </w:cols>
          <w:pgMar w:left="1440" w:top="651" w:right="1440" w:bottom="346" w:gutter="0" w:footer="0" w:header="0"/>
        </w:sect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365760</wp:posOffset>
            </wp:positionV>
            <wp:extent cx="5641975"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5641975" cy="24765"/>
                    </a:xfrm>
                    <a:prstGeom prst="rect">
                      <a:avLst/>
                    </a:prstGeom>
                    <a:noFill/>
                  </pic:spPr>
                </pic:pic>
              </a:graphicData>
            </a:graphic>
          </wp:anchor>
        </w:drawing>
      </w:r>
    </w:p>
    <w:p>
      <w:pPr>
        <w:sectPr>
          <w:pgSz w:w="11900" w:h="16838" w:orient="portrait"/>
          <w:cols w:equalWidth="0" w:num="1">
            <w:col w:w="9019"/>
          </w:cols>
          <w:pgMar w:left="1440" w:top="651" w:right="1440" w:bottom="346" w:gutter="0" w:footer="0" w:header="0"/>
          <w:type w:val="continuous"/>
        </w:sectPr>
      </w:pPr>
    </w:p>
    <w:bookmarkStart w:id="137" w:name="page138"/>
    <w:bookmarkEnd w:id="137"/>
    <w:p>
      <w:pPr>
        <w:ind w:left="3160"/>
        <w:spacing w:after="0"/>
        <w:rPr>
          <w:sz w:val="20"/>
          <w:szCs w:val="20"/>
          <w:color w:val="auto"/>
        </w:rPr>
      </w:pPr>
      <w:r>
        <w:rPr>
          <w:rFonts w:ascii="Arial" w:cs="Arial" w:eastAsia="Arial" w:hAnsi="Arial"/>
          <w:sz w:val="21"/>
          <w:szCs w:val="21"/>
          <w:b w:val="1"/>
          <w:bCs w:val="1"/>
          <w:color w:val="auto"/>
        </w:rPr>
        <w:t>OAKTREE DIVERSIFIED</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INCOME FUND INC.</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Fund Advisors, LLC</w:t>
      </w:r>
    </w:p>
    <w:p>
      <w:pPr>
        <w:spacing w:after="0" w:line="4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Investment Advisor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36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w:t>
      </w:r>
    </w:p>
    <w:p>
      <w:pPr>
        <w:ind w:left="3160"/>
        <w:spacing w:after="0" w:line="235" w:lineRule="auto"/>
        <w:rPr>
          <w:sz w:val="20"/>
          <w:szCs w:val="20"/>
          <w:color w:val="auto"/>
        </w:rPr>
      </w:pPr>
      <w:r>
        <w:rPr>
          <w:rFonts w:ascii="Arial" w:cs="Arial" w:eastAsia="Arial" w:hAnsi="Arial"/>
          <w:sz w:val="21"/>
          <w:szCs w:val="21"/>
          <w:color w:val="auto"/>
        </w:rPr>
        <w:t>Administration, LLC</w:t>
      </w:r>
    </w:p>
    <w:p>
      <w:pPr>
        <w:ind w:left="3160"/>
        <w:spacing w:after="0" w:line="235" w:lineRule="auto"/>
        <w:rPr>
          <w:sz w:val="20"/>
          <w:szCs w:val="20"/>
          <w:color w:val="auto"/>
        </w:rPr>
      </w:pPr>
      <w:r>
        <w:rPr>
          <w:rFonts w:ascii="Arial" w:cs="Arial" w:eastAsia="Arial" w:hAnsi="Arial"/>
          <w:sz w:val="21"/>
          <w:szCs w:val="21"/>
          <w:color w:val="auto"/>
        </w:rPr>
        <w:t>333 S. Grand Avenue,</w:t>
      </w:r>
    </w:p>
    <w:p>
      <w:pPr>
        <w:ind w:left="31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Oaktree</w:t>
      </w:r>
    </w:p>
    <w:p>
      <w:pPr>
        <w:ind w:left="3160"/>
        <w:spacing w:after="0" w:line="235" w:lineRule="auto"/>
        <w:rPr>
          <w:sz w:val="20"/>
          <w:szCs w:val="20"/>
          <w:color w:val="auto"/>
        </w:rPr>
      </w:pPr>
      <w:r>
        <w:rPr>
          <w:rFonts w:ascii="Arial" w:cs="Arial" w:eastAsia="Arial" w:hAnsi="Arial"/>
          <w:sz w:val="21"/>
          <w:szCs w:val="21"/>
          <w:color w:val="auto"/>
        </w:rPr>
        <w:t>Agency</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18"/>
          <w:szCs w:val="18"/>
          <w:color w:val="auto"/>
        </w:rPr>
        <w:t>Oaktreeagency@alterdomus.com</w:t>
      </w:r>
    </w:p>
    <w:p>
      <w:pPr>
        <w:spacing w:after="0" w:line="24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w:t>
      </w:r>
    </w:p>
    <w:p>
      <w:pPr>
        <w:ind w:left="3160"/>
        <w:spacing w:after="0" w:line="235" w:lineRule="auto"/>
        <w:rPr>
          <w:sz w:val="20"/>
          <w:szCs w:val="20"/>
          <w:color w:val="auto"/>
        </w:rPr>
      </w:pPr>
      <w:r>
        <w:rPr>
          <w:rFonts w:ascii="Arial" w:cs="Arial" w:eastAsia="Arial" w:hAnsi="Arial"/>
          <w:sz w:val="21"/>
          <w:szCs w:val="21"/>
          <w:color w:val="auto"/>
        </w:rPr>
        <w:t>Management, L.P. 333</w:t>
      </w:r>
    </w:p>
    <w:p>
      <w:pPr>
        <w:ind w:left="31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Aman</w:t>
      </w:r>
    </w:p>
    <w:p>
      <w:pPr>
        <w:ind w:left="3160"/>
        <w:spacing w:after="0" w:line="235" w:lineRule="auto"/>
        <w:rPr>
          <w:sz w:val="20"/>
          <w:szCs w:val="20"/>
          <w:color w:val="auto"/>
        </w:rPr>
      </w:pPr>
      <w:r>
        <w:rPr>
          <w:rFonts w:ascii="Arial" w:cs="Arial" w:eastAsia="Arial" w:hAnsi="Arial"/>
          <w:sz w:val="21"/>
          <w:szCs w:val="21"/>
          <w:color w:val="auto"/>
        </w:rPr>
        <w:t>Kumar</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20"/>
          <w:szCs w:val="20"/>
          <w:color w:val="auto"/>
        </w:rPr>
        <w:t>AmKumar@oaktreecapital.com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w:t>
      </w:r>
    </w:p>
    <w:p>
      <w:pPr>
        <w:ind w:left="3160"/>
        <w:spacing w:after="0" w:line="235" w:lineRule="auto"/>
        <w:rPr>
          <w:sz w:val="20"/>
          <w:szCs w:val="20"/>
          <w:color w:val="auto"/>
        </w:rPr>
      </w:pPr>
      <w:r>
        <w:rPr>
          <w:rFonts w:ascii="Arial" w:cs="Arial" w:eastAsia="Arial" w:hAnsi="Arial"/>
          <w:sz w:val="21"/>
          <w:szCs w:val="21"/>
          <w:color w:val="auto"/>
        </w:rPr>
        <w:t>Cromwell LLP</w:t>
      </w:r>
    </w:p>
    <w:p>
      <w:pPr>
        <w:ind w:left="3160" w:right="4979" w:firstLine="3"/>
        <w:spacing w:after="0" w:line="269" w:lineRule="auto"/>
        <w:tabs>
          <w:tab w:leader="none" w:pos="3528" w:val="left"/>
        </w:tabs>
        <w:numPr>
          <w:ilvl w:val="0"/>
          <w:numId w:val="72"/>
        </w:numPr>
        <w:rPr>
          <w:rFonts w:ascii="Arial" w:cs="Arial" w:eastAsia="Arial" w:hAnsi="Arial"/>
          <w:sz w:val="19"/>
          <w:szCs w:val="19"/>
          <w:color w:val="auto"/>
        </w:rPr>
      </w:pPr>
      <w:r>
        <w:rPr>
          <w:rFonts w:ascii="Arial" w:cs="Arial" w:eastAsia="Arial" w:hAnsi="Arial"/>
          <w:sz w:val="19"/>
          <w:szCs w:val="19"/>
          <w:color w:val="auto"/>
        </w:rPr>
        <w:t>Broad Street New York,</w:t>
      </w:r>
    </w:p>
    <w:p>
      <w:pPr>
        <w:spacing w:after="0" w:line="211" w:lineRule="exact"/>
        <w:rPr>
          <w:rFonts w:ascii="Arial" w:cs="Arial" w:eastAsia="Arial" w:hAnsi="Arial"/>
          <w:sz w:val="19"/>
          <w:szCs w:val="19"/>
          <w:color w:val="auto"/>
        </w:rPr>
      </w:pPr>
    </w:p>
    <w:p>
      <w:pPr>
        <w:ind w:left="3160" w:right="5099"/>
        <w:spacing w:after="0" w:line="235" w:lineRule="auto"/>
        <w:rPr>
          <w:rFonts w:ascii="Arial" w:cs="Arial" w:eastAsia="Arial" w:hAnsi="Arial"/>
          <w:sz w:val="19"/>
          <w:szCs w:val="19"/>
          <w:color w:val="auto"/>
        </w:rPr>
      </w:pPr>
      <w:r>
        <w:rPr>
          <w:rFonts w:ascii="Arial" w:cs="Arial" w:eastAsia="Arial" w:hAnsi="Arial"/>
          <w:sz w:val="21"/>
          <w:szCs w:val="21"/>
          <w:color w:val="auto"/>
        </w:rPr>
        <w:t>NY 10004 Attn: Ari B. Blaut</w:t>
      </w:r>
    </w:p>
    <w:p>
      <w:pPr>
        <w:ind w:left="3160"/>
        <w:spacing w:after="0"/>
        <w:rPr>
          <w:rFonts w:ascii="Arial" w:cs="Arial" w:eastAsia="Arial" w:hAnsi="Arial"/>
          <w:sz w:val="19"/>
          <w:szCs w:val="19"/>
          <w:color w:val="auto"/>
        </w:rPr>
      </w:pPr>
      <w:r>
        <w:rPr>
          <w:rFonts w:ascii="Arial" w:cs="Arial" w:eastAsia="Arial" w:hAnsi="Arial"/>
          <w:sz w:val="21"/>
          <w:szCs w:val="21"/>
          <w:color w:val="auto"/>
        </w:rPr>
        <w:t>Email: blauta@sullcrom.com</w:t>
      </w:r>
    </w:p>
    <w:p>
      <w:pPr>
        <w:sectPr>
          <w:pgSz w:w="11900" w:h="16838" w:orient="portrait"/>
          <w:cols w:equalWidth="0" w:num="1">
            <w:col w:w="9019"/>
          </w:cols>
          <w:pgMar w:left="1440" w:top="585" w:right="1440" w:bottom="1440" w:gutter="0" w:footer="0" w:header="0"/>
        </w:sect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374015</wp:posOffset>
            </wp:positionV>
            <wp:extent cx="564197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type w:val="continuous"/>
        </w:sectPr>
      </w:pPr>
    </w:p>
    <w:bookmarkStart w:id="138" w:name="page139"/>
    <w:bookmarkEnd w:id="138"/>
    <w:p>
      <w:pPr>
        <w:ind w:left="3160"/>
        <w:spacing w:after="0"/>
        <w:rPr>
          <w:sz w:val="20"/>
          <w:szCs w:val="20"/>
          <w:color w:val="auto"/>
        </w:rPr>
      </w:pPr>
      <w:r>
        <w:rPr>
          <w:rFonts w:ascii="Arial" w:cs="Arial" w:eastAsia="Arial" w:hAnsi="Arial"/>
          <w:sz w:val="21"/>
          <w:szCs w:val="21"/>
          <w:b w:val="1"/>
          <w:bCs w:val="1"/>
          <w:color w:val="auto"/>
        </w:rPr>
        <w:t>OAKTREE AZ STRATEGIC</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LENDING FUND, L.P.</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By: Oaktree AZ Strategic Lending</w:t>
      </w:r>
    </w:p>
    <w:p>
      <w:pPr>
        <w:spacing w:after="0" w:line="18"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Fund GP, L.P.</w:t>
      </w:r>
    </w:p>
    <w:p>
      <w:pPr>
        <w:ind w:left="3160"/>
        <w:spacing w:after="0"/>
        <w:rPr>
          <w:sz w:val="20"/>
          <w:szCs w:val="20"/>
          <w:color w:val="auto"/>
        </w:rPr>
      </w:pPr>
      <w:r>
        <w:rPr>
          <w:rFonts w:ascii="Arial" w:cs="Arial" w:eastAsia="Arial" w:hAnsi="Arial"/>
          <w:sz w:val="21"/>
          <w:szCs w:val="21"/>
          <w:color w:val="auto"/>
        </w:rPr>
        <w:t>Its: General Partner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Fund GP IIA, LLC</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General Partner</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Fund GP II, L.P.</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Managing Member</w:t>
      </w:r>
    </w:p>
    <w:p>
      <w:pPr>
        <w:spacing w:after="0" w:line="200" w:lineRule="exact"/>
        <w:rPr>
          <w:sz w:val="20"/>
          <w:szCs w:val="20"/>
          <w:color w:val="auto"/>
        </w:rPr>
      </w:pPr>
    </w:p>
    <w:p>
      <w:pPr>
        <w:spacing w:after="0" w:line="26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Authorized Signatory</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Authorized Signatory</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w:t>
      </w:r>
    </w:p>
    <w:p>
      <w:pPr>
        <w:ind w:left="3160"/>
        <w:spacing w:after="0" w:line="235" w:lineRule="auto"/>
        <w:rPr>
          <w:sz w:val="20"/>
          <w:szCs w:val="20"/>
          <w:color w:val="auto"/>
        </w:rPr>
      </w:pPr>
      <w:r>
        <w:rPr>
          <w:rFonts w:ascii="Arial" w:cs="Arial" w:eastAsia="Arial" w:hAnsi="Arial"/>
          <w:sz w:val="21"/>
          <w:szCs w:val="21"/>
          <w:color w:val="auto"/>
        </w:rPr>
        <w:t>Administration, LLC</w:t>
      </w:r>
    </w:p>
    <w:p>
      <w:pPr>
        <w:ind w:left="3160"/>
        <w:spacing w:after="0" w:line="235" w:lineRule="auto"/>
        <w:rPr>
          <w:sz w:val="20"/>
          <w:szCs w:val="20"/>
          <w:color w:val="auto"/>
        </w:rPr>
      </w:pPr>
      <w:r>
        <w:rPr>
          <w:rFonts w:ascii="Arial" w:cs="Arial" w:eastAsia="Arial" w:hAnsi="Arial"/>
          <w:sz w:val="21"/>
          <w:szCs w:val="21"/>
          <w:color w:val="auto"/>
        </w:rPr>
        <w:t>333 S. Grand Avenue,</w:t>
      </w:r>
    </w:p>
    <w:p>
      <w:pPr>
        <w:ind w:left="31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Oaktree</w:t>
      </w:r>
    </w:p>
    <w:p>
      <w:pPr>
        <w:ind w:left="3160"/>
        <w:spacing w:after="0" w:line="235" w:lineRule="auto"/>
        <w:rPr>
          <w:sz w:val="20"/>
          <w:szCs w:val="20"/>
          <w:color w:val="auto"/>
        </w:rPr>
      </w:pPr>
      <w:r>
        <w:rPr>
          <w:rFonts w:ascii="Arial" w:cs="Arial" w:eastAsia="Arial" w:hAnsi="Arial"/>
          <w:sz w:val="21"/>
          <w:szCs w:val="21"/>
          <w:color w:val="auto"/>
        </w:rPr>
        <w:t>Agency</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19"/>
          <w:szCs w:val="19"/>
          <w:color w:val="auto"/>
        </w:rPr>
        <w:t>Oaktreeagency@alterdomus.com</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w:t>
      </w:r>
    </w:p>
    <w:p>
      <w:pPr>
        <w:ind w:left="3160"/>
        <w:spacing w:after="0" w:line="235" w:lineRule="auto"/>
        <w:rPr>
          <w:sz w:val="20"/>
          <w:szCs w:val="20"/>
          <w:color w:val="auto"/>
        </w:rPr>
      </w:pPr>
      <w:r>
        <w:rPr>
          <w:rFonts w:ascii="Arial" w:cs="Arial" w:eastAsia="Arial" w:hAnsi="Arial"/>
          <w:sz w:val="21"/>
          <w:szCs w:val="21"/>
          <w:color w:val="auto"/>
        </w:rPr>
        <w:t>Management, L.P. 333</w:t>
      </w:r>
    </w:p>
    <w:p>
      <w:pPr>
        <w:ind w:left="31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Aman</w:t>
      </w:r>
    </w:p>
    <w:p>
      <w:pPr>
        <w:ind w:left="3160"/>
        <w:spacing w:after="0" w:line="235" w:lineRule="auto"/>
        <w:rPr>
          <w:sz w:val="20"/>
          <w:szCs w:val="20"/>
          <w:color w:val="auto"/>
        </w:rPr>
      </w:pPr>
      <w:r>
        <w:rPr>
          <w:rFonts w:ascii="Arial" w:cs="Arial" w:eastAsia="Arial" w:hAnsi="Arial"/>
          <w:sz w:val="21"/>
          <w:szCs w:val="21"/>
          <w:color w:val="auto"/>
        </w:rPr>
        <w:t>Kumar</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20"/>
          <w:szCs w:val="20"/>
          <w:color w:val="auto"/>
        </w:rPr>
        <w:t>AmKumar@oaktreecapital.com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w:t>
      </w:r>
    </w:p>
    <w:p>
      <w:pPr>
        <w:ind w:left="3160"/>
        <w:spacing w:after="0" w:line="235" w:lineRule="auto"/>
        <w:rPr>
          <w:sz w:val="20"/>
          <w:szCs w:val="20"/>
          <w:color w:val="auto"/>
        </w:rPr>
      </w:pPr>
      <w:r>
        <w:rPr>
          <w:rFonts w:ascii="Arial" w:cs="Arial" w:eastAsia="Arial" w:hAnsi="Arial"/>
          <w:sz w:val="21"/>
          <w:szCs w:val="21"/>
          <w:color w:val="auto"/>
        </w:rPr>
        <w:t>Cromwell LLP</w:t>
      </w:r>
    </w:p>
    <w:p>
      <w:pPr>
        <w:ind w:left="3160" w:right="4979" w:firstLine="3"/>
        <w:spacing w:after="0" w:line="269" w:lineRule="auto"/>
        <w:tabs>
          <w:tab w:leader="none" w:pos="3528" w:val="left"/>
        </w:tabs>
        <w:numPr>
          <w:ilvl w:val="0"/>
          <w:numId w:val="73"/>
        </w:numPr>
        <w:rPr>
          <w:rFonts w:ascii="Arial" w:cs="Arial" w:eastAsia="Arial" w:hAnsi="Arial"/>
          <w:sz w:val="19"/>
          <w:szCs w:val="19"/>
          <w:color w:val="auto"/>
        </w:rPr>
      </w:pPr>
      <w:r>
        <w:rPr>
          <w:rFonts w:ascii="Arial" w:cs="Arial" w:eastAsia="Arial" w:hAnsi="Arial"/>
          <w:sz w:val="19"/>
          <w:szCs w:val="19"/>
          <w:color w:val="auto"/>
        </w:rPr>
        <w:t>Broad Street New York,</w:t>
      </w:r>
    </w:p>
    <w:p>
      <w:pPr>
        <w:spacing w:after="0" w:line="211" w:lineRule="exact"/>
        <w:rPr>
          <w:rFonts w:ascii="Arial" w:cs="Arial" w:eastAsia="Arial" w:hAnsi="Arial"/>
          <w:sz w:val="19"/>
          <w:szCs w:val="19"/>
          <w:color w:val="auto"/>
        </w:rPr>
      </w:pPr>
    </w:p>
    <w:p>
      <w:pPr>
        <w:ind w:left="3160" w:right="5099"/>
        <w:spacing w:after="0" w:line="235" w:lineRule="auto"/>
        <w:rPr>
          <w:rFonts w:ascii="Arial" w:cs="Arial" w:eastAsia="Arial" w:hAnsi="Arial"/>
          <w:sz w:val="19"/>
          <w:szCs w:val="19"/>
          <w:color w:val="auto"/>
        </w:rPr>
      </w:pPr>
      <w:r>
        <w:rPr>
          <w:rFonts w:ascii="Arial" w:cs="Arial" w:eastAsia="Arial" w:hAnsi="Arial"/>
          <w:sz w:val="21"/>
          <w:szCs w:val="21"/>
          <w:color w:val="auto"/>
        </w:rPr>
        <w:t>NY 10004 Attn: Ari B. Blaut</w:t>
      </w:r>
    </w:p>
    <w:p>
      <w:pPr>
        <w:ind w:left="3160"/>
        <w:spacing w:after="0"/>
        <w:rPr>
          <w:rFonts w:ascii="Arial" w:cs="Arial" w:eastAsia="Arial" w:hAnsi="Arial"/>
          <w:sz w:val="19"/>
          <w:szCs w:val="19"/>
          <w:color w:val="auto"/>
        </w:rPr>
      </w:pPr>
      <w:r>
        <w:rPr>
          <w:rFonts w:ascii="Arial" w:cs="Arial" w:eastAsia="Arial" w:hAnsi="Arial"/>
          <w:sz w:val="21"/>
          <w:szCs w:val="21"/>
          <w:color w:val="auto"/>
        </w:rPr>
        <w:t>Email: blauta@sullcrom.com</w:t>
      </w:r>
    </w:p>
    <w:p>
      <w:pPr>
        <w:sectPr>
          <w:pgSz w:w="11900" w:h="16838" w:orient="portrait"/>
          <w:cols w:equalWidth="0" w:num="1">
            <w:col w:w="9019"/>
          </w:cols>
          <w:pgMar w:left="1440" w:top="585" w:right="1440" w:bottom="123" w:gutter="0" w:footer="0" w:header="0"/>
        </w:sectPr>
      </w:pP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First Amendment]</w:t>
      </w:r>
    </w:p>
    <w:p>
      <w:pPr>
        <w:sectPr>
          <w:pgSz w:w="11900" w:h="16838" w:orient="portrait"/>
          <w:cols w:equalWidth="0" w:num="1">
            <w:col w:w="9019"/>
          </w:cols>
          <w:pgMar w:left="1440" w:top="585" w:right="1440" w:bottom="123" w:gutter="0" w:footer="0" w:header="0"/>
          <w:type w:val="continuous"/>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991235</wp:posOffset>
            </wp:positionH>
            <wp:positionV relativeFrom="page">
              <wp:posOffset>88900</wp:posOffset>
            </wp:positionV>
            <wp:extent cx="5641975"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5641975"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ind w:left="3160"/>
        <w:spacing w:after="0"/>
        <w:rPr>
          <w:sz w:val="20"/>
          <w:szCs w:val="20"/>
          <w:color w:val="auto"/>
        </w:rPr>
      </w:pPr>
      <w:r>
        <w:rPr>
          <w:rFonts w:ascii="Arial" w:cs="Arial" w:eastAsia="Arial" w:hAnsi="Arial"/>
          <w:sz w:val="19"/>
          <w:szCs w:val="19"/>
          <w:b w:val="1"/>
          <w:bCs w:val="1"/>
          <w:color w:val="auto"/>
        </w:rPr>
        <w:t>Oaktree Loan Acquisition Fund,</w:t>
      </w:r>
    </w:p>
    <w:p>
      <w:pPr>
        <w:spacing w:after="0" w:line="4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L.P.</w:t>
      </w:r>
    </w:p>
    <w:p>
      <w:pPr>
        <w:spacing w:after="0" w:line="95"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Fund GP IIA, LLC</w:t>
      </w:r>
    </w:p>
    <w:p>
      <w:pPr>
        <w:spacing w:after="0" w:line="1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General Partner</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Oaktree Fund GP II, L.P.</w:t>
      </w:r>
    </w:p>
    <w:p>
      <w:pPr>
        <w:spacing w:after="0" w:line="1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316230</wp:posOffset>
            </wp:positionV>
            <wp:extent cx="17945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Matthew Stewart</w:t>
      </w:r>
    </w:p>
    <w:p>
      <w:pPr>
        <w:spacing w:after="0" w:line="3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Authorized Signatory</w:t>
      </w:r>
    </w:p>
    <w:p>
      <w:pPr>
        <w:spacing w:after="0" w:line="14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Mary Gallegly</w:t>
      </w:r>
    </w:p>
    <w:p>
      <w:pPr>
        <w:spacing w:after="0" w:line="61"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-147320</wp:posOffset>
            </wp:positionV>
            <wp:extent cx="17945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21"/>
          <w:szCs w:val="21"/>
          <w:color w:val="auto"/>
        </w:rPr>
        <w:t>Title: Authorized Signatory</w:t>
      </w:r>
    </w:p>
    <w:p>
      <w:pPr>
        <w:spacing w:after="0" w:line="22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Fund</w:t>
      </w:r>
    </w:p>
    <w:p>
      <w:pPr>
        <w:ind w:left="3160"/>
        <w:spacing w:after="0" w:line="235" w:lineRule="auto"/>
        <w:rPr>
          <w:sz w:val="20"/>
          <w:szCs w:val="20"/>
          <w:color w:val="auto"/>
        </w:rPr>
      </w:pPr>
      <w:r>
        <w:rPr>
          <w:rFonts w:ascii="Arial" w:cs="Arial" w:eastAsia="Arial" w:hAnsi="Arial"/>
          <w:sz w:val="21"/>
          <w:szCs w:val="21"/>
          <w:color w:val="auto"/>
        </w:rPr>
        <w:t>Administration, LLC</w:t>
      </w:r>
    </w:p>
    <w:p>
      <w:pPr>
        <w:ind w:left="3160"/>
        <w:spacing w:after="0" w:line="235" w:lineRule="auto"/>
        <w:rPr>
          <w:sz w:val="20"/>
          <w:szCs w:val="20"/>
          <w:color w:val="auto"/>
        </w:rPr>
      </w:pPr>
      <w:r>
        <w:rPr>
          <w:rFonts w:ascii="Arial" w:cs="Arial" w:eastAsia="Arial" w:hAnsi="Arial"/>
          <w:sz w:val="21"/>
          <w:szCs w:val="21"/>
          <w:color w:val="auto"/>
        </w:rPr>
        <w:t>333 S. Grand Avenue,</w:t>
      </w:r>
    </w:p>
    <w:p>
      <w:pPr>
        <w:ind w:left="31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Oaktree</w:t>
      </w:r>
    </w:p>
    <w:p>
      <w:pPr>
        <w:ind w:left="3160"/>
        <w:spacing w:after="0" w:line="235" w:lineRule="auto"/>
        <w:rPr>
          <w:sz w:val="20"/>
          <w:szCs w:val="20"/>
          <w:color w:val="auto"/>
        </w:rPr>
      </w:pPr>
      <w:r>
        <w:rPr>
          <w:rFonts w:ascii="Arial" w:cs="Arial" w:eastAsia="Arial" w:hAnsi="Arial"/>
          <w:sz w:val="21"/>
          <w:szCs w:val="21"/>
          <w:color w:val="auto"/>
        </w:rPr>
        <w:t>Agency</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19"/>
          <w:szCs w:val="19"/>
          <w:color w:val="auto"/>
        </w:rPr>
        <w:t>Oaktreeagency@alterdomus.com</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Oaktree Capital</w:t>
      </w:r>
    </w:p>
    <w:p>
      <w:pPr>
        <w:ind w:left="3160"/>
        <w:spacing w:after="0" w:line="235" w:lineRule="auto"/>
        <w:rPr>
          <w:sz w:val="20"/>
          <w:szCs w:val="20"/>
          <w:color w:val="auto"/>
        </w:rPr>
      </w:pPr>
      <w:r>
        <w:rPr>
          <w:rFonts w:ascii="Arial" w:cs="Arial" w:eastAsia="Arial" w:hAnsi="Arial"/>
          <w:sz w:val="21"/>
          <w:szCs w:val="21"/>
          <w:color w:val="auto"/>
        </w:rPr>
        <w:t>Management, L.P. 333</w:t>
      </w:r>
    </w:p>
    <w:p>
      <w:pPr>
        <w:ind w:left="31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160"/>
        <w:spacing w:after="0" w:line="235" w:lineRule="auto"/>
        <w:rPr>
          <w:sz w:val="20"/>
          <w:szCs w:val="20"/>
          <w:color w:val="auto"/>
        </w:rPr>
      </w:pPr>
      <w:r>
        <w:rPr>
          <w:rFonts w:ascii="Arial" w:cs="Arial" w:eastAsia="Arial" w:hAnsi="Arial"/>
          <w:sz w:val="21"/>
          <w:szCs w:val="21"/>
          <w:color w:val="auto"/>
        </w:rPr>
        <w:t>Fl.</w:t>
      </w:r>
    </w:p>
    <w:p>
      <w:pPr>
        <w:ind w:left="3160"/>
        <w:spacing w:after="0" w:line="235" w:lineRule="auto"/>
        <w:rPr>
          <w:sz w:val="20"/>
          <w:szCs w:val="20"/>
          <w:color w:val="auto"/>
        </w:rPr>
      </w:pPr>
      <w:r>
        <w:rPr>
          <w:rFonts w:ascii="Arial" w:cs="Arial" w:eastAsia="Arial" w:hAnsi="Arial"/>
          <w:sz w:val="21"/>
          <w:szCs w:val="21"/>
          <w:color w:val="auto"/>
        </w:rPr>
        <w:t>Los</w:t>
      </w:r>
    </w:p>
    <w:p>
      <w:pPr>
        <w:ind w:left="3160"/>
        <w:spacing w:after="0" w:line="235" w:lineRule="auto"/>
        <w:rPr>
          <w:sz w:val="20"/>
          <w:szCs w:val="20"/>
          <w:color w:val="auto"/>
        </w:rPr>
      </w:pPr>
      <w:r>
        <w:rPr>
          <w:rFonts w:ascii="Arial" w:cs="Arial" w:eastAsia="Arial" w:hAnsi="Arial"/>
          <w:sz w:val="21"/>
          <w:szCs w:val="21"/>
          <w:color w:val="auto"/>
        </w:rPr>
        <w:t>Angeles,</w:t>
      </w:r>
    </w:p>
    <w:p>
      <w:pPr>
        <w:ind w:left="3160"/>
        <w:spacing w:after="0" w:line="235" w:lineRule="auto"/>
        <w:rPr>
          <w:sz w:val="20"/>
          <w:szCs w:val="20"/>
          <w:color w:val="auto"/>
        </w:rPr>
      </w:pPr>
      <w:r>
        <w:rPr>
          <w:rFonts w:ascii="Arial" w:cs="Arial" w:eastAsia="Arial" w:hAnsi="Arial"/>
          <w:sz w:val="21"/>
          <w:szCs w:val="21"/>
          <w:color w:val="auto"/>
        </w:rPr>
        <w:t>CA</w:t>
      </w:r>
    </w:p>
    <w:p>
      <w:pPr>
        <w:ind w:left="3160"/>
        <w:spacing w:after="0" w:line="235" w:lineRule="auto"/>
        <w:rPr>
          <w:sz w:val="20"/>
          <w:szCs w:val="20"/>
          <w:color w:val="auto"/>
        </w:rPr>
      </w:pPr>
      <w:r>
        <w:rPr>
          <w:rFonts w:ascii="Arial" w:cs="Arial" w:eastAsia="Arial" w:hAnsi="Arial"/>
          <w:sz w:val="21"/>
          <w:szCs w:val="21"/>
          <w:color w:val="auto"/>
        </w:rPr>
        <w:t>90071</w:t>
      </w:r>
    </w:p>
    <w:p>
      <w:pPr>
        <w:ind w:left="3160"/>
        <w:spacing w:after="0" w:line="236" w:lineRule="auto"/>
        <w:rPr>
          <w:sz w:val="20"/>
          <w:szCs w:val="20"/>
          <w:color w:val="auto"/>
        </w:rPr>
      </w:pPr>
      <w:r>
        <w:rPr>
          <w:rFonts w:ascii="Arial" w:cs="Arial" w:eastAsia="Arial" w:hAnsi="Arial"/>
          <w:sz w:val="21"/>
          <w:szCs w:val="21"/>
          <w:color w:val="auto"/>
        </w:rPr>
        <w:t>Attn:</w:t>
      </w:r>
    </w:p>
    <w:p>
      <w:pPr>
        <w:ind w:left="3160"/>
        <w:spacing w:after="0" w:line="235" w:lineRule="auto"/>
        <w:rPr>
          <w:sz w:val="20"/>
          <w:szCs w:val="20"/>
          <w:color w:val="auto"/>
        </w:rPr>
      </w:pPr>
      <w:r>
        <w:rPr>
          <w:rFonts w:ascii="Arial" w:cs="Arial" w:eastAsia="Arial" w:hAnsi="Arial"/>
          <w:sz w:val="21"/>
          <w:szCs w:val="21"/>
          <w:color w:val="auto"/>
        </w:rPr>
        <w:t>Aman</w:t>
      </w:r>
    </w:p>
    <w:p>
      <w:pPr>
        <w:ind w:left="3160"/>
        <w:spacing w:after="0" w:line="235" w:lineRule="auto"/>
        <w:rPr>
          <w:sz w:val="20"/>
          <w:szCs w:val="20"/>
          <w:color w:val="auto"/>
        </w:rPr>
      </w:pPr>
      <w:r>
        <w:rPr>
          <w:rFonts w:ascii="Arial" w:cs="Arial" w:eastAsia="Arial" w:hAnsi="Arial"/>
          <w:sz w:val="21"/>
          <w:szCs w:val="21"/>
          <w:color w:val="auto"/>
        </w:rPr>
        <w:t>Kumar</w:t>
      </w:r>
    </w:p>
    <w:p>
      <w:pPr>
        <w:ind w:left="3160"/>
        <w:spacing w:after="0" w:line="235" w:lineRule="auto"/>
        <w:rPr>
          <w:sz w:val="20"/>
          <w:szCs w:val="20"/>
          <w:color w:val="auto"/>
        </w:rPr>
      </w:pPr>
      <w:r>
        <w:rPr>
          <w:rFonts w:ascii="Arial" w:cs="Arial" w:eastAsia="Arial" w:hAnsi="Arial"/>
          <w:sz w:val="21"/>
          <w:szCs w:val="21"/>
          <w:color w:val="auto"/>
        </w:rPr>
        <w:t>Email:</w:t>
      </w:r>
    </w:p>
    <w:p>
      <w:pPr>
        <w:ind w:left="3160"/>
        <w:spacing w:after="0"/>
        <w:rPr>
          <w:sz w:val="20"/>
          <w:szCs w:val="20"/>
          <w:color w:val="auto"/>
        </w:rPr>
      </w:pPr>
      <w:r>
        <w:rPr>
          <w:rFonts w:ascii="Arial" w:cs="Arial" w:eastAsia="Arial" w:hAnsi="Arial"/>
          <w:sz w:val="21"/>
          <w:szCs w:val="21"/>
          <w:color w:val="auto"/>
        </w:rPr>
        <w:t>AmKumar@oaktreecapital.com</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Sullivan &amp;</w:t>
      </w:r>
    </w:p>
    <w:p>
      <w:pPr>
        <w:ind w:left="3160"/>
        <w:spacing w:after="0" w:line="235" w:lineRule="auto"/>
        <w:rPr>
          <w:sz w:val="20"/>
          <w:szCs w:val="20"/>
          <w:color w:val="auto"/>
        </w:rPr>
      </w:pPr>
      <w:r>
        <w:rPr>
          <w:rFonts w:ascii="Arial" w:cs="Arial" w:eastAsia="Arial" w:hAnsi="Arial"/>
          <w:sz w:val="21"/>
          <w:szCs w:val="21"/>
          <w:color w:val="auto"/>
        </w:rPr>
        <w:t>Cromwell LLP</w:t>
      </w:r>
    </w:p>
    <w:p>
      <w:pPr>
        <w:ind w:left="3160" w:right="4979" w:firstLine="3"/>
        <w:spacing w:after="0" w:line="269" w:lineRule="auto"/>
        <w:tabs>
          <w:tab w:leader="none" w:pos="3528" w:val="left"/>
        </w:tabs>
        <w:numPr>
          <w:ilvl w:val="0"/>
          <w:numId w:val="74"/>
        </w:numPr>
        <w:rPr>
          <w:rFonts w:ascii="Arial" w:cs="Arial" w:eastAsia="Arial" w:hAnsi="Arial"/>
          <w:sz w:val="19"/>
          <w:szCs w:val="19"/>
          <w:color w:val="auto"/>
        </w:rPr>
      </w:pPr>
      <w:r>
        <w:rPr>
          <w:rFonts w:ascii="Arial" w:cs="Arial" w:eastAsia="Arial" w:hAnsi="Arial"/>
          <w:sz w:val="19"/>
          <w:szCs w:val="19"/>
          <w:color w:val="auto"/>
        </w:rPr>
        <w:t>Broad Street New York,</w:t>
      </w:r>
    </w:p>
    <w:p>
      <w:pPr>
        <w:spacing w:after="0" w:line="211" w:lineRule="exact"/>
        <w:rPr>
          <w:rFonts w:ascii="Arial" w:cs="Arial" w:eastAsia="Arial" w:hAnsi="Arial"/>
          <w:sz w:val="19"/>
          <w:szCs w:val="19"/>
          <w:color w:val="auto"/>
        </w:rPr>
      </w:pPr>
    </w:p>
    <w:p>
      <w:pPr>
        <w:ind w:left="3160" w:right="5099"/>
        <w:spacing w:after="0" w:line="235" w:lineRule="auto"/>
        <w:rPr>
          <w:rFonts w:ascii="Arial" w:cs="Arial" w:eastAsia="Arial" w:hAnsi="Arial"/>
          <w:sz w:val="19"/>
          <w:szCs w:val="19"/>
          <w:color w:val="auto"/>
        </w:rPr>
      </w:pPr>
      <w:r>
        <w:rPr>
          <w:rFonts w:ascii="Arial" w:cs="Arial" w:eastAsia="Arial" w:hAnsi="Arial"/>
          <w:sz w:val="21"/>
          <w:szCs w:val="21"/>
          <w:color w:val="auto"/>
        </w:rPr>
        <w:t>NY 10004 Attn: Ari B. Blaut</w:t>
      </w:r>
    </w:p>
    <w:p>
      <w:pPr>
        <w:ind w:left="3160"/>
        <w:spacing w:after="0"/>
        <w:rPr>
          <w:rFonts w:ascii="Arial" w:cs="Arial" w:eastAsia="Arial" w:hAnsi="Arial"/>
          <w:sz w:val="19"/>
          <w:szCs w:val="19"/>
          <w:color w:val="auto"/>
        </w:rPr>
      </w:pPr>
      <w:r>
        <w:rPr>
          <w:rFonts w:ascii="Arial" w:cs="Arial" w:eastAsia="Arial" w:hAnsi="Arial"/>
          <w:sz w:val="21"/>
          <w:szCs w:val="21"/>
          <w:color w:val="auto"/>
        </w:rPr>
        <w:t>Email: blauta@sullcrom.com</w:t>
      </w:r>
    </w:p>
    <w:p>
      <w:pPr>
        <w:sectPr>
          <w:pgSz w:w="11900" w:h="16838" w:orient="portrait"/>
          <w:cols w:equalWidth="0" w:num="1">
            <w:col w:w="9019"/>
          </w:cols>
          <w:pgMar w:left="1440" w:top="585" w:right="1440" w:bottom="925" w:gutter="0" w:footer="0" w:header="0"/>
        </w:sectPr>
      </w:pP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374015</wp:posOffset>
            </wp:positionV>
            <wp:extent cx="564197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5641975" cy="16510"/>
                    </a:xfrm>
                    <a:prstGeom prst="rect">
                      <a:avLst/>
                    </a:prstGeom>
                    <a:noFill/>
                  </pic:spPr>
                </pic:pic>
              </a:graphicData>
            </a:graphic>
          </wp:anchor>
        </w:drawing>
      </w:r>
    </w:p>
    <w:p>
      <w:pPr>
        <w:sectPr>
          <w:pgSz w:w="11900" w:h="16838" w:orient="portrait"/>
          <w:cols w:equalWidth="0" w:num="1">
            <w:col w:w="9019"/>
          </w:cols>
          <w:pgMar w:left="1440" w:top="585" w:right="1440" w:bottom="925" w:gutter="0" w:footer="0" w:header="0"/>
          <w:type w:val="continuous"/>
        </w:sectPr>
      </w:pPr>
    </w:p>
    <w:bookmarkStart w:id="141" w:name="page142"/>
    <w:bookmarkEnd w:id="141"/>
    <w:p>
      <w:pPr>
        <w:ind w:left="3260"/>
        <w:spacing w:after="0"/>
        <w:rPr>
          <w:sz w:val="20"/>
          <w:szCs w:val="20"/>
          <w:color w:val="auto"/>
        </w:rPr>
      </w:pPr>
      <w:r>
        <w:rPr>
          <w:rFonts w:ascii="Arial" w:cs="Arial" w:eastAsia="Arial" w:hAnsi="Arial"/>
          <w:sz w:val="21"/>
          <w:szCs w:val="21"/>
          <w:b w:val="1"/>
          <w:bCs w:val="1"/>
          <w:color w:val="auto"/>
        </w:rPr>
        <w:t>OAKTREE LSL FUND DELAWARE</w:t>
      </w:r>
    </w:p>
    <w:p>
      <w:pPr>
        <w:spacing w:after="0" w:line="19"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HOLDINGS EURRC, L.P.</w:t>
      </w:r>
    </w:p>
    <w:p>
      <w:pPr>
        <w:spacing w:after="0" w:line="227" w:lineRule="exact"/>
        <w:rPr>
          <w:sz w:val="20"/>
          <w:szCs w:val="20"/>
          <w:color w:val="auto"/>
        </w:rPr>
      </w:pPr>
    </w:p>
    <w:p>
      <w:pPr>
        <w:ind w:left="3260"/>
        <w:spacing w:after="0"/>
        <w:tabs>
          <w:tab w:leader="none" w:pos="3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Oaktree Life Sciences Lending Fund</w:t>
      </w:r>
    </w:p>
    <w:p>
      <w:pPr>
        <w:ind w:left="3720"/>
        <w:spacing w:after="0" w:line="235" w:lineRule="auto"/>
        <w:rPr>
          <w:sz w:val="20"/>
          <w:szCs w:val="20"/>
          <w:color w:val="auto"/>
        </w:rPr>
      </w:pPr>
      <w:r>
        <w:rPr>
          <w:rFonts w:ascii="Arial" w:cs="Arial" w:eastAsia="Arial" w:hAnsi="Arial"/>
          <w:sz w:val="21"/>
          <w:szCs w:val="21"/>
          <w:color w:val="auto"/>
        </w:rPr>
        <w:t>GP, L.P.</w:t>
      </w:r>
    </w:p>
    <w:p>
      <w:pPr>
        <w:ind w:left="3260"/>
        <w:spacing w:after="0"/>
        <w:tabs>
          <w:tab w:leader="none" w:pos="370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18"/>
          <w:szCs w:val="18"/>
          <w:color w:val="auto"/>
        </w:rPr>
        <w:t>General Partner</w:t>
      </w:r>
    </w:p>
    <w:p>
      <w:pPr>
        <w:spacing w:after="0" w:line="227" w:lineRule="exact"/>
        <w:rPr>
          <w:sz w:val="20"/>
          <w:szCs w:val="20"/>
          <w:color w:val="auto"/>
        </w:rPr>
      </w:pPr>
    </w:p>
    <w:p>
      <w:pPr>
        <w:ind w:left="3260"/>
        <w:spacing w:after="0"/>
        <w:tabs>
          <w:tab w:leader="none" w:pos="3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Oaktree Life Sciences Lending Fund</w:t>
      </w:r>
    </w:p>
    <w:p>
      <w:pPr>
        <w:ind w:left="3720"/>
        <w:spacing w:after="0" w:line="235" w:lineRule="auto"/>
        <w:rPr>
          <w:sz w:val="20"/>
          <w:szCs w:val="20"/>
          <w:color w:val="auto"/>
        </w:rPr>
      </w:pPr>
      <w:r>
        <w:rPr>
          <w:rFonts w:ascii="Arial" w:cs="Arial" w:eastAsia="Arial" w:hAnsi="Arial"/>
          <w:sz w:val="21"/>
          <w:szCs w:val="21"/>
          <w:color w:val="auto"/>
        </w:rPr>
        <w:t>GP Ltd.</w:t>
      </w:r>
    </w:p>
    <w:p>
      <w:pPr>
        <w:ind w:left="3260"/>
        <w:spacing w:after="0"/>
        <w:tabs>
          <w:tab w:leader="none" w:pos="370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18"/>
          <w:szCs w:val="18"/>
          <w:color w:val="auto"/>
        </w:rPr>
        <w:t>General Partner</w:t>
      </w:r>
    </w:p>
    <w:p>
      <w:pPr>
        <w:spacing w:after="0" w:line="227" w:lineRule="exact"/>
        <w:rPr>
          <w:sz w:val="20"/>
          <w:szCs w:val="20"/>
          <w:color w:val="auto"/>
        </w:rPr>
      </w:pPr>
    </w:p>
    <w:p>
      <w:pPr>
        <w:ind w:left="3260"/>
        <w:spacing w:after="0"/>
        <w:tabs>
          <w:tab w:leader="none" w:pos="3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Oaktree Capital</w:t>
      </w:r>
    </w:p>
    <w:p>
      <w:pPr>
        <w:spacing w:after="0" w:line="13" w:lineRule="exact"/>
        <w:rPr>
          <w:sz w:val="20"/>
          <w:szCs w:val="20"/>
          <w:color w:val="auto"/>
        </w:rPr>
      </w:pPr>
    </w:p>
    <w:p>
      <w:pPr>
        <w:ind w:left="3260"/>
        <w:spacing w:after="0"/>
        <w:tabs>
          <w:tab w:leader="none" w:pos="370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18"/>
          <w:szCs w:val="18"/>
          <w:color w:val="auto"/>
        </w:rPr>
        <w:t>Management, L.P. Director</w:t>
      </w:r>
    </w:p>
    <w:p>
      <w:pPr>
        <w:spacing w:after="0" w:line="345" w:lineRule="exact"/>
        <w:rPr>
          <w:sz w:val="20"/>
          <w:szCs w:val="20"/>
          <w:color w:val="auto"/>
        </w:rPr>
      </w:pPr>
    </w:p>
    <w:p>
      <w:pPr>
        <w:ind w:left="3260"/>
        <w:spacing w:after="0"/>
        <w:tabs>
          <w:tab w:leader="none" w:pos="3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Mary Gallegly</w:t>
      </w:r>
    </w:p>
    <w:p>
      <w:pPr>
        <w:spacing w:after="0" w:line="34"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-147320</wp:posOffset>
            </wp:positionV>
            <wp:extent cx="20364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ind w:left="3720"/>
        <w:spacing w:after="0"/>
        <w:rPr>
          <w:sz w:val="20"/>
          <w:szCs w:val="20"/>
          <w:color w:val="auto"/>
        </w:rPr>
      </w:pPr>
      <w:r>
        <w:rPr>
          <w:rFonts w:ascii="Arial" w:cs="Arial" w:eastAsia="Arial" w:hAnsi="Arial"/>
          <w:sz w:val="21"/>
          <w:szCs w:val="21"/>
          <w:color w:val="auto"/>
        </w:rPr>
        <w:t>Title: Managing Director</w:t>
      </w:r>
    </w:p>
    <w:p>
      <w:pPr>
        <w:spacing w:after="0" w:line="109" w:lineRule="exact"/>
        <w:rPr>
          <w:sz w:val="20"/>
          <w:szCs w:val="20"/>
          <w:color w:val="auto"/>
        </w:rPr>
      </w:pPr>
    </w:p>
    <w:p>
      <w:pPr>
        <w:ind w:left="3260"/>
        <w:spacing w:after="0"/>
        <w:tabs>
          <w:tab w:leader="none" w:pos="3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Matthew Stewart</w:t>
      </w:r>
    </w:p>
    <w:p>
      <w:pPr>
        <w:spacing w:after="0" w:line="61"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Name:Matthew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-147320</wp:posOffset>
            </wp:positionV>
            <wp:extent cx="20364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ind w:left="3720"/>
        <w:spacing w:after="0"/>
        <w:rPr>
          <w:sz w:val="20"/>
          <w:szCs w:val="20"/>
          <w:color w:val="auto"/>
        </w:rPr>
      </w:pPr>
      <w:r>
        <w:rPr>
          <w:rFonts w:ascii="Arial" w:cs="Arial" w:eastAsia="Arial" w:hAnsi="Arial"/>
          <w:sz w:val="21"/>
          <w:szCs w:val="21"/>
          <w:color w:val="auto"/>
        </w:rPr>
        <w:t>Title: Managing Director</w:t>
      </w:r>
    </w:p>
    <w:p>
      <w:pPr>
        <w:spacing w:after="0" w:line="227"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Oaktree Fund</w:t>
      </w:r>
    </w:p>
    <w:p>
      <w:pPr>
        <w:ind w:left="3260"/>
        <w:spacing w:after="0" w:line="235" w:lineRule="auto"/>
        <w:rPr>
          <w:sz w:val="20"/>
          <w:szCs w:val="20"/>
          <w:color w:val="auto"/>
        </w:rPr>
      </w:pPr>
      <w:r>
        <w:rPr>
          <w:rFonts w:ascii="Arial" w:cs="Arial" w:eastAsia="Arial" w:hAnsi="Arial"/>
          <w:sz w:val="21"/>
          <w:szCs w:val="21"/>
          <w:color w:val="auto"/>
        </w:rPr>
        <w:t>Administration, LLC</w:t>
      </w:r>
    </w:p>
    <w:p>
      <w:pPr>
        <w:ind w:left="3260"/>
        <w:spacing w:after="0" w:line="235" w:lineRule="auto"/>
        <w:rPr>
          <w:sz w:val="20"/>
          <w:szCs w:val="20"/>
          <w:color w:val="auto"/>
        </w:rPr>
      </w:pPr>
      <w:r>
        <w:rPr>
          <w:rFonts w:ascii="Arial" w:cs="Arial" w:eastAsia="Arial" w:hAnsi="Arial"/>
          <w:sz w:val="21"/>
          <w:szCs w:val="21"/>
          <w:color w:val="auto"/>
        </w:rPr>
        <w:t>333 S. Grand Avenue,</w:t>
      </w:r>
    </w:p>
    <w:p>
      <w:pPr>
        <w:ind w:left="32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260"/>
        <w:spacing w:after="0" w:line="235" w:lineRule="auto"/>
        <w:rPr>
          <w:sz w:val="20"/>
          <w:szCs w:val="20"/>
          <w:color w:val="auto"/>
        </w:rPr>
      </w:pPr>
      <w:r>
        <w:rPr>
          <w:rFonts w:ascii="Arial" w:cs="Arial" w:eastAsia="Arial" w:hAnsi="Arial"/>
          <w:sz w:val="21"/>
          <w:szCs w:val="21"/>
          <w:color w:val="auto"/>
        </w:rPr>
        <w:t>Los</w:t>
      </w:r>
    </w:p>
    <w:p>
      <w:pPr>
        <w:ind w:left="3260"/>
        <w:spacing w:after="0" w:line="235" w:lineRule="auto"/>
        <w:rPr>
          <w:sz w:val="20"/>
          <w:szCs w:val="20"/>
          <w:color w:val="auto"/>
        </w:rPr>
      </w:pPr>
      <w:r>
        <w:rPr>
          <w:rFonts w:ascii="Arial" w:cs="Arial" w:eastAsia="Arial" w:hAnsi="Arial"/>
          <w:sz w:val="21"/>
          <w:szCs w:val="21"/>
          <w:color w:val="auto"/>
        </w:rPr>
        <w:t>Angeles,</w:t>
      </w:r>
    </w:p>
    <w:p>
      <w:pPr>
        <w:ind w:left="3260"/>
        <w:spacing w:after="0" w:line="235" w:lineRule="auto"/>
        <w:rPr>
          <w:sz w:val="20"/>
          <w:szCs w:val="20"/>
          <w:color w:val="auto"/>
        </w:rPr>
      </w:pPr>
      <w:r>
        <w:rPr>
          <w:rFonts w:ascii="Arial" w:cs="Arial" w:eastAsia="Arial" w:hAnsi="Arial"/>
          <w:sz w:val="21"/>
          <w:szCs w:val="21"/>
          <w:color w:val="auto"/>
        </w:rPr>
        <w:t>CA</w:t>
      </w:r>
    </w:p>
    <w:p>
      <w:pPr>
        <w:ind w:left="3260"/>
        <w:spacing w:after="0" w:line="235" w:lineRule="auto"/>
        <w:rPr>
          <w:sz w:val="20"/>
          <w:szCs w:val="20"/>
          <w:color w:val="auto"/>
        </w:rPr>
      </w:pPr>
      <w:r>
        <w:rPr>
          <w:rFonts w:ascii="Arial" w:cs="Arial" w:eastAsia="Arial" w:hAnsi="Arial"/>
          <w:sz w:val="21"/>
          <w:szCs w:val="21"/>
          <w:color w:val="auto"/>
        </w:rPr>
        <w:t>90071</w:t>
      </w:r>
    </w:p>
    <w:p>
      <w:pPr>
        <w:ind w:left="3260"/>
        <w:spacing w:after="0" w:line="236" w:lineRule="auto"/>
        <w:rPr>
          <w:sz w:val="20"/>
          <w:szCs w:val="20"/>
          <w:color w:val="auto"/>
        </w:rPr>
      </w:pPr>
      <w:r>
        <w:rPr>
          <w:rFonts w:ascii="Arial" w:cs="Arial" w:eastAsia="Arial" w:hAnsi="Arial"/>
          <w:sz w:val="21"/>
          <w:szCs w:val="21"/>
          <w:color w:val="auto"/>
        </w:rPr>
        <w:t>Attn:</w:t>
      </w:r>
    </w:p>
    <w:p>
      <w:pPr>
        <w:ind w:left="3260"/>
        <w:spacing w:after="0" w:line="235" w:lineRule="auto"/>
        <w:rPr>
          <w:sz w:val="20"/>
          <w:szCs w:val="20"/>
          <w:color w:val="auto"/>
        </w:rPr>
      </w:pPr>
      <w:r>
        <w:rPr>
          <w:rFonts w:ascii="Arial" w:cs="Arial" w:eastAsia="Arial" w:hAnsi="Arial"/>
          <w:sz w:val="21"/>
          <w:szCs w:val="21"/>
          <w:color w:val="auto"/>
        </w:rPr>
        <w:t>Oaktree</w:t>
      </w:r>
    </w:p>
    <w:p>
      <w:pPr>
        <w:ind w:left="3260"/>
        <w:spacing w:after="0" w:line="235" w:lineRule="auto"/>
        <w:rPr>
          <w:sz w:val="20"/>
          <w:szCs w:val="20"/>
          <w:color w:val="auto"/>
        </w:rPr>
      </w:pPr>
      <w:r>
        <w:rPr>
          <w:rFonts w:ascii="Arial" w:cs="Arial" w:eastAsia="Arial" w:hAnsi="Arial"/>
          <w:sz w:val="21"/>
          <w:szCs w:val="21"/>
          <w:color w:val="auto"/>
        </w:rPr>
        <w:t>Agency</w:t>
      </w:r>
    </w:p>
    <w:p>
      <w:pPr>
        <w:ind w:left="3260"/>
        <w:spacing w:after="0"/>
        <w:rPr>
          <w:sz w:val="20"/>
          <w:szCs w:val="20"/>
          <w:color w:val="auto"/>
        </w:rPr>
      </w:pPr>
      <w:r>
        <w:rPr>
          <w:rFonts w:ascii="Arial" w:cs="Arial" w:eastAsia="Arial" w:hAnsi="Arial"/>
          <w:sz w:val="19"/>
          <w:szCs w:val="19"/>
          <w:color w:val="auto"/>
        </w:rPr>
        <w:t>Email: Oaktreeagency@alterdomus.com</w:t>
      </w:r>
    </w:p>
    <w:p>
      <w:pPr>
        <w:spacing w:after="0" w:line="237"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Oaktree Capital</w:t>
      </w:r>
    </w:p>
    <w:p>
      <w:pPr>
        <w:ind w:left="3260"/>
        <w:spacing w:after="0" w:line="235" w:lineRule="auto"/>
        <w:rPr>
          <w:sz w:val="20"/>
          <w:szCs w:val="20"/>
          <w:color w:val="auto"/>
        </w:rPr>
      </w:pPr>
      <w:r>
        <w:rPr>
          <w:rFonts w:ascii="Arial" w:cs="Arial" w:eastAsia="Arial" w:hAnsi="Arial"/>
          <w:sz w:val="21"/>
          <w:szCs w:val="21"/>
          <w:color w:val="auto"/>
        </w:rPr>
        <w:t>Management, L.P. 333</w:t>
      </w:r>
    </w:p>
    <w:p>
      <w:pPr>
        <w:ind w:left="3260"/>
        <w:spacing w:after="0" w:line="235" w:lineRule="auto"/>
        <w:rPr>
          <w:sz w:val="20"/>
          <w:szCs w:val="20"/>
          <w:color w:val="auto"/>
        </w:rPr>
      </w:pPr>
      <w:r>
        <w:rPr>
          <w:rFonts w:ascii="Arial" w:cs="Arial" w:eastAsia="Arial" w:hAnsi="Arial"/>
          <w:sz w:val="21"/>
          <w:szCs w:val="21"/>
          <w:color w:val="auto"/>
        </w:rPr>
        <w:t>S. Grand Avenue, 28</w:t>
      </w:r>
      <w:r>
        <w:rPr>
          <w:rFonts w:ascii="Arial" w:cs="Arial" w:eastAsia="Arial" w:hAnsi="Arial"/>
          <w:sz w:val="15"/>
          <w:szCs w:val="15"/>
          <w:color w:val="auto"/>
        </w:rPr>
        <w:t>th</w:t>
      </w:r>
    </w:p>
    <w:p>
      <w:pPr>
        <w:ind w:left="3260"/>
        <w:spacing w:after="0" w:line="235" w:lineRule="auto"/>
        <w:rPr>
          <w:sz w:val="20"/>
          <w:szCs w:val="20"/>
          <w:color w:val="auto"/>
        </w:rPr>
      </w:pPr>
      <w:r>
        <w:rPr>
          <w:rFonts w:ascii="Arial" w:cs="Arial" w:eastAsia="Arial" w:hAnsi="Arial"/>
          <w:sz w:val="21"/>
          <w:szCs w:val="21"/>
          <w:color w:val="auto"/>
        </w:rPr>
        <w:t>Fl.</w:t>
      </w:r>
    </w:p>
    <w:p>
      <w:pPr>
        <w:ind w:left="3260"/>
        <w:spacing w:after="0" w:line="235" w:lineRule="auto"/>
        <w:rPr>
          <w:sz w:val="20"/>
          <w:szCs w:val="20"/>
          <w:color w:val="auto"/>
        </w:rPr>
      </w:pPr>
      <w:r>
        <w:rPr>
          <w:rFonts w:ascii="Arial" w:cs="Arial" w:eastAsia="Arial" w:hAnsi="Arial"/>
          <w:sz w:val="21"/>
          <w:szCs w:val="21"/>
          <w:color w:val="auto"/>
        </w:rPr>
        <w:t>Los</w:t>
      </w:r>
    </w:p>
    <w:p>
      <w:pPr>
        <w:ind w:left="3260"/>
        <w:spacing w:after="0" w:line="235" w:lineRule="auto"/>
        <w:rPr>
          <w:sz w:val="20"/>
          <w:szCs w:val="20"/>
          <w:color w:val="auto"/>
        </w:rPr>
      </w:pPr>
      <w:r>
        <w:rPr>
          <w:rFonts w:ascii="Arial" w:cs="Arial" w:eastAsia="Arial" w:hAnsi="Arial"/>
          <w:sz w:val="21"/>
          <w:szCs w:val="21"/>
          <w:color w:val="auto"/>
        </w:rPr>
        <w:t>Angeles,</w:t>
      </w:r>
    </w:p>
    <w:p>
      <w:pPr>
        <w:ind w:left="3260"/>
        <w:spacing w:after="0" w:line="235" w:lineRule="auto"/>
        <w:rPr>
          <w:sz w:val="20"/>
          <w:szCs w:val="20"/>
          <w:color w:val="auto"/>
        </w:rPr>
      </w:pPr>
      <w:r>
        <w:rPr>
          <w:rFonts w:ascii="Arial" w:cs="Arial" w:eastAsia="Arial" w:hAnsi="Arial"/>
          <w:sz w:val="21"/>
          <w:szCs w:val="21"/>
          <w:color w:val="auto"/>
        </w:rPr>
        <w:t>CA</w:t>
      </w:r>
    </w:p>
    <w:p>
      <w:pPr>
        <w:ind w:left="3260"/>
        <w:spacing w:after="0" w:line="235" w:lineRule="auto"/>
        <w:rPr>
          <w:sz w:val="20"/>
          <w:szCs w:val="20"/>
          <w:color w:val="auto"/>
        </w:rPr>
      </w:pPr>
      <w:r>
        <w:rPr>
          <w:rFonts w:ascii="Arial" w:cs="Arial" w:eastAsia="Arial" w:hAnsi="Arial"/>
          <w:sz w:val="21"/>
          <w:szCs w:val="21"/>
          <w:color w:val="auto"/>
        </w:rPr>
        <w:t>90071</w:t>
      </w:r>
    </w:p>
    <w:p>
      <w:pPr>
        <w:ind w:left="3260"/>
        <w:spacing w:after="0" w:line="236" w:lineRule="auto"/>
        <w:rPr>
          <w:sz w:val="20"/>
          <w:szCs w:val="20"/>
          <w:color w:val="auto"/>
        </w:rPr>
      </w:pPr>
      <w:r>
        <w:rPr>
          <w:rFonts w:ascii="Arial" w:cs="Arial" w:eastAsia="Arial" w:hAnsi="Arial"/>
          <w:sz w:val="21"/>
          <w:szCs w:val="21"/>
          <w:color w:val="auto"/>
        </w:rPr>
        <w:t>Attn:</w:t>
      </w:r>
    </w:p>
    <w:p>
      <w:pPr>
        <w:ind w:left="3260"/>
        <w:spacing w:after="0" w:line="235" w:lineRule="auto"/>
        <w:rPr>
          <w:sz w:val="20"/>
          <w:szCs w:val="20"/>
          <w:color w:val="auto"/>
        </w:rPr>
      </w:pPr>
      <w:r>
        <w:rPr>
          <w:rFonts w:ascii="Arial" w:cs="Arial" w:eastAsia="Arial" w:hAnsi="Arial"/>
          <w:sz w:val="21"/>
          <w:szCs w:val="21"/>
          <w:color w:val="auto"/>
        </w:rPr>
        <w:t>Aman</w:t>
      </w:r>
    </w:p>
    <w:p>
      <w:pPr>
        <w:ind w:left="3260"/>
        <w:spacing w:after="0" w:line="235" w:lineRule="auto"/>
        <w:rPr>
          <w:sz w:val="20"/>
          <w:szCs w:val="20"/>
          <w:color w:val="auto"/>
        </w:rPr>
      </w:pPr>
      <w:r>
        <w:rPr>
          <w:rFonts w:ascii="Arial" w:cs="Arial" w:eastAsia="Arial" w:hAnsi="Arial"/>
          <w:sz w:val="21"/>
          <w:szCs w:val="21"/>
          <w:color w:val="auto"/>
        </w:rPr>
        <w:t>Kumar</w:t>
      </w:r>
    </w:p>
    <w:p>
      <w:pPr>
        <w:ind w:left="3260"/>
        <w:spacing w:after="0"/>
        <w:rPr>
          <w:sz w:val="20"/>
          <w:szCs w:val="20"/>
          <w:color w:val="auto"/>
        </w:rPr>
      </w:pPr>
      <w:r>
        <w:rPr>
          <w:rFonts w:ascii="Arial" w:cs="Arial" w:eastAsia="Arial" w:hAnsi="Arial"/>
          <w:sz w:val="20"/>
          <w:szCs w:val="20"/>
          <w:color w:val="auto"/>
        </w:rPr>
        <w:t>Email: AmKumar@oaktreecapital.com</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Sullivan &amp;</w:t>
      </w:r>
    </w:p>
    <w:p>
      <w:pPr>
        <w:ind w:left="3260"/>
        <w:spacing w:after="0" w:line="235" w:lineRule="auto"/>
        <w:rPr>
          <w:sz w:val="20"/>
          <w:szCs w:val="20"/>
          <w:color w:val="auto"/>
        </w:rPr>
      </w:pPr>
      <w:r>
        <w:rPr>
          <w:rFonts w:ascii="Arial" w:cs="Arial" w:eastAsia="Arial" w:hAnsi="Arial"/>
          <w:sz w:val="21"/>
          <w:szCs w:val="21"/>
          <w:color w:val="auto"/>
        </w:rPr>
        <w:t>Cromwell</w:t>
      </w:r>
    </w:p>
    <w:p>
      <w:pPr>
        <w:ind w:left="3260"/>
        <w:spacing w:after="0" w:line="235" w:lineRule="auto"/>
        <w:rPr>
          <w:sz w:val="20"/>
          <w:szCs w:val="20"/>
          <w:color w:val="auto"/>
        </w:rPr>
      </w:pPr>
      <w:r>
        <w:rPr>
          <w:rFonts w:ascii="Arial" w:cs="Arial" w:eastAsia="Arial" w:hAnsi="Arial"/>
          <w:sz w:val="21"/>
          <w:szCs w:val="21"/>
          <w:color w:val="auto"/>
        </w:rPr>
        <w:t>LLP 125</w:t>
      </w:r>
    </w:p>
    <w:p>
      <w:pPr>
        <w:ind w:left="3260"/>
        <w:spacing w:after="0" w:line="235" w:lineRule="auto"/>
        <w:rPr>
          <w:sz w:val="20"/>
          <w:szCs w:val="20"/>
          <w:color w:val="auto"/>
        </w:rPr>
      </w:pPr>
      <w:r>
        <w:rPr>
          <w:rFonts w:ascii="Arial" w:cs="Arial" w:eastAsia="Arial" w:hAnsi="Arial"/>
          <w:sz w:val="21"/>
          <w:szCs w:val="21"/>
          <w:color w:val="auto"/>
        </w:rPr>
        <w:t>Broad Street</w:t>
      </w:r>
    </w:p>
    <w:p>
      <w:pPr>
        <w:ind w:left="3260"/>
        <w:spacing w:after="0" w:line="235" w:lineRule="auto"/>
        <w:rPr>
          <w:sz w:val="20"/>
          <w:szCs w:val="20"/>
          <w:color w:val="auto"/>
        </w:rPr>
      </w:pPr>
      <w:r>
        <w:rPr>
          <w:rFonts w:ascii="Arial" w:cs="Arial" w:eastAsia="Arial" w:hAnsi="Arial"/>
          <w:sz w:val="21"/>
          <w:szCs w:val="21"/>
          <w:color w:val="auto"/>
        </w:rPr>
        <w:t>New</w:t>
      </w:r>
    </w:p>
    <w:p>
      <w:pPr>
        <w:ind w:left="3260"/>
        <w:spacing w:after="0" w:line="235" w:lineRule="auto"/>
        <w:rPr>
          <w:sz w:val="20"/>
          <w:szCs w:val="20"/>
          <w:color w:val="auto"/>
        </w:rPr>
      </w:pPr>
      <w:r>
        <w:rPr>
          <w:rFonts w:ascii="Arial" w:cs="Arial" w:eastAsia="Arial" w:hAnsi="Arial"/>
          <w:sz w:val="21"/>
          <w:szCs w:val="21"/>
          <w:color w:val="auto"/>
        </w:rPr>
        <w:t>York,</w:t>
      </w:r>
    </w:p>
    <w:p>
      <w:pPr>
        <w:ind w:left="3260"/>
        <w:spacing w:after="0" w:line="235" w:lineRule="auto"/>
        <w:rPr>
          <w:sz w:val="20"/>
          <w:szCs w:val="20"/>
          <w:color w:val="auto"/>
        </w:rPr>
      </w:pPr>
      <w:r>
        <w:rPr>
          <w:rFonts w:ascii="Arial" w:cs="Arial" w:eastAsia="Arial" w:hAnsi="Arial"/>
          <w:sz w:val="21"/>
          <w:szCs w:val="21"/>
          <w:color w:val="auto"/>
        </w:rPr>
        <w:t>NY</w:t>
      </w:r>
    </w:p>
    <w:p>
      <w:pPr>
        <w:ind w:left="3260"/>
        <w:spacing w:after="0" w:line="235" w:lineRule="auto"/>
        <w:rPr>
          <w:sz w:val="20"/>
          <w:szCs w:val="20"/>
          <w:color w:val="auto"/>
        </w:rPr>
      </w:pPr>
      <w:r>
        <w:rPr>
          <w:rFonts w:ascii="Arial" w:cs="Arial" w:eastAsia="Arial" w:hAnsi="Arial"/>
          <w:sz w:val="21"/>
          <w:szCs w:val="21"/>
          <w:color w:val="auto"/>
        </w:rPr>
        <w:t>10004</w:t>
      </w:r>
    </w:p>
    <w:p>
      <w:pPr>
        <w:ind w:left="3260"/>
        <w:spacing w:after="0" w:line="236" w:lineRule="auto"/>
        <w:rPr>
          <w:sz w:val="20"/>
          <w:szCs w:val="20"/>
          <w:color w:val="auto"/>
        </w:rPr>
      </w:pPr>
      <w:r>
        <w:rPr>
          <w:rFonts w:ascii="Arial" w:cs="Arial" w:eastAsia="Arial" w:hAnsi="Arial"/>
          <w:sz w:val="21"/>
          <w:szCs w:val="21"/>
          <w:color w:val="auto"/>
        </w:rPr>
        <w:t>Attn:</w:t>
      </w:r>
    </w:p>
    <w:p>
      <w:pPr>
        <w:ind w:left="3260"/>
        <w:spacing w:after="0" w:line="235" w:lineRule="auto"/>
        <w:rPr>
          <w:sz w:val="20"/>
          <w:szCs w:val="20"/>
          <w:color w:val="auto"/>
        </w:rPr>
      </w:pPr>
      <w:r>
        <w:rPr>
          <w:rFonts w:ascii="Arial" w:cs="Arial" w:eastAsia="Arial" w:hAnsi="Arial"/>
          <w:sz w:val="21"/>
          <w:szCs w:val="21"/>
          <w:color w:val="auto"/>
        </w:rPr>
        <w:t>Ari B.</w:t>
      </w:r>
    </w:p>
    <w:p>
      <w:pPr>
        <w:ind w:left="3260"/>
        <w:spacing w:after="0" w:line="235" w:lineRule="auto"/>
        <w:rPr>
          <w:sz w:val="20"/>
          <w:szCs w:val="20"/>
          <w:color w:val="auto"/>
        </w:rPr>
      </w:pPr>
      <w:r>
        <w:rPr>
          <w:rFonts w:ascii="Arial" w:cs="Arial" w:eastAsia="Arial" w:hAnsi="Arial"/>
          <w:sz w:val="21"/>
          <w:szCs w:val="21"/>
          <w:color w:val="auto"/>
        </w:rPr>
        <w:t>Blaut</w:t>
      </w:r>
    </w:p>
    <w:p>
      <w:pPr>
        <w:jc w:val="center"/>
        <w:ind w:right="59"/>
        <w:spacing w:after="0"/>
        <w:rPr>
          <w:sz w:val="20"/>
          <w:szCs w:val="20"/>
          <w:color w:val="auto"/>
        </w:rPr>
      </w:pPr>
      <w:r>
        <w:rPr>
          <w:rFonts w:ascii="Arial" w:cs="Arial" w:eastAsia="Arial" w:hAnsi="Arial"/>
          <w:sz w:val="19"/>
          <w:szCs w:val="19"/>
          <w:color w:val="auto"/>
        </w:rPr>
        <w:t>Email: blauta@sullcrom.com</w:t>
      </w:r>
    </w:p>
    <w:p>
      <w:pPr>
        <w:sectPr>
          <w:pgSz w:w="11900" w:h="16838" w:orient="portrait"/>
          <w:cols w:equalWidth="0" w:num="1">
            <w:col w:w="9019"/>
          </w:cols>
          <w:pgMar w:left="1440" w:top="953" w:right="144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First Amendment]</w:t>
      </w:r>
    </w:p>
    <w:p>
      <w:pPr>
        <w:sectPr>
          <w:pgSz w:w="11900" w:h="16838" w:orient="portrait"/>
          <w:cols w:equalWidth="0" w:num="1">
            <w:col w:w="9019"/>
          </w:cols>
          <w:pgMar w:left="1440" w:top="953" w:right="1440" w:bottom="0" w:gutter="0" w:footer="0" w:header="0"/>
          <w:type w:val="continuous"/>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1049655</wp:posOffset>
            </wp:positionH>
            <wp:positionV relativeFrom="page">
              <wp:posOffset>88900</wp:posOffset>
            </wp:positionV>
            <wp:extent cx="5450205"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5450205"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ind w:left="3260"/>
        <w:spacing w:after="0"/>
        <w:rPr>
          <w:sz w:val="20"/>
          <w:szCs w:val="20"/>
          <w:color w:val="auto"/>
        </w:rPr>
      </w:pPr>
      <w:r>
        <w:rPr>
          <w:rFonts w:ascii="Arial" w:cs="Arial" w:eastAsia="Arial" w:hAnsi="Arial"/>
          <w:sz w:val="19"/>
          <w:szCs w:val="19"/>
          <w:b w:val="1"/>
          <w:bCs w:val="1"/>
          <w:color w:val="auto"/>
        </w:rPr>
        <w:t>Oaktree LSL Fund Holdings EURRC</w:t>
      </w:r>
    </w:p>
    <w:p>
      <w:pPr>
        <w:spacing w:after="0" w:line="42"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S.à r.l.</w:t>
      </w:r>
    </w:p>
    <w:p>
      <w:pPr>
        <w:spacing w:after="0" w:line="30"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26A, boulevard Royal L-2449</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Luxembourg,</w:t>
      </w:r>
    </w:p>
    <w:p>
      <w:pPr>
        <w:spacing w:after="0" w:line="30"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Grand Duchy of Luxembourg</w:t>
      </w:r>
    </w:p>
    <w:p>
      <w:pPr>
        <w:spacing w:after="0" w:line="48"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R.C.S Luxembourg Number: B269245</w:t>
      </w:r>
    </w:p>
    <w:p>
      <w:pPr>
        <w:spacing w:after="0" w:line="200" w:lineRule="exact"/>
        <w:rPr>
          <w:sz w:val="20"/>
          <w:szCs w:val="20"/>
          <w:color w:val="auto"/>
        </w:rPr>
      </w:pPr>
    </w:p>
    <w:p>
      <w:pPr>
        <w:spacing w:after="0" w:line="332"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By: /s/ Martin Eckel</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Name:Martin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2329815</wp:posOffset>
            </wp:positionH>
            <wp:positionV relativeFrom="paragraph">
              <wp:posOffset>-147320</wp:posOffset>
            </wp:positionV>
            <wp:extent cx="20364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21"/>
          <w:szCs w:val="21"/>
          <w:color w:val="auto"/>
        </w:rPr>
        <w:t>Title: Manager</w:t>
      </w:r>
    </w:p>
    <w:p>
      <w:pPr>
        <w:spacing w:after="0" w:line="109"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By: /s/ Flora Verrecchia</w:t>
      </w:r>
    </w:p>
    <w:p>
      <w:pPr>
        <w:spacing w:after="0" w:line="61"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Name:Flora Verrecchia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2329815</wp:posOffset>
            </wp:positionH>
            <wp:positionV relativeFrom="paragraph">
              <wp:posOffset>-147320</wp:posOffset>
            </wp:positionV>
            <wp:extent cx="20364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21"/>
          <w:szCs w:val="21"/>
          <w:color w:val="auto"/>
        </w:rPr>
        <w:t>Title: Manager</w:t>
      </w:r>
    </w:p>
    <w:p>
      <w:pPr>
        <w:spacing w:after="0" w:line="227"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Address for Notices:</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Oaktree Fund</w:t>
      </w:r>
    </w:p>
    <w:p>
      <w:pPr>
        <w:ind w:left="3260"/>
        <w:spacing w:after="0" w:line="235" w:lineRule="auto"/>
        <w:rPr>
          <w:sz w:val="20"/>
          <w:szCs w:val="20"/>
          <w:color w:val="auto"/>
        </w:rPr>
      </w:pPr>
      <w:r>
        <w:rPr>
          <w:rFonts w:ascii="Arial" w:cs="Arial" w:eastAsia="Arial" w:hAnsi="Arial"/>
          <w:sz w:val="21"/>
          <w:szCs w:val="21"/>
          <w:color w:val="auto"/>
        </w:rPr>
        <w:t>Administration, LLC</w:t>
      </w:r>
    </w:p>
    <w:p>
      <w:pPr>
        <w:ind w:left="3260"/>
        <w:spacing w:after="0" w:line="235" w:lineRule="auto"/>
        <w:rPr>
          <w:sz w:val="20"/>
          <w:szCs w:val="20"/>
          <w:color w:val="auto"/>
        </w:rPr>
      </w:pPr>
      <w:r>
        <w:rPr>
          <w:rFonts w:ascii="Arial" w:cs="Arial" w:eastAsia="Arial" w:hAnsi="Arial"/>
          <w:sz w:val="21"/>
          <w:szCs w:val="21"/>
          <w:color w:val="auto"/>
        </w:rPr>
        <w:t>333 S. Grand Avenue,</w:t>
      </w:r>
    </w:p>
    <w:p>
      <w:pPr>
        <w:ind w:left="32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260"/>
        <w:spacing w:after="0" w:line="235" w:lineRule="auto"/>
        <w:rPr>
          <w:sz w:val="20"/>
          <w:szCs w:val="20"/>
          <w:color w:val="auto"/>
        </w:rPr>
      </w:pPr>
      <w:r>
        <w:rPr>
          <w:rFonts w:ascii="Arial" w:cs="Arial" w:eastAsia="Arial" w:hAnsi="Arial"/>
          <w:sz w:val="21"/>
          <w:szCs w:val="21"/>
          <w:color w:val="auto"/>
        </w:rPr>
        <w:t>Los</w:t>
      </w:r>
    </w:p>
    <w:p>
      <w:pPr>
        <w:ind w:left="3260"/>
        <w:spacing w:after="0" w:line="235" w:lineRule="auto"/>
        <w:rPr>
          <w:sz w:val="20"/>
          <w:szCs w:val="20"/>
          <w:color w:val="auto"/>
        </w:rPr>
      </w:pPr>
      <w:r>
        <w:rPr>
          <w:rFonts w:ascii="Arial" w:cs="Arial" w:eastAsia="Arial" w:hAnsi="Arial"/>
          <w:sz w:val="21"/>
          <w:szCs w:val="21"/>
          <w:color w:val="auto"/>
        </w:rPr>
        <w:t>Angeles,</w:t>
      </w:r>
    </w:p>
    <w:p>
      <w:pPr>
        <w:ind w:left="3260"/>
        <w:spacing w:after="0" w:line="235" w:lineRule="auto"/>
        <w:rPr>
          <w:sz w:val="20"/>
          <w:szCs w:val="20"/>
          <w:color w:val="auto"/>
        </w:rPr>
      </w:pPr>
      <w:r>
        <w:rPr>
          <w:rFonts w:ascii="Arial" w:cs="Arial" w:eastAsia="Arial" w:hAnsi="Arial"/>
          <w:sz w:val="21"/>
          <w:szCs w:val="21"/>
          <w:color w:val="auto"/>
        </w:rPr>
        <w:t>CA</w:t>
      </w:r>
    </w:p>
    <w:p>
      <w:pPr>
        <w:ind w:left="3260"/>
        <w:spacing w:after="0" w:line="235" w:lineRule="auto"/>
        <w:rPr>
          <w:sz w:val="20"/>
          <w:szCs w:val="20"/>
          <w:color w:val="auto"/>
        </w:rPr>
      </w:pPr>
      <w:r>
        <w:rPr>
          <w:rFonts w:ascii="Arial" w:cs="Arial" w:eastAsia="Arial" w:hAnsi="Arial"/>
          <w:sz w:val="21"/>
          <w:szCs w:val="21"/>
          <w:color w:val="auto"/>
        </w:rPr>
        <w:t>90071</w:t>
      </w:r>
    </w:p>
    <w:p>
      <w:pPr>
        <w:ind w:left="3260"/>
        <w:spacing w:after="0" w:line="236" w:lineRule="auto"/>
        <w:rPr>
          <w:sz w:val="20"/>
          <w:szCs w:val="20"/>
          <w:color w:val="auto"/>
        </w:rPr>
      </w:pPr>
      <w:r>
        <w:rPr>
          <w:rFonts w:ascii="Arial" w:cs="Arial" w:eastAsia="Arial" w:hAnsi="Arial"/>
          <w:sz w:val="21"/>
          <w:szCs w:val="21"/>
          <w:color w:val="auto"/>
        </w:rPr>
        <w:t>Attn:</w:t>
      </w:r>
    </w:p>
    <w:p>
      <w:pPr>
        <w:ind w:left="3260"/>
        <w:spacing w:after="0" w:line="235" w:lineRule="auto"/>
        <w:rPr>
          <w:sz w:val="20"/>
          <w:szCs w:val="20"/>
          <w:color w:val="auto"/>
        </w:rPr>
      </w:pPr>
      <w:r>
        <w:rPr>
          <w:rFonts w:ascii="Arial" w:cs="Arial" w:eastAsia="Arial" w:hAnsi="Arial"/>
          <w:sz w:val="21"/>
          <w:szCs w:val="21"/>
          <w:color w:val="auto"/>
        </w:rPr>
        <w:t>Oaktree</w:t>
      </w:r>
    </w:p>
    <w:p>
      <w:pPr>
        <w:ind w:left="3260"/>
        <w:spacing w:after="0" w:line="235" w:lineRule="auto"/>
        <w:rPr>
          <w:sz w:val="20"/>
          <w:szCs w:val="20"/>
          <w:color w:val="auto"/>
        </w:rPr>
      </w:pPr>
      <w:r>
        <w:rPr>
          <w:rFonts w:ascii="Arial" w:cs="Arial" w:eastAsia="Arial" w:hAnsi="Arial"/>
          <w:sz w:val="21"/>
          <w:szCs w:val="21"/>
          <w:color w:val="auto"/>
        </w:rPr>
        <w:t>Agency</w:t>
      </w:r>
    </w:p>
    <w:p>
      <w:pPr>
        <w:ind w:left="3260"/>
        <w:spacing w:after="0"/>
        <w:rPr>
          <w:sz w:val="20"/>
          <w:szCs w:val="20"/>
          <w:color w:val="auto"/>
        </w:rPr>
      </w:pPr>
      <w:r>
        <w:rPr>
          <w:rFonts w:ascii="Arial" w:cs="Arial" w:eastAsia="Arial" w:hAnsi="Arial"/>
          <w:sz w:val="18"/>
          <w:szCs w:val="18"/>
          <w:color w:val="auto"/>
        </w:rPr>
        <w:t>Email: Oaktreeagency@alterdomus.com</w:t>
      </w:r>
    </w:p>
    <w:p>
      <w:pPr>
        <w:spacing w:after="0" w:line="24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Oaktree Capital</w:t>
      </w:r>
    </w:p>
    <w:p>
      <w:pPr>
        <w:ind w:left="3260"/>
        <w:spacing w:after="0" w:line="235" w:lineRule="auto"/>
        <w:rPr>
          <w:sz w:val="20"/>
          <w:szCs w:val="20"/>
          <w:color w:val="auto"/>
        </w:rPr>
      </w:pPr>
      <w:r>
        <w:rPr>
          <w:rFonts w:ascii="Arial" w:cs="Arial" w:eastAsia="Arial" w:hAnsi="Arial"/>
          <w:sz w:val="21"/>
          <w:szCs w:val="21"/>
          <w:color w:val="auto"/>
        </w:rPr>
        <w:t>Management, L.P.</w:t>
      </w:r>
    </w:p>
    <w:p>
      <w:pPr>
        <w:ind w:left="3260"/>
        <w:spacing w:after="0" w:line="235" w:lineRule="auto"/>
        <w:rPr>
          <w:sz w:val="20"/>
          <w:szCs w:val="20"/>
          <w:color w:val="auto"/>
        </w:rPr>
      </w:pPr>
      <w:r>
        <w:rPr>
          <w:rFonts w:ascii="Arial" w:cs="Arial" w:eastAsia="Arial" w:hAnsi="Arial"/>
          <w:sz w:val="21"/>
          <w:szCs w:val="21"/>
          <w:color w:val="auto"/>
        </w:rPr>
        <w:t>333 S. Grand Avenue,</w:t>
      </w:r>
    </w:p>
    <w:p>
      <w:pPr>
        <w:ind w:left="3260"/>
        <w:spacing w:after="0" w:line="235" w:lineRule="auto"/>
        <w:rPr>
          <w:sz w:val="20"/>
          <w:szCs w:val="20"/>
          <w:color w:val="auto"/>
        </w:rPr>
      </w:pPr>
      <w:r>
        <w:rPr>
          <w:rFonts w:ascii="Arial" w:cs="Arial" w:eastAsia="Arial" w:hAnsi="Arial"/>
          <w:sz w:val="21"/>
          <w:szCs w:val="21"/>
          <w:color w:val="auto"/>
        </w:rPr>
        <w:t>28</w:t>
      </w:r>
      <w:r>
        <w:rPr>
          <w:rFonts w:ascii="Arial" w:cs="Arial" w:eastAsia="Arial" w:hAnsi="Arial"/>
          <w:sz w:val="15"/>
          <w:szCs w:val="15"/>
          <w:color w:val="auto"/>
        </w:rPr>
        <w:t>th</w:t>
      </w:r>
      <w:r>
        <w:rPr>
          <w:rFonts w:ascii="Arial" w:cs="Arial" w:eastAsia="Arial" w:hAnsi="Arial"/>
          <w:sz w:val="21"/>
          <w:szCs w:val="21"/>
          <w:color w:val="auto"/>
        </w:rPr>
        <w:t xml:space="preserve"> Fl.</w:t>
      </w:r>
    </w:p>
    <w:p>
      <w:pPr>
        <w:ind w:left="3260"/>
        <w:spacing w:after="0" w:line="235" w:lineRule="auto"/>
        <w:rPr>
          <w:sz w:val="20"/>
          <w:szCs w:val="20"/>
          <w:color w:val="auto"/>
        </w:rPr>
      </w:pPr>
      <w:r>
        <w:rPr>
          <w:rFonts w:ascii="Arial" w:cs="Arial" w:eastAsia="Arial" w:hAnsi="Arial"/>
          <w:sz w:val="21"/>
          <w:szCs w:val="21"/>
          <w:color w:val="auto"/>
        </w:rPr>
        <w:t>Los</w:t>
      </w:r>
    </w:p>
    <w:p>
      <w:pPr>
        <w:ind w:left="3260"/>
        <w:spacing w:after="0" w:line="235" w:lineRule="auto"/>
        <w:rPr>
          <w:sz w:val="20"/>
          <w:szCs w:val="20"/>
          <w:color w:val="auto"/>
        </w:rPr>
      </w:pPr>
      <w:r>
        <w:rPr>
          <w:rFonts w:ascii="Arial" w:cs="Arial" w:eastAsia="Arial" w:hAnsi="Arial"/>
          <w:sz w:val="21"/>
          <w:szCs w:val="21"/>
          <w:color w:val="auto"/>
        </w:rPr>
        <w:t>Angeles,</w:t>
      </w:r>
    </w:p>
    <w:p>
      <w:pPr>
        <w:ind w:left="3260"/>
        <w:spacing w:after="0" w:line="235" w:lineRule="auto"/>
        <w:rPr>
          <w:sz w:val="20"/>
          <w:szCs w:val="20"/>
          <w:color w:val="auto"/>
        </w:rPr>
      </w:pPr>
      <w:r>
        <w:rPr>
          <w:rFonts w:ascii="Arial" w:cs="Arial" w:eastAsia="Arial" w:hAnsi="Arial"/>
          <w:sz w:val="21"/>
          <w:szCs w:val="21"/>
          <w:color w:val="auto"/>
        </w:rPr>
        <w:t>CA</w:t>
      </w:r>
    </w:p>
    <w:p>
      <w:pPr>
        <w:ind w:left="3260"/>
        <w:spacing w:after="0" w:line="235" w:lineRule="auto"/>
        <w:rPr>
          <w:sz w:val="20"/>
          <w:szCs w:val="20"/>
          <w:color w:val="auto"/>
        </w:rPr>
      </w:pPr>
      <w:r>
        <w:rPr>
          <w:rFonts w:ascii="Arial" w:cs="Arial" w:eastAsia="Arial" w:hAnsi="Arial"/>
          <w:sz w:val="21"/>
          <w:szCs w:val="21"/>
          <w:color w:val="auto"/>
        </w:rPr>
        <w:t>90071</w:t>
      </w:r>
    </w:p>
    <w:p>
      <w:pPr>
        <w:ind w:left="3260"/>
        <w:spacing w:after="0" w:line="236" w:lineRule="auto"/>
        <w:rPr>
          <w:sz w:val="20"/>
          <w:szCs w:val="20"/>
          <w:color w:val="auto"/>
        </w:rPr>
      </w:pPr>
      <w:r>
        <w:rPr>
          <w:rFonts w:ascii="Arial" w:cs="Arial" w:eastAsia="Arial" w:hAnsi="Arial"/>
          <w:sz w:val="21"/>
          <w:szCs w:val="21"/>
          <w:color w:val="auto"/>
        </w:rPr>
        <w:t>Attn:</w:t>
      </w:r>
    </w:p>
    <w:p>
      <w:pPr>
        <w:ind w:left="3260"/>
        <w:spacing w:after="0" w:line="235" w:lineRule="auto"/>
        <w:rPr>
          <w:sz w:val="20"/>
          <w:szCs w:val="20"/>
          <w:color w:val="auto"/>
        </w:rPr>
      </w:pPr>
      <w:r>
        <w:rPr>
          <w:rFonts w:ascii="Arial" w:cs="Arial" w:eastAsia="Arial" w:hAnsi="Arial"/>
          <w:sz w:val="21"/>
          <w:szCs w:val="21"/>
          <w:color w:val="auto"/>
        </w:rPr>
        <w:t>Aman</w:t>
      </w:r>
    </w:p>
    <w:p>
      <w:pPr>
        <w:ind w:left="3260"/>
        <w:spacing w:after="0" w:line="235" w:lineRule="auto"/>
        <w:rPr>
          <w:sz w:val="20"/>
          <w:szCs w:val="20"/>
          <w:color w:val="auto"/>
        </w:rPr>
      </w:pPr>
      <w:r>
        <w:rPr>
          <w:rFonts w:ascii="Arial" w:cs="Arial" w:eastAsia="Arial" w:hAnsi="Arial"/>
          <w:sz w:val="21"/>
          <w:szCs w:val="21"/>
          <w:color w:val="auto"/>
        </w:rPr>
        <w:t>Kumar</w:t>
      </w:r>
    </w:p>
    <w:p>
      <w:pPr>
        <w:ind w:left="3260"/>
        <w:spacing w:after="0"/>
        <w:rPr>
          <w:sz w:val="20"/>
          <w:szCs w:val="20"/>
          <w:color w:val="auto"/>
        </w:rPr>
      </w:pPr>
      <w:r>
        <w:rPr>
          <w:rFonts w:ascii="Arial" w:cs="Arial" w:eastAsia="Arial" w:hAnsi="Arial"/>
          <w:sz w:val="19"/>
          <w:szCs w:val="19"/>
          <w:color w:val="auto"/>
        </w:rPr>
        <w:t>Email: AmKumar@oaktreecapital.com</w:t>
      </w:r>
    </w:p>
    <w:p>
      <w:pPr>
        <w:spacing w:after="0" w:line="237"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With a copy to:</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Sullivan &amp;</w:t>
      </w:r>
    </w:p>
    <w:p>
      <w:pPr>
        <w:ind w:left="3260"/>
        <w:spacing w:after="0" w:line="235" w:lineRule="auto"/>
        <w:rPr>
          <w:sz w:val="20"/>
          <w:szCs w:val="20"/>
          <w:color w:val="auto"/>
        </w:rPr>
      </w:pPr>
      <w:r>
        <w:rPr>
          <w:rFonts w:ascii="Arial" w:cs="Arial" w:eastAsia="Arial" w:hAnsi="Arial"/>
          <w:sz w:val="21"/>
          <w:szCs w:val="21"/>
          <w:color w:val="auto"/>
        </w:rPr>
        <w:t>Cromwell</w:t>
      </w:r>
    </w:p>
    <w:p>
      <w:pPr>
        <w:ind w:left="3260"/>
        <w:spacing w:after="0" w:line="235" w:lineRule="auto"/>
        <w:rPr>
          <w:sz w:val="20"/>
          <w:szCs w:val="20"/>
          <w:color w:val="auto"/>
        </w:rPr>
      </w:pPr>
      <w:r>
        <w:rPr>
          <w:rFonts w:ascii="Arial" w:cs="Arial" w:eastAsia="Arial" w:hAnsi="Arial"/>
          <w:sz w:val="21"/>
          <w:szCs w:val="21"/>
          <w:color w:val="auto"/>
        </w:rPr>
        <w:t>LLP 125</w:t>
      </w:r>
    </w:p>
    <w:p>
      <w:pPr>
        <w:ind w:left="3260"/>
        <w:spacing w:after="0" w:line="235" w:lineRule="auto"/>
        <w:rPr>
          <w:sz w:val="20"/>
          <w:szCs w:val="20"/>
          <w:color w:val="auto"/>
        </w:rPr>
      </w:pPr>
      <w:r>
        <w:rPr>
          <w:rFonts w:ascii="Arial" w:cs="Arial" w:eastAsia="Arial" w:hAnsi="Arial"/>
          <w:sz w:val="21"/>
          <w:szCs w:val="21"/>
          <w:color w:val="auto"/>
        </w:rPr>
        <w:t>Broad Street</w:t>
      </w:r>
    </w:p>
    <w:p>
      <w:pPr>
        <w:ind w:left="3260"/>
        <w:spacing w:after="0" w:line="235" w:lineRule="auto"/>
        <w:rPr>
          <w:sz w:val="20"/>
          <w:szCs w:val="20"/>
          <w:color w:val="auto"/>
        </w:rPr>
      </w:pPr>
      <w:r>
        <w:rPr>
          <w:rFonts w:ascii="Arial" w:cs="Arial" w:eastAsia="Arial" w:hAnsi="Arial"/>
          <w:sz w:val="21"/>
          <w:szCs w:val="21"/>
          <w:color w:val="auto"/>
        </w:rPr>
        <w:t>New</w:t>
      </w:r>
    </w:p>
    <w:p>
      <w:pPr>
        <w:ind w:left="3260"/>
        <w:spacing w:after="0" w:line="235" w:lineRule="auto"/>
        <w:rPr>
          <w:sz w:val="20"/>
          <w:szCs w:val="20"/>
          <w:color w:val="auto"/>
        </w:rPr>
      </w:pPr>
      <w:r>
        <w:rPr>
          <w:rFonts w:ascii="Arial" w:cs="Arial" w:eastAsia="Arial" w:hAnsi="Arial"/>
          <w:sz w:val="21"/>
          <w:szCs w:val="21"/>
          <w:color w:val="auto"/>
        </w:rPr>
        <w:t>York,</w:t>
      </w:r>
    </w:p>
    <w:p>
      <w:pPr>
        <w:ind w:left="3260"/>
        <w:spacing w:after="0" w:line="235" w:lineRule="auto"/>
        <w:rPr>
          <w:sz w:val="20"/>
          <w:szCs w:val="20"/>
          <w:color w:val="auto"/>
        </w:rPr>
      </w:pPr>
      <w:r>
        <w:rPr>
          <w:rFonts w:ascii="Arial" w:cs="Arial" w:eastAsia="Arial" w:hAnsi="Arial"/>
          <w:sz w:val="21"/>
          <w:szCs w:val="21"/>
          <w:color w:val="auto"/>
        </w:rPr>
        <w:t>NY</w:t>
      </w:r>
    </w:p>
    <w:p>
      <w:pPr>
        <w:ind w:left="3260"/>
        <w:spacing w:after="0" w:line="235" w:lineRule="auto"/>
        <w:rPr>
          <w:sz w:val="20"/>
          <w:szCs w:val="20"/>
          <w:color w:val="auto"/>
        </w:rPr>
      </w:pPr>
      <w:r>
        <w:rPr>
          <w:rFonts w:ascii="Arial" w:cs="Arial" w:eastAsia="Arial" w:hAnsi="Arial"/>
          <w:sz w:val="21"/>
          <w:szCs w:val="21"/>
          <w:color w:val="auto"/>
        </w:rPr>
        <w:t>10004</w:t>
      </w:r>
    </w:p>
    <w:p>
      <w:pPr>
        <w:ind w:left="3260"/>
        <w:spacing w:after="0" w:line="236" w:lineRule="auto"/>
        <w:rPr>
          <w:sz w:val="20"/>
          <w:szCs w:val="20"/>
          <w:color w:val="auto"/>
        </w:rPr>
      </w:pPr>
      <w:r>
        <w:rPr>
          <w:rFonts w:ascii="Arial" w:cs="Arial" w:eastAsia="Arial" w:hAnsi="Arial"/>
          <w:sz w:val="21"/>
          <w:szCs w:val="21"/>
          <w:color w:val="auto"/>
        </w:rPr>
        <w:t>Attn:</w:t>
      </w:r>
    </w:p>
    <w:p>
      <w:pPr>
        <w:ind w:left="3260"/>
        <w:spacing w:after="0" w:line="235" w:lineRule="auto"/>
        <w:rPr>
          <w:sz w:val="20"/>
          <w:szCs w:val="20"/>
          <w:color w:val="auto"/>
        </w:rPr>
      </w:pPr>
      <w:r>
        <w:rPr>
          <w:rFonts w:ascii="Arial" w:cs="Arial" w:eastAsia="Arial" w:hAnsi="Arial"/>
          <w:sz w:val="21"/>
          <w:szCs w:val="21"/>
          <w:color w:val="auto"/>
        </w:rPr>
        <w:t>Ari B.</w:t>
      </w:r>
    </w:p>
    <w:p>
      <w:pPr>
        <w:ind w:left="3260"/>
        <w:spacing w:after="0" w:line="235" w:lineRule="auto"/>
        <w:rPr>
          <w:sz w:val="20"/>
          <w:szCs w:val="20"/>
          <w:color w:val="auto"/>
        </w:rPr>
      </w:pPr>
      <w:r>
        <w:rPr>
          <w:rFonts w:ascii="Arial" w:cs="Arial" w:eastAsia="Arial" w:hAnsi="Arial"/>
          <w:sz w:val="21"/>
          <w:szCs w:val="21"/>
          <w:color w:val="auto"/>
        </w:rPr>
        <w:t>Blaut</w:t>
      </w:r>
    </w:p>
    <w:p>
      <w:pPr>
        <w:jc w:val="center"/>
        <w:ind w:right="59"/>
        <w:spacing w:after="0"/>
        <w:rPr>
          <w:sz w:val="20"/>
          <w:szCs w:val="20"/>
          <w:color w:val="auto"/>
        </w:rPr>
      </w:pPr>
      <w:r>
        <w:rPr>
          <w:rFonts w:ascii="Arial" w:cs="Arial" w:eastAsia="Arial" w:hAnsi="Arial"/>
          <w:sz w:val="19"/>
          <w:szCs w:val="19"/>
          <w:color w:val="auto"/>
        </w:rPr>
        <w:t>Email: blauta@sullcrom.com</w:t>
      </w:r>
    </w:p>
    <w:p>
      <w:pPr>
        <w:sectPr>
          <w:pgSz w:w="11900" w:h="16838" w:orient="portrait"/>
          <w:cols w:equalWidth="0" w:num="1">
            <w:col w:w="9019"/>
          </w:cols>
          <w:pgMar w:left="1440" w:top="1374" w:right="1440" w:bottom="1440" w:gutter="0" w:footer="0" w:header="0"/>
        </w:sectPr>
      </w:pPr>
    </w:p>
    <w:bookmarkStart w:id="144" w:name="page145"/>
    <w:bookmarkEnd w:id="144"/>
    <w:p>
      <w:pPr>
        <w:ind w:left="3260"/>
        <w:spacing w:after="0"/>
        <w:rPr>
          <w:sz w:val="20"/>
          <w:szCs w:val="20"/>
          <w:color w:val="auto"/>
        </w:rPr>
      </w:pPr>
      <w:r>
        <w:rPr>
          <w:rFonts w:ascii="Arial" w:cs="Arial" w:eastAsia="Arial" w:hAnsi="Arial"/>
          <w:sz w:val="21"/>
          <w:szCs w:val="21"/>
          <w:b w:val="1"/>
          <w:bCs w:val="1"/>
          <w:color w:val="auto"/>
        </w:rPr>
        <w:t>LENDER:</w:t>
      </w:r>
    </w:p>
    <w:p>
      <w:pPr>
        <w:spacing w:after="0" w:line="19"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Q BOOST HOLDING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360045</wp:posOffset>
            </wp:positionV>
            <wp:extent cx="545020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5450205" cy="16510"/>
                    </a:xfrm>
                    <a:prstGeom prst="rect">
                      <a:avLst/>
                    </a:prstGeom>
                    <a:noFill/>
                  </pic:spPr>
                </pic:pic>
              </a:graphicData>
            </a:graphic>
          </wp:anchor>
        </w:drawing>
      </w:r>
    </w:p>
    <w:p>
      <w:pPr>
        <w:sectPr>
          <w:pgSz w:w="11900" w:h="16838" w:orient="portrait"/>
          <w:cols w:equalWidth="0" w:num="1">
            <w:col w:w="9019"/>
          </w:cols>
          <w:pgMar w:left="1440" w:top="690" w:right="1440" w:bottom="1440" w:gutter="0" w:footer="0" w:header="0"/>
        </w:sectPr>
      </w:pPr>
    </w:p>
    <w:bookmarkStart w:id="145" w:name="page146"/>
    <w:bookmarkEnd w:id="145"/>
    <w:p>
      <w:pPr>
        <w:spacing w:after="0" w:line="46" w:lineRule="exact"/>
        <w:rPr>
          <w:sz w:val="20"/>
          <w:szCs w:val="20"/>
          <w:color w:val="auto"/>
        </w:rPr>
      </w:pPr>
    </w:p>
    <w:tbl>
      <w:tblPr>
        <w:tblLayout w:type="fixed"/>
        <w:tblInd w:w="3260" w:type="dxa"/>
        <w:tblCellMar>
          <w:top w:w="0" w:type="dxa"/>
          <w:left w:w="0" w:type="dxa"/>
          <w:bottom w:w="0" w:type="dxa"/>
          <w:right w:w="0" w:type="dxa"/>
        </w:tblCellMar>
      </w:tblPr>
      <w:tr>
        <w:trPr>
          <w:trHeight w:val="267"/>
        </w:trPr>
        <w:tc>
          <w:tcPr>
            <w:tcW w:w="720" w:type="dxa"/>
            <w:vAlign w:val="bottom"/>
            <w:vMerge w:val="restart"/>
          </w:tcPr>
          <w:p>
            <w:pPr>
              <w:spacing w:after="0"/>
              <w:rPr>
                <w:sz w:val="20"/>
                <w:szCs w:val="20"/>
                <w:color w:val="auto"/>
              </w:rPr>
            </w:pPr>
            <w:r>
              <w:rPr>
                <w:rFonts w:ascii="Arial" w:cs="Arial" w:eastAsia="Arial" w:hAnsi="Arial"/>
                <w:sz w:val="21"/>
                <w:szCs w:val="21"/>
                <w:color w:val="auto"/>
              </w:rPr>
              <w:t>By:</w:t>
            </w:r>
          </w:p>
        </w:tc>
        <w:tc>
          <w:tcPr>
            <w:tcW w:w="6240" w:type="dxa"/>
            <w:vAlign w:val="bottom"/>
          </w:tcPr>
          <w:p>
            <w:pPr>
              <w:ind w:left="20"/>
              <w:spacing w:after="0"/>
              <w:rPr>
                <w:sz w:val="20"/>
                <w:szCs w:val="20"/>
                <w:color w:val="auto"/>
              </w:rPr>
            </w:pPr>
            <w:r>
              <w:rPr>
                <w:rFonts w:ascii="Arial" w:cs="Arial" w:eastAsia="Arial" w:hAnsi="Arial"/>
                <w:sz w:val="21"/>
                <w:szCs w:val="21"/>
                <w:color w:val="auto"/>
              </w:rPr>
              <w:t>/s/ Ahmed Nasser Al-Abdulghani</w:t>
            </w:r>
          </w:p>
        </w:tc>
        <w:tc>
          <w:tcPr>
            <w:tcW w:w="0" w:type="dxa"/>
            <w:vAlign w:val="bottom"/>
          </w:tcPr>
          <w:p>
            <w:pPr>
              <w:spacing w:after="0"/>
              <w:rPr>
                <w:sz w:val="1"/>
                <w:szCs w:val="1"/>
                <w:color w:val="auto"/>
              </w:rPr>
            </w:pPr>
          </w:p>
        </w:tc>
      </w:tr>
      <w:tr>
        <w:trPr>
          <w:trHeight w:val="128"/>
        </w:trPr>
        <w:tc>
          <w:tcPr>
            <w:tcW w:w="720" w:type="dxa"/>
            <w:vAlign w:val="bottom"/>
            <w:vMerge w:val="continue"/>
          </w:tcPr>
          <w:p>
            <w:pPr>
              <w:spacing w:after="0"/>
              <w:rPr>
                <w:sz w:val="11"/>
                <w:szCs w:val="11"/>
                <w:color w:val="auto"/>
              </w:rPr>
            </w:pPr>
          </w:p>
        </w:tc>
        <w:tc>
          <w:tcPr>
            <w:tcW w:w="6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6240" w:type="dxa"/>
            <w:vAlign w:val="bottom"/>
          </w:tcPr>
          <w:p>
            <w:pPr>
              <w:ind w:left="20"/>
              <w:spacing w:after="0" w:line="215" w:lineRule="exact"/>
              <w:rPr>
                <w:sz w:val="20"/>
                <w:szCs w:val="20"/>
                <w:color w:val="auto"/>
              </w:rPr>
            </w:pPr>
            <w:r>
              <w:rPr>
                <w:rFonts w:ascii="Arial" w:cs="Arial" w:eastAsia="Arial" w:hAnsi="Arial"/>
                <w:sz w:val="21"/>
                <w:szCs w:val="21"/>
                <w:color w:val="auto"/>
              </w:rPr>
              <w:t>Name: Ahmed Nasser Al-Abdulghani</w:t>
            </w:r>
          </w:p>
        </w:tc>
        <w:tc>
          <w:tcPr>
            <w:tcW w:w="0" w:type="dxa"/>
            <w:vAlign w:val="bottom"/>
          </w:tcPr>
          <w:p>
            <w:pPr>
              <w:spacing w:after="0"/>
              <w:rPr>
                <w:sz w:val="1"/>
                <w:szCs w:val="1"/>
                <w:color w:val="auto"/>
              </w:rPr>
            </w:pPr>
          </w:p>
        </w:tc>
      </w:tr>
      <w:tr>
        <w:trPr>
          <w:trHeight w:val="267"/>
        </w:trPr>
        <w:tc>
          <w:tcPr>
            <w:tcW w:w="720" w:type="dxa"/>
            <w:vAlign w:val="bottom"/>
          </w:tcPr>
          <w:p>
            <w:pPr>
              <w:spacing w:after="0"/>
              <w:rPr>
                <w:sz w:val="23"/>
                <w:szCs w:val="23"/>
                <w:color w:val="auto"/>
              </w:rPr>
            </w:pPr>
          </w:p>
        </w:tc>
        <w:tc>
          <w:tcPr>
            <w:tcW w:w="6240" w:type="dxa"/>
            <w:vAlign w:val="bottom"/>
          </w:tcPr>
          <w:p>
            <w:pPr>
              <w:ind w:left="20"/>
              <w:spacing w:after="0"/>
              <w:rPr>
                <w:sz w:val="20"/>
                <w:szCs w:val="20"/>
                <w:color w:val="auto"/>
              </w:rPr>
            </w:pPr>
            <w:r>
              <w:rPr>
                <w:rFonts w:ascii="Arial" w:cs="Arial" w:eastAsia="Arial" w:hAnsi="Arial"/>
                <w:sz w:val="21"/>
                <w:szCs w:val="21"/>
                <w:color w:val="auto"/>
              </w:rPr>
              <w:t>Title: Director</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Address for Notices:</w:t>
      </w:r>
    </w:p>
    <w:p>
      <w:pPr>
        <w:spacing w:after="0" w:line="13" w:lineRule="exact"/>
        <w:rPr>
          <w:sz w:val="20"/>
          <w:szCs w:val="20"/>
          <w:color w:val="auto"/>
        </w:rPr>
      </w:pPr>
    </w:p>
    <w:p>
      <w:pPr>
        <w:ind w:left="3260" w:right="1540"/>
        <w:spacing w:after="0" w:line="235" w:lineRule="auto"/>
        <w:rPr>
          <w:sz w:val="20"/>
          <w:szCs w:val="20"/>
          <w:color w:val="auto"/>
        </w:rPr>
      </w:pPr>
      <w:r>
        <w:rPr>
          <w:rFonts w:ascii="Arial" w:cs="Arial" w:eastAsia="Arial" w:hAnsi="Arial"/>
          <w:sz w:val="21"/>
          <w:szCs w:val="21"/>
          <w:color w:val="auto"/>
        </w:rPr>
        <w:t>c/o Qatar Investment Authority Ooredoo Tower (Building 14) Al Dafna Street (Street 801)</w:t>
      </w:r>
    </w:p>
    <w:p>
      <w:pPr>
        <w:ind w:left="3260"/>
        <w:spacing w:after="0"/>
        <w:rPr>
          <w:sz w:val="20"/>
          <w:szCs w:val="20"/>
          <w:color w:val="auto"/>
        </w:rPr>
      </w:pPr>
      <w:r>
        <w:rPr>
          <w:rFonts w:ascii="Arial" w:cs="Arial" w:eastAsia="Arial" w:hAnsi="Arial"/>
          <w:sz w:val="21"/>
          <w:szCs w:val="21"/>
          <w:color w:val="auto"/>
        </w:rPr>
        <w:t>Al Dafna (Zone 61) Doha, Qatar</w:t>
      </w:r>
    </w:p>
    <w:p>
      <w:pPr>
        <w:spacing w:after="0" w:line="293"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A copy (which shall not constitute notice) shall also be sent to:</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General Counsel</w:t>
      </w:r>
    </w:p>
    <w:p>
      <w:pPr>
        <w:ind w:left="3260"/>
        <w:spacing w:after="0" w:line="235" w:lineRule="auto"/>
        <w:rPr>
          <w:sz w:val="20"/>
          <w:szCs w:val="20"/>
          <w:color w:val="auto"/>
        </w:rPr>
      </w:pPr>
      <w:r>
        <w:rPr>
          <w:rFonts w:ascii="Arial" w:cs="Arial" w:eastAsia="Arial" w:hAnsi="Arial"/>
          <w:sz w:val="21"/>
          <w:szCs w:val="21"/>
          <w:color w:val="auto"/>
        </w:rPr>
        <w:t>Qatar Investment Authority Ooredoo Tower (Building 14) Al</w:t>
      </w:r>
    </w:p>
    <w:p>
      <w:pPr>
        <w:ind w:left="3260"/>
        <w:spacing w:after="0" w:line="235" w:lineRule="auto"/>
        <w:rPr>
          <w:sz w:val="20"/>
          <w:szCs w:val="20"/>
          <w:color w:val="auto"/>
        </w:rPr>
      </w:pPr>
      <w:r>
        <w:rPr>
          <w:rFonts w:ascii="Arial" w:cs="Arial" w:eastAsia="Arial" w:hAnsi="Arial"/>
          <w:sz w:val="21"/>
          <w:szCs w:val="21"/>
          <w:color w:val="auto"/>
        </w:rPr>
        <w:t>Dafna Street (Street 801) Al Dafna (Zone 61)</w:t>
      </w:r>
    </w:p>
    <w:p>
      <w:pPr>
        <w:ind w:left="3260"/>
        <w:spacing w:after="0"/>
        <w:rPr>
          <w:sz w:val="20"/>
          <w:szCs w:val="20"/>
          <w:color w:val="auto"/>
        </w:rPr>
      </w:pPr>
      <w:r>
        <w:rPr>
          <w:rFonts w:ascii="Arial" w:cs="Arial" w:eastAsia="Arial" w:hAnsi="Arial"/>
          <w:sz w:val="21"/>
          <w:szCs w:val="21"/>
          <w:color w:val="auto"/>
        </w:rPr>
        <w:t>Doha, Qatar</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auto"/>
        </w:rPr>
        <w:t>notices.legal@qia.qa</w:t>
      </w:r>
    </w:p>
    <w:p>
      <w:pPr>
        <w:spacing w:after="0" w:line="201"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A copy (which shall not constitute notice) shall also be sent to:</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Shearman &amp; Sterling LLP 535 Mission Street, 25</w:t>
      </w:r>
      <w:r>
        <w:rPr>
          <w:rFonts w:ascii="Arial" w:cs="Arial" w:eastAsia="Arial" w:hAnsi="Arial"/>
          <w:sz w:val="15"/>
          <w:szCs w:val="15"/>
          <w:color w:val="auto"/>
        </w:rPr>
        <w:t>th</w:t>
      </w:r>
      <w:r>
        <w:rPr>
          <w:rFonts w:ascii="Arial" w:cs="Arial" w:eastAsia="Arial" w:hAnsi="Arial"/>
          <w:sz w:val="21"/>
          <w:szCs w:val="21"/>
          <w:color w:val="auto"/>
        </w:rPr>
        <w:t xml:space="preserve"> Floor San</w:t>
      </w:r>
    </w:p>
    <w:p>
      <w:pPr>
        <w:ind w:left="3260"/>
        <w:spacing w:after="0" w:line="235" w:lineRule="auto"/>
        <w:rPr>
          <w:sz w:val="20"/>
          <w:szCs w:val="20"/>
          <w:color w:val="auto"/>
        </w:rPr>
      </w:pPr>
      <w:r>
        <w:rPr>
          <w:rFonts w:ascii="Arial" w:cs="Arial" w:eastAsia="Arial" w:hAnsi="Arial"/>
          <w:sz w:val="21"/>
          <w:szCs w:val="21"/>
          <w:color w:val="auto"/>
        </w:rPr>
        <w:t>Francisco, CA 94105 Attn:</w:t>
      </w:r>
    </w:p>
    <w:p>
      <w:pPr>
        <w:ind w:left="3260"/>
        <w:spacing w:after="0" w:line="235" w:lineRule="auto"/>
        <w:rPr>
          <w:sz w:val="20"/>
          <w:szCs w:val="20"/>
          <w:color w:val="auto"/>
        </w:rPr>
      </w:pPr>
      <w:r>
        <w:rPr>
          <w:rFonts w:ascii="Arial" w:cs="Arial" w:eastAsia="Arial" w:hAnsi="Arial"/>
          <w:sz w:val="21"/>
          <w:szCs w:val="21"/>
          <w:color w:val="auto"/>
        </w:rPr>
        <w:t>Michael S. Dorf</w:t>
      </w:r>
    </w:p>
    <w:p>
      <w:pPr>
        <w:ind w:left="3260"/>
        <w:spacing w:after="0" w:line="235" w:lineRule="auto"/>
        <w:rPr>
          <w:sz w:val="20"/>
          <w:szCs w:val="20"/>
          <w:color w:val="auto"/>
        </w:rPr>
      </w:pPr>
      <w:r>
        <w:rPr>
          <w:rFonts w:ascii="Arial" w:cs="Arial" w:eastAsia="Arial" w:hAnsi="Arial"/>
          <w:sz w:val="21"/>
          <w:szCs w:val="21"/>
          <w:color w:val="auto"/>
        </w:rPr>
        <w:t>Tomasz Kulawik Email: mdorf@shearman.com</w:t>
      </w:r>
    </w:p>
    <w:p>
      <w:pPr>
        <w:ind w:left="3260"/>
        <w:spacing w:after="0"/>
        <w:rPr>
          <w:sz w:val="20"/>
          <w:szCs w:val="20"/>
          <w:color w:val="auto"/>
        </w:rPr>
      </w:pPr>
      <w:r>
        <w:rPr>
          <w:rFonts w:ascii="Arial" w:cs="Arial" w:eastAsia="Arial" w:hAnsi="Arial"/>
          <w:sz w:val="21"/>
          <w:szCs w:val="21"/>
          <w:color w:val="auto"/>
        </w:rPr>
        <w:t>tomasz.kulawik@shearman.com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343535</wp:posOffset>
            </wp:positionV>
            <wp:extent cx="545020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5450205" cy="1651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46" w:name="page147"/>
    <w:bookmarkEnd w:id="146"/>
    <w:tbl>
      <w:tblPr>
        <w:tblLayout w:type="fixed"/>
        <w:tblInd w:w="220" w:type="dxa"/>
        <w:tblCellMar>
          <w:top w:w="0" w:type="dxa"/>
          <w:left w:w="0" w:type="dxa"/>
          <w:bottom w:w="0" w:type="dxa"/>
          <w:right w:w="0" w:type="dxa"/>
        </w:tblCellMar>
      </w:tblPr>
      <w:tr>
        <w:trPr>
          <w:trHeight w:val="241"/>
        </w:trPr>
        <w:tc>
          <w:tcPr>
            <w:tcW w:w="2060" w:type="dxa"/>
            <w:vAlign w:val="bottom"/>
          </w:tcPr>
          <w:p>
            <w:pPr>
              <w:spacing w:after="0"/>
              <w:rPr>
                <w:sz w:val="21"/>
                <w:szCs w:val="21"/>
                <w:color w:val="auto"/>
              </w:rPr>
            </w:pPr>
          </w:p>
        </w:tc>
        <w:tc>
          <w:tcPr>
            <w:tcW w:w="6580" w:type="dxa"/>
            <w:vAlign w:val="bottom"/>
            <w:gridSpan w:val="2"/>
          </w:tcPr>
          <w:p>
            <w:pPr>
              <w:ind w:left="1780"/>
              <w:spacing w:after="0"/>
              <w:rPr>
                <w:sz w:val="20"/>
                <w:szCs w:val="20"/>
                <w:color w:val="auto"/>
              </w:rPr>
            </w:pPr>
            <w:r>
              <w:rPr>
                <w:rFonts w:ascii="Arial" w:cs="Arial" w:eastAsia="Arial" w:hAnsi="Arial"/>
                <w:sz w:val="21"/>
                <w:szCs w:val="21"/>
                <w:b w:val="1"/>
                <w:bCs w:val="1"/>
                <w:color w:val="auto"/>
              </w:rPr>
              <w:t>Exhibit A</w:t>
            </w:r>
          </w:p>
        </w:tc>
        <w:tc>
          <w:tcPr>
            <w:tcW w:w="0" w:type="dxa"/>
            <w:vAlign w:val="bottom"/>
          </w:tcPr>
          <w:p>
            <w:pPr>
              <w:spacing w:after="0"/>
              <w:rPr>
                <w:sz w:val="1"/>
                <w:szCs w:val="1"/>
                <w:color w:val="auto"/>
              </w:rPr>
            </w:pPr>
          </w:p>
        </w:tc>
      </w:tr>
      <w:tr>
        <w:trPr>
          <w:trHeight w:val="273"/>
        </w:trPr>
        <w:tc>
          <w:tcPr>
            <w:tcW w:w="2060" w:type="dxa"/>
            <w:vAlign w:val="bottom"/>
          </w:tcPr>
          <w:p>
            <w:pPr>
              <w:spacing w:after="0"/>
              <w:rPr>
                <w:sz w:val="23"/>
                <w:szCs w:val="23"/>
                <w:color w:val="auto"/>
              </w:rPr>
            </w:pPr>
          </w:p>
        </w:tc>
        <w:tc>
          <w:tcPr>
            <w:tcW w:w="6580" w:type="dxa"/>
            <w:vAlign w:val="bottom"/>
            <w:gridSpan w:val="2"/>
          </w:tcPr>
          <w:p>
            <w:pPr>
              <w:ind w:left="1360"/>
              <w:spacing w:after="0"/>
              <w:rPr>
                <w:sz w:val="20"/>
                <w:szCs w:val="20"/>
                <w:color w:val="auto"/>
              </w:rPr>
            </w:pPr>
            <w:r>
              <w:rPr>
                <w:rFonts w:ascii="Arial" w:cs="Arial" w:eastAsia="Arial" w:hAnsi="Arial"/>
                <w:sz w:val="21"/>
                <w:szCs w:val="21"/>
                <w:b w:val="1"/>
                <w:bCs w:val="1"/>
                <w:color w:val="auto"/>
              </w:rPr>
              <w:t>Amendment Terms</w:t>
            </w:r>
          </w:p>
        </w:tc>
        <w:tc>
          <w:tcPr>
            <w:tcW w:w="0" w:type="dxa"/>
            <w:vAlign w:val="bottom"/>
          </w:tcPr>
          <w:p>
            <w:pPr>
              <w:spacing w:after="0"/>
              <w:rPr>
                <w:sz w:val="1"/>
                <w:szCs w:val="1"/>
                <w:color w:val="auto"/>
              </w:rPr>
            </w:pPr>
          </w:p>
        </w:tc>
      </w:tr>
      <w:tr>
        <w:trPr>
          <w:trHeight w:val="428"/>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Modified Term Loan</w:t>
            </w: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Undrawn term loan tranches to be modified as follows:</w:t>
            </w:r>
          </w:p>
        </w:tc>
        <w:tc>
          <w:tcPr>
            <w:tcW w:w="0" w:type="dxa"/>
            <w:vAlign w:val="bottom"/>
          </w:tcPr>
          <w:p>
            <w:pPr>
              <w:spacing w:after="0"/>
              <w:rPr>
                <w:sz w:val="1"/>
                <w:szCs w:val="1"/>
                <w:color w:val="auto"/>
              </w:rPr>
            </w:pPr>
          </w:p>
        </w:tc>
      </w:tr>
      <w:tr>
        <w:trPr>
          <w:trHeight w:val="252"/>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Tranches:</w:t>
            </w:r>
          </w:p>
        </w:tc>
        <w:tc>
          <w:tcPr>
            <w:tcW w:w="6580" w:type="dxa"/>
            <w:vAlign w:val="bottom"/>
            <w:gridSpan w:val="2"/>
            <w:vMerge w:val="restart"/>
          </w:tcPr>
          <w:p>
            <w:pPr>
              <w:ind w:left="620"/>
              <w:spacing w:after="0"/>
              <w:rPr>
                <w:sz w:val="20"/>
                <w:szCs w:val="20"/>
                <w:color w:val="auto"/>
              </w:rPr>
            </w:pPr>
            <w:r>
              <w:rPr>
                <w:rFonts w:ascii="Arial" w:cs="Arial" w:eastAsia="Arial" w:hAnsi="Arial"/>
                <w:sz w:val="19"/>
                <w:szCs w:val="19"/>
                <w:color w:val="auto"/>
                <w:w w:val="99"/>
              </w:rPr>
              <w:t>●  Tranche B – $20,000,000 available upon satisfaction of the following</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w w:val="94"/>
              </w:rPr>
              <w:t>conditions on or before December 31, 2024: (i) the Borrower raising an</w:t>
            </w: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w w:val="92"/>
              </w:rPr>
              <w:t>aggregate of at least $40,000,000 after the date of this Amendment from</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rPr>
              <w:t>(I) equity proceeds or (II) a bona fide contract with a Governmental</w:t>
            </w: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rPr>
              <w:t>Authority to use BXCL 501 for opioid withdrawal, (ii) initiation of a</w:t>
            </w: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w w:val="95"/>
              </w:rPr>
              <w:t>new Tranquility Clinical Trial based on the Borrower’s meeting with the</w:t>
            </w: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w w:val="96"/>
              </w:rPr>
              <w:t>FDA held on October 11, 2023, and (iii) the Pro Forma Loan-to-Value</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rPr>
              <w:t>Ratio is less than 30%.</w:t>
            </w:r>
          </w:p>
        </w:tc>
        <w:tc>
          <w:tcPr>
            <w:tcW w:w="0" w:type="dxa"/>
            <w:vAlign w:val="bottom"/>
          </w:tcPr>
          <w:p>
            <w:pPr>
              <w:spacing w:after="0"/>
              <w:rPr>
                <w:sz w:val="1"/>
                <w:szCs w:val="1"/>
                <w:color w:val="auto"/>
              </w:rPr>
            </w:pPr>
          </w:p>
        </w:tc>
      </w:tr>
      <w:tr>
        <w:trPr>
          <w:trHeight w:val="499"/>
        </w:trPr>
        <w:tc>
          <w:tcPr>
            <w:tcW w:w="2060" w:type="dxa"/>
            <w:vAlign w:val="bottom"/>
          </w:tcPr>
          <w:p>
            <w:pPr>
              <w:spacing w:after="0"/>
              <w:rPr>
                <w:sz w:val="24"/>
                <w:szCs w:val="24"/>
                <w:color w:val="auto"/>
              </w:rPr>
            </w:pPr>
          </w:p>
        </w:tc>
        <w:tc>
          <w:tcPr>
            <w:tcW w:w="6580" w:type="dxa"/>
            <w:vAlign w:val="bottom"/>
            <w:gridSpan w:val="2"/>
          </w:tcPr>
          <w:p>
            <w:pPr>
              <w:ind w:left="620"/>
              <w:spacing w:after="0"/>
              <w:rPr>
                <w:sz w:val="20"/>
                <w:szCs w:val="20"/>
                <w:color w:val="auto"/>
              </w:rPr>
            </w:pPr>
            <w:r>
              <w:rPr>
                <w:rFonts w:ascii="Arial" w:cs="Arial" w:eastAsia="Arial" w:hAnsi="Arial"/>
                <w:sz w:val="19"/>
                <w:szCs w:val="19"/>
                <w:color w:val="auto"/>
                <w:w w:val="99"/>
              </w:rPr>
              <w:t>●  Tranche C – $30,000,000 available upon satisfaction of the following</w:t>
            </w: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rPr>
              <w:t>conditions on or before December 31, 2025: (i) either (a) receipt of</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w w:val="97"/>
              </w:rPr>
              <w:t>approval from the FDA of an NDA in respect of the use of BXCL 501</w:t>
            </w: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rPr>
              <w:t>for the acute treatment of agitation associated with dementia or (b)</w:t>
            </w: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rPr>
              <w:t>BXCL 501 FDA Label Expansion Approval, and (ii) the Pro Forma</w:t>
            </w: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6580" w:type="dxa"/>
            <w:vAlign w:val="bottom"/>
            <w:gridSpan w:val="2"/>
          </w:tcPr>
          <w:p>
            <w:pPr>
              <w:ind w:left="940"/>
              <w:spacing w:after="0"/>
              <w:rPr>
                <w:sz w:val="20"/>
                <w:szCs w:val="20"/>
                <w:color w:val="auto"/>
              </w:rPr>
            </w:pPr>
            <w:r>
              <w:rPr>
                <w:rFonts w:ascii="Arial" w:cs="Arial" w:eastAsia="Arial" w:hAnsi="Arial"/>
                <w:sz w:val="19"/>
                <w:szCs w:val="19"/>
                <w:color w:val="auto"/>
              </w:rPr>
              <w:t>Loan-to-Value Ratio is less than 30%.</w:t>
            </w:r>
          </w:p>
        </w:tc>
        <w:tc>
          <w:tcPr>
            <w:tcW w:w="0" w:type="dxa"/>
            <w:vAlign w:val="bottom"/>
          </w:tcPr>
          <w:p>
            <w:pPr>
              <w:spacing w:after="0"/>
              <w:rPr>
                <w:sz w:val="1"/>
                <w:szCs w:val="1"/>
                <w:color w:val="auto"/>
              </w:rPr>
            </w:pPr>
          </w:p>
        </w:tc>
      </w:tr>
      <w:tr>
        <w:trPr>
          <w:trHeight w:val="340"/>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New Term Loan</w:t>
            </w: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4"/>
              </w:rPr>
              <w:t>$50,000,000 available upon satisfaction of the following conditions on or before</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Tranche D:</w:t>
            </w: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4"/>
              </w:rPr>
              <w:t>December 31, 2025: (i) the conditions precedent to the borrowing of Tranche C</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8"/>
              </w:rPr>
              <w:t>have been satisfied, and (ii) total net revenue of the Borrower attributable to</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sales of BXCL 501 (for the avoidance of doubt, including any revenues</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attributable to use of BXCL 501 for opioid withdrawal following Emergency</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4"/>
              </w:rPr>
              <w:t>Use Authorization of BXCL 501 for such use) for the trailing twelve consecutive</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month period exceed $[***].</w:t>
            </w:r>
          </w:p>
        </w:tc>
        <w:tc>
          <w:tcPr>
            <w:tcW w:w="0" w:type="dxa"/>
            <w:vAlign w:val="bottom"/>
          </w:tcPr>
          <w:p>
            <w:pPr>
              <w:spacing w:after="0"/>
              <w:rPr>
                <w:sz w:val="1"/>
                <w:szCs w:val="1"/>
                <w:color w:val="auto"/>
              </w:rPr>
            </w:pPr>
          </w:p>
        </w:tc>
      </w:tr>
      <w:tr>
        <w:trPr>
          <w:trHeight w:val="425"/>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Liquidity Covenant:</w:t>
            </w: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Minimum Liquidity Amount will increase to $20,000,000 upon funding of</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Tranche B, and will step back down to $15,000,000 upon the conditions</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2"/>
              </w:rPr>
              <w:t>precedent to the borrowing of Tranche C being satisfied (even if Tranche C is not</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drawn).</w:t>
            </w:r>
          </w:p>
        </w:tc>
        <w:tc>
          <w:tcPr>
            <w:tcW w:w="0" w:type="dxa"/>
            <w:vAlign w:val="bottom"/>
          </w:tcPr>
          <w:p>
            <w:pPr>
              <w:spacing w:after="0"/>
              <w:rPr>
                <w:sz w:val="1"/>
                <w:szCs w:val="1"/>
                <w:color w:val="auto"/>
              </w:rPr>
            </w:pPr>
          </w:p>
        </w:tc>
      </w:tr>
      <w:tr>
        <w:trPr>
          <w:trHeight w:val="425"/>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Revenue Covenant:</w:t>
            </w: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6"/>
              </w:rPr>
              <w:t>Minimum Revenue Covenant under the Credit Agreement to be deferred until</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3"/>
              </w:rPr>
              <w:t>Q4 2024, and levels to be reset as set forth on Annex I to this Exhibit A. For the</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3"/>
              </w:rPr>
              <w:t>avoidance of doubt, for purposes of the Minimum Revenue Covenant, Revenue</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6"/>
              </w:rPr>
              <w:t>shall only include Igalmi U.S. product net revenues but exclude EUA contract</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revenues.</w:t>
            </w:r>
          </w:p>
        </w:tc>
        <w:tc>
          <w:tcPr>
            <w:tcW w:w="0" w:type="dxa"/>
            <w:vAlign w:val="bottom"/>
          </w:tcPr>
          <w:p>
            <w:pPr>
              <w:spacing w:after="0"/>
              <w:rPr>
                <w:sz w:val="1"/>
                <w:szCs w:val="1"/>
                <w:color w:val="auto"/>
              </w:rPr>
            </w:pPr>
          </w:p>
        </w:tc>
      </w:tr>
      <w:tr>
        <w:trPr>
          <w:trHeight w:val="425"/>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Interest Rate:</w:t>
            </w: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3"/>
              </w:rPr>
              <w:t>Interest rate on all Loans will be changed to 3-month Term SOFR + 7.50% (with</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a 2.50% SOFR floor and a 5.50% SOFR cap).</w:t>
            </w:r>
          </w:p>
        </w:tc>
        <w:tc>
          <w:tcPr>
            <w:tcW w:w="0" w:type="dxa"/>
            <w:vAlign w:val="bottom"/>
          </w:tcPr>
          <w:p>
            <w:pPr>
              <w:spacing w:after="0"/>
              <w:rPr>
                <w:sz w:val="1"/>
                <w:szCs w:val="1"/>
                <w:color w:val="auto"/>
              </w:rPr>
            </w:pPr>
          </w:p>
        </w:tc>
      </w:tr>
      <w:tr>
        <w:trPr>
          <w:trHeight w:val="425"/>
        </w:trPr>
        <w:tc>
          <w:tcPr>
            <w:tcW w:w="2060" w:type="dxa"/>
            <w:vAlign w:val="bottom"/>
          </w:tcPr>
          <w:p>
            <w:pPr>
              <w:ind w:left="20"/>
              <w:spacing w:after="0"/>
              <w:rPr>
                <w:sz w:val="20"/>
                <w:szCs w:val="20"/>
                <w:color w:val="auto"/>
              </w:rPr>
            </w:pPr>
            <w:r>
              <w:rPr>
                <w:rFonts w:ascii="Arial" w:cs="Arial" w:eastAsia="Arial" w:hAnsi="Arial"/>
                <w:sz w:val="19"/>
                <w:szCs w:val="19"/>
                <w:b w:val="1"/>
                <w:bCs w:val="1"/>
                <w:color w:val="auto"/>
              </w:rPr>
              <w:t>Warrants:</w:t>
            </w: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2"/>
              </w:rPr>
              <w:t>The strike price of the Lenders’ existing Warrants (to purchase a total of 278,520</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5"/>
              </w:rPr>
              <w:t>shares of the Borrower’s common stock) will be reset to a strike price equal to</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5"/>
              </w:rPr>
              <w:t>the 30-day VWAP per share of the Borrower’s common stock as of date of the</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rPr>
              <w:t>amendment.</w:t>
            </w:r>
          </w:p>
        </w:tc>
        <w:tc>
          <w:tcPr>
            <w:tcW w:w="0" w:type="dxa"/>
            <w:vAlign w:val="bottom"/>
          </w:tcPr>
          <w:p>
            <w:pPr>
              <w:spacing w:after="0"/>
              <w:rPr>
                <w:sz w:val="1"/>
                <w:szCs w:val="1"/>
                <w:color w:val="auto"/>
              </w:rPr>
            </w:pPr>
          </w:p>
        </w:tc>
      </w:tr>
      <w:tr>
        <w:trPr>
          <w:trHeight w:val="447"/>
        </w:trPr>
        <w:tc>
          <w:tcPr>
            <w:tcW w:w="2060" w:type="dxa"/>
            <w:vAlign w:val="bottom"/>
          </w:tcPr>
          <w:p>
            <w:pPr>
              <w:spacing w:after="0"/>
              <w:rPr>
                <w:sz w:val="24"/>
                <w:szCs w:val="24"/>
                <w:color w:val="auto"/>
              </w:rPr>
            </w:pPr>
          </w:p>
        </w:tc>
        <w:tc>
          <w:tcPr>
            <w:tcW w:w="6580" w:type="dxa"/>
            <w:vAlign w:val="bottom"/>
            <w:gridSpan w:val="2"/>
          </w:tcPr>
          <w:p>
            <w:pPr>
              <w:ind w:left="300"/>
              <w:spacing w:after="0"/>
              <w:rPr>
                <w:sz w:val="20"/>
                <w:szCs w:val="20"/>
                <w:color w:val="auto"/>
              </w:rPr>
            </w:pPr>
            <w:r>
              <w:rPr>
                <w:rFonts w:ascii="Arial" w:cs="Arial" w:eastAsia="Arial" w:hAnsi="Arial"/>
                <w:sz w:val="19"/>
                <w:szCs w:val="19"/>
                <w:color w:val="auto"/>
                <w:w w:val="95"/>
              </w:rPr>
              <w:t>In addition, the Lenders will receive an additional 69,630 warrants at the same</w:t>
            </w:r>
          </w:p>
        </w:tc>
        <w:tc>
          <w:tcPr>
            <w:tcW w:w="0" w:type="dxa"/>
            <w:vAlign w:val="bottom"/>
          </w:tcPr>
          <w:p>
            <w:pPr>
              <w:spacing w:after="0"/>
              <w:rPr>
                <w:sz w:val="1"/>
                <w:szCs w:val="1"/>
                <w:color w:val="auto"/>
              </w:rPr>
            </w:pPr>
          </w:p>
        </w:tc>
      </w:tr>
      <w:tr>
        <w:trPr>
          <w:trHeight w:val="1013"/>
        </w:trPr>
        <w:tc>
          <w:tcPr>
            <w:tcW w:w="20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0" w:right="1440" w:bottom="1440" w:gutter="0" w:footer="0" w:header="0"/>
        </w:sectPr>
      </w:pPr>
    </w:p>
    <w:bookmarkStart w:id="147" w:name="page148"/>
    <w:bookmarkEnd w:id="147"/>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46"/>
        </w:trPr>
        <w:tc>
          <w:tcPr>
            <w:tcW w:w="2140" w:type="dxa"/>
            <w:vAlign w:val="bottom"/>
          </w:tcPr>
          <w:p>
            <w:pPr>
              <w:spacing w:after="0"/>
              <w:rPr>
                <w:sz w:val="21"/>
                <w:szCs w:val="21"/>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rPr>
              <w:t>strike price as set forth above.</w:t>
            </w:r>
          </w:p>
        </w:tc>
      </w:tr>
      <w:tr>
        <w:trPr>
          <w:trHeight w:val="419"/>
        </w:trPr>
        <w:tc>
          <w:tcPr>
            <w:tcW w:w="2140" w:type="dxa"/>
            <w:vAlign w:val="bottom"/>
          </w:tcPr>
          <w:p>
            <w:pPr>
              <w:ind w:left="20"/>
              <w:spacing w:after="0"/>
              <w:rPr>
                <w:sz w:val="20"/>
                <w:szCs w:val="20"/>
                <w:color w:val="auto"/>
              </w:rPr>
            </w:pPr>
            <w:r>
              <w:rPr>
                <w:rFonts w:ascii="Arial" w:cs="Arial" w:eastAsia="Arial" w:hAnsi="Arial"/>
                <w:sz w:val="19"/>
                <w:szCs w:val="19"/>
                <w:b w:val="1"/>
                <w:bCs w:val="1"/>
                <w:color w:val="auto"/>
                <w:w w:val="98"/>
              </w:rPr>
              <w:t>Conversion of Revenue</w:t>
            </w: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w w:val="92"/>
              </w:rPr>
              <w:t>The Revenue Interest Financing Agreement will be terminated in its entirety, and</w:t>
            </w:r>
          </w:p>
        </w:tc>
      </w:tr>
      <w:tr>
        <w:trPr>
          <w:trHeight w:val="223"/>
        </w:trPr>
        <w:tc>
          <w:tcPr>
            <w:tcW w:w="2140" w:type="dxa"/>
            <w:vAlign w:val="bottom"/>
          </w:tcPr>
          <w:p>
            <w:pPr>
              <w:ind w:left="20"/>
              <w:spacing w:after="0"/>
              <w:rPr>
                <w:sz w:val="20"/>
                <w:szCs w:val="20"/>
                <w:color w:val="auto"/>
              </w:rPr>
            </w:pPr>
            <w:r>
              <w:rPr>
                <w:rFonts w:ascii="Arial" w:cs="Arial" w:eastAsia="Arial" w:hAnsi="Arial"/>
                <w:sz w:val="19"/>
                <w:szCs w:val="19"/>
                <w:b w:val="1"/>
                <w:bCs w:val="1"/>
                <w:color w:val="auto"/>
              </w:rPr>
              <w:t>Interest Financing</w:t>
            </w: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rPr>
              <w:t>the entire $30,000,000 Purchase Price (as defined in the Revenue Interest</w:t>
            </w:r>
          </w:p>
        </w:tc>
      </w:tr>
      <w:tr>
        <w:trPr>
          <w:trHeight w:val="229"/>
        </w:trPr>
        <w:tc>
          <w:tcPr>
            <w:tcW w:w="2140" w:type="dxa"/>
            <w:vAlign w:val="bottom"/>
          </w:tcPr>
          <w:p>
            <w:pPr>
              <w:ind w:left="20"/>
              <w:spacing w:after="0"/>
              <w:rPr>
                <w:sz w:val="20"/>
                <w:szCs w:val="20"/>
                <w:color w:val="auto"/>
              </w:rPr>
            </w:pPr>
            <w:r>
              <w:rPr>
                <w:rFonts w:ascii="Arial" w:cs="Arial" w:eastAsia="Arial" w:hAnsi="Arial"/>
                <w:sz w:val="19"/>
                <w:szCs w:val="19"/>
                <w:b w:val="1"/>
                <w:bCs w:val="1"/>
                <w:color w:val="auto"/>
              </w:rPr>
              <w:t>Agreement</w:t>
            </w: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rPr>
              <w:t>Financing Agreement) funded to date will be converted to $30,000,000 in</w:t>
            </w:r>
          </w:p>
        </w:tc>
      </w:tr>
      <w:tr>
        <w:trPr>
          <w:trHeight w:val="223"/>
        </w:trPr>
        <w:tc>
          <w:tcPr>
            <w:tcW w:w="2140" w:type="dxa"/>
            <w:vAlign w:val="bottom"/>
          </w:tcPr>
          <w:p>
            <w:pPr>
              <w:spacing w:after="0"/>
              <w:rPr>
                <w:sz w:val="19"/>
                <w:szCs w:val="19"/>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w w:val="97"/>
              </w:rPr>
              <w:t>principal amount of term loans under the Credit Agreement. The Lenders will</w:t>
            </w:r>
          </w:p>
        </w:tc>
      </w:tr>
      <w:tr>
        <w:trPr>
          <w:trHeight w:val="223"/>
        </w:trPr>
        <w:tc>
          <w:tcPr>
            <w:tcW w:w="2140" w:type="dxa"/>
            <w:vAlign w:val="bottom"/>
          </w:tcPr>
          <w:p>
            <w:pPr>
              <w:spacing w:after="0"/>
              <w:rPr>
                <w:sz w:val="19"/>
                <w:szCs w:val="19"/>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w w:val="99"/>
              </w:rPr>
              <w:t>not charge any penalty or premium in connection with such termination and</w:t>
            </w:r>
          </w:p>
        </w:tc>
      </w:tr>
      <w:tr>
        <w:trPr>
          <w:trHeight w:val="223"/>
        </w:trPr>
        <w:tc>
          <w:tcPr>
            <w:tcW w:w="2140" w:type="dxa"/>
            <w:vAlign w:val="bottom"/>
          </w:tcPr>
          <w:p>
            <w:pPr>
              <w:spacing w:after="0"/>
              <w:rPr>
                <w:sz w:val="19"/>
                <w:szCs w:val="19"/>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w w:val="93"/>
              </w:rPr>
              <w:t>conversion. However, upon the amendment closing, the Borrower will pay to the</w:t>
            </w:r>
          </w:p>
        </w:tc>
      </w:tr>
      <w:tr>
        <w:trPr>
          <w:trHeight w:val="223"/>
        </w:trPr>
        <w:tc>
          <w:tcPr>
            <w:tcW w:w="2140" w:type="dxa"/>
            <w:vAlign w:val="bottom"/>
          </w:tcPr>
          <w:p>
            <w:pPr>
              <w:spacing w:after="0"/>
              <w:rPr>
                <w:sz w:val="19"/>
                <w:szCs w:val="19"/>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w w:val="95"/>
              </w:rPr>
              <w:t>Lenders (i) the full amount of the Revenue Interest Payment (as defined in the</w:t>
            </w:r>
          </w:p>
        </w:tc>
      </w:tr>
      <w:tr>
        <w:trPr>
          <w:trHeight w:val="223"/>
        </w:trPr>
        <w:tc>
          <w:tcPr>
            <w:tcW w:w="2140" w:type="dxa"/>
            <w:vAlign w:val="bottom"/>
          </w:tcPr>
          <w:p>
            <w:pPr>
              <w:spacing w:after="0"/>
              <w:rPr>
                <w:sz w:val="19"/>
                <w:szCs w:val="19"/>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w w:val="96"/>
              </w:rPr>
              <w:t>Revenue Interest Financing Agreement) for the third quarter of 2023 and (ii) a</w:t>
            </w:r>
          </w:p>
        </w:tc>
      </w:tr>
      <w:tr>
        <w:trPr>
          <w:trHeight w:val="223"/>
        </w:trPr>
        <w:tc>
          <w:tcPr>
            <w:tcW w:w="2140" w:type="dxa"/>
            <w:vAlign w:val="bottom"/>
          </w:tcPr>
          <w:p>
            <w:pPr>
              <w:spacing w:after="0"/>
              <w:rPr>
                <w:sz w:val="19"/>
                <w:szCs w:val="19"/>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rPr>
              <w:t>prorated portion (based on the actual portion of the quarter elapsed) of the</w:t>
            </w:r>
          </w:p>
        </w:tc>
      </w:tr>
      <w:tr>
        <w:trPr>
          <w:trHeight w:val="246"/>
        </w:trPr>
        <w:tc>
          <w:tcPr>
            <w:tcW w:w="2140" w:type="dxa"/>
            <w:vAlign w:val="bottom"/>
          </w:tcPr>
          <w:p>
            <w:pPr>
              <w:spacing w:after="0"/>
              <w:rPr>
                <w:sz w:val="21"/>
                <w:szCs w:val="21"/>
                <w:color w:val="auto"/>
              </w:rPr>
            </w:pPr>
          </w:p>
        </w:tc>
        <w:tc>
          <w:tcPr>
            <w:tcW w:w="6500" w:type="dxa"/>
            <w:vAlign w:val="bottom"/>
            <w:gridSpan w:val="2"/>
          </w:tcPr>
          <w:p>
            <w:pPr>
              <w:ind w:left="220"/>
              <w:spacing w:after="0"/>
              <w:rPr>
                <w:sz w:val="20"/>
                <w:szCs w:val="20"/>
                <w:color w:val="auto"/>
              </w:rPr>
            </w:pPr>
            <w:r>
              <w:rPr>
                <w:rFonts w:ascii="Arial" w:cs="Arial" w:eastAsia="Arial" w:hAnsi="Arial"/>
                <w:sz w:val="19"/>
                <w:szCs w:val="19"/>
                <w:color w:val="auto"/>
              </w:rPr>
              <w:t>Revenue Interest Payment for the fourth quarter of 2023.</w:t>
            </w:r>
          </w:p>
        </w:tc>
      </w:tr>
      <w:tr>
        <w:trPr>
          <w:trHeight w:val="1249"/>
        </w:trPr>
        <w:tc>
          <w:tcPr>
            <w:tcW w:w="21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885" w:right="1440" w:bottom="1440" w:gutter="0" w:footer="0" w:header="0"/>
        </w:sectPr>
      </w:pPr>
    </w:p>
    <w:bookmarkStart w:id="148" w:name="page149"/>
    <w:bookmarkEnd w:id="148"/>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67"/>
        </w:trPr>
        <w:tc>
          <w:tcPr>
            <w:tcW w:w="3500" w:type="dxa"/>
            <w:vAlign w:val="bottom"/>
          </w:tcPr>
          <w:p>
            <w:pPr>
              <w:spacing w:after="0"/>
              <w:rPr>
                <w:sz w:val="23"/>
                <w:szCs w:val="23"/>
                <w:color w:val="auto"/>
              </w:rPr>
            </w:pPr>
          </w:p>
        </w:tc>
        <w:tc>
          <w:tcPr>
            <w:tcW w:w="5080" w:type="dxa"/>
            <w:vAlign w:val="bottom"/>
            <w:gridSpan w:val="3"/>
          </w:tcPr>
          <w:p>
            <w:pPr>
              <w:ind w:left="440"/>
              <w:spacing w:after="0"/>
              <w:rPr>
                <w:sz w:val="20"/>
                <w:szCs w:val="20"/>
                <w:color w:val="auto"/>
              </w:rPr>
            </w:pPr>
            <w:r>
              <w:rPr>
                <w:rFonts w:ascii="Arial" w:cs="Arial" w:eastAsia="Arial" w:hAnsi="Arial"/>
                <w:sz w:val="21"/>
                <w:szCs w:val="21"/>
                <w:color w:val="auto"/>
              </w:rPr>
              <w:t>Annex I</w:t>
            </w:r>
          </w:p>
        </w:tc>
        <w:tc>
          <w:tcPr>
            <w:tcW w:w="0" w:type="dxa"/>
            <w:vAlign w:val="bottom"/>
          </w:tcPr>
          <w:p>
            <w:pPr>
              <w:spacing w:after="0"/>
              <w:rPr>
                <w:sz w:val="1"/>
                <w:szCs w:val="1"/>
                <w:color w:val="auto"/>
              </w:rPr>
            </w:pPr>
          </w:p>
        </w:tc>
      </w:tr>
      <w:tr>
        <w:trPr>
          <w:trHeight w:val="227"/>
        </w:trPr>
        <w:tc>
          <w:tcPr>
            <w:tcW w:w="3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b w:val="1"/>
                <w:bCs w:val="1"/>
                <w:color w:val="auto"/>
                <w:w w:val="93"/>
              </w:rPr>
              <w:t>Fiscal Quarter Ending</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94"/>
              </w:rPr>
              <w:t>Minimum Revenue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1"/>
              </w:rPr>
              <w:t>December 31, 2024</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3"/>
              </w:rPr>
              <w:t>March 31, 2025</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89"/>
              </w:rPr>
              <w:t>June 30, 2025</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0"/>
              </w:rPr>
              <w:t>September 30, 2025</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1"/>
              </w:rPr>
              <w:t>December 31, 2025</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3"/>
              </w:rPr>
              <w:t>March 31, 2026</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89"/>
              </w:rPr>
              <w:t>June 30, 2026</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0"/>
              </w:rPr>
              <w:t>September 30, 2026</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1"/>
              </w:rPr>
              <w:t>December 31, 2026</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left w:val="single" w:sz="8" w:color="auto"/>
              <w:bottom w:val="single" w:sz="8" w:color="auto"/>
            </w:tcBorders>
          </w:tcPr>
          <w:p>
            <w:pPr>
              <w:jc w:val="center"/>
              <w:ind w:left="684"/>
              <w:spacing w:after="0" w:line="216" w:lineRule="exact"/>
              <w:rPr>
                <w:sz w:val="20"/>
                <w:szCs w:val="20"/>
                <w:color w:val="auto"/>
              </w:rPr>
            </w:pPr>
            <w:r>
              <w:rPr>
                <w:rFonts w:ascii="Arial" w:cs="Arial" w:eastAsia="Arial" w:hAnsi="Arial"/>
                <w:sz w:val="19"/>
                <w:szCs w:val="19"/>
                <w:color w:val="auto"/>
                <w:w w:val="93"/>
              </w:rPr>
              <w:t>March 31, 2027</w:t>
            </w:r>
          </w:p>
        </w:tc>
        <w:tc>
          <w:tcPr>
            <w:tcW w:w="800" w:type="dxa"/>
            <w:vAlign w:val="bottom"/>
            <w:tcBorders>
              <w:bottom w:val="single" w:sz="8" w:color="auto"/>
              <w:right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8"/>
        </w:trPr>
        <w:tc>
          <w:tcPr>
            <w:tcW w:w="3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81" w:right="1440" w:bottom="1440" w:gutter="0" w:footer="0" w:header="0"/>
        </w:sectPr>
      </w:pPr>
    </w:p>
    <w:bookmarkStart w:id="149" w:name="page150"/>
    <w:bookmarkEnd w:id="149"/>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45" w:lineRule="exact"/>
        <w:rPr>
          <w:sz w:val="20"/>
          <w:szCs w:val="20"/>
          <w:color w:val="auto"/>
        </w:rPr>
      </w:pPr>
    </w:p>
    <w:p>
      <w:pPr>
        <w:ind w:left="520" w:right="399" w:hanging="313"/>
        <w:spacing w:after="0" w:line="261"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2023 of BioXcel Therapeutics, Inc.;</w:t>
      </w:r>
    </w:p>
    <w:p>
      <w:pPr>
        <w:spacing w:after="0" w:line="154" w:lineRule="exact"/>
        <w:rPr>
          <w:rFonts w:ascii="Arial" w:cs="Arial" w:eastAsia="Arial" w:hAnsi="Arial"/>
          <w:sz w:val="18"/>
          <w:szCs w:val="18"/>
          <w:color w:val="auto"/>
        </w:rPr>
      </w:pPr>
    </w:p>
    <w:p>
      <w:pPr>
        <w:ind w:left="520" w:right="299" w:hanging="313"/>
        <w:spacing w:after="0" w:line="252"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20" w:right="279" w:hanging="313"/>
        <w:spacing w:after="0" w:line="252"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520" w:right="299" w:hanging="313"/>
        <w:spacing w:after="0" w:line="299"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6"/>
          <w:szCs w:val="16"/>
          <w:color w:val="auto"/>
        </w:rPr>
      </w:pPr>
    </w:p>
    <w:p>
      <w:pPr>
        <w:ind w:left="1160" w:right="299" w:hanging="322"/>
        <w:spacing w:after="0" w:line="249"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8"/>
          <w:szCs w:val="18"/>
          <w:color w:val="auto"/>
        </w:rPr>
      </w:pPr>
    </w:p>
    <w:p>
      <w:pPr>
        <w:ind w:left="1160" w:right="399" w:hanging="322"/>
        <w:spacing w:after="0" w:line="249"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8"/>
          <w:szCs w:val="18"/>
          <w:color w:val="auto"/>
        </w:rPr>
      </w:pPr>
    </w:p>
    <w:p>
      <w:pPr>
        <w:jc w:val="both"/>
        <w:ind w:left="1160" w:right="259" w:hanging="322"/>
        <w:spacing w:after="0" w:line="252"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160" w:right="239" w:hanging="322"/>
        <w:spacing w:after="0" w:line="249"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8"/>
          <w:szCs w:val="18"/>
          <w:color w:val="auto"/>
        </w:rPr>
      </w:pPr>
    </w:p>
    <w:p>
      <w:pPr>
        <w:jc w:val="both"/>
        <w:ind w:left="520" w:right="379" w:hanging="313"/>
        <w:spacing w:after="0" w:line="252"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160" w:right="359" w:hanging="322"/>
        <w:spacing w:after="0" w:line="252"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160" w:right="479" w:hanging="322"/>
        <w:spacing w:after="0" w:line="261"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Date: November 14, 2023</w:t>
            </w:r>
          </w:p>
        </w:tc>
        <w:tc>
          <w:tcPr>
            <w:tcW w:w="5540" w:type="dxa"/>
            <w:vAlign w:val="bottom"/>
            <w:gridSpan w:val="2"/>
          </w:tcPr>
          <w:p>
            <w:pPr>
              <w:ind w:left="1240"/>
              <w:spacing w:after="0"/>
              <w:rPr>
                <w:sz w:val="20"/>
                <w:szCs w:val="20"/>
                <w:color w:val="auto"/>
              </w:rPr>
            </w:pPr>
            <w:r>
              <w:rPr>
                <w:rFonts w:ascii="Arial" w:cs="Arial" w:eastAsia="Arial" w:hAnsi="Arial"/>
                <w:sz w:val="18"/>
                <w:szCs w:val="18"/>
                <w:color w:val="auto"/>
              </w:rPr>
              <w:t>By:   /s/ Vimal Mehta</w:t>
            </w:r>
          </w:p>
        </w:tc>
      </w:tr>
      <w:tr>
        <w:trPr>
          <w:trHeight w:val="191"/>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Vimal Mehta, Ph.D.</w:t>
            </w: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56"/>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50" w:name="page151"/>
    <w:bookmarkEnd w:id="150"/>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45" w:lineRule="exact"/>
        <w:rPr>
          <w:sz w:val="20"/>
          <w:szCs w:val="20"/>
          <w:color w:val="auto"/>
        </w:rPr>
      </w:pPr>
    </w:p>
    <w:p>
      <w:pPr>
        <w:ind w:left="520" w:right="399" w:hanging="313"/>
        <w:spacing w:after="0" w:line="261"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2023 of BioXcel Therapeutics, Inc.;</w:t>
      </w:r>
    </w:p>
    <w:p>
      <w:pPr>
        <w:spacing w:after="0" w:line="154" w:lineRule="exact"/>
        <w:rPr>
          <w:rFonts w:ascii="Arial" w:cs="Arial" w:eastAsia="Arial" w:hAnsi="Arial"/>
          <w:sz w:val="18"/>
          <w:szCs w:val="18"/>
          <w:color w:val="auto"/>
        </w:rPr>
      </w:pPr>
    </w:p>
    <w:p>
      <w:pPr>
        <w:ind w:left="520" w:right="299" w:hanging="313"/>
        <w:spacing w:after="0" w:line="252"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20" w:right="279" w:hanging="313"/>
        <w:spacing w:after="0" w:line="252"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520" w:right="299" w:hanging="313"/>
        <w:spacing w:after="0" w:line="299"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6"/>
          <w:szCs w:val="16"/>
          <w:color w:val="auto"/>
        </w:rPr>
      </w:pPr>
    </w:p>
    <w:p>
      <w:pPr>
        <w:ind w:left="1160" w:right="299" w:hanging="322"/>
        <w:spacing w:after="0" w:line="249" w:lineRule="auto"/>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8"/>
          <w:szCs w:val="18"/>
          <w:color w:val="auto"/>
        </w:rPr>
      </w:pPr>
    </w:p>
    <w:p>
      <w:pPr>
        <w:ind w:left="1160" w:right="399" w:hanging="322"/>
        <w:spacing w:after="0" w:line="249" w:lineRule="auto"/>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8"/>
          <w:szCs w:val="18"/>
          <w:color w:val="auto"/>
        </w:rPr>
      </w:pPr>
    </w:p>
    <w:p>
      <w:pPr>
        <w:jc w:val="both"/>
        <w:ind w:left="1160" w:right="259" w:hanging="322"/>
        <w:spacing w:after="0" w:line="252" w:lineRule="auto"/>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1160" w:right="239" w:hanging="322"/>
        <w:spacing w:after="0" w:line="249" w:lineRule="auto"/>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8"/>
          <w:szCs w:val="18"/>
          <w:color w:val="auto"/>
        </w:rPr>
      </w:pPr>
    </w:p>
    <w:p>
      <w:pPr>
        <w:jc w:val="both"/>
        <w:ind w:left="520" w:right="379" w:hanging="313"/>
        <w:spacing w:after="0" w:line="252"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160" w:right="359" w:hanging="322"/>
        <w:spacing w:after="0" w:line="252" w:lineRule="auto"/>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160" w:right="479" w:hanging="322"/>
        <w:spacing w:after="0" w:line="261" w:lineRule="auto"/>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Date: November 14, 2023</w:t>
            </w:r>
          </w:p>
        </w:tc>
        <w:tc>
          <w:tcPr>
            <w:tcW w:w="5540" w:type="dxa"/>
            <w:vAlign w:val="bottom"/>
            <w:gridSpan w:val="2"/>
          </w:tcPr>
          <w:p>
            <w:pPr>
              <w:ind w:left="1240"/>
              <w:spacing w:after="0"/>
              <w:rPr>
                <w:sz w:val="20"/>
                <w:szCs w:val="20"/>
                <w:color w:val="auto"/>
              </w:rPr>
            </w:pPr>
            <w:r>
              <w:rPr>
                <w:rFonts w:ascii="Arial" w:cs="Arial" w:eastAsia="Arial" w:hAnsi="Arial"/>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Richard Steinhart</w:t>
            </w: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966"/>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1" w:right="1440" w:bottom="1440" w:gutter="0" w:footer="0" w:header="0"/>
        </w:sectPr>
      </w:pPr>
    </w:p>
    <w:bookmarkStart w:id="151" w:name="page152"/>
    <w:bookmarkEnd w:id="151"/>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239" w:firstLine="631"/>
        <w:spacing w:after="0" w:line="290" w:lineRule="auto"/>
        <w:rPr>
          <w:sz w:val="20"/>
          <w:szCs w:val="20"/>
          <w:color w:val="auto"/>
        </w:rPr>
      </w:pPr>
      <w:r>
        <w:rPr>
          <w:rFonts w:ascii="Arial" w:cs="Arial" w:eastAsia="Arial" w:hAnsi="Arial"/>
          <w:sz w:val="16"/>
          <w:szCs w:val="16"/>
          <w:color w:val="auto"/>
        </w:rPr>
        <w:t>In connection with the Quarterly Report on Form 10-Q of BioXcel Therapeutics, Inc. (the “Company”) for the quarterly period ended September 30, 2023,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62" w:lineRule="exact"/>
        <w:rPr>
          <w:sz w:val="20"/>
          <w:szCs w:val="20"/>
          <w:color w:val="auto"/>
        </w:rPr>
      </w:pPr>
    </w:p>
    <w:p>
      <w:pPr>
        <w:ind w:left="1160" w:right="239" w:hanging="322"/>
        <w:spacing w:after="0" w:line="261"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80" w:lineRule="exact"/>
        <w:rPr>
          <w:rFonts w:ascii="Arial" w:cs="Arial" w:eastAsia="Arial" w:hAnsi="Arial"/>
          <w:sz w:val="18"/>
          <w:szCs w:val="18"/>
          <w:color w:val="auto"/>
        </w:rPr>
      </w:pPr>
    </w:p>
    <w:p>
      <w:pPr>
        <w:ind w:left="1160" w:right="419" w:hanging="322"/>
        <w:spacing w:after="0" w:line="261" w:lineRule="auto"/>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Date: November 14, 2023</w:t>
            </w:r>
          </w:p>
        </w:tc>
        <w:tc>
          <w:tcPr>
            <w:tcW w:w="5640" w:type="dxa"/>
            <w:vAlign w:val="bottom"/>
            <w:gridSpan w:val="2"/>
          </w:tcPr>
          <w:p>
            <w:pPr>
              <w:ind w:left="1140"/>
              <w:spacing w:after="0"/>
              <w:rPr>
                <w:sz w:val="20"/>
                <w:szCs w:val="20"/>
                <w:color w:val="auto"/>
              </w:rPr>
            </w:pPr>
            <w:r>
              <w:rPr>
                <w:rFonts w:ascii="Arial" w:cs="Arial" w:eastAsia="Arial" w:hAnsi="Arial"/>
                <w:sz w:val="18"/>
                <w:szCs w:val="18"/>
                <w:color w:val="auto"/>
              </w:rPr>
              <w:t>By:  /s/ Vimal Mehta</w:t>
            </w: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Vimal Mehta, Ph.D.</w:t>
            </w: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4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52" w:name="page153"/>
    <w:bookmarkEnd w:id="152"/>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239" w:firstLine="631"/>
        <w:spacing w:after="0" w:line="290" w:lineRule="auto"/>
        <w:rPr>
          <w:sz w:val="20"/>
          <w:szCs w:val="20"/>
          <w:color w:val="auto"/>
        </w:rPr>
      </w:pPr>
      <w:r>
        <w:rPr>
          <w:rFonts w:ascii="Arial" w:cs="Arial" w:eastAsia="Arial" w:hAnsi="Arial"/>
          <w:sz w:val="16"/>
          <w:szCs w:val="16"/>
          <w:color w:val="auto"/>
        </w:rPr>
        <w:t>In connection with the Quarterly Report on Form 10-Q of BioXcel Therapeutics, Inc. (the “Company”) for the quarterly period ended September 30, 2023,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62" w:lineRule="exact"/>
        <w:rPr>
          <w:sz w:val="20"/>
          <w:szCs w:val="20"/>
          <w:color w:val="auto"/>
        </w:rPr>
      </w:pPr>
    </w:p>
    <w:p>
      <w:pPr>
        <w:ind w:left="1160" w:right="239" w:hanging="322"/>
        <w:spacing w:after="0" w:line="261" w:lineRule="auto"/>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80" w:lineRule="exact"/>
        <w:rPr>
          <w:rFonts w:ascii="Arial" w:cs="Arial" w:eastAsia="Arial" w:hAnsi="Arial"/>
          <w:sz w:val="18"/>
          <w:szCs w:val="18"/>
          <w:color w:val="auto"/>
        </w:rPr>
      </w:pPr>
    </w:p>
    <w:p>
      <w:pPr>
        <w:ind w:left="1160" w:right="419" w:hanging="322"/>
        <w:spacing w:after="0" w:line="261" w:lineRule="auto"/>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Date: November 14, 2023</w:t>
            </w:r>
          </w:p>
        </w:tc>
        <w:tc>
          <w:tcPr>
            <w:tcW w:w="5540" w:type="dxa"/>
            <w:vAlign w:val="bottom"/>
            <w:gridSpan w:val="2"/>
          </w:tcPr>
          <w:p>
            <w:pPr>
              <w:ind w:left="1240"/>
              <w:spacing w:after="0"/>
              <w:rPr>
                <w:sz w:val="20"/>
                <w:szCs w:val="20"/>
                <w:color w:val="auto"/>
              </w:rPr>
            </w:pPr>
            <w:r>
              <w:rPr>
                <w:rFonts w:ascii="Arial" w:cs="Arial" w:eastAsia="Arial" w:hAnsi="Arial"/>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Richard Steinhart</w:t>
            </w: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43"/>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lowerLetter"/>
      <w:start w:val="2"/>
    </w:lvl>
  </w:abstractNum>
  <w:abstractNum w:abstractNumId="60">
    <w:nsid w:val="15014ACB"/>
    <w:multiLevelType w:val="hybridMultilevel"/>
    <w:lvl w:ilvl="0">
      <w:lvlJc w:val="left"/>
      <w:lvlText w:val="*"/>
      <w:numFmt w:val="bullet"/>
      <w:start w:val="1"/>
    </w:lvl>
    <w:lvl w:ilvl="1">
      <w:lvlJc w:val="left"/>
      <w:lvlText w:val="%2"/>
      <w:numFmt w:val="decimal"/>
      <w:start w:val="104"/>
    </w:lvl>
  </w:abstractNum>
  <w:abstractNum w:abstractNumId="61">
    <w:nsid w:val="5F5E7FD0"/>
    <w:multiLevelType w:val="hybridMultilevel"/>
    <w:lvl w:ilvl="0">
      <w:lvlJc w:val="left"/>
      <w:lvlText w:val="**"/>
      <w:numFmt w:val="bullet"/>
      <w:start w:val="1"/>
    </w:lvl>
    <w:lvl w:ilvl="1">
      <w:lvlJc w:val="left"/>
      <w:lvlText w:val="%2"/>
      <w:numFmt w:val="decimal"/>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5"/>
    </w:lvl>
    <w:lvl w:ilvl="1">
      <w:lvlJc w:val="left"/>
      <w:lvlText w:val="(%2)"/>
      <w:numFmt w:val="lowerLetter"/>
      <w:start w:val="1"/>
    </w:lvl>
  </w:abstractNum>
  <w:abstractNum w:abstractNumId="65">
    <w:nsid w:val="42C296BD"/>
    <w:multiLevelType w:val="hybridMultilevel"/>
    <w:lvl w:ilvl="0">
      <w:lvlJc w:val="left"/>
      <w:lvlText w:val="%1."/>
      <w:numFmt w:val="decimal"/>
      <w:start w:val="7"/>
    </w:lvl>
    <w:lvl w:ilvl="1">
      <w:lvlJc w:val="left"/>
      <w:lvlText w:val="(%2)"/>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decimal"/>
      <w:start w:val="10"/>
    </w:lvl>
    <w:lvl w:ilvl="1">
      <w:lvlJc w:val="left"/>
      <w:lvlText w:val="(%2)"/>
      <w:numFmt w:val="lowerLetter"/>
      <w:start w:val="1"/>
    </w:lvl>
  </w:abstractNum>
  <w:abstractNum w:abstractNumId="68">
    <w:nsid w:val="661E3F1E"/>
    <w:multiLevelType w:val="hybridMultilevel"/>
    <w:lvl w:ilvl="0">
      <w:lvlJc w:val="left"/>
      <w:lvlText w:val="%1"/>
      <w:numFmt w:val="decimal"/>
      <w:start w:val="125"/>
    </w:lvl>
  </w:abstractNum>
  <w:abstractNum w:abstractNumId="69">
    <w:nsid w:val="5DC79EA8"/>
    <w:multiLevelType w:val="hybridMultilevel"/>
    <w:lvl w:ilvl="0">
      <w:lvlJc w:val="left"/>
      <w:lvlText w:val="%1"/>
      <w:numFmt w:val="decimal"/>
      <w:start w:val="125"/>
    </w:lvl>
  </w:abstractNum>
  <w:abstractNum w:abstractNumId="70">
    <w:nsid w:val="540A471C"/>
    <w:multiLevelType w:val="hybridMultilevel"/>
    <w:lvl w:ilvl="0">
      <w:lvlJc w:val="left"/>
      <w:lvlText w:val="%1"/>
      <w:numFmt w:val="decimal"/>
      <w:start w:val="125"/>
    </w:lvl>
  </w:abstractNum>
  <w:abstractNum w:abstractNumId="71">
    <w:nsid w:val="7BD3EE7B"/>
    <w:multiLevelType w:val="hybridMultilevel"/>
    <w:lvl w:ilvl="0">
      <w:lvlJc w:val="left"/>
      <w:lvlText w:val="%1"/>
      <w:numFmt w:val="decimal"/>
      <w:start w:val="125"/>
    </w:lvl>
  </w:abstractNum>
  <w:abstractNum w:abstractNumId="72">
    <w:nsid w:val="51D9C564"/>
    <w:multiLevelType w:val="hybridMultilevel"/>
    <w:lvl w:ilvl="0">
      <w:lvlJc w:val="left"/>
      <w:lvlText w:val="%1"/>
      <w:numFmt w:val="decimal"/>
      <w:start w:val="125"/>
    </w:lvl>
  </w:abstractNum>
  <w:abstractNum w:abstractNumId="73">
    <w:nsid w:val="613EFDC5"/>
    <w:multiLevelType w:val="hybridMultilevel"/>
    <w:lvl w:ilvl="0">
      <w:lvlJc w:val="left"/>
      <w:lvlText w:val="%1"/>
      <w:numFmt w:val="decimal"/>
      <w:start w:val="125"/>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30" Type="http://schemas.openxmlformats.org/officeDocument/2006/relationships/hyperlink" Target="https://www.sec.gov/Archives/edgar/data/1720893/000155837021011074/btai-20210630xex3d1.htm" TargetMode="External"/><Relationship Id="rId131" Type="http://schemas.openxmlformats.org/officeDocument/2006/relationships/hyperlink" Target="https://www.sec.gov/Archives/edgar/data/1720893/000110465918016770/a18-8090_1ex3d2.htm" TargetMode="External"/><Relationship Id="rId132" Type="http://schemas.openxmlformats.org/officeDocument/2006/relationships/hyperlink" Target="https://www.sec.gov/Archives/edgar/data/1720893/000110465923103556/tm232681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2023-11-14T07:32:09Z</dcterms:created>
  <dcterms:modified xsi:type="dcterms:W3CDTF">2023-11-14T07:32:09Z</dcterms:modified>
</cp:coreProperties>
</file>