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660" w:right="3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660" w:right="2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001-38410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180340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BioXcel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82-1386754</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4"/>
              </w:rPr>
              <w:t>555 Long Wharf Drive</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4"/>
              </w:rPr>
              <w:t>New Haven CT</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06511</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350"/>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(203) 643-8060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780 E. Main Street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Branford, CT 06405</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168910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4"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9"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4800" w:type="dxa"/>
            <w:vAlign w:val="bottom"/>
          </w:tcPr>
          <w:p>
            <w:pPr>
              <w:jc w:val="center"/>
              <w:ind w:right="1490"/>
              <w:spacing w:after="0"/>
              <w:rPr>
                <w:sz w:val="20"/>
                <w:szCs w:val="20"/>
                <w:color w:val="auto"/>
              </w:rPr>
            </w:pPr>
            <w:r>
              <w:rPr>
                <w:rFonts w:ascii="Arial" w:cs="Arial" w:eastAsia="Arial" w:hAnsi="Arial"/>
                <w:sz w:val="18"/>
                <w:szCs w:val="18"/>
                <w:color w:val="auto"/>
                <w:w w:val="90"/>
              </w:rPr>
              <w:t>Large accelerated filer o</w:t>
            </w:r>
          </w:p>
        </w:tc>
        <w:tc>
          <w:tcPr>
            <w:tcW w:w="3680" w:type="dxa"/>
            <w:vAlign w:val="bottom"/>
          </w:tcPr>
          <w:p>
            <w:pPr>
              <w:jc w:val="center"/>
              <w:ind w:left="1490"/>
              <w:spacing w:after="0"/>
              <w:rPr>
                <w:sz w:val="20"/>
                <w:szCs w:val="20"/>
                <w:color w:val="auto"/>
              </w:rPr>
            </w:pPr>
            <w:r>
              <w:rPr>
                <w:rFonts w:ascii="Arial" w:cs="Arial" w:eastAsia="Arial" w:hAnsi="Arial"/>
                <w:sz w:val="18"/>
                <w:szCs w:val="18"/>
                <w:color w:val="auto"/>
                <w:w w:val="92"/>
              </w:rPr>
              <w:t>Accelerated filer o</w:t>
            </w:r>
          </w:p>
        </w:tc>
        <w:tc>
          <w:tcPr>
            <w:tcW w:w="0" w:type="dxa"/>
            <w:vAlign w:val="bottom"/>
          </w:tcPr>
          <w:p>
            <w:pPr>
              <w:spacing w:after="0"/>
              <w:rPr>
                <w:sz w:val="1"/>
                <w:szCs w:val="1"/>
                <w:color w:val="auto"/>
              </w:rPr>
            </w:pPr>
          </w:p>
        </w:tc>
      </w:tr>
      <w:tr>
        <w:trPr>
          <w:trHeight w:val="418"/>
        </w:trPr>
        <w:tc>
          <w:tcPr>
            <w:tcW w:w="4800" w:type="dxa"/>
            <w:vAlign w:val="bottom"/>
          </w:tcPr>
          <w:p>
            <w:pPr>
              <w:jc w:val="center"/>
              <w:ind w:right="1490"/>
              <w:spacing w:after="0"/>
              <w:rPr>
                <w:sz w:val="20"/>
                <w:szCs w:val="20"/>
                <w:color w:val="auto"/>
              </w:rPr>
            </w:pPr>
            <w:r>
              <w:rPr>
                <w:rFonts w:ascii="Arial" w:cs="Arial" w:eastAsia="Arial" w:hAnsi="Arial"/>
                <w:sz w:val="18"/>
                <w:szCs w:val="18"/>
                <w:color w:val="auto"/>
                <w:w w:val="92"/>
              </w:rPr>
              <w:t>Non-accelerated filer x</w:t>
            </w:r>
          </w:p>
        </w:tc>
        <w:tc>
          <w:tcPr>
            <w:tcW w:w="3680" w:type="dxa"/>
            <w:vAlign w:val="bottom"/>
          </w:tcPr>
          <w:p>
            <w:pPr>
              <w:jc w:val="center"/>
              <w:ind w:left="1470"/>
              <w:spacing w:after="0"/>
              <w:rPr>
                <w:sz w:val="20"/>
                <w:szCs w:val="20"/>
                <w:color w:val="auto"/>
              </w:rPr>
            </w:pPr>
            <w:r>
              <w:rPr>
                <w:rFonts w:ascii="Arial" w:cs="Arial" w:eastAsia="Arial" w:hAnsi="Arial"/>
                <w:sz w:val="18"/>
                <w:szCs w:val="18"/>
                <w:color w:val="auto"/>
                <w:w w:val="91"/>
              </w:rPr>
              <w:t>Small reporting company o</w:t>
            </w:r>
          </w:p>
        </w:tc>
        <w:tc>
          <w:tcPr>
            <w:tcW w:w="0" w:type="dxa"/>
            <w:vAlign w:val="bottom"/>
          </w:tcPr>
          <w:p>
            <w:pPr>
              <w:spacing w:after="0"/>
              <w:rPr>
                <w:sz w:val="1"/>
                <w:szCs w:val="1"/>
                <w:color w:val="auto"/>
              </w:rPr>
            </w:pPr>
          </w:p>
        </w:tc>
      </w:tr>
      <w:tr>
        <w:trPr>
          <w:trHeight w:val="230"/>
        </w:trPr>
        <w:tc>
          <w:tcPr>
            <w:tcW w:w="4800" w:type="dxa"/>
            <w:vAlign w:val="bottom"/>
          </w:tcPr>
          <w:p>
            <w:pPr>
              <w:jc w:val="center"/>
              <w:ind w:right="1490"/>
              <w:spacing w:after="0"/>
              <w:rPr>
                <w:sz w:val="20"/>
                <w:szCs w:val="20"/>
                <w:color w:val="auto"/>
              </w:rPr>
            </w:pPr>
            <w:r>
              <w:rPr>
                <w:rFonts w:ascii="Arial" w:cs="Arial" w:eastAsia="Arial" w:hAnsi="Arial"/>
                <w:sz w:val="18"/>
                <w:szCs w:val="18"/>
                <w:color w:val="auto"/>
                <w:w w:val="92"/>
              </w:rPr>
              <w:t>(Do not check if a small reporting company)</w:t>
            </w:r>
          </w:p>
        </w:tc>
        <w:tc>
          <w:tcPr>
            <w:tcW w:w="3680" w:type="dxa"/>
            <w:vAlign w:val="bottom"/>
            <w:vMerge w:val="restart"/>
          </w:tcPr>
          <w:p>
            <w:pPr>
              <w:jc w:val="center"/>
              <w:ind w:left="1490"/>
              <w:spacing w:after="0"/>
              <w:rPr>
                <w:sz w:val="20"/>
                <w:szCs w:val="20"/>
                <w:color w:val="auto"/>
              </w:rPr>
            </w:pPr>
            <w:r>
              <w:rPr>
                <w:rFonts w:ascii="Arial" w:cs="Arial" w:eastAsia="Arial" w:hAnsi="Arial"/>
                <w:sz w:val="18"/>
                <w:szCs w:val="18"/>
                <w:color w:val="auto"/>
                <w:w w:val="92"/>
              </w:rPr>
              <w:t>Emerging growth company 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$0.001 par value per share, outstanding at August 7, 2018 was 15,645,545.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233"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60"/>
          </w:cols>
          <w:pgMar w:left="240" w:top="233" w:right="2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40" w:type="dxa"/>
            <w:vAlign w:val="bottom"/>
            <w:gridSpan w:val="9"/>
            <w:vMerge w:val="restart"/>
          </w:tcPr>
          <w:p>
            <w:pPr>
              <w:jc w:val="center"/>
              <w:ind w:left="30"/>
              <w:spacing w:after="0"/>
              <w:rPr>
                <w:sz w:val="20"/>
                <w:szCs w:val="20"/>
                <w:color w:val="auto"/>
              </w:rPr>
            </w:pPr>
            <w:r>
              <w:rPr>
                <w:rFonts w:ascii="Arial" w:cs="Arial" w:eastAsia="Arial" w:hAnsi="Arial"/>
                <w:sz w:val="18"/>
                <w:szCs w:val="18"/>
                <w:b w:val="1"/>
                <w:bCs w:val="1"/>
                <w:color w:val="auto"/>
              </w:rPr>
              <w:t>PART I - FINANCIAL INFORMATION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40" w:type="dxa"/>
            <w:vAlign w:val="bottom"/>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7000" w:type="dxa"/>
            <w:vAlign w:val="bottom"/>
            <w:gridSpan w:val="13"/>
          </w:tcPr>
          <w:p>
            <w:pPr>
              <w:spacing w:after="0"/>
              <w:rPr>
                <w:sz w:val="20"/>
                <w:szCs w:val="20"/>
                <w:color w:val="auto"/>
              </w:rPr>
            </w:pPr>
            <w:r>
              <w:rPr>
                <w:rFonts w:ascii="Arial" w:cs="Arial" w:eastAsia="Arial" w:hAnsi="Arial"/>
                <w:sz w:val="18"/>
                <w:szCs w:val="18"/>
                <w:color w:val="auto"/>
              </w:rPr>
              <w:t>Unaudited Interim Financial Statements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160" w:type="dxa"/>
            <w:vAlign w:val="bottom"/>
            <w:tcBorders>
              <w:bottom w:val="single" w:sz="8" w:color="0000EE"/>
            </w:tcBorders>
            <w:gridSpan w:val="8"/>
          </w:tcPr>
          <w:p>
            <w:pPr>
              <w:spacing w:after="0" w:line="190"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Balance Sheets as of June 30, 2018 (unaudited) and December 31, 2017</w:t>
              </w:r>
            </w:hyperlink>
          </w:p>
        </w:tc>
        <w:tc>
          <w:tcPr>
            <w:tcW w:w="184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9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Statements of Operations for the three and six months ended June 30, 2018 and 2017 (unaudited)</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Statements of Cash Flows for the six months ended June 30, 2018 and 2017 (unaudited)</w:t>
              </w:r>
            </w:hyperlink>
          </w:p>
        </w:tc>
        <w:tc>
          <w:tcPr>
            <w:tcW w:w="6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Financial Statements (unaudited)</w:t>
              </w:r>
            </w:hyperlink>
          </w:p>
        </w:tc>
        <w:tc>
          <w:tcPr>
            <w:tcW w:w="39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760" w:type="dxa"/>
            <w:vAlign w:val="bottom"/>
            <w:gridSpan w:val="3"/>
          </w:tcPr>
          <w:p>
            <w:pPr>
              <w:spacing w:after="0"/>
              <w:rPr>
                <w:sz w:val="17"/>
                <w:szCs w:val="17"/>
                <w:color w:val="auto"/>
              </w:rPr>
            </w:pPr>
          </w:p>
        </w:tc>
        <w:tc>
          <w:tcPr>
            <w:tcW w:w="7000" w:type="dxa"/>
            <w:vAlign w:val="bottom"/>
            <w:gridSpan w:val="13"/>
          </w:tcPr>
          <w:p>
            <w:pPr>
              <w:spacing w:after="0" w:line="196"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Management’s Discussion and Analysis of Financial Condition and Results of Operations</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760" w:type="dxa"/>
            <w:vAlign w:val="bottom"/>
            <w:gridSpan w:val="3"/>
          </w:tcPr>
          <w:p>
            <w:pPr>
              <w:spacing w:after="0"/>
              <w:rPr>
                <w:sz w:val="17"/>
                <w:szCs w:val="17"/>
                <w:color w:val="auto"/>
              </w:rPr>
            </w:pPr>
          </w:p>
        </w:tc>
        <w:tc>
          <w:tcPr>
            <w:tcW w:w="64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5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760" w:type="dxa"/>
            <w:vAlign w:val="bottom"/>
            <w:gridSpan w:val="3"/>
          </w:tcPr>
          <w:p>
            <w:pPr>
              <w:spacing w:after="0"/>
              <w:rPr>
                <w:sz w:val="17"/>
                <w:szCs w:val="17"/>
                <w:color w:val="auto"/>
              </w:rPr>
            </w:pPr>
          </w:p>
        </w:tc>
        <w:tc>
          <w:tcPr>
            <w:tcW w:w="4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26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60" w:type="dxa"/>
            <w:vAlign w:val="bottom"/>
          </w:tcPr>
          <w:p>
            <w:pPr>
              <w:spacing w:after="0"/>
              <w:rPr>
                <w:sz w:val="17"/>
                <w:szCs w:val="17"/>
                <w:color w:val="auto"/>
              </w:rPr>
            </w:pPr>
          </w:p>
        </w:tc>
        <w:tc>
          <w:tcPr>
            <w:tcW w:w="3980" w:type="dxa"/>
            <w:vAlign w:val="bottom"/>
            <w:gridSpan w:val="8"/>
          </w:tcPr>
          <w:p>
            <w:pPr>
              <w:jc w:val="center"/>
              <w:ind w:right="1140"/>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1.</w:t>
              </w:r>
            </w:hyperlink>
          </w:p>
        </w:tc>
        <w:tc>
          <w:tcPr>
            <w:tcW w:w="760" w:type="dxa"/>
            <w:vAlign w:val="bottom"/>
            <w:gridSpan w:val="3"/>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Legal Proceedings</w:t>
              </w:r>
            </w:hyperlink>
          </w:p>
        </w:tc>
        <w:tc>
          <w:tcPr>
            <w:tcW w:w="1760" w:type="dxa"/>
            <w:vAlign w:val="bottom"/>
            <w:gridSpan w:val="3"/>
          </w:tcPr>
          <w:p>
            <w:pPr>
              <w:spacing w:after="0"/>
              <w:rPr>
                <w:sz w:val="17"/>
                <w:szCs w:val="17"/>
                <w:color w:val="auto"/>
              </w:rPr>
            </w:pPr>
          </w:p>
        </w:tc>
        <w:tc>
          <w:tcPr>
            <w:tcW w:w="2720" w:type="dxa"/>
            <w:vAlign w:val="bottom"/>
            <w:tcBorders>
              <w:top w:val="single" w:sz="8" w:color="0000EE"/>
            </w:tcBorders>
            <w:gridSpan w:val="3"/>
          </w:tcPr>
          <w:p>
            <w:pPr>
              <w:spacing w:after="0"/>
              <w:rPr>
                <w:sz w:val="17"/>
                <w:szCs w:val="17"/>
                <w:color w:val="auto"/>
              </w:rPr>
            </w:pPr>
          </w:p>
        </w:tc>
        <w:tc>
          <w:tcPr>
            <w:tcW w:w="12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7000" w:type="dxa"/>
            <w:vAlign w:val="bottom"/>
            <w:gridSpan w:val="1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17"/>
                <w:szCs w:val="17"/>
                <w:color w:val="auto"/>
              </w:rPr>
            </w:pPr>
          </w:p>
        </w:tc>
        <w:tc>
          <w:tcPr>
            <w:tcW w:w="640" w:type="dxa"/>
            <w:vAlign w:val="bottom"/>
            <w:gridSpan w:val="2"/>
          </w:tcPr>
          <w:p>
            <w:pPr>
              <w:spacing w:after="0"/>
              <w:rPr>
                <w:sz w:val="17"/>
                <w:szCs w:val="17"/>
                <w:color w:val="auto"/>
              </w:rPr>
            </w:pPr>
          </w:p>
        </w:tc>
        <w:tc>
          <w:tcPr>
            <w:tcW w:w="8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61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160" w:type="dxa"/>
            <w:vAlign w:val="bottom"/>
            <w:gridSpan w:val="8"/>
          </w:tcPr>
          <w:p>
            <w:pPr>
              <w:jc w:val="center"/>
              <w:ind w:left="361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8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gridSpan w:val="8"/>
          </w:tcPr>
          <w:p>
            <w:pPr>
              <w:jc w:val="center"/>
              <w:ind w:right="1140"/>
              <w:spacing w:after="0"/>
              <w:rPr>
                <w:sz w:val="20"/>
                <w:szCs w:val="20"/>
                <w:color w:val="auto"/>
              </w:rPr>
            </w:pPr>
            <w:r>
              <w:rPr>
                <w:rFonts w:ascii="Arial" w:cs="Arial" w:eastAsia="Arial" w:hAnsi="Arial"/>
                <w:sz w:val="18"/>
                <w:szCs w:val="18"/>
                <w:b w:val="1"/>
                <w:bCs w:val="1"/>
                <w:color w:val="auto"/>
              </w:rPr>
              <w:t>BIOXCEL THERAPEUTICS, INC.</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gridSpan w:val="7"/>
          </w:tcPr>
          <w:p>
            <w:pPr>
              <w:jc w:val="center"/>
              <w:ind w:right="122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40" w:type="dxa"/>
            <w:vAlign w:val="bottom"/>
            <w:gridSpan w:val="9"/>
          </w:tcPr>
          <w:p>
            <w:pPr>
              <w:jc w:val="center"/>
              <w:ind w:left="30"/>
              <w:spacing w:after="0"/>
              <w:rPr>
                <w:sz w:val="20"/>
                <w:szCs w:val="20"/>
                <w:color w:val="auto"/>
              </w:rPr>
            </w:pPr>
            <w:r>
              <w:rPr>
                <w:rFonts w:ascii="Arial" w:cs="Arial" w:eastAsia="Arial" w:hAnsi="Arial"/>
                <w:sz w:val="18"/>
                <w:szCs w:val="18"/>
                <w:b w:val="1"/>
                <w:bCs w:val="1"/>
                <w:color w:val="auto"/>
                <w:w w:val="88"/>
              </w:rPr>
              <w:t>(amounts in thousands, except shares and per share data)</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3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Due from Parent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17"/>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51,088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offering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auto"/>
              </w:rPr>
              <w:t>Equipment, net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bottom w:val="single" w:sz="8" w:color="CCEEFF"/>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tcPr>
          <w:p>
            <w:pPr>
              <w:ind w:left="1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Payable to Parent for services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tcPr>
          <w:p>
            <w:pPr>
              <w:ind w:left="160"/>
              <w:spacing w:after="0"/>
              <w:rPr>
                <w:sz w:val="20"/>
                <w:szCs w:val="20"/>
                <w:color w:val="auto"/>
              </w:rPr>
            </w:pPr>
            <w:r>
              <w:rPr>
                <w:rFonts w:ascii="Arial" w:cs="Arial" w:eastAsia="Arial" w:hAnsi="Arial"/>
                <w:sz w:val="18"/>
                <w:szCs w:val="18"/>
                <w:color w:val="auto"/>
              </w:rPr>
              <w:t>Note payable to Parent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w w:val="95"/>
              </w:rPr>
              <w:t>Due to Parent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17"/>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97"/>
              </w:rPr>
              <w:t>Total liabilities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2,337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auto"/>
              </w:rPr>
              <w:t>Preferred stock, $0.001 par value, 10,000,000 shares authorized; no shares issued or outstanding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$0.001 par value, 50,000,000 shares authorized; 15,645,545 and 9,907,548 shares issued and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outstanding as of June 30, 2018 and December 31, 2017, respectively</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61,563</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17"/>
          </w:tcPr>
          <w:p>
            <w:pPr>
              <w:spacing w:after="0"/>
              <w:rPr>
                <w:sz w:val="20"/>
                <w:szCs w:val="20"/>
                <w:color w:val="auto"/>
              </w:rPr>
            </w:pPr>
            <w:r>
              <w:rPr>
                <w:rFonts w:ascii="Arial" w:cs="Arial" w:eastAsia="Arial" w:hAnsi="Arial"/>
                <w:sz w:val="18"/>
                <w:szCs w:val="18"/>
                <w:color w:val="auto"/>
              </w:rPr>
              <w:t>Total stockholders’ equity (deficit)</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-5721350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-5721350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shares and per share data)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60"/>
          </w:cols>
          <w:pgMar w:left="240" w:top="337"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4,719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and interest income, net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(7,308)</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w w:val="94"/>
              </w:rPr>
              <w:t>Net loss per share attributable to common stockholders/Parent</w:t>
            </w:r>
          </w:p>
        </w:tc>
        <w:tc>
          <w:tcPr>
            <w:tcW w:w="56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(0.19)</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(0.06)</w:t>
            </w:r>
          </w:p>
        </w:tc>
        <w:tc>
          <w:tcPr>
            <w:tcW w:w="4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(0.54)</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56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15,645,545</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13,507,770</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(7,308)</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2,060</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(5,982)</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equipment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56,512</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Parent Investment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Payable to Parent for services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Due to Parent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Note Payable - Parent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55,564</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49,462</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2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50,349</w:t>
            </w:r>
          </w:p>
        </w:tc>
        <w:tc>
          <w:tcPr>
            <w:tcW w:w="2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08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w w:val="94"/>
              </w:rPr>
              <w:t>Deferred issuance costs reclassified to additional paid-in-capital upon completion of initial public offering.</w:t>
            </w:r>
          </w:p>
        </w:tc>
        <w:tc>
          <w:tcPr>
            <w:tcW w:w="108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461</w:t>
            </w:r>
          </w:p>
        </w:tc>
        <w:tc>
          <w:tcPr>
            <w:tcW w:w="8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20" w:right="2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BioXcel Therapeutics, Inc. (the “Company” or “BTI”) is a clinical stage biopharmaceutical company focused on novel artificial intelligence-based drug development to identify the next wave of medicines across neuroscience and immuno-oncology. The Company’s drug re-innovation approach leverages existing approved drugs and/or clinically validated product candidates together with big data and proprietary machine learning algorithms to identify new therapeutic indices. The Company is a majority-owned subsidiary of BioXcel Corporation (“BioXcel” or “Parent”) and was incorporated under the laws of the State of Delaware on March 29, 2017. The Company’s principal office is in New Haven, Connecticut. Unless otherwise indicated or the context requires otherwise, references in this report to “we,” “our,” “us” and similar expressions refer to BioXcel Therapeutics, Inc.</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unaudited financial information for the three and six months ended June 30, 2018 and 2017 is presented on the same basis as the financial statements included in the Company’s registration statement on Form S-1 relating to its initial public offering of its common shares.</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Company’s primary activities have been the development of a clinical plan and pre-clinical research and development of two advanced programs: BXCL501, a sublingual thin film formulation of dexmedetomidine designed for acute treatment of agitation resulting from neurological and psychiatric disorders, and BXCL701, an immuno-oncology agent designed for treatment of a rare form of prostate cancer and for treatment of pancreatic cancer. These two programs and two emerging programs BXCL502 and BXCL702 (together, “the BTI Business”) have been contributed to the Company from the Parent pursuant to a contribution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March 7, 2018, the Company’s registration statement on Form S-1 relating to its initial public offering of its common shares (the “IPO”) was declared effective by the Securities and Exchange Commission (“SEC”). The IPO closed on March 12, 2018, and the Company issued and sold 5,454,545 common shares at a public offering price of $11.00 per share. Gross proceeds totaled $60,000 and net proceeds totaled $54,102 after deducting underwriting discounts and commissions of $4,200 and other offering expenses of approximately $1,698.</w:t>
      </w:r>
    </w:p>
    <w:p>
      <w:pPr>
        <w:spacing w:after="0" w:line="187"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In connection with and effective upon the completion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24"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par value each.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financial statements of the Company for the period through June 30, 2017 are derived by carving out the historical results of operations and historical cost basis of the assets and liabilities associated with the BTI Business that have been contributed to the Company by BioXcel, from the financial statements of BioXcel.</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These results reflect amounts specifically attributable to the BTI Business under a contribution agreement, effective June 30, 2017, as amended and restated on November 7, 2017, or the Contribution Agreement, for the period from January 1, 2015 until June 30, 2017. The Company has also entered into a separation and shared services agreement with BioXcel that took effect on June 30, 2017, as amended and restated on November 7, 2017, or the Services Agreement, pursuant to which BioXcel provides the Company with certain general and administrative and development support services. However, consistent with accounting regulations, it has been assumed that the Company was a separate business since January 1, 2015, and accordingly the assets, liabilities and expenses relating to the BTI Business have been separated from the Parent in the financial statements for periods prior to and post incorporation through June 30, 2017. The financial statements for the three and six month periods ended June 30, 2017, include reasonable allocations for assets and liabilities and expenses attributable to the BTI Business.</w:t>
      </w:r>
    </w:p>
    <w:p>
      <w:pPr>
        <w:spacing w:after="0" w:line="1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the three and six month periods ended June 30, 2018, the results are on a stand-alone entity basis. All assets and liabilities contributed by BioXcel to the Company have been recorded at historical book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balance sheet information as of December 31, 2017, was derived from the audited financial statements which include the accounts of BioXcel Therapeutics Inc. but does not include all disclosures required by accounting principles generally accepted in the United States (“GAAP”). The unaudited financial information should be read in conjunction with the financial statements and notes included in the Company’s S-1.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accordance with Accounting Standards Update (“ASU”) 2014-15, Disclosure of Uncertainties about an Entity’s Ability to Continue as a Going Concern (Subtopic 205-40), management must evaluate whether there are conditions or events, considered in the aggregate, that raise substantial doubt about the Company’s ability to continue as a going concern within one year after the date that the financial statements are issued.</w:t>
      </w:r>
    </w:p>
    <w:p>
      <w:pPr>
        <w:spacing w:after="0" w:line="16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Management believes that as a result of the proceeds received in connection with its IPO that it has sufficient liquidity to meet its obligations as they come due for at least eighteen months.</w:t>
      </w:r>
    </w:p>
    <w:p>
      <w:pPr>
        <w:sectPr>
          <w:pgSz w:w="11900" w:h="16838" w:orient="portrait"/>
          <w:cols w:equalWidth="0" w:num="1">
            <w:col w:w="11420"/>
          </w:cols>
          <w:pgMar w:left="240" w:top="337"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financial statements are prepared in accordance with GAAP. The preparation of BioXcel’s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 For the six months ended June 30, 2018 and 2017, the most significant estimates include the valuation of the Parent’s common stock, allocation of expenses, assets and liabilities from the Parent. Although these estimates are based on the Company’s knowledge of current events and actions it may undertake in the future, actual results may ultimately materially differ from these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2018, and the results of its operations for the three and six months ended June 30, 2018 and 2017 and its cash flows for the three and six months ended June 30, 2018 and 2017, respectively. The results for the six months ended June 30, 2018 are not necessarily indicative of results to be expected for the year ending December 31, 2018, any other interim periods or any future year or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June 30, 2018, cash equivalents were comprised of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capitalized certain legal, professional accounting and other third-party fees that were directly associated with in-process equity financings as deferred offering costs until the equity financing was consummated. After consummation of an equity financing, these costs were recorded in shareholders’ equity (deficit) as a reduction of proceeds generated as a result of the offering. 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recorded as a reduction to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Equipment consists of computers and related equipment that are stated at cost and depreciated using the straight-line method over estimated useful life of 5 years.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The Company follows the guidance provided by FASB ASC Topic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 of an asset exceeds the fair value of the asset. Assets to be disposed of are reported at the lower of the carrying amount or the fair value less costs to sell.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accounts for stock-based compensation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the measurement and recognition of compensation expense based on estimated fair market 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salary costs of employees have been allocated to the BTI Business in the carve-out process.</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awards to non-employees are re-measured at fair value each financial reporting date until performance is complete.</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w:t>
      </w:r>
    </w:p>
    <w:p>
      <w:pPr>
        <w:sectPr>
          <w:pgSz w:w="11900" w:h="16838" w:orient="portrait"/>
          <w:cols w:equalWidth="0" w:num="1">
            <w:col w:w="11420"/>
          </w:cols>
          <w:pgMar w:left="240" w:top="121" w:right="239" w:bottom="0" w:gutter="0" w:footer="0" w:header="0"/>
        </w:sectPr>
      </w:pPr>
    </w:p>
    <w:bookmarkStart w:id="5" w:name="page6"/>
    <w:bookmarkEnd w:id="5"/>
    <w:p>
      <w:pPr>
        <w:spacing w:after="0" w:line="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adopted FASB ASU 2016-09 as of January 1, 2018 and has elected to account for forfeitures as they occur, by reversing compensation cost when the award is forfeited.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Research and development expenses include wages, benefits, facilities, supplies, external services, clinical study and manufacturing costs and other expenses that are directly related to its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7" w:lineRule="exact"/>
        <w:rPr>
          <w:sz w:val="20"/>
          <w:szCs w:val="20"/>
          <w:color w:val="auto"/>
        </w:rPr>
      </w:pPr>
    </w:p>
    <w:p>
      <w:pPr>
        <w:ind w:left="660" w:right="2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1" w:lineRule="exact"/>
        <w:rPr>
          <w:sz w:val="20"/>
          <w:szCs w:val="20"/>
          <w:color w:val="auto"/>
        </w:rPr>
      </w:pPr>
    </w:p>
    <w:p>
      <w:pPr>
        <w:ind w:left="660" w:right="40" w:hanging="328"/>
        <w:spacing w:after="0" w:line="342"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2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cash, accounts payable and accrued expenses approximate fair value due to the short-term nature of these instruments.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and six months ended June 30, 2018 and 2017. Such securities have not been included in the loss per share calculation since their impact would be anti-dilutive. There were 2,542,644 and 2,446,146 shares of options that were excluded from the calculation of the loss per share for the three and six months ended</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June 30, 2018, respectively. The Company was incorporated on March 29, 2017 and net loss per common share for the three and six months ending June 30, 2017, was calculated as if the shares to the Parent were issued at 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or FASB, issued </w:t>
      </w:r>
      <w:r>
        <w:rPr>
          <w:rFonts w:ascii="Arial" w:cs="Arial" w:eastAsia="Arial" w:hAnsi="Arial"/>
          <w:sz w:val="17"/>
          <w:szCs w:val="17"/>
          <w:i w:val="1"/>
          <w:iCs w:val="1"/>
          <w:color w:val="auto"/>
        </w:rPr>
        <w:t>ASU 2014-09 Revenue from Contracts with Customers.</w:t>
      </w:r>
      <w:r>
        <w:rPr>
          <w:rFonts w:ascii="Arial" w:cs="Arial" w:eastAsia="Arial" w:hAnsi="Arial"/>
          <w:sz w:val="17"/>
          <w:szCs w:val="17"/>
          <w:color w:val="auto"/>
        </w:rPr>
        <w:t xml:space="preserve"> Under this guidance, an entity will recognize revenue when it transfers promised goods or services to customers in an amount that reflects what the entity expects to receive in exchange for the goods or services. This new guidance also requires more detailed disclosures to enable users of the financial statements to understand the nature, amount, timing and uncertainty of revenue and cash flows arising from contracts with customers. The Company adopted this guidance beginning on January 1, 2018. The guidance allows the selection of one of two methods of adoption, either the full retrospective approach, meaning the guidance would be applied to all periods presented, or modified retrospective approach, meaning the cumulative effect of applying the guidance would be recognized as an adjustment to opening accumulated deficit balance. Since the Company has no revenues to date, the Company does not believe the adoption of ASU-214-09 will have a material impact on its financial statements.</w:t>
      </w:r>
    </w:p>
    <w:p>
      <w:pPr>
        <w:spacing w:after="0" w:line="1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2016-02 Lease Accounting Topic 842</w:t>
      </w:r>
      <w:r>
        <w:rPr>
          <w:rFonts w:ascii="Arial" w:cs="Arial" w:eastAsia="Arial" w:hAnsi="Arial"/>
          <w:sz w:val="16"/>
          <w:szCs w:val="16"/>
          <w:color w:val="auto"/>
        </w:rPr>
        <w:t>. This ASU requires the Company to record all leases longer than one year on its balance sheet. Under the new guidance, when the Company records leases on its balance sheet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w:t>
      </w:r>
    </w:p>
    <w:p>
      <w:pPr>
        <w:sectPr>
          <w:pgSz w:w="11900" w:h="16877" w:orient="portrait"/>
          <w:cols w:equalWidth="0" w:num="1">
            <w:col w:w="11420"/>
          </w:cols>
          <w:pgMar w:left="240" w:top="125" w:right="239" w:bottom="0"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7"/>
          <w:szCs w:val="17"/>
          <w:color w:val="auto"/>
        </w:rPr>
        <w:t>type leases on a straight-line basis as an operating expense and it will record expense for finance type leases as interest expense. The new lease standard is effective for annual and interim periods beginning after December 15, 2018, with early adoption permitted. The Company must adopt the new standard on a modified retrospective basis, which requires it to reflect its leases on its balance sheet for the earliest comparative period presented. The Company is currently assessing the timing of adoption as well as the effects it will have on its financial statements and disclosures.</w:t>
      </w:r>
    </w:p>
    <w:p>
      <w:pPr>
        <w:spacing w:after="0" w:line="1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SEC staff issued Staff Accounting Bulletin (“SAB”) 118, which provides guidance on accounting for the tax effects of the U.S. tax reform announced on December 22, 2017 by the U.S. Government commonly referred to as the Tax Cuts and Jobs Act. SAB 118 provides a measurement period that should not extend beyond one year from the U.S. tax reform enactment date for companies to complete the accounting under Accounting Standards Codification (“ASC”) 740. In accordance with SAB 118, a company must reflect the income tax effects of those aspects of the U.S. tax reform for which the accounting under ASC 740 is complete. Specifically, the Company revalued its U.S. deferred tax assets and liabilities due to the federal income tax rate reduction from 35 percent to 21 percent. Since the Company has provided a full valuation allowance against its deferred tax assets, the revaluation of the deferred tax assets did not have a material impact on any period presented.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In June 2018 the FASB issued </w:t>
      </w:r>
      <w:r>
        <w:rPr>
          <w:rFonts w:ascii="Arial" w:cs="Arial" w:eastAsia="Arial" w:hAnsi="Arial"/>
          <w:sz w:val="17"/>
          <w:szCs w:val="17"/>
          <w:i w:val="1"/>
          <w:iCs w:val="1"/>
          <w:color w:val="auto"/>
        </w:rPr>
        <w:t>ASU 2018-07 Compensation — Stock Compensation Topic 718</w:t>
      </w:r>
      <w:r>
        <w:rPr>
          <w:rFonts w:ascii="Arial" w:cs="Arial" w:eastAsia="Arial" w:hAnsi="Arial"/>
          <w:sz w:val="17"/>
          <w:szCs w:val="17"/>
          <w:color w:val="auto"/>
        </w:rPr>
        <w:t>. This ASU was issued as part of the FASB’s simplification initiative. The amendments in this Update expand the scope of Topic 718 to include sharebased payment transactions for acquiring goods and services 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Company is currently assessing the timing of adoption as well as the effects it will have on its financial statements and disclosures.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has entered into an asset contribution agreement, effective June 30, 2017, with BioXcel, as amended and restated on November 7, 2017, or the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 (iii) $500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PoC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 million was charged to Research and Development costs and included in accounts payable in connection with (ii) above and was paid on April 5, 2018.</w:t>
      </w:r>
    </w:p>
    <w:p>
      <w:pPr>
        <w:spacing w:after="0" w:line="16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or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12-month anniversary of the date of the Services Agreement. The office space and equipment portion of the Services Agreement ended effectively on April 30, 2018 when the Company moved to new office space to accommodate additional personnel that was hired during the three months ended June 30, 2018.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6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or before December 31, 2019, we shall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18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connection with the Services Agreement, BioXcel had agreed to provide the Company a line of credit, which was capped at $1,000, or the Total Funding Amount, pursuant to the terms of a grid note, or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hereof, in each case calculated based on a 365-day year and actual days elapsed. As of December 31, 2017, the Company had drawn down $371 under the Grid Note.</w:t>
      </w:r>
    </w:p>
    <w:p>
      <w:pPr>
        <w:spacing w:after="0" w:line="1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w:t>
      </w:r>
    </w:p>
    <w:p>
      <w:pPr>
        <w:sectPr>
          <w:pgSz w:w="11900" w:h="16838" w:orient="portrait"/>
          <w:cols w:equalWidth="0" w:num="1">
            <w:col w:w="11420"/>
          </w:cols>
          <w:pgMar w:left="240" w:top="125"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7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is required to pay to BioXcel the amount of $5,000 within 60 days after the achievement of $50,000 in cumulative net sales of any product or combination of products resulting from the development and commercialization of any one of the candidates BXCL501, BXCL701, BXCL502, and BXCL702 or a product derived therefrom.</w:t>
      </w:r>
    </w:p>
    <w:p>
      <w:pPr>
        <w:spacing w:after="0" w:line="18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Company is also required to pay to BioXcel the amount of $2,000 in connection with the IPO, (x) the first $1,000 was charged to Research and Development expenses during the three months ended March 31, 2018 and paid to BioXcel on April 5, 2018 and (y) the second $1,000, (i) $500 of which is payable upon the later of the 12 month anniversary of an offering and the first dosing of a patient in the bridging bioavailability/bioequivalence study for the BXCL501 program and (ii) $500 of which is payable upon the later of the 12 month anniversary of an offering and the first dosing of a patient in the Phase 2 PoC open label monotherapy or combination trial with Keytruda for the BXCL701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142"/>
        </w:trPr>
        <w:tc>
          <w:tcPr>
            <w:tcW w:w="55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6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(Unaudited)</w:t>
            </w: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benefits and travel related costs</w:t>
            </w:r>
          </w:p>
        </w:tc>
        <w:tc>
          <w:tcPr>
            <w:tcW w:w="3400" w:type="dxa"/>
            <w:vAlign w:val="bottom"/>
            <w:gridSpan w:val="2"/>
            <w:shd w:val="clear" w:color="auto" w:fill="CCEEFF"/>
          </w:tcPr>
          <w:p>
            <w:pPr>
              <w:jc w:val="right"/>
              <w:ind w:right="120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Professional and consultant fees</w:t>
            </w: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Legal expenses</w:t>
            </w:r>
          </w:p>
        </w:tc>
        <w:tc>
          <w:tcPr>
            <w:tcW w:w="2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Drugs and clinical trial expenses</w:t>
            </w: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r>
      <w:tr>
        <w:trPr>
          <w:trHeight w:val="210"/>
        </w:trPr>
        <w:tc>
          <w:tcPr>
            <w:tcW w:w="558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12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15,645,545 shares of common stock outstanding as of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On March 7, 2018, the Company’s registration statement on Form S-1 relating to the Company’s IPO was declared effective by the SEC. The IPO closed on March 12, 2018, and the Company issued and sold 5,454,545 shares of common stock at a public offering price of $11.00 per share, for gross proceeds of $60,000 and net proceeds of $54,102 after deducting underwriting discounts and commissions of $4,200 and other offering expenses of $1,698.</w:t>
      </w:r>
    </w:p>
    <w:p>
      <w:pPr>
        <w:spacing w:after="0" w:line="14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October 2017, the Company sold 271,839 shares of common stock with an issuance price of $4.82 per share with gross and net proceeds of $1,311.</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2017, the Company sold 155,709 shares of common stock with an issuance price of $4.82 per share with gross and net proceeds of $751.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24"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As of June 30, 2018 there were 3,462,570 shares of the Company’s common stock authorized for issuance under the 2017 Stock Plan. Options granted under the 2017 Stock Plan have a term of ten years with vesting term determined by the board of directors, which is generally four years.</w:t>
      </w:r>
    </w:p>
    <w:p>
      <w:pPr>
        <w:spacing w:after="0" w:line="14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fair value of options granted during the six months ended June 30, 2018 was estimated using the Black-Scholes option-pricing model with the following assumptions.</w:t>
      </w:r>
    </w:p>
    <w:p>
      <w:pPr>
        <w:sectPr>
          <w:pgSz w:w="11900" w:h="16838" w:orient="portrait"/>
          <w:cols w:equalWidth="0" w:num="1">
            <w:col w:w="11420"/>
          </w:cols>
          <w:pgMar w:left="240" w:top="104" w:right="239" w:bottom="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80" w:type="dxa"/>
            <w:vAlign w:val="bottom"/>
            <w:gridSpan w:val="4"/>
          </w:tcPr>
          <w:p>
            <w:pPr>
              <w:ind w:left="8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8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center"/>
              <w:ind w:left="53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9"/>
              </w:rPr>
              <w:t>$0.41 - $11.00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gridSpan w:val="2"/>
          </w:tcPr>
          <w:p>
            <w:pPr>
              <w:jc w:val="center"/>
              <w:ind w:left="394"/>
              <w:spacing w:after="0"/>
              <w:rPr>
                <w:sz w:val="20"/>
                <w:szCs w:val="20"/>
                <w:color w:val="auto"/>
              </w:rPr>
            </w:pPr>
            <w:r>
              <w:rPr>
                <w:rFonts w:ascii="Arial" w:cs="Arial" w:eastAsia="Arial" w:hAnsi="Arial"/>
                <w:sz w:val="18"/>
                <w:szCs w:val="18"/>
                <w:color w:val="auto"/>
                <w:w w:val="91"/>
              </w:rPr>
              <w:t>77.12% - 78.02%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1"/>
              </w:rPr>
              <w:t>2.68% - 2.90%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center"/>
              <w:ind w:left="534"/>
              <w:spacing w:after="0"/>
              <w:rPr>
                <w:sz w:val="20"/>
                <w:szCs w:val="20"/>
                <w:color w:val="auto"/>
              </w:rPr>
            </w:pPr>
            <w:r>
              <w:rPr>
                <w:rFonts w:ascii="Arial" w:cs="Arial" w:eastAsia="Arial" w:hAnsi="Arial"/>
                <w:sz w:val="18"/>
                <w:szCs w:val="18"/>
                <w:color w:val="auto"/>
                <w:w w:val="89"/>
              </w:rPr>
              <w:t>$5.40 - $10.82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0"/>
              </w:rPr>
              <w:t>4.7 - 7.0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Non-Employees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00" w:type="dxa"/>
            <w:vAlign w:val="bottom"/>
            <w:gridSpan w:val="5"/>
          </w:tcPr>
          <w:p>
            <w:pPr>
              <w:jc w:val="center"/>
              <w:ind w:right="23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620" w:type="dxa"/>
            <w:vAlign w:val="bottom"/>
            <w:gridSpan w:val="6"/>
          </w:tcPr>
          <w:p>
            <w:pPr>
              <w:jc w:val="center"/>
              <w:ind w:right="126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380" w:type="dxa"/>
            <w:vAlign w:val="bottom"/>
            <w:tcBorders>
              <w:top w:val="single" w:sz="8" w:color="auto"/>
              <w:bottom w:val="single" w:sz="8" w:color="auto"/>
            </w:tcBorders>
            <w:gridSpan w:val="3"/>
          </w:tcPr>
          <w:p>
            <w:pPr>
              <w:jc w:val="right"/>
              <w:ind w:right="147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3380" w:type="dxa"/>
            <w:vAlign w:val="bottom"/>
            <w:gridSpan w:val="3"/>
            <w:shd w:val="clear" w:color="auto" w:fill="CCEEFF"/>
          </w:tcPr>
          <w:p>
            <w:pPr>
              <w:jc w:val="right"/>
              <w:ind w:right="1094"/>
              <w:spacing w:after="0"/>
              <w:rPr>
                <w:sz w:val="20"/>
                <w:szCs w:val="20"/>
                <w:color w:val="auto"/>
              </w:rPr>
            </w:pPr>
            <w:r>
              <w:rPr>
                <w:rFonts w:ascii="Arial" w:cs="Arial" w:eastAsia="Arial" w:hAnsi="Arial"/>
                <w:sz w:val="18"/>
                <w:szCs w:val="18"/>
                <w:color w:val="auto"/>
              </w:rPr>
              <w:t>$0.41 - $11.00</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76.30%</w:t>
            </w:r>
          </w:p>
        </w:tc>
        <w:tc>
          <w:tcPr>
            <w:tcW w:w="1740" w:type="dxa"/>
            <w:vAlign w:val="bottom"/>
          </w:tcPr>
          <w:p>
            <w:pPr>
              <w:ind w:left="20"/>
              <w:spacing w:after="0"/>
              <w:rPr>
                <w:sz w:val="20"/>
                <w:szCs w:val="20"/>
                <w:color w:val="auto"/>
              </w:rPr>
            </w:pPr>
            <w:r>
              <w:rPr>
                <w:rFonts w:ascii="Arial" w:cs="Arial" w:eastAsia="Arial" w:hAnsi="Arial"/>
                <w:sz w:val="18"/>
                <w:szCs w:val="18"/>
                <w:color w:val="auto"/>
              </w:rPr>
              <w:t>- 76.62%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- 2.85%</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740" w:type="dxa"/>
            <w:vAlign w:val="bottom"/>
          </w:tcPr>
          <w:p>
            <w:pPr>
              <w:ind w:left="20"/>
              <w:spacing w:after="0"/>
              <w:rPr>
                <w:sz w:val="20"/>
                <w:szCs w:val="20"/>
                <w:color w:val="auto"/>
              </w:rPr>
            </w:pPr>
            <w:r>
              <w:rPr>
                <w:rFonts w:ascii="Arial" w:cs="Arial" w:eastAsia="Arial" w:hAnsi="Arial"/>
                <w:sz w:val="18"/>
                <w:szCs w:val="18"/>
                <w:color w:val="auto"/>
              </w:rPr>
              <w:t>- $8.96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- 9.7</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Since the Company recently completed its IPO, it does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during the period the Plan was in effect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Weighted Average Exercise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9"/>
              </w:rPr>
              <w:t>Number of Shares</w:t>
            </w:r>
          </w:p>
        </w:tc>
        <w:tc>
          <w:tcPr>
            <w:tcW w:w="1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Total Intrinsic Value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Price per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 (in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1,813,524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13,894,762</w:t>
            </w:r>
          </w:p>
        </w:tc>
        <w:tc>
          <w:tcPr>
            <w:tcW w:w="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Employee options granted</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143,148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1,956,672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17,395,705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color w:val="auto"/>
              </w:rPr>
              <w:t>Employee options granted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16,100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reclassified from Non-employee</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1,093,696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as of June 30, 2018</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2,210,850</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16,619,436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Options vested and exercisable as of June 30,</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2500" w:type="dxa"/>
            <w:vAlign w:val="bottom"/>
          </w:tcPr>
          <w:p>
            <w:pPr>
              <w:spacing w:after="0"/>
              <w:rPr>
                <w:sz w:val="20"/>
                <w:szCs w:val="20"/>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1,370,283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0.41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12,038,174</w:t>
            </w:r>
          </w:p>
        </w:tc>
        <w:tc>
          <w:tcPr>
            <w:tcW w:w="2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155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Non-employee Options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Weighted Average Exercise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Total Intrinsic Value</w:t>
            </w: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Price per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496,515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3,922,238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color w:val="auto"/>
              </w:rPr>
              <w:t>Non-employee options granted</w:t>
            </w:r>
          </w:p>
        </w:tc>
        <w:tc>
          <w:tcPr>
            <w:tcW w:w="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68,256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Non-employee options forfeited</w:t>
            </w:r>
          </w:p>
        </w:tc>
        <w:tc>
          <w:tcPr>
            <w:tcW w:w="1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as of March 31, 2018</w:t>
            </w:r>
          </w:p>
        </w:tc>
        <w:tc>
          <w:tcPr>
            <w:tcW w:w="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558,609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4,820,170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Non-employee options forfeited</w:t>
            </w:r>
          </w:p>
        </w:tc>
        <w:tc>
          <w:tcPr>
            <w:tcW w:w="20" w:type="dxa"/>
            <w:vAlign w:val="bottom"/>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(154,178)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as of June 30, 2018</w:t>
            </w:r>
          </w:p>
        </w:tc>
        <w:tc>
          <w:tcPr>
            <w:tcW w:w="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404,431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3,216,507</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Options vested and exercisable as of June 30,</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2500" w:type="dxa"/>
            <w:vAlign w:val="bottom"/>
          </w:tcPr>
          <w:p>
            <w:pPr>
              <w:spacing w:after="0"/>
              <w:rPr>
                <w:sz w:val="20"/>
                <w:szCs w:val="20"/>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43,717</w:t>
            </w:r>
          </w:p>
        </w:tc>
        <w:tc>
          <w:tcPr>
            <w:tcW w:w="140" w:type="dxa"/>
            <w:vAlign w:val="bottom"/>
          </w:tcPr>
          <w:p>
            <w:pPr>
              <w:spacing w:after="0"/>
              <w:rPr>
                <w:sz w:val="20"/>
                <w:szCs w:val="20"/>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0"/>
                <w:szCs w:val="20"/>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372,898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-2522855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-2522855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17" w:gutter="0" w:footer="0" w:header="0"/>
        </w:sectPr>
      </w:pPr>
    </w:p>
    <w:bookmarkStart w:id="9" w:name="page10"/>
    <w:bookmarkEnd w:id="9"/>
    <w:p>
      <w:pPr>
        <w:ind w:right="480" w:firstLine="324"/>
        <w:spacing w:after="0" w:line="277" w:lineRule="auto"/>
        <w:rPr>
          <w:sz w:val="20"/>
          <w:szCs w:val="20"/>
          <w:color w:val="auto"/>
        </w:rPr>
      </w:pPr>
      <w:r>
        <w:rPr>
          <w:rFonts w:ascii="Arial" w:cs="Arial" w:eastAsia="Arial" w:hAnsi="Arial"/>
          <w:sz w:val="18"/>
          <w:szCs w:val="18"/>
          <w:color w:val="auto"/>
        </w:rPr>
        <w:t>The Company granted 311,404 options to purchase shares of common stock during the six months ended June 30, 2018. No options were exercised during the six months ended June 30, 2018. There were 847,289 shares available for grant as of June 30, 2018.</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Company recognized stock-based compensation expense of $666 and $1,861 for the three and six months ended June 30, 2018. There was no corresponding charge for the six months ending June 30, 2017 as the plan did not exist.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grant-date fair value of options was $3,286 and $572 for employees and non-employees, respectively, for the six months ended June 30, 2018.</w:t>
      </w:r>
    </w:p>
    <w:p>
      <w:pPr>
        <w:spacing w:after="0" w:line="24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Unrecognized compensation expense related to unvested awards as of June 30, 2018 was $3,176 for non-employees and $1,804 for employees and will be recognized over the remaining vesting periods of the underlying awards. The weighted-average period over which such compensation is expected to be recognized is 1.5 years for non-employees and 1.8 years for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BioXcel Charges</w:t>
      </w:r>
    </w:p>
    <w:p>
      <w:pPr>
        <w:spacing w:after="0" w:line="225" w:lineRule="exact"/>
        <w:rPr>
          <w:sz w:val="20"/>
          <w:szCs w:val="20"/>
          <w:color w:val="auto"/>
        </w:rPr>
      </w:pPr>
    </w:p>
    <w:p>
      <w:pPr>
        <w:ind w:firstLine="359"/>
        <w:spacing w:after="0" w:line="255" w:lineRule="auto"/>
        <w:rPr>
          <w:sz w:val="20"/>
          <w:szCs w:val="20"/>
          <w:color w:val="auto"/>
        </w:rPr>
      </w:pPr>
      <w:r>
        <w:rPr>
          <w:rFonts w:ascii="Arial" w:cs="Arial" w:eastAsia="Arial" w:hAnsi="Arial"/>
          <w:sz w:val="18"/>
          <w:szCs w:val="18"/>
          <w:color w:val="auto"/>
        </w:rPr>
        <w:t>BioXcel has granted stock options to its employees under its own Equity Incentive Plan (“BioXcel Plan”). Stock-based compensation expense from the BioXcel Plan is allocated to the Company over the period over which those stock option awards vest and are based the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93" w:lineRule="exact"/>
        <w:rPr>
          <w:sz w:val="20"/>
          <w:szCs w:val="20"/>
          <w:color w:val="auto"/>
        </w:rPr>
      </w:pPr>
    </w:p>
    <w:p>
      <w:pPr>
        <w:ind w:right="220" w:firstLine="359"/>
        <w:spacing w:after="0" w:line="264" w:lineRule="auto"/>
        <w:rPr>
          <w:sz w:val="20"/>
          <w:szCs w:val="20"/>
          <w:color w:val="auto"/>
        </w:rPr>
      </w:pPr>
      <w:r>
        <w:rPr>
          <w:rFonts w:ascii="Arial" w:cs="Arial" w:eastAsia="Arial" w:hAnsi="Arial"/>
          <w:sz w:val="18"/>
          <w:szCs w:val="18"/>
          <w:color w:val="auto"/>
        </w:rPr>
        <w:t>Share based compensation expense recognized by the Company in its statements of operations related to BioXcel equity awards totaled approximately $76 and $93 for the three months ended June 30, 2018 and 2017, respectively and $199 and $200 for the six months ended June 30, 2018 and 2017, respectively.</w:t>
      </w:r>
    </w:p>
    <w:p>
      <w:pPr>
        <w:spacing w:after="0" w:line="181" w:lineRule="exact"/>
        <w:rPr>
          <w:sz w:val="20"/>
          <w:szCs w:val="20"/>
          <w:color w:val="auto"/>
        </w:rPr>
      </w:pPr>
    </w:p>
    <w:p>
      <w:pPr>
        <w:ind w:right="120" w:firstLine="359"/>
        <w:spacing w:after="0" w:line="277" w:lineRule="auto"/>
        <w:rPr>
          <w:sz w:val="20"/>
          <w:szCs w:val="20"/>
          <w:color w:val="auto"/>
        </w:rPr>
      </w:pPr>
      <w:r>
        <w:rPr>
          <w:rFonts w:ascii="Arial" w:cs="Arial" w:eastAsia="Arial" w:hAnsi="Arial"/>
          <w:sz w:val="18"/>
          <w:szCs w:val="18"/>
          <w:color w:val="auto"/>
        </w:rPr>
        <w:t>Total share based compensation charges were approximately $742 and $93 for the three months ended June 30, 2018 and 2017, respectively and $2,060 and $200 for the six months ended June 30,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8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As a result of the Company’s cumulative losses, management has concluded that a full valuation allowance against the Company’s net deferred tax assets is appropriate. No income tax liabilities existed as of June 30, 2018 and December 31, 2017 due to the Company’s continuing operating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ind w:right="60" w:firstLine="324"/>
        <w:spacing w:after="0" w:line="216" w:lineRule="auto"/>
        <w:rPr>
          <w:sz w:val="20"/>
          <w:szCs w:val="20"/>
          <w:color w:val="auto"/>
        </w:rPr>
      </w:pPr>
      <w:r>
        <w:rPr>
          <w:rFonts w:ascii="Arial" w:cs="Arial" w:eastAsia="Arial" w:hAnsi="Arial"/>
          <w:sz w:val="18"/>
          <w:szCs w:val="18"/>
          <w:color w:val="auto"/>
        </w:rPr>
        <w:t>The Company entered into a “Swing Space” agreement on June 21, 2018 (the “Commencement Date”) to lease approximately 5,300 square feet of office space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Lease”) and is currently negotiating an agreement to lease approximately 11,000 square feet of space (the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Lease”) of the building located at 555 Long Wharf Drive, New Haven, Connecticut.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34" w:lineRule="auto"/>
        <w:rPr>
          <w:sz w:val="20"/>
          <w:szCs w:val="20"/>
          <w:color w:val="auto"/>
        </w:rPr>
      </w:pPr>
      <w:r>
        <w:rPr>
          <w:rFonts w:ascii="Arial" w:cs="Arial" w:eastAsia="Arial" w:hAnsi="Arial"/>
          <w:sz w:val="18"/>
          <w:szCs w:val="18"/>
          <w:color w:val="auto"/>
        </w:rPr>
        <w:t>The term of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Lease is through the earlier of the date the Company conducts business in the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space, (the “expiration date”) or April 30, 2019 (“termination date”). No base rent is payable during this period, however, the Company is obligated to pay electricity in the amount of $1 per month.</w:t>
      </w:r>
    </w:p>
    <w:p>
      <w:pPr>
        <w:spacing w:after="0" w:line="203" w:lineRule="exact"/>
        <w:rPr>
          <w:sz w:val="20"/>
          <w:szCs w:val="20"/>
          <w:color w:val="auto"/>
        </w:rPr>
      </w:pPr>
    </w:p>
    <w:p>
      <w:pPr>
        <w:ind w:right="540" w:firstLine="324"/>
        <w:spacing w:after="0" w:line="227" w:lineRule="auto"/>
        <w:rPr>
          <w:sz w:val="20"/>
          <w:szCs w:val="20"/>
          <w:color w:val="auto"/>
        </w:rPr>
      </w:pPr>
      <w:r>
        <w:rPr>
          <w:rFonts w:ascii="Arial" w:cs="Arial" w:eastAsia="Arial" w:hAnsi="Arial"/>
          <w:sz w:val="18"/>
          <w:szCs w:val="18"/>
          <w:color w:val="auto"/>
        </w:rPr>
        <w:t>Should the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lease not be executed within sixty days of the commencement date, a base rent of $8 per month will be charged following the expiration date.</w:t>
      </w:r>
    </w:p>
    <w:p>
      <w:pPr>
        <w:spacing w:after="0" w:line="202" w:lineRule="exact"/>
        <w:rPr>
          <w:sz w:val="20"/>
          <w:szCs w:val="20"/>
          <w:color w:val="auto"/>
        </w:rPr>
      </w:pPr>
    </w:p>
    <w:p>
      <w:pPr>
        <w:ind w:right="100" w:firstLine="324"/>
        <w:spacing w:after="0" w:line="227" w:lineRule="auto"/>
        <w:rPr>
          <w:sz w:val="20"/>
          <w:szCs w:val="20"/>
          <w:color w:val="auto"/>
        </w:rPr>
      </w:pPr>
      <w:r>
        <w:rPr>
          <w:rFonts w:ascii="Arial" w:cs="Arial" w:eastAsia="Arial" w:hAnsi="Arial"/>
          <w:sz w:val="18"/>
          <w:szCs w:val="18"/>
          <w:color w:val="auto"/>
        </w:rPr>
        <w:t>Should the Company remain in possession of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lease beyond the termination date, occupancy will be on a month to month basis in the amount of $12 per month.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Quarterly Report on Form 10-Q, or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93"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initiate clinical trials for BXCL501, BXCL701 and our other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ectPr>
          <w:pgSz w:w="11900" w:h="16838" w:orient="portrait"/>
          <w:cols w:equalWidth="0" w:num="1">
            <w:col w:w="11420"/>
          </w:cols>
          <w:pgMar w:left="240" w:top="125" w:right="239" w:bottom="0" w:gutter="0" w:footer="0" w:header="0"/>
        </w:sectPr>
      </w:pPr>
    </w:p>
    <w:bookmarkStart w:id="10" w:name="page11"/>
    <w:bookmarkEnd w:id="10"/>
    <w:p>
      <w:pPr>
        <w:spacing w:after="0" w:line="6"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relationship with BioXcel.</w:t>
      </w:r>
    </w:p>
    <w:p>
      <w:pPr>
        <w:spacing w:after="0" w:line="225"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elsewhere in this Quarterly Report and our final prospectus for our initial public offering filed pursuant to Rule 424(b)(4) under the Securities Act of 1933, as amended, or the Securities Act, with the Securities and Exchange Commission, or the SEC, on March 9, 2018.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clinical stage biopharmaceutical company focused on drug development that utilizes novel artificial intelligence, or AI,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substantial unmet medical need. Our two most advanced clinical development programs are BXCL501, a sublingual thin film formulation of the adrenergic receptor agonist dexmedetomidine, or Dex, for acute treatment of agitation resulting from neurological and psychiatric disorders, and BXCL701, an immuno-oncology agent for treatment of a rare form of prostate cancer and pancreatic cancer.</w:t>
      </w:r>
    </w:p>
    <w:p>
      <w:pPr>
        <w:spacing w:after="0" w:line="18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initiated a Phase 1b pharmacokinetic/pharmacodynamic, or PK/PD, safety study using the IV formulation of Dex in healthy elderly subjects in December 2017. In June 2018, the Company announced positive results from the first part of this trial supporting potential dosing strengths for sublingual thin film for BXCL501, as well as the initiation of Phase 1b PK/PD safety study using the IV formulation of Dex in mild probable Alzheimer’s Disease, or AD, patients.</w:t>
      </w:r>
    </w:p>
    <w:p>
      <w:pPr>
        <w:spacing w:after="0" w:line="18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plan to initiate a Phase 1b PK/PD safety study using the IV formulation of Dex in schizophrenia patients in the second half of 2018. We expect to report data from both AD and schizophrenia studies during the second half of 2018. We also intend to commence a Phase 2b proof of concept, or PoC, open label clinical trials in 2018 for both studies. We expect that a data readout from the planned Phase 2 PoC open label clinical trials for the BXCL501 program will be available by the end of 2018. We intend to initiate a bioavailability, or BA, study for the sublingual thin film formulation in the second half of 2018 which will commence with completion of Good Manufacturing Practices, or GMP, manufacturing and Investigational New Drug, or IND, approval. If successful, this could potentially lead to the start of a registration trial for BXCL501 in 2019.</w:t>
      </w:r>
    </w:p>
    <w:p>
      <w:pPr>
        <w:spacing w:after="0" w:line="17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We also intend to commence single and combination agent Phase 2b PoC open label clinical trials in the treatment emergent neuroendocrine prostate cancer (tNEPC) and pancreatic cancer for our BXCL701 program in the second half of 2018. These trials will commence upon completion of GMP manufacturing and IND approval. Preliminary data from the planned Phase 2b PoC clinical trials for our BXCL701 program will be available throughout 2019.</w:t>
      </w:r>
    </w:p>
    <w:p>
      <w:pPr>
        <w:sectPr>
          <w:pgSz w:w="11900" w:h="16845" w:orient="portrait"/>
          <w:cols w:equalWidth="0" w:num="1">
            <w:col w:w="11400"/>
          </w:cols>
          <w:pgMar w:left="240" w:top="125" w:right="259" w:bottom="0" w:gutter="0" w:footer="0" w:header="0"/>
        </w:sectPr>
      </w:pPr>
    </w:p>
    <w:bookmarkStart w:id="11" w:name="page12"/>
    <w:bookmarkEnd w:id="11"/>
    <w:p>
      <w:pPr>
        <w:ind w:firstLine="324"/>
        <w:spacing w:after="0" w:line="271" w:lineRule="auto"/>
        <w:rPr>
          <w:sz w:val="20"/>
          <w:szCs w:val="20"/>
          <w:color w:val="auto"/>
        </w:rPr>
      </w:pPr>
      <w:r>
        <w:rPr>
          <w:rFonts w:ascii="Arial" w:cs="Arial" w:eastAsia="Arial" w:hAnsi="Arial"/>
          <w:sz w:val="17"/>
          <w:szCs w:val="17"/>
          <w:color w:val="auto"/>
        </w:rPr>
        <w:t>We were formed to develop first-in-class, high value therapeutics by leveraging EvolverAI, a research and development engine created and owned by our parent, BioXcel Corporation, or BioXcel. We believe the combination of our therapeutic area expertise, our ability to generate product candidates through our exclusive collaborative relationship with BioXcel in the areas of neuroscience and immuno-oncology gives us a significant competitive advantage. EvolverAI was developed over the last decade and integrates millions of fragmented data points using artificial intelligence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1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Since our inception in March 2017, we have devoted substantially all of our resources to organizing and staffing our company, business planning, raising capital, acquiring and developing product candidates and related intellectual property rights, planning for commercialization, and conducting research and development activities for our product candidates. We do not have any products approved for sale and have not generated any revenue from product sales. Prior to our IPO in March 2018, we funded our operations primarily through the sales of approximately $4.0 million of common shares through private placement and loans from our Parent.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March 7, 2018, our registration statement on Form S-1 relating to our IPO was declared effective by the SEC. The IPO closed on March 12, 2018 and we issued and sold 5,454,545 shares of common stock at a public offering price of $11.00 per share. Gross proceeds totaled $60.0 million and net proceeds were $54.1 million after deducting underwriting discounts and commissions of $4.2 million and other offering expenses of approximately $1.7 million. All offering costs directly associated with the offering were recorded in stockholders’ equity as a reduction of the gross proceeds. The other offering expenses included legal, accounting, printing and filing fees.</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To date, we have not generated any revenue, we have incurred net losses and all of our operations have been financed by loans and advances from BioXcel and sales of our common stock. Our net losses were approximately $7.3 million and $1.1 million for the six months ended June 30, 2018 and 2017, respectively.</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net losses have resulted from costs incurred in developing the drugs in our pipeline, planning, preparing and conducting clinical trials and general and administrative activities associated with our operations. We expect to continue to incur significant expenses and corresponding increased operating losses for the foreseeable future as we continue to develop our pipeline. Our costs may further increase as we conduct clinical trials and seek regulatory approval for and prepare to commercialize our candidates. We expect to incur significant expenses to continue to build the infrastructure necessary to support our expanded operations, clinical trials, commercialization, including manufacturing, marketing, sales and distribution functions.</w:t>
      </w:r>
    </w:p>
    <w:p>
      <w:pPr>
        <w:spacing w:after="0" w:line="1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will not generate revenue from product sales unless and until we successfully complete clinical development and obtain regulatory approval for our product candidates. We expect to continue to incur significant expenses for at least the next several years as we advance our product candidates from discovery through preclinical development and clinical trials and seek regulatory approval and pursue commercialization of any approved product candidate. In addition, if we obtain marketing approval for any of our product candidates, we expect to incur significant commercialization expenses related to product manufacturing, marketing, sales and distribution. In addition, we may incur expenses in connection with the in-license or acquisition of additional product candidates. We also expect to incur additional costs associated with operating as a public company, including significant legal, accounting, investor relations and other expenses that we did not incur as a private company.</w:t>
      </w:r>
    </w:p>
    <w:p>
      <w:pPr>
        <w:spacing w:after="0" w:line="17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 of June 30, 2018, we had cash of approximately $50.3 million, which we believe will enable us to fund our operating expenses and capital expenditure requirements for at least eighteen months from the date of this Quarterly Report on Form 10-Q. We have based these estimates on assumptions that may prove to be wrong, and we could exhaust our available capital resources sooner than we expect.</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were incorporated on March 29, 2017, as a wholly-owned subsidiary of BioXcel. Prior to our March 2018 IPO our activities were funded by BioXcel and a series of private placements of shares of our common stock which include the following:</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January and February 2018, we issued 283,452 shares of common stock with an issuance price of $6.88 per share for gross and net proceeds of $1,950.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October 2017 we sold 271,839 shares of common stock with an issuance price of $4.82 per share with gross and net proceeds of $1,311.</w:t>
      </w: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On September 29, 2017, we sold 155,709 shares of common stock with an issuance price of $4.82 per share with gross and net proceeds of $751.</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341" w:right="279" w:bottom="0" w:gutter="0" w:footer="0" w:header="0"/>
        </w:sectPr>
      </w:pPr>
    </w:p>
    <w:bookmarkStart w:id="12" w:name="page13"/>
    <w:bookmarkEnd w:id="12"/>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BioXcel</w:t>
      </w:r>
    </w:p>
    <w:p>
      <w:pPr>
        <w:spacing w:after="0" w:line="229"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color w:val="auto"/>
        </w:rPr>
        <w:t>We entered into an asset contribution agreement, effective June 30, 2017, with BioXcel, as amended and restated on November 7, 2017, or the Contribution Agreement, pursuant to which BioXcel agreed to contribute to us, and we agreed to acquire from BioXcel, all of BioXcel’s rights, title and interest in and to BXCL501, BXCL701, BXCL502 and BXCL702, collectively, the Candidates, and all of the assets and liabilities associated with the Candidates, in consideration for (i) 9,480,000 shares of our common stock, (ii) $1.0 million upon completion of our IPO, (iii) $500.0 upon the later of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12 month anniversary of our IPO and the first dosing of a patient in the bridging bioavailability/bioequivalence study for the BXCL501 program, (iv) $500.0 upon the later of the 12 month anniversary of our IPO and the first dosing of a patient in the Phase 2 PoC open label monotherapy or combination trial with Keytruda for the BXCL701 program and (v) a one-time payment of $5.0 million within 60 days after the achievement of $50.0 million in cumulative net sales of any product or combination of products resulting from the development and commercialization of any one of the Candidates or a product derived therefrom. In addition, pursuant to the Contribution Agreement, upon completion of our IPO, BioXcel granted us a first right to negotiate exclusive rights to any additional product candidates in the fields of neuroscience and immuno-oncology that BioXcel may identify on its own, excluding the Candidates, and not in connection with BioXcel’s provision of services to us under the Services Agreement as defined and described below. This option for first negotiation shall be valid for a period of five years from the date of our IPO. With the completion of our IPO in March 2018, $1.0 million was charged to Research and Development costs and included in accounts payable in connection with the Contribution Agreement and was paid on April 5, 2018.</w:t>
      </w:r>
    </w:p>
    <w:p>
      <w:pPr>
        <w:spacing w:after="0" w:line="16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entered into a separation and shared services agreement with BioXcel that took effect on June 30, 2017, as amended and restated on November 7, 2017, or the Services Agreement, pursuant to which BioXcel allows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 month anniversary of the date of the Services Agreement, except for services to be provided by BioXcel through its subsidiary in India, which shall decrease until the 24 to 36 month anniversary of the date of the Services Agreement, provided such dates may be extended upon mutual agreement between the parties.</w:t>
      </w:r>
    </w:p>
    <w:p>
      <w:pPr>
        <w:spacing w:after="0" w:line="17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or before December 31, 2019, we shall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w:t>
      </w:r>
    </w:p>
    <w:p>
      <w:pPr>
        <w:spacing w:after="0" w:line="178" w:lineRule="exact"/>
        <w:rPr>
          <w:sz w:val="20"/>
          <w:szCs w:val="20"/>
          <w:color w:val="auto"/>
        </w:rPr>
      </w:pPr>
    </w:p>
    <w:p>
      <w:pPr>
        <w:ind w:right="620" w:firstLine="324"/>
        <w:spacing w:after="0" w:line="291" w:lineRule="auto"/>
        <w:rPr>
          <w:sz w:val="20"/>
          <w:szCs w:val="20"/>
          <w:color w:val="auto"/>
        </w:rPr>
      </w:pPr>
      <w:r>
        <w:rPr>
          <w:rFonts w:ascii="Arial" w:cs="Arial" w:eastAsia="Arial" w:hAnsi="Arial"/>
          <w:sz w:val="16"/>
          <w:szCs w:val="16"/>
          <w:color w:val="auto"/>
        </w:rPr>
        <w:t>In connection with the Services Agreement, BioXcel agreed to provide us a line of credit, which was capped at $1.0 million, or the Total Funding Amount, pursuant to the terms of a grid note, or the Grid Note. The Grid Note was payable upon the earlier of (i) the completion of an IPO and</w:t>
      </w:r>
    </w:p>
    <w:p>
      <w:pPr>
        <w:ind w:right="80" w:firstLine="8"/>
        <w:spacing w:after="0" w:line="32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December 31, 2018, together with interest on the unpaid balance of each advance made under the Grid Note, which shall accrue at a rate per annum equal to the applicable federal rate for short-term loans as of the date hereof, in each case calculated based on a 365-day year and actual days elapsed.</w:t>
      </w:r>
    </w:p>
    <w:p>
      <w:pPr>
        <w:spacing w:after="0" w:line="13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our behalf were paid to the Parent following the completion of our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For periods prior to June 30, 2017, our financial statements are presented on a carve-out basis from the financial records of BioXcel. The carve-out includes reasonable allocations of assets and liabilities and expenses attributable to our business</w:t>
      </w:r>
    </w:p>
    <w:p>
      <w:pPr>
        <w:spacing w:after="0" w:line="170"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These results reflect amounts specifically attributable to the BTI Business, which include expenses, assets and liabilities of BioXcel relating to the Candidates that were contributed to us by BioXcel under the Contribution Agreement for the period from January 1, 2015 until June 30, 2017. The Services Agreement provides us with certain general and administrative and development support services that became effective June 30, 2017.</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However, consistent with accounting regulations, we have assumed that we were a separate business within BioXcel and we have reflected the related assets, liabilities and expenses in our results for periods prior to and post incorporation. These financial statements are presented on a carve-out basis and have been derived from the financial statements and accounting records of BioXcel and include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reasonable allocations for assets and liabilities and expenses attributable to the business of the product candidates that were contributed.</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Management believes the assumptions underlying the allocations of indirect expenses in the carve-out financial information are reasonable, however, our financial position, results of operations and cash flows may have been materially different if it had operated as a stand-alone entity for the six months ending June 30, 2017. For the six months ended June 30, 2017 results include carve-out amounts from BioXcel. For the six months ended June 30, 2018 the results are on a stand-alone entity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clinical and pre-clinical candidates, which includes payments to BioXcel, our Parent.</w:t>
      </w:r>
    </w:p>
    <w:p>
      <w:pPr>
        <w:sectPr>
          <w:pgSz w:w="11900" w:h="16861" w:orient="portrait"/>
          <w:cols w:equalWidth="0" w:num="1">
            <w:col w:w="11420"/>
          </w:cols>
          <w:pgMar w:left="240" w:top="121" w:right="239" w:bottom="0" w:gutter="0" w:footer="0" w:header="0"/>
        </w:sectPr>
      </w:pPr>
    </w:p>
    <w:bookmarkStart w:id="13" w:name="page14"/>
    <w:bookmarkEnd w:id="13"/>
    <w:p>
      <w:pPr>
        <w:ind w:left="660" w:right="66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and sites that conduct our non-clinical studies and clinical trials</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costs of outside consultants engaged in research and development activities, including their fees, stock-based compensation and travel expenses</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pre-clinical and clinical trial materials and lab supplies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expense research and development costs to operations as incurred. Historically we have not segmented costs associated with our various development programs, however, beginning January 1, 2018, we have begun assigning costs to our individual development candidates.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costs by program for the six months ended June 30, 2018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29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BXCL 701</w:t>
            </w:r>
          </w:p>
        </w:tc>
        <w:tc>
          <w:tcPr>
            <w:tcW w:w="2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2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BXCL 702</w:t>
            </w:r>
          </w:p>
        </w:tc>
        <w:tc>
          <w:tcPr>
            <w:tcW w:w="2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2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expenses</w:t>
            </w:r>
          </w:p>
        </w:tc>
        <w:tc>
          <w:tcPr>
            <w:tcW w:w="24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2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60" w:type="dxa"/>
            <w:vAlign w:val="bottom"/>
            <w:vMerge w:val="restart"/>
          </w:tcPr>
          <w:p>
            <w:pPr>
              <w:jc w:val="right"/>
              <w:ind w:right="970"/>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0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Because of the numerous risks and uncertainties associated with product development, we cannot determine with certainty the duration and completion costs of these or other current or future clinical trials of BXCL501, BXCL701 or our other product candidates. However, we do expect that our research and development costs will increase as we plan for and begin clinical trials for our current and future product candidates. We may never succeed in achieving regulatory approval for BXCL501, BXCL701 or any of our other product candidates. The duration, costs and timing of clinical trials and development of our product candidates will depend on a variety of factors, including the uncertainties of future clinical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and legal services, the cost of various consultants, occupancy costs and information systems costs.</w:t>
      </w:r>
    </w:p>
    <w:p>
      <w:pPr>
        <w:spacing w:after="0" w:line="16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expect that our general and administrative expenses will increase as we operate both as an independent entity and as a public company. We also expect increased administrative costs, including payroll and related expenses, as we continue to increase our headcount to support the expected growth in our business, expand our operations and organizational capabilities These increases will likely include increased costs for director and officer liability insurance, hiring additional personnel to support future market research and future product commercialization efforts and increased fees for outside consultants, attorneys and accountants. We also expect to incur increased costs to comply with corporate governance, internal controls, investor relations and disclosures and similar requirements applicable to public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 except percentage)</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w w:val="92"/>
              </w:rPr>
              <w:t>Three months ended June 30,</w:t>
            </w: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ind w:left="20"/>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1,222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2,811</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2,362</w:t>
            </w: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(2,679)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(7,530)</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(1,094)</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(6,436)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 expenses for the three months ended June 30, 2018 were $1,781, compared to $324 for the three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$1,457 is attributable to the costs described in the table below:</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3"/>
          </w:tcPr>
          <w:p>
            <w:pPr>
              <w:jc w:val="right"/>
              <w:ind w:right="366"/>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76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494</w:t>
            </w: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Clinical trials expense</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9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Chemical, manufacturing and controls cost</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All other</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Salaries, bonus and related costs increased due to higher bonus accruals, increases in headcount, payroll taxes, recruiting fees and travel related costs.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stock-based compensation increased with the introduction of our Stock Incentive plan which became effective in August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Professional research, project related costs and clinical trials expense increased due to the acceleration of research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 and administrative expenses for the three months ended June 30, 2018 were $1,463, compared to $241 for the three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$1,222 is attributable to the costs described in the table below:</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gridSpan w:val="4"/>
          </w:tcPr>
          <w:p>
            <w:pPr>
              <w:jc w:val="right"/>
              <w:ind w:right="365"/>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76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9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Insurance</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8"/>
                <w:szCs w:val="18"/>
                <w:color w:val="auto"/>
              </w:rPr>
              <w:t>Total general and administrative expenses</w:t>
            </w:r>
          </w:p>
        </w:tc>
        <w:tc>
          <w:tcPr>
            <w:tcW w:w="9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Salaries, bonus and related costs increased due to higher bonus accruals, increases in headcount, payroll taxes, recruiting fees and travel related costs.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stock-based compensation increased with the introduction of our Stock Incentive plan which became effective in August 2017.</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audit, investor relations, licensing and information technology costs were incurred during the current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Research and development expenses for the six months ended June 30, 2018 were $4,719, compared to $645 for the six months ended June 30, 2017. The increase of $4,074 is attributable to the costs described in the table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gridSpan w:val="4"/>
          </w:tcPr>
          <w:p>
            <w:pPr>
              <w:jc w:val="right"/>
              <w:ind w:right="445"/>
              <w:spacing w:after="0"/>
              <w:rPr>
                <w:sz w:val="20"/>
                <w:szCs w:val="20"/>
                <w:color w:val="auto"/>
              </w:rPr>
            </w:pPr>
            <w:r>
              <w:rPr>
                <w:rFonts w:ascii="Arial" w:cs="Arial" w:eastAsia="Arial" w:hAnsi="Arial"/>
                <w:sz w:val="14"/>
                <w:szCs w:val="14"/>
                <w:b w:val="1"/>
                <w:bCs w:val="1"/>
                <w:color w:val="auto"/>
                <w:w w:val="97"/>
              </w:rPr>
              <w:t>Six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76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9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1,211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Drug acquisition costs</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Chemical, manufacturing and controls cost</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9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Salaries, bonus and related costs increased due to higher bonus accruals, increases in headcount, payroll taxes, recruiting fees and travel related costs.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stock-based compensation increased with the introduction of our Stock Incentive plan which became effective in August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Professional research, project related costs and clinical trials expense increased due to the acceleration of research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Drug acquisition expenses included a payment to Bioxcel of $1,000 pursuant to an asset contribution agreement for the BTI business programs.</w:t>
      </w:r>
    </w:p>
    <w:p>
      <w:pPr>
        <w:sectPr>
          <w:pgSz w:w="11900" w:h="16838" w:orient="portrait"/>
          <w:cols w:equalWidth="0" w:num="1">
            <w:col w:w="11400"/>
          </w:cols>
          <w:pgMar w:left="240" w:top="368" w:right="259" w:bottom="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w:t>
      </w:r>
    </w:p>
    <w:p>
      <w:pPr>
        <w:sectPr>
          <w:pgSz w:w="11900" w:h="16838" w:orient="portrait"/>
          <w:cols w:equalWidth="0" w:num="1">
            <w:col w:w="11400"/>
          </w:cols>
          <w:pgMar w:left="240" w:top="368" w:right="25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5"/>
              </w:rPr>
              <w:t>Six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849</w:t>
            </w: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Insurance</w:t>
            </w: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Salaries, bonus and related costs increased due to higher bonus accruals, increases in headcount, payroll taxes, recruiting fees and travel related costs.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stock-based compensation increased with the introduction of our Stock Incentive plan which became effective in August 2017.</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audit, investor relations, licensing and information technology costs were incurred during the current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reported losses of approximately $7,308 and $1,094 for the six months ended June 30, 2018 and 2017, respectively. At June 30, 2018, the Company had shareholders’ equity of $49,821, working capital of $49,699 and cash of $50,349.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may never achieve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and through our recently completed IPO, all our operations have been financed by our Parent, BioXcel, or the sales of our common stock in a series of private placements and a public offering. We have not yet established an ongoing source of revenue sufficient to cover our operating costs and will need to do so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5"/>
          </w:tcPr>
          <w:p>
            <w:pPr>
              <w:jc w:val="right"/>
              <w:ind w:right="574"/>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(5,982)</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55,564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For the six months ended June 30, 2018, net cash used in operating activities was approximately $5,982 which consisted of a net loss of $7,308 partially offset by $2,060 in stock-based compensation. Reductions in accounts payable and accrued expenses of $70 and an increase in prepaid expenses of $666 primarily for insurance premiums accounted for the remainder.</w:t>
      </w:r>
    </w:p>
    <w:p>
      <w:pPr>
        <w:spacing w:after="0" w:line="18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For the six months ended June 30, 2017, net cash used in operating activities was approximately $776, which consisted of a net loss of $1,094 partially offset by $200 in stock-based compensation. Increases in accounts payable, reductions in prepaid expense and depreciation accounted for the remainder.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purchased servers, computers and related equipment for technical research and for additional headcount during the six months ended June 30,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net cash provided by financing activities was approximately $55,564 for the six months ended June 30, 2018 which was mainly attributable to the proceeds from issuance of common stock in our IPO offset in part by repayment of loans to our Parent.</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2017 was approximately $1,061, which was attributable to investments and loans made by BioXcel.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as we commence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w:t>
      </w:r>
    </w:p>
    <w:p>
      <w:pPr>
        <w:sectPr>
          <w:pgSz w:w="11900" w:h="16838" w:orient="portrait"/>
          <w:cols w:equalWidth="0" w:num="1">
            <w:col w:w="11420"/>
          </w:cols>
          <w:pgMar w:left="240" w:top="320" w:right="239" w:bottom="0" w:gutter="0" w:footer="0" w:header="0"/>
        </w:sectPr>
      </w:pPr>
    </w:p>
    <w:bookmarkStart w:id="16" w:name="page17"/>
    <w:bookmarkEnd w:id="16"/>
    <w:p>
      <w:pPr>
        <w:ind w:right="140"/>
        <w:spacing w:after="0" w:line="277" w:lineRule="auto"/>
        <w:rPr>
          <w:sz w:val="20"/>
          <w:szCs w:val="20"/>
          <w:color w:val="auto"/>
        </w:rPr>
      </w:pPr>
      <w:r>
        <w:rPr>
          <w:rFonts w:ascii="Arial" w:cs="Arial" w:eastAsia="Arial" w:hAnsi="Arial"/>
          <w:sz w:val="18"/>
          <w:szCs w:val="18"/>
          <w:color w:val="auto"/>
        </w:rPr>
        <w:t>fluctuate significantly from quarter-to-quarter and year-to-year, depending on the timing of our planned clinical trials and our expenditures on other research and development activities.</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development and commercialization of pharmaceutical products, we are unable to estimate the exact amount of our operating capital requirements. We anticipate that our expenses will increase substantially as we:</w:t>
      </w:r>
    </w:p>
    <w:p>
      <w:pPr>
        <w:spacing w:after="0" w:line="170"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clinical development of BXCL501 and commence clinical development of BXCL701;</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drug development efforts;</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 candidates for which we may obtain regulatory approval;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during the periods presented, nor do we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8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8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significant accounting policies are described in the notes to the financial statements included in the registration statement on Form S-1. As of June 30, 2018, there have been no material changes to any of the critical accounting policies contained therein.</w:t>
      </w:r>
    </w:p>
    <w:p>
      <w:pPr>
        <w:sectPr>
          <w:pgSz w:w="11900" w:h="16838" w:orient="portrait"/>
          <w:cols w:equalWidth="0" w:num="1">
            <w:col w:w="11420"/>
          </w:cols>
          <w:pgMar w:left="240" w:top="125" w:right="239" w:bottom="55"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4 , “Summary of Significant Accounting Policies,” in the accompanying Notes to Financial Statements included in Item 1of Part 1 of this Quarterly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Our balance sheet as of June 30, 2018 includes cash and cash equivalents of $50.3 million. We do not participate in any foreign currency hedging activities and we do not have any other derivative financial instruments. We did not recognize any significant exchange rate losses during the six months ended June 30, 2018 and 2017, respectively.</w:t>
      </w:r>
    </w:p>
    <w:p>
      <w:pPr>
        <w:spacing w:after="0" w:line="18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do not believe that our cash has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6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7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market risk inherent in our financial instruments and in our financial position has historically been the potential loss arising from adverse changes in interest rates. As of June 30, 2018 and December 31, 2017, we had cash of $50.3 million and $0.9 million, respectively. As of June 30, 2018, we held our cash in primarily in money market accounts and accordingly, the value of these accounts is subject to fluctuation in interest rates.</w:t>
      </w:r>
    </w:p>
    <w:p>
      <w:pPr>
        <w:spacing w:after="0" w:line="166"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2018. The term “disclosure controls and procedures,” as defined in Rules 13a-15(e) and 15d-15(e) under the Securities Exchange Act of 1934, as amended, or the Exchange Act, means controls and other procedures of a company that are designed to ensure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connection with the audit of our financial statements for the years ended December 31, 2017 and 2016, our management concluded that we had a material weakness in our internal controls because we lacked adequately designed internal controls over the financial reporting and SEC filing process. The lack of an adequately designed internal control process made it difficult for management to ensure the timely preparation and review of the accounting for certain transactions, especially those that are technically complex, non-routine transactions or transactions subject to management estimates and judgement. In addition, we did not have adequately designed and documented financial close and management review controls to properly detect and prevent certain accounting errors and omitted disclosures in the financial statements and related footnotes. We believe we have addressed this weakness during the quarter ended March 31, 2018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w:t>
      </w:r>
    </w:p>
    <w:p>
      <w:pPr>
        <w:sectPr>
          <w:pgSz w:w="11900" w:h="16838" w:orient="portrait"/>
          <w:cols w:equalWidth="0" w:num="1">
            <w:col w:w="11420"/>
          </w:cols>
          <w:pgMar w:left="240" w:top="368" w:right="239" w:bottom="0" w:gutter="0" w:footer="0" w:header="0"/>
        </w:sectPr>
      </w:pPr>
    </w:p>
    <w:bookmarkStart w:id="18" w:name="page19"/>
    <w:bookmarkEnd w:id="18"/>
    <w:p>
      <w:pPr>
        <w:spacing w:after="0" w:line="46"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Based on the evaluation of our disclosure controls and procedures as of June 30, 2018, our Chief Executive Officer and Chief Financial Officer concluded that, as of such date, our disclosure controls and procedures are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June 30, 2018 that has materially affected, or is reasonably likely to materially affect, our internal control over financial reporting other than that describes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were incorporated in March 2017 and our operations to date have been largely focused on organizing and staffing our company, raising capital and acquiring the rights to, and advancing the development of, our product candidates, including conducting preclinical studies. We have not yet demonstrated an ability to successfully complete clinical trials,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Since our inception, we have incurred significant operating losses. Our net loss was $7.3 million, and $1.1 million for the six months ended June 30, 2018 and 2017, respectively. As of June 30, 2018, we had Stockholders’ equity of $49.8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6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indications for our current product candidates and any future product candidates that we may pursue;</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continue to build our portfolio of product candidates through the acquisition or in-license of additional product candidates or technologies;</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w:t>
      </w:r>
    </w:p>
    <w:p>
      <w:pPr>
        <w:sectPr>
          <w:pgSz w:w="11900" w:h="16885" w:orient="portrait"/>
          <w:cols w:equalWidth="0" w:num="1">
            <w:col w:w="11420"/>
          </w:cols>
          <w:pgMar w:left="240" w:top="125" w:right="239" w:bottom="0" w:gutter="0" w:footer="0" w:header="0"/>
        </w:sectPr>
      </w:pPr>
    </w:p>
    <w:bookmarkStart w:id="19" w:name="page20"/>
    <w:bookmarkEnd w:id="19"/>
    <w:p>
      <w:pPr>
        <w:spacing w:after="0" w:line="264" w:lineRule="auto"/>
        <w:rPr>
          <w:sz w:val="20"/>
          <w:szCs w:val="20"/>
          <w:color w:val="auto"/>
        </w:rPr>
      </w:pPr>
      <w:r>
        <w:rPr>
          <w:rFonts w:ascii="Arial" w:cs="Arial" w:eastAsia="Arial" w:hAnsi="Arial"/>
          <w:sz w:val="18"/>
          <w:szCs w:val="18"/>
          <w:color w:val="auto"/>
        </w:rPr>
        <w:t>may obtain marketing approval, and satisfying any post-marketing requirements. We are only in the preliminary stages of most of these activities and, in some cases, have not yet commenced certain of these activities. We may never succeed in any or all of these activities and, even if we do, we may never generate sufficient revenue to achieve profitability.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anticipate that our expenses will increase substantially if and as we continue to develop and begin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current cash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Other than our grid note with BioXcel, we do not have any committed external source of funds. Further financing may not be available to us on acceptable terms, or at all. Our failure to raise capital as and when needed would have a negative impact on our financial condition and our ability to pursue our business strategy.</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our existing cash as of June 30, 2018, will enable us to fund our operating expenses and capital expenditure requirements for at least eighteen months from the date of this Quarterly Report on Form 10-Q.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93"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25" w:lineRule="exact"/>
        <w:rPr>
          <w:rFonts w:ascii="Arial" w:cs="Arial" w:eastAsia="Arial" w:hAnsi="Arial"/>
          <w:sz w:val="18"/>
          <w:szCs w:val="18"/>
          <w:color w:val="auto"/>
        </w:rPr>
      </w:pPr>
    </w:p>
    <w:p>
      <w:pPr>
        <w:ind w:left="660" w:right="34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as well as potentially establish a commercial infrastructure;</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ectPr>
          <w:pgSz w:w="11900" w:h="16838" w:orient="portrait"/>
          <w:cols w:equalWidth="0" w:num="1">
            <w:col w:w="11420"/>
          </w:cols>
          <w:pgMar w:left="240" w:top="125" w:right="239" w:bottom="0" w:gutter="0" w:footer="0" w:header="0"/>
        </w:sectPr>
      </w:pPr>
    </w:p>
    <w:bookmarkStart w:id="20" w:name="page21"/>
    <w:bookmarkEnd w:id="20"/>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physician acceptance or medical society recommendations that may affect commercial efforts;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in drug discovery and drug development, and we have never had a drug approved.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initiate or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225" w:lineRule="exact"/>
        <w:rPr>
          <w:sz w:val="20"/>
          <w:szCs w:val="20"/>
          <w:color w:val="auto"/>
        </w:rPr>
      </w:pPr>
    </w:p>
    <w:p>
      <w:pPr>
        <w:ind w:left="1300" w:right="260" w:hanging="320"/>
        <w:spacing w:after="0" w:line="258"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an Investigational New Drug, or IND, for the conduct of clinical trials of product candidates and proposed design of future clinical trials;</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a safety, tolerability and efficacy profile that is satisfactory to the FDA or any comparable foreign regulatory authority for marketing approval;</w:t>
      </w: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establishment of arrangements with third-party manufacturers to obtain finished drug product that is appropriately packaged for sale;</w:t>
      </w:r>
    </w:p>
    <w:p>
      <w:pPr>
        <w:spacing w:after="0" w:line="20" w:lineRule="exact"/>
        <w:rPr>
          <w:rFonts w:ascii="Arial" w:cs="Arial" w:eastAsia="Arial" w:hAnsi="Arial"/>
          <w:sz w:val="17"/>
          <w:szCs w:val="17"/>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patent, trade secret protection and regulatory exclusivity, both in the United States and internationally;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ectPr>
          <w:pgSz w:w="11900" w:h="16838" w:orient="portrait"/>
          <w:cols w:equalWidth="0" w:num="1">
            <w:col w:w="11400"/>
          </w:cols>
          <w:pgMar w:left="240" w:top="125" w:right="259" w:bottom="0" w:gutter="0" w:footer="0" w:header="0"/>
        </w:sectPr>
      </w:pPr>
    </w:p>
    <w:bookmarkStart w:id="21" w:name="page22"/>
    <w:bookmarkEnd w:id="21"/>
    <w:p>
      <w:pPr>
        <w:spacing w:after="0" w:line="36" w:lineRule="exact"/>
        <w:rPr>
          <w:sz w:val="20"/>
          <w:szCs w:val="20"/>
          <w:color w:val="auto"/>
        </w:rPr>
      </w:pPr>
    </w:p>
    <w:p>
      <w:pPr>
        <w:ind w:left="1300" w:right="40" w:hanging="320"/>
        <w:spacing w:after="0" w:line="258"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Arial" w:cs="Arial" w:eastAsia="Arial" w:hAnsi="Arial"/>
          <w:sz w:val="18"/>
          <w:szCs w:val="18"/>
          <w:color w:val="auto"/>
        </w:rPr>
      </w:pPr>
    </w:p>
    <w:p>
      <w:pPr>
        <w:ind w:left="1300" w:right="740" w:hanging="320"/>
        <w:spacing w:after="0" w:line="250"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260" w:hanging="280"/>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1300" w:right="20" w:hanging="320"/>
        <w:spacing w:after="0" w:line="250"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1" w:lineRule="exact"/>
        <w:rPr>
          <w:rFonts w:ascii="Arial" w:cs="Arial" w:eastAsia="Arial" w:hAnsi="Arial"/>
          <w:sz w:val="18"/>
          <w:szCs w:val="18"/>
          <w:color w:val="auto"/>
        </w:rPr>
      </w:pPr>
    </w:p>
    <w:p>
      <w:pPr>
        <w:ind w:left="1300" w:right="860" w:hanging="320"/>
        <w:spacing w:after="0" w:line="261"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not previously completed a clinical trial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8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plan to seek regulatory approval to commercialize our product candidates both in the United States and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result in increased costs and delay or termination of our trials, which could have a harmful effect on our ability to develop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clinical testing could result in increased costs to us and delay our ability to generate revenue.</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87" w:lineRule="exact"/>
        <w:rPr>
          <w:sz w:val="20"/>
          <w:szCs w:val="20"/>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ectPr>
          <w:pgSz w:w="11900" w:h="16874" w:orient="portrait"/>
          <w:cols w:equalWidth="0" w:num="1">
            <w:col w:w="11400"/>
          </w:cols>
          <w:pgMar w:left="240" w:top="125" w:right="259" w:bottom="0" w:gutter="0" w:footer="0" w:header="0"/>
        </w:sectPr>
      </w:pPr>
    </w:p>
    <w:bookmarkStart w:id="22" w:name="page23"/>
    <w:bookmarkEnd w:id="22"/>
    <w:p>
      <w:pPr>
        <w:ind w:left="1300" w:right="400" w:hanging="320"/>
        <w:spacing w:after="0" w:line="274" w:lineRule="auto"/>
        <w:tabs>
          <w:tab w:leader="none" w:pos="12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23" w:lineRule="exact"/>
        <w:rPr>
          <w:rFonts w:ascii="Arial" w:cs="Arial" w:eastAsia="Arial" w:hAnsi="Arial"/>
          <w:sz w:val="18"/>
          <w:szCs w:val="18"/>
          <w:color w:val="auto"/>
        </w:rPr>
      </w:pPr>
    </w:p>
    <w:p>
      <w:pPr>
        <w:ind w:left="1300" w:right="180" w:hanging="320"/>
        <w:spacing w:after="0" w:line="250"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drug development programs;</w:t>
      </w:r>
    </w:p>
    <w:p>
      <w:pPr>
        <w:ind w:left="1300" w:right="300" w:hanging="320"/>
        <w:spacing w:after="0" w:line="281" w:lineRule="auto"/>
        <w:tabs>
          <w:tab w:leader="none" w:pos="12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 w:lineRule="exact"/>
        <w:rPr>
          <w:rFonts w:ascii="Arial" w:cs="Arial" w:eastAsia="Arial" w:hAnsi="Arial"/>
          <w:sz w:val="16"/>
          <w:szCs w:val="16"/>
          <w:color w:val="auto"/>
        </w:rPr>
      </w:pPr>
    </w:p>
    <w:p>
      <w:pPr>
        <w:ind w:left="1300" w:hanging="320"/>
        <w:spacing w:after="0" w:line="250"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9" w:lineRule="exact"/>
        <w:rPr>
          <w:rFonts w:ascii="Arial" w:cs="Arial" w:eastAsia="Arial" w:hAnsi="Arial"/>
          <w:sz w:val="18"/>
          <w:szCs w:val="18"/>
          <w:color w:val="auto"/>
        </w:rPr>
      </w:pPr>
    </w:p>
    <w:p>
      <w:pPr>
        <w:ind w:left="1300" w:right="460" w:hanging="320"/>
        <w:spacing w:after="0" w:line="250"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ind w:left="1260" w:hanging="280"/>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20" w:lineRule="exact"/>
        <w:rPr>
          <w:rFonts w:ascii="Arial" w:cs="Arial" w:eastAsia="Arial" w:hAnsi="Arial"/>
          <w:sz w:val="17"/>
          <w:szCs w:val="17"/>
          <w:color w:val="auto"/>
        </w:rPr>
      </w:pPr>
    </w:p>
    <w:p>
      <w:pPr>
        <w:ind w:left="1300" w:right="220" w:hanging="320"/>
        <w:spacing w:after="0" w:line="261"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themselves but that are suboptimal for us.</w:t>
      </w:r>
    </w:p>
    <w:p>
      <w:pPr>
        <w:spacing w:after="0" w:line="184"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For example, we believe that we will be able to proceed directly to Phase 3 registration trials of BXCL501 if we successfully complete our planned Phase 1b/2 open-label PoC and bridging BA/BE studies. However, the FDA may not agree with our development plans and could require us to perform additional clinical trials or preclinical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studies, including additional Phase 1 and/or Phase 2 clinical trials, before permitting us to conduct our planned registration trials.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300" w:right="620" w:hanging="320"/>
        <w:spacing w:after="0" w:line="250"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w:t>
      </w: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Furthermore, we intend to rely on CROs and clinical trial sites to ensure the proper and timely conduct of our clinical trials and we intend to have agreements governing their committed activities. They may not perform as required.</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93"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ectPr>
          <w:pgSz w:w="11900" w:h="16838" w:orient="portrait"/>
          <w:cols w:equalWidth="0" w:num="1">
            <w:col w:w="11380"/>
          </w:cols>
          <w:pgMar w:left="240" w:top="125" w:right="279" w:bottom="123"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23"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a product is administered to patients;</w:t>
      </w:r>
    </w:p>
    <w:p>
      <w:pPr>
        <w:spacing w:after="0" w:line="9" w:lineRule="exact"/>
        <w:rPr>
          <w:rFonts w:ascii="Arial" w:cs="Arial" w:eastAsia="Arial" w:hAnsi="Arial"/>
          <w:sz w:val="18"/>
          <w:szCs w:val="18"/>
          <w:color w:val="auto"/>
        </w:rPr>
      </w:pPr>
    </w:p>
    <w:p>
      <w:pPr>
        <w:ind w:left="1300" w:right="420" w:hanging="320"/>
        <w:spacing w:after="0" w:line="250"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9" w:lineRule="exact"/>
        <w:rPr>
          <w:rFonts w:ascii="Arial" w:cs="Arial" w:eastAsia="Arial" w:hAnsi="Arial"/>
          <w:sz w:val="18"/>
          <w:szCs w:val="18"/>
          <w:color w:val="auto"/>
        </w:rPr>
      </w:pPr>
    </w:p>
    <w:p>
      <w:pPr>
        <w:ind w:left="1300" w:right="220" w:hanging="320"/>
        <w:spacing w:after="0" w:line="250"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implement Risk Evaluation and Mitigation Strategies, or REMS, or create a medication guide outlining the risks of such side effects for distribution to patients;</w:t>
      </w: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are leveraging EvolverAI to create a pipeline of neuroscience and immuno-oncology product candidates for patients whose diseases have not been adequately addressed to date by other approaches and to design and conduct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81" w:lineRule="exact"/>
        <w:rPr>
          <w:sz w:val="20"/>
          <w:szCs w:val="20"/>
          <w:color w:val="auto"/>
        </w:rPr>
      </w:pPr>
    </w:p>
    <w:p>
      <w:pPr>
        <w:ind w:left="1300" w:right="20" w:hanging="320"/>
        <w:spacing w:after="0" w:line="269"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7"/>
          <w:szCs w:val="17"/>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1300" w:right="180" w:hanging="320"/>
        <w:spacing w:after="0" w:line="250"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ectPr>
          <w:pgSz w:w="11900" w:h="16838" w:orient="portrait"/>
          <w:cols w:equalWidth="0" w:num="1">
            <w:col w:w="11420"/>
          </w:cols>
          <w:pgMar w:left="240" w:top="125" w:right="239" w:bottom="0" w:gutter="0" w:footer="0" w:header="0"/>
        </w:sectPr>
      </w:pPr>
    </w:p>
    <w:bookmarkStart w:id="24" w:name="page25"/>
    <w:bookmarkEnd w:id="24"/>
    <w:p>
      <w:pPr>
        <w:spacing w:after="0" w:line="106" w:lineRule="exact"/>
        <w:rPr>
          <w:sz w:val="20"/>
          <w:szCs w:val="20"/>
          <w:color w:val="auto"/>
        </w:rPr>
      </w:pP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70"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 NDA.</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Under the Hatch-Waxman Act, the holder of patents that the 505(b)(2) application references may file a patent infringement lawsuit after receiving notice of the paragraph IV certification. Filing of a patent infringement lawsuit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against the filer of the 505(b)(2) applicant within 45 days of 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6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a product is intended for the treatment of a serious condition and nonclinical or clinical data demonstrate the potential to address unmet medical need for this condition, a product sponsor may apply for FDA Fast Track designation. If we seek Fast Track designation for a product candidate, we may not receive it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the conditions of approval, or contain requirements for potentially costly post-market testing and surveillance to monitor the safety and efficacy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our product candidates will remain subject to ongoing requirements governing the manufacturing process, labeling, packaging, storage, advertising, distribution, import, export,</w:t>
      </w:r>
    </w:p>
    <w:p>
      <w:pPr>
        <w:sectPr>
          <w:pgSz w:w="11900" w:h="16945" w:orient="portrait"/>
          <w:cols w:equalWidth="0" w:num="1">
            <w:col w:w="11400"/>
          </w:cols>
          <w:pgMar w:left="240" w:top="125" w:right="259" w:bottom="0" w:gutter="0" w:footer="0" w:header="0"/>
        </w:sectPr>
      </w:pPr>
    </w:p>
    <w:bookmarkStart w:id="25" w:name="page26"/>
    <w:bookmarkEnd w:id="25"/>
    <w:p>
      <w:pPr>
        <w:ind w:right="40"/>
        <w:spacing w:after="0" w:line="271" w:lineRule="auto"/>
        <w:rPr>
          <w:sz w:val="20"/>
          <w:szCs w:val="20"/>
          <w:color w:val="auto"/>
        </w:rPr>
      </w:pPr>
      <w:r>
        <w:rPr>
          <w:rFonts w:ascii="Arial" w:cs="Arial" w:eastAsia="Arial" w:hAnsi="Arial"/>
          <w:sz w:val="17"/>
          <w:szCs w:val="17"/>
          <w:color w:val="auto"/>
        </w:rPr>
        <w:t>promotion, recordkeeping and adverse event reporting. These requirements include submissions of safety and other post-marketing information and reports, registration, as well as continued compliance with good clinical practice, or GCP, requirements for any clinical trials that we conduct post-approval. In addition, manufacturers of drug products and their facilities are subject to continual review and periodic inspections by the FDA and other regulatory authorities for compliance with Good Manufacturing Practices, or GMP, regulations. If we or a regulatory agency discovers previously unknown problems with a product, such as adverse events of unanticipated severity or frequency, or problems with the facility where the product is manufactured, a regulatory agency may impose restrictions on that product or the manufacturer, including requiring voluntary or mandatory recalls, additional restrictions on manufacturing or withdrawal of the product from the market or suspension of manufacturing. If we, our product candidates or the manufacturing facilities for our product candidates fail to comply with applicable regulatory requirements, a regulatory agency may:</w:t>
      </w:r>
    </w:p>
    <w:p>
      <w:pPr>
        <w:spacing w:after="0" w:line="179" w:lineRule="exact"/>
        <w:rPr>
          <w:sz w:val="20"/>
          <w:szCs w:val="20"/>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 request us to initiate a product recall; or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pursue and obtain an injunction.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by us to comply with existing regulations could harm our reputation and operating results.</w:t>
      </w:r>
    </w:p>
    <w:p>
      <w:pPr>
        <w:spacing w:after="0" w:line="225"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We will be subject to extensive regulation by U.S. federal and state and foreign governments in each of the markets where we intend to sell BXCL501 and BXCL701 if and after they are approved. For example, we will have to adhere to all regulatory requirements including the FDA’s current GCPs, Good Laboratory Practice, or GLP, and GMP requirements. If we fail to comply with applicable regulations, including FDA pre-or post- approval cGMP requirements, then the FDA or other foreign regulatory authorities could sanction us. Even if a drug is FDA-approved, regulatory authorities may impose significant restrictions on a product’s indicated uses or marketing or impose ongoing requirements for potentially costly post-marketing studies.</w:t>
      </w:r>
    </w:p>
    <w:p>
      <w:pPr>
        <w:spacing w:after="0" w:line="15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Any action against us for violation of these laws, even if we successfully defend against it, could cause us to incur significant legal expenses, divert our management’s attention from the operation of our business and damage our reputation. We expend significant resources on compliance efforts and such expenses are unpredictable and might adversely affect our results.</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9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addition, we cannot predict the likelihood, nature or extent of government regulation that may arise from future legislation or administrative or executive action, either in the United States or abroad. For example,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President Trump issued an Executive Order directing all executive agencies, including the FDA,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OMB on February 2,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ectPr>
          <w:pgSz w:w="11900" w:h="16838" w:orient="portrait"/>
          <w:cols w:equalWidth="0" w:num="1">
            <w:col w:w="11400"/>
          </w:cols>
          <w:pgMar w:left="240" w:top="125" w:right="259" w:bottom="0" w:gutter="0" w:footer="0" w:header="0"/>
        </w:sectPr>
      </w:pPr>
    </w:p>
    <w:bookmarkStart w:id="26" w:name="page27"/>
    <w:bookmarkEnd w:id="26"/>
    <w:p>
      <w:pPr>
        <w:ind w:right="20" w:firstLine="324"/>
        <w:spacing w:after="0" w:line="271"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2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 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Under the Health Insurance Portability and Accountability Act of 1996, we are prohibited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Violations of fraud and abuse laws may be punishable by criminal and/or civil sanctions, including fines and/or exclusion or suspension from federal and state health care programs such as Medicare and Medicaid and debarment from contracting with the U.S. government. In addition, private individuals have the ability to bring actions on behalf of the government under the federal False Claims Act as well as under the false claims laws of several states.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Many states have adopted laws similar to the federal anti-kickback statute, some of which apply to the referral of patients for health care services reimbursed by any source, not just governmental payers. Neither the government nor the courts have provided definitive guidance on the application of fraud and abuse laws to our business. Law enforcement authorities are increasingly focused on enforcing these laws, and if we are found in violation of one of these laws, we could be required to pay a penalty and could be suspended or excluded from participation in federal or state health care programs, and our business, results of operations and financial condition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inability to obtain and retain sufficient clinical trial liability insurance at an acceptable cost to protect against potential liability claims could prevent or inhibit our ability to conduct clinical trials for product candidates we develop. We currently have clinical trial liability insurance for our IV Dex trials. However, we do not have clinical trial liability insurance for our BXCL 701 program.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number of factors may affect the market acceptance of our products or any other products we develop or acquire, including, among others:</w:t>
      </w:r>
    </w:p>
    <w:p>
      <w:pPr>
        <w:spacing w:after="0" w:line="237" w:lineRule="exact"/>
        <w:rPr>
          <w:sz w:val="20"/>
          <w:szCs w:val="20"/>
          <w:color w:val="auto"/>
        </w:rPr>
      </w:pPr>
    </w:p>
    <w:p>
      <w:pPr>
        <w:ind w:left="1260" w:hanging="28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300" w:right="240" w:hanging="320"/>
        <w:spacing w:after="0" w:line="250"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260" w:hanging="28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ectPr>
          <w:pgSz w:w="11900" w:h="16838" w:orient="portrait"/>
          <w:cols w:equalWidth="0" w:num="1">
            <w:col w:w="11420"/>
          </w:cols>
          <w:pgMar w:left="240" w:top="125" w:right="239" w:bottom="0" w:gutter="0" w:footer="0" w:header="0"/>
        </w:sectPr>
      </w:pPr>
    </w:p>
    <w:bookmarkStart w:id="27" w:name="page28"/>
    <w:bookmarkEnd w:id="27"/>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87"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w:t>
      </w:r>
    </w:p>
    <w:p>
      <w:pPr>
        <w:spacing w:after="0" w:line="3" w:lineRule="exact"/>
        <w:rPr>
          <w:sz w:val="20"/>
          <w:szCs w:val="20"/>
          <w:color w:val="auto"/>
        </w:rPr>
      </w:pPr>
    </w:p>
    <w:p>
      <w:pPr>
        <w:ind w:right="40" w:firstLine="8"/>
        <w:spacing w:after="0" w:line="25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expect to rely heavily on orphan drug status to commercialize some of our product candidates, if approved, but any orphan drug designations we receive may not confer marketing exclusivity or other expected commercial benefits.</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expect to rely heavily on orphan drug exclusivity for our product candidates.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Although we have received orphan designation for BXCL701 for the treatment of pancreatic cancer, BXCL701 has not been granted orphan designation as of June 30, 2018 for the treatment of tNEPC.</w:t>
      </w:r>
    </w:p>
    <w:p>
      <w:pPr>
        <w:spacing w:after="0" w:line="1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Even if we, or any future collaborators, obtain orphan drug designation for a product candidate, we, or they, may not be able to obtain or maintain orphan drug exclusivity for that product candidate. We may not be the first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seek a breakthrough therapy designation for BXCL701 or one or more of our other product candidates, we might not receive such designation, and even if we do, such designation may not lead to a faster development or regulatory review or approval process.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seek a breakthrough therapy designation for BXCL701 or one or more of our other product candidates. A breakthrough therapy is defined as a drug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w:t>
      </w:r>
    </w:p>
    <w:p>
      <w:pPr>
        <w:spacing w:after="0" w:line="18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seek priority review designation for BXCL701 or one or more of our other product candidates, but we might not receive such designation, and even if we do, such designation may not lead to a faster development or regulatory review or approval process.</w:t>
      </w:r>
    </w:p>
    <w:p>
      <w:pPr>
        <w:spacing w:after="0" w:line="147"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w:t>
      </w:r>
    </w:p>
    <w:p>
      <w:pPr>
        <w:sectPr>
          <w:pgSz w:w="11900" w:h="16877" w:orient="portrait"/>
          <w:cols w:equalWidth="0" w:num="1">
            <w:col w:w="11420"/>
          </w:cols>
          <w:pgMar w:left="240" w:top="125" w:right="239" w:bottom="0" w:gutter="0" w:footer="0" w:header="0"/>
        </w:sectPr>
      </w:pPr>
    </w:p>
    <w:bookmarkStart w:id="28" w:name="page29"/>
    <w:bookmarkEnd w:id="28"/>
    <w:p>
      <w:pPr>
        <w:ind w:right="280"/>
        <w:spacing w:after="0" w:line="342" w:lineRule="auto"/>
        <w:rPr>
          <w:sz w:val="20"/>
          <w:szCs w:val="20"/>
          <w:color w:val="auto"/>
        </w:rPr>
      </w:pPr>
      <w:r>
        <w:rPr>
          <w:rFonts w:ascii="Arial" w:cs="Arial" w:eastAsia="Arial" w:hAnsi="Arial"/>
          <w:sz w:val="16"/>
          <w:szCs w:val="16"/>
          <w:color w:val="auto"/>
        </w:rPr>
        <w:t>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conventional FDA procedures. Receiving priority review from the FDA does not guarantee approval within the six-month review cycle or at all.</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5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5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7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1" w:lineRule="exact"/>
        <w:rPr>
          <w:sz w:val="20"/>
          <w:szCs w:val="20"/>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and our other product candidates;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BXCL501, BXCL701 and our other product candidates are approved;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300" w:right="220" w:hanging="320"/>
        <w:spacing w:after="0" w:line="261" w:lineRule="auto"/>
        <w:tabs>
          <w:tab w:leader="none" w:pos="1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ectPr>
          <w:pgSz w:w="11900" w:h="16838" w:orient="portrait"/>
          <w:cols w:equalWidth="0" w:num="1">
            <w:col w:w="11420"/>
          </w:cols>
          <w:pgMar w:left="240" w:top="125" w:right="239" w:bottom="0" w:gutter="0" w:footer="0" w:header="0"/>
        </w:sectPr>
      </w:pPr>
    </w:p>
    <w:bookmarkStart w:id="29" w:name="page30"/>
    <w:bookmarkEnd w:id="29"/>
    <w:p>
      <w:pPr>
        <w:spacing w:after="0" w:line="1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73"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6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the PPACA has substantially changed the way healthcare is financed by both government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health plans and private insurers, and significantly impacts the pharmaceutical industry. The PPACA contains a number of provisions that are expected to impact our business and operations in ways that may negatively affect our potential revenues in the future. For example, the PPACA imposes a non-deductible excise tax on pharmaceutical manufacturers or importers that sell branded prescription drugs to government programs which we believe will increase the cost of our products. In addition, as part of the PPACA’s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PPACA increases the level of Medicaid rebates payable by manufacturers of brand-name drugs from 15.1% to 23.1% and requires collection of rebates for drugs paid by Medicaid managed care organizations. The PPACA also includes significant changes to the 340B drug discount program including expansion of the list of eligible covered entities that may purchase drugs under the program. At the same time, the expansion in eligibility for health insurance benefits created under PPACA is expected to increase the number of patients with insurance coverage who may receive our products. While it is too early to predict all the specific effects the PPACA or any future healthcare reform legislation will have on our business, they could have a material adverse effect on our business and financial condition.</w:t>
      </w:r>
    </w:p>
    <w:p>
      <w:pPr>
        <w:spacing w:after="0" w:line="18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Congress periodically adopts legislation like the PPACA and the Medicare Prescription Drug, Improvement and Modernization Act of 2003, that modifies Medicare reimbursement and coverage policies pertaining to prescription drugs. Implementation of these laws is subject to ongoing revision through regulatory and sub regulatory policies. Congress also may consider additional changes to Medicare policies, potentially including Medicare prescription drug policies, as part of ongoing budget negotiations. While the scope of any such legislation is uncertain at this time, there can be no assurances that future legislation or regulations will not decrease the coverage and price that we may receive for our proposed products. 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BioXcel</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BioXcel controls the direction of our business, and the concentrated ownership of our common stock will prevent you and other stockholders from influencing significant decisions.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June 30, 2018, BioXcel owns approximately 60.6% of the economic interest and voting power of our outstanding common stock, or approximately 57.6% of the economic interest and voting power of our outstanding common stock if the underwriters exercise their option to purchase additional shares in full. As long as BioXcel beneficially controls a majority of the voting power of our outstanding common stock, it will generally be able to determine the outcome of all corporate actions requiring stockholder approval, including the election and removal of directors. Even if BioXcel were to control less than a majority of the voting power of our outstanding common stock, it may influence the outcome of such corporate actions so long as it owns a significant portion of our common stock. If BioXcel continues to hold its shares of our common stock, it could remain our controlling stockholder for an extended period of time or indefinitely.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30" w:name="page31"/>
    <w:bookmarkEnd w:id="30"/>
    <w:p>
      <w:pPr>
        <w:ind w:right="240"/>
        <w:spacing w:after="0" w:line="342" w:lineRule="auto"/>
        <w:rPr>
          <w:sz w:val="20"/>
          <w:szCs w:val="20"/>
          <w:color w:val="auto"/>
        </w:rPr>
      </w:pPr>
      <w:r>
        <w:rPr>
          <w:rFonts w:ascii="Arial" w:cs="Arial" w:eastAsia="Arial" w:hAnsi="Arial"/>
          <w:sz w:val="16"/>
          <w:szCs w:val="16"/>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commercial terms of the Services Agreement, the grid note, dated June 30, 2017, or Grid Note, and the Contribution Agreement that we have entered into with BioXcel have been not been negotiated on behalf of BioXcel by persons consisting solely of disinterested BioXcel directors. Notwithstanding the foregoing, we have no basis for believing that the terms of these agreements will not be in the best interests of both BioXcel and its stockholders and also us and our stockholders. Nonetheless, 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Currently, many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9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7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also rely, in part, on BioXcel and access to EvolverAI, a research and development engine created and owned by BioXcel, to identify, research and develop potential product candidates in neuroscience and immuno-oncology. We have the option to enter into a collaborative services agreement with BioXcel, pursuant to which BioXcel shall perform product identification and related services for us utilizing EvolverAI. We have agreed that such agreement will be negotiated in good faith and that such agreement will incorporate reasonable market based terms, including royalty payments on net sales and reasonable development and commercialization milestone payments.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initial public offering.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and Vice President—Finance continue to serve in the same respective roles at BioXcel. Two of our four directors currently serve on both our board of directors and the board of directors of BioXcel. Because of the current positions of our executive officers and our directors with BioXcel, they own shares of BioXcel common stock, options to purchase shares of BioXcel common stock or other equity awards of BioXcel. Our Chief Executive Officer, Vimal Mehta, Ph.D. and one of our directors, Krishnan Nandabalan, Ph.D., each own approximately 42% and 42%, respectively, of 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 connection with the Separation, our chief executive officer has agreed to recuse himself with respect to voting on any matter coming before either BioXcel’s or our board of directors related to our relationship with BioXcel, although he will still be permitted to participate in discussions and negotiations. Any perceived conflicts of interest resulting from investors questioning the independence of our management or the integrity of corporate governance procedures may materially affect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disputes that arise between us and BioXcel with respect to our past and ongoing relationships could harm our business operations.</w:t>
      </w:r>
    </w:p>
    <w:p>
      <w:pPr>
        <w:sectPr>
          <w:pgSz w:w="11900" w:h="16838" w:orient="portrait"/>
          <w:cols w:equalWidth="0" w:num="1">
            <w:col w:w="11400"/>
          </w:cols>
          <w:pgMar w:left="240" w:top="341" w:right="259" w:bottom="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225" w:lineRule="exact"/>
        <w:rPr>
          <w:sz w:val="20"/>
          <w:szCs w:val="20"/>
          <w:color w:val="auto"/>
        </w:rPr>
      </w:pPr>
    </w:p>
    <w:p>
      <w:pPr>
        <w:ind w:left="1300" w:right="280" w:hanging="320"/>
        <w:spacing w:after="0" w:line="258" w:lineRule="auto"/>
        <w:tabs>
          <w:tab w:leader="none" w:pos="1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intellectual property, technology and business matters, including failure to make required technology transfers and failure to comply with non-compete provisions applicable to BioXcel and us;</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stockholders may not achieve some or all of the expected benefits of the Separation.</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Drug development is an expensive and time-consuming process, but we believe the knowledge we have gained while operating as a subsidiary of BioXcel has helped expedite this process. However, in order to realize the value proposition of BTI as a drug development company, we intend to target early stage healthcare and pharmaceutical focused investors, who are interested in investing in drug development companies and who appreciate the risks, rewards and typically longer investment timelines associated with such investments. In order to successfully attract this type of new investment, we believe it is critical that we separate from BioXcel, because we believe that doing so will provide us with some or all of the following benefits:</w:t>
      </w:r>
    </w:p>
    <w:p>
      <w:pPr>
        <w:spacing w:after="0" w:line="158" w:lineRule="exact"/>
        <w:rPr>
          <w:sz w:val="20"/>
          <w:szCs w:val="20"/>
          <w:color w:val="auto"/>
        </w:rPr>
      </w:pPr>
    </w:p>
    <w:p>
      <w:pPr>
        <w:ind w:left="1300" w:right="140" w:hanging="320"/>
        <w:spacing w:after="0" w:line="291" w:lineRule="auto"/>
        <w:tabs>
          <w:tab w:leader="none" w:pos="12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improving strategic and operational flexibility, increasing management focus and streamlining decision-making by providing the flexibility to implement our strategic plan and to respond more effectively to different customer needs and the changing economic environment;</w:t>
      </w:r>
    </w:p>
    <w:p>
      <w:pPr>
        <w:ind w:left="1300" w:right="440" w:hanging="320"/>
        <w:spacing w:after="0" w:line="250" w:lineRule="auto"/>
        <w:tabs>
          <w:tab w:leader="none" w:pos="12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allowing us to adopt the capital structure, investment policy and dividend policy best suited to our financial profile and business needs, without competing for capital with BioXcel’s other businesses;</w:t>
      </w:r>
    </w:p>
    <w:p>
      <w:pPr>
        <w:ind w:left="1260" w:hanging="28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facilitate our ability to affect future acquisitions utilizing our common stock; and</w:t>
      </w:r>
    </w:p>
    <w:p>
      <w:pPr>
        <w:spacing w:after="0" w:line="9" w:lineRule="exact"/>
        <w:rPr>
          <w:rFonts w:ascii="Arial" w:cs="Arial" w:eastAsia="Arial" w:hAnsi="Arial"/>
          <w:sz w:val="18"/>
          <w:szCs w:val="18"/>
          <w:color w:val="auto"/>
        </w:rPr>
      </w:pPr>
    </w:p>
    <w:p>
      <w:pPr>
        <w:ind w:left="1300" w:right="80" w:hanging="320"/>
        <w:spacing w:after="0" w:line="255" w:lineRule="auto"/>
        <w:tabs>
          <w:tab w:leader="none" w:pos="12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our business, and enhancing employee hiring and retention by, among other things, improving the alignment of management and employee incentives with performance and growth objectives of our business.</w:t>
      </w:r>
    </w:p>
    <w:p>
      <w:pPr>
        <w:spacing w:after="0" w:line="19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we are not successful implementing the Separation, we may not be able to achieve the full strategic and financial benefits we expect to receive, or the benefits may be delayed or not occur at all. Even if we are able to achieve stand-alone, independent status as a drug development company, there can be no assurance that investors and analysts will place a greater value on us as a stand-alone drug development company than as a wholly- or substantially-owned subsidiary of BioXcel.</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may qualify for, and may rely on, exemptions from certain corporate governance requirements that provide protection to stockholders of other companies.</w:t>
      </w:r>
    </w:p>
    <w:p>
      <w:pPr>
        <w:spacing w:after="0" w:line="17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BioXcel controls a majority of the voting power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w:t>
      </w:r>
    </w:p>
    <w:p>
      <w:pPr>
        <w:spacing w:after="0" w:line="16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As a controlled company, we rely on certain exemptions from the Nasdaq standards that may enable us not to comply with certain Nasdaq corporate governance requirements if BioXcel continues to control a majority of the voting power of our outstanding common stock. Accordingly, you may not have the same protections afforded to stockholders of companies that are subject to all of the corporate governance requirements of The Nasdaq Capital Market.</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assets and resources that we acquire from BioXcel in the Separation may not be sufficient for us to operate as a stand-alone company, and we may experience difficulty in separating our assets and resources from BioXcel.</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Because we have not operated as a stand-alone company in the past, we may have difficulty doing so. We may need to acquire assets and resources in addition to those provided by BioXcel to us, and in connection with the Separation, may also face difficulty in separating our resources from BioXcel’s and integrating newly acquired assets into our business. For example, we may need to hire additional personnel to assist with administrative and technical functions, and acquire other office and laboratory equipment for use in the ordinary course operations of our business. If we have difficulty operating as a stand-alone company, fail to acquire assets that we need to run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operations, or incur unexpected costs in separating our business from BioXcel’s business or in integrating newly acquired assets into our business, our financial condition and results of operations will be adversely affected.</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You may have difficulty evaluating our business because we have no history as a separate company and our historical financial information may not be representative of our results as a separate company.</w:t>
      </w:r>
    </w:p>
    <w:p>
      <w:pPr>
        <w:sectPr>
          <w:pgSz w:w="11900" w:h="16838" w:orient="portrait"/>
          <w:cols w:equalWidth="0" w:num="1">
            <w:col w:w="11420"/>
          </w:cols>
          <w:pgMar w:left="240" w:top="341" w:right="239" w:bottom="0" w:gutter="0" w:footer="0" w:header="0"/>
        </w:sectPr>
      </w:pPr>
    </w:p>
    <w:bookmarkStart w:id="32" w:name="page33"/>
    <w:bookmarkEnd w:id="32"/>
    <w:p>
      <w:pPr>
        <w:ind w:right="100" w:firstLine="324"/>
        <w:spacing w:after="0" w:line="273" w:lineRule="auto"/>
        <w:rPr>
          <w:sz w:val="20"/>
          <w:szCs w:val="20"/>
          <w:color w:val="auto"/>
        </w:rPr>
      </w:pPr>
      <w:r>
        <w:rPr>
          <w:rFonts w:ascii="Arial" w:cs="Arial" w:eastAsia="Arial" w:hAnsi="Arial"/>
          <w:sz w:val="17"/>
          <w:szCs w:val="17"/>
          <w:color w:val="auto"/>
        </w:rPr>
        <w:t>Our historical financial informations does not necessarily reflect the financial condition, results of operations or cash flows that we would have achieved as a separate company during the periods presented or those that we will achieve in the future. Prior to the contribution of our assets from BioXcel, our research and development activities were conducted by BioXcel as part of its broader operations, rather than as an independent division or subsidiary. BioXcel also performed various corporate functions relating to our business. Our historical financial information reflects allocations of corporate expenses from BioXcel for these and similar functions. We believe that these allocations are comparable to the expenses we would have incurred had we operated as a separate company, although we may incur higher expenses as a separate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BioXcel may experience challenges with the acquisition, development, enhancement or deployment of technology necessary for EvolverAI.</w:t>
      </w:r>
    </w:p>
    <w:p>
      <w:pPr>
        <w:spacing w:after="0" w:line="23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54"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in accordance with cGMP prescribed by the FDA or to produce an adequate supply of compounds to meet future requirements for clinical trials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commercialization of our products. Drug manufacturing facilities are subject to inspection before the FDA will issue an approval to market a new drug product, and all of the manufacturers that we intend to use must adhere to the cGMP regulations prescribed by the FDA.</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current good manufacturing practices, or 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7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6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2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ectPr>
          <w:pgSz w:w="11900" w:h="16838" w:orient="portrait"/>
          <w:cols w:equalWidth="0" w:num="1">
            <w:col w:w="11420"/>
          </w:cols>
          <w:pgMar w:left="240" w:top="125" w:right="239" w:bottom="0" w:gutter="0" w:footer="0" w:header="0"/>
        </w:sectPr>
      </w:pPr>
    </w:p>
    <w:bookmarkStart w:id="33" w:name="page34"/>
    <w:bookmarkEnd w:id="33"/>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We are party to a collaboration research agreement with Nektar Therapeutics, Inc., or Nektar, relating to Nektar’s NKTR-214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7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cGCPs, which are regulations and guidelines enforced by the FDA, the Competent Authorities of the Member States of the European Economic Area, or EEA, and comparable foreign regulatory authorities for all of our products in clinical development.</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Regulatory authorities enforce these cGCPs through periodic inspections of trial sponsors, principal investigators and trial sites. If we or any of our CROs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cGCP regulations. In addition, our clinical trials must be conducted with product produced under current good manufacturing practices, or cGMP, regulations. Our failure to comply with these regulations may require us to repeat clinical trials, which would delay the regulatory approval process.</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ectPr>
          <w:pgSz w:w="11900" w:h="16929" w:orient="portrait"/>
          <w:cols w:equalWidth="0" w:num="1">
            <w:col w:w="11420"/>
          </w:cols>
          <w:pgMar w:left="240" w:top="125" w:right="239" w:bottom="0" w:gutter="0" w:footer="0" w:header="0"/>
        </w:sectPr>
      </w:pP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ectPr>
          <w:pgSz w:w="11900" w:h="16929" w:orient="portrait"/>
          <w:cols w:equalWidth="0" w:num="1">
            <w:col w:w="11420"/>
          </w:cols>
          <w:pgMar w:left="240" w:top="125" w:right="239" w:bottom="0" w:gutter="0" w:footer="0" w:header="0"/>
          <w:type w:val="continuous"/>
        </w:sectPr>
      </w:pPr>
    </w:p>
    <w:bookmarkStart w:id="34" w:name="page35"/>
    <w:bookmarkEnd w:id="34"/>
    <w:p>
      <w:pPr>
        <w:ind w:right="180" w:firstLine="324"/>
        <w:spacing w:after="0" w:line="293" w:lineRule="auto"/>
        <w:rPr>
          <w:sz w:val="20"/>
          <w:szCs w:val="20"/>
          <w:color w:val="auto"/>
        </w:rPr>
      </w:pPr>
      <w:r>
        <w:rPr>
          <w:rFonts w:ascii="Arial" w:cs="Arial" w:eastAsia="Arial" w:hAnsi="Arial"/>
          <w:sz w:val="16"/>
          <w:szCs w:val="16"/>
          <w:color w:val="auto"/>
        </w:rPr>
        <w:t>As of June 30, 2018, we employed a total of eleven full-time employees. In addition, we have access to certain of BioXcel’s employees and resources through the various agreements we have entered into with BioXcel. Our current internal departments include finance, research and development and administration. We intend to expand our management team to include an operation ramp up of additional technical staff required to achieve our business objectives. We will need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260" w:hanging="280"/>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manage our clinical trials effectively, including our planned clinical trials of BXCL501, BXCL701 and our other product candidates;</w:t>
      </w:r>
    </w:p>
    <w:p>
      <w:pPr>
        <w:spacing w:after="0" w:line="34" w:lineRule="exact"/>
        <w:rPr>
          <w:rFonts w:ascii="Arial" w:cs="Arial" w:eastAsia="Arial" w:hAnsi="Arial"/>
          <w:sz w:val="17"/>
          <w:szCs w:val="17"/>
          <w:color w:val="auto"/>
        </w:rPr>
      </w:pPr>
    </w:p>
    <w:p>
      <w:pPr>
        <w:ind w:left="1300" w:right="220" w:hanging="320"/>
        <w:spacing w:after="0" w:line="250"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1260" w:hanging="280"/>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success depends largely upon the continued services of our key executive officers, Vimal Mehta, our Chief Executive Officer, President, Secretary and Director and Frank Yocca, our Chief Scientific Officer.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SaaS, or experience working with the pharma market is limited overall. In addition, many of the companies with which we compete for experienced personnel have greater resources than we have.</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interruptions could adversely affect future operations, revenues, and financial conditions, and may increase our costs and expenses.</w:t>
      </w:r>
    </w:p>
    <w:p>
      <w:pPr>
        <w:spacing w:after="0" w:line="248"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Operating as a virtual company, our employees conduct business</w:t>
      </w:r>
    </w:p>
    <w:p>
      <w:pPr>
        <w:sectPr>
          <w:pgSz w:w="11900" w:h="16838" w:orient="portrait"/>
          <w:cols w:equalWidth="0" w:num="1">
            <w:col w:w="11420"/>
          </w:cols>
          <w:pgMar w:left="240" w:top="341" w:right="239" w:bottom="0" w:gutter="0" w:footer="0" w:header="0"/>
        </w:sectPr>
      </w:pPr>
    </w:p>
    <w:bookmarkStart w:id="35" w:name="page36"/>
    <w:bookmarkEnd w:id="35"/>
    <w:p>
      <w:pPr>
        <w:spacing w:after="0" w:line="1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outside of our headquarters and leased or owned facilities. These locations may be subject to additional security and other risk factors due to the limited control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71"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successfully acquire, develop and market additional product candidates or approved drug products could impair our ability to grow.</w:t>
      </w:r>
    </w:p>
    <w:p>
      <w:pPr>
        <w:spacing w:after="0" w:line="24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260" w:hanging="28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1300" w:right="140" w:hanging="320"/>
        <w:spacing w:after="0" w:line="250" w:lineRule="auto"/>
        <w:tabs>
          <w:tab w:leader="none" w:pos="1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1260" w:hanging="28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32" w:lineRule="exact"/>
        <w:rPr>
          <w:rFonts w:ascii="Arial" w:cs="Arial" w:eastAsia="Arial" w:hAnsi="Arial"/>
          <w:sz w:val="16"/>
          <w:szCs w:val="16"/>
          <w:color w:val="auto"/>
        </w:rPr>
      </w:pPr>
    </w:p>
    <w:p>
      <w:pPr>
        <w:ind w:left="1260" w:hanging="28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2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 applications pending in the United States and in certain foreign jurisdictions. We own Patent Cooperation Treaty, or PCT, patent applications relating to our platform technologies covering methods of use and applications of the platform technologies. To date, no patents have been issued to us specifically covering our product candidates, and we cannot be certain that any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6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w:t>
      </w:r>
    </w:p>
    <w:p>
      <w:pPr>
        <w:sectPr>
          <w:pgSz w:w="11900" w:h="16975" w:orient="portrait"/>
          <w:cols w:equalWidth="0" w:num="1">
            <w:col w:w="11400"/>
          </w:cols>
          <w:pgMar w:left="240" w:top="125" w:right="259" w:bottom="0" w:gutter="0" w:footer="0" w:header="0"/>
        </w:sectPr>
      </w:pPr>
    </w:p>
    <w:bookmarkStart w:id="36" w:name="page37"/>
    <w:bookmarkEnd w:id="36"/>
    <w:p>
      <w:pPr>
        <w:spacing w:after="0" w:line="1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 in-licensed by us, or that we or our licensors will not be involved in interference, opposition, reexamination, review, reissue, post grant review or invalidity proceedings before U.S. or non-U.S. patent offices.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70" w:lineRule="exact"/>
        <w:rPr>
          <w:sz w:val="20"/>
          <w:szCs w:val="20"/>
          <w:color w:val="auto"/>
        </w:rPr>
      </w:pPr>
    </w:p>
    <w:p>
      <w:pPr>
        <w:ind w:left="1260" w:hanging="280"/>
        <w:spacing w:after="0"/>
        <w:tabs>
          <w:tab w:leader="none" w:pos="1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others may be able to make compounds that are similar to our product candidates, but that are not covered by the claims of our patents;</w:t>
      </w:r>
    </w:p>
    <w:p>
      <w:pPr>
        <w:spacing w:after="0" w:line="46" w:lineRule="exact"/>
        <w:rPr>
          <w:rFonts w:ascii="Arial" w:cs="Arial" w:eastAsia="Arial" w:hAnsi="Arial"/>
          <w:sz w:val="16"/>
          <w:szCs w:val="16"/>
          <w:color w:val="auto"/>
        </w:rPr>
      </w:pPr>
    </w:p>
    <w:p>
      <w:pPr>
        <w:ind w:left="1260" w:hanging="28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granted patents may be held invalid or unenforceable as a result of legal challenges by third parties;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24"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300" w:right="720" w:hanging="320"/>
        <w:spacing w:after="0" w:line="250" w:lineRule="auto"/>
        <w:tabs>
          <w:tab w:leader="none" w:pos="12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9" w:lineRule="exact"/>
        <w:rPr>
          <w:rFonts w:ascii="Arial" w:cs="Arial" w:eastAsia="Arial" w:hAnsi="Arial"/>
          <w:sz w:val="18"/>
          <w:szCs w:val="18"/>
          <w:color w:val="auto"/>
        </w:rPr>
      </w:pPr>
    </w:p>
    <w:p>
      <w:pPr>
        <w:ind w:left="1300" w:hanging="320"/>
        <w:spacing w:after="0" w:line="265" w:lineRule="auto"/>
        <w:tabs>
          <w:tab w:leader="none" w:pos="12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ind w:left="1260" w:hanging="280"/>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w:t>
      </w:r>
    </w:p>
    <w:p>
      <w:pPr>
        <w:spacing w:after="0" w:line="22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rights of others, we may be prevented from using certain intellectual property and may be liable for damages, which in turn could materially adversely affect our business, financial condition or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70"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Our success will depend in part on our ability to operate without infringing the proprietary rights of third parties. We cannot guarantee that our products, or manufacture or use of our product candidates, will not infringe third-party patents. 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scientific personnel.</w:t>
      </w:r>
    </w:p>
    <w:p>
      <w:pPr>
        <w:sectPr>
          <w:pgSz w:w="11900" w:h="16945" w:orient="portrait"/>
          <w:cols w:equalWidth="0" w:num="1">
            <w:col w:w="11400"/>
          </w:cols>
          <w:pgMar w:left="240" w:top="125" w:right="259" w:bottom="0" w:gutter="0" w:footer="0" w:header="0"/>
        </w:sectPr>
      </w:pPr>
    </w:p>
    <w:bookmarkStart w:id="37" w:name="page38"/>
    <w:bookmarkEnd w:id="37"/>
    <w:p>
      <w:pPr>
        <w:spacing w:after="0" w:line="291" w:lineRule="auto"/>
        <w:rPr>
          <w:sz w:val="20"/>
          <w:szCs w:val="20"/>
          <w:color w:val="auto"/>
        </w:rPr>
      </w:pPr>
      <w:r>
        <w:rPr>
          <w:rFonts w:ascii="Arial" w:cs="Arial" w:eastAsia="Arial" w:hAnsi="Arial"/>
          <w:sz w:val="16"/>
          <w:szCs w:val="16"/>
          <w:color w:val="auto"/>
        </w:rPr>
        <w:t>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6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6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260" w:hanging="28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have similar laws that permit secrecy of patent applications, and may be entitled to priority over our applications in such jurisdictions.</w:t>
      </w:r>
    </w:p>
    <w:p>
      <w:pPr>
        <w:spacing w:after="0" w:line="225"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alleged trade secrets.</w:t>
      </w:r>
    </w:p>
    <w:p>
      <w:pPr>
        <w:spacing w:after="0" w:line="24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w:t>
      </w:r>
    </w:p>
    <w:p>
      <w:pPr>
        <w:sectPr>
          <w:pgSz w:w="11900" w:h="16838" w:orient="portrait"/>
          <w:cols w:equalWidth="0" w:num="1">
            <w:col w:w="11420"/>
          </w:cols>
          <w:pgMar w:left="240" w:top="125" w:right="239" w:bottom="0" w:gutter="0" w:footer="0" w:header="0"/>
        </w:sectPr>
      </w:pPr>
    </w:p>
    <w:bookmarkStart w:id="38" w:name="page39"/>
    <w:bookmarkEnd w:id="38"/>
    <w:p>
      <w:pPr>
        <w:spacing w:after="0" w:line="5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2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drug re-innovation approach involves the filing of patent applications covering new methods of use and/or new formulations of previously known, studied and/or marketed drugs. Although the protection afforded by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1" w:lineRule="exact"/>
        <w:rPr>
          <w:sz w:val="20"/>
          <w:szCs w:val="20"/>
          <w:color w:val="auto"/>
        </w:rPr>
      </w:pPr>
    </w:p>
    <w:p>
      <w:pPr>
        <w:ind w:left="1260" w:hanging="28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300" w:right="100" w:hanging="320"/>
        <w:spacing w:after="0" w:line="250" w:lineRule="auto"/>
        <w:tabs>
          <w:tab w:leader="none" w:pos="1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facing additional competition that may have a significant adverse effect on our product pricing, market share, business operations, financial condition, and the commercial viability of our products; and</w:t>
      </w:r>
    </w:p>
    <w:p>
      <w:pPr>
        <w:ind w:left="1300" w:right="60" w:hanging="320"/>
        <w:spacing w:after="0" w:line="323" w:lineRule="auto"/>
        <w:tabs>
          <w:tab w:leader="none" w:pos="1264"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3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7"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47"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Changes to patent law, including the Leahy-Smith America Invests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7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1" w:lineRule="exact"/>
        <w:rPr>
          <w:sz w:val="20"/>
          <w:szCs w:val="20"/>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60" w:hanging="320"/>
        <w:spacing w:after="0" w:line="258" w:lineRule="auto"/>
        <w:tabs>
          <w:tab w:leader="none" w:pos="1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9" w:lineRule="exact"/>
        <w:rPr>
          <w:rFonts w:ascii="Arial" w:cs="Arial" w:eastAsia="Arial" w:hAnsi="Arial"/>
          <w:sz w:val="18"/>
          <w:szCs w:val="18"/>
          <w:color w:val="auto"/>
        </w:rPr>
      </w:pPr>
    </w:p>
    <w:p>
      <w:pPr>
        <w:ind w:left="1300" w:right="320" w:hanging="320"/>
        <w:spacing w:after="0" w:line="250" w:lineRule="auto"/>
        <w:tabs>
          <w:tab w:leader="none" w:pos="1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secure resources and the necessary personnel to conduct clinical trials on our desired schedule;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commencement, enrollment or results of our clinical trials for our product candidates or any future clinical trials we may conduct;</w:t>
      </w:r>
    </w:p>
    <w:p>
      <w:pPr>
        <w:spacing w:after="0" w:line="20" w:lineRule="exact"/>
        <w:rPr>
          <w:rFonts w:ascii="Arial" w:cs="Arial" w:eastAsia="Arial" w:hAnsi="Arial"/>
          <w:sz w:val="17"/>
          <w:szCs w:val="17"/>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300" w:right="340" w:hanging="320"/>
        <w:spacing w:after="0" w:line="250" w:lineRule="auto"/>
        <w:tabs>
          <w:tab w:leader="none" w:pos="1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300" w:hanging="320"/>
        <w:spacing w:after="0" w:line="250" w:lineRule="auto"/>
        <w:tabs>
          <w:tab w:leader="none" w:pos="1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ectPr>
          <w:pgSz w:w="11900" w:h="16888" w:orient="portrait"/>
          <w:cols w:equalWidth="0" w:num="1">
            <w:col w:w="11400"/>
          </w:cols>
          <w:pgMar w:left="240" w:top="125" w:right="259" w:bottom="0" w:gutter="0" w:footer="0" w:header="0"/>
        </w:sectPr>
      </w:pPr>
    </w:p>
    <w:bookmarkStart w:id="39" w:name="page40"/>
    <w:bookmarkEnd w:id="39"/>
    <w:p>
      <w:pPr>
        <w:ind w:left="1260" w:hanging="280"/>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our capital structure or dividend policy, future issuances of securities, sales of large blocks of common stock by our stockholders;</w:t>
      </w:r>
    </w:p>
    <w:p>
      <w:pPr>
        <w:spacing w:after="0" w:line="46" w:lineRule="exact"/>
        <w:rPr>
          <w:rFonts w:ascii="Arial" w:cs="Arial" w:eastAsia="Arial" w:hAnsi="Arial"/>
          <w:sz w:val="16"/>
          <w:szCs w:val="16"/>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from existing technologies and products or new technologies and products that may emerge;</w:t>
      </w:r>
    </w:p>
    <w:p>
      <w:pPr>
        <w:spacing w:after="0" w:line="9" w:lineRule="exact"/>
        <w:rPr>
          <w:rFonts w:ascii="Arial" w:cs="Arial" w:eastAsia="Arial" w:hAnsi="Arial"/>
          <w:sz w:val="18"/>
          <w:szCs w:val="18"/>
          <w:color w:val="auto"/>
        </w:rPr>
      </w:pPr>
    </w:p>
    <w:p>
      <w:pPr>
        <w:ind w:left="1300" w:right="40" w:hanging="320"/>
        <w:spacing w:after="0" w:line="250"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and litigations related to intellectual properties, proprietary rights, and contractual obligations;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if the market for stocks in our industry or industries related to our industry, or the stock market in general, experiences a loss of investor confidence, the trading price of our common stock could decline 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70"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47"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1" w:lineRule="exact"/>
        <w:rPr>
          <w:sz w:val="20"/>
          <w:szCs w:val="20"/>
          <w:color w:val="auto"/>
        </w:rPr>
      </w:pP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20" w:lineRule="exact"/>
        <w:rPr>
          <w:rFonts w:ascii="Arial" w:cs="Arial" w:eastAsia="Arial" w:hAnsi="Arial"/>
          <w:sz w:val="17"/>
          <w:szCs w:val="17"/>
          <w:color w:val="auto"/>
        </w:rPr>
      </w:pPr>
    </w:p>
    <w:p>
      <w:pPr>
        <w:ind w:left="1300" w:right="480" w:hanging="320"/>
        <w:spacing w:after="0" w:line="250" w:lineRule="auto"/>
        <w:tabs>
          <w:tab w:leader="none" w:pos="12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converting the customers of the acquired business onto our platform and contract terms, including disparities in the revenue, licensing, support or professional services model of the acquired company;</w:t>
      </w: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66"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economic conditions may negatively impact our business, financial condition and share price.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Concerns over inflation, energy costs, geopolitical issues, the U.S. mortgage market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continued unstable or unpredictable economic and market conditions. If these conditions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w:t>
      </w:r>
    </w:p>
    <w:p>
      <w:pPr>
        <w:sectPr>
          <w:pgSz w:w="11900" w:h="16838" w:orient="portrait"/>
          <w:cols w:equalWidth="0" w:num="1">
            <w:col w:w="11400"/>
          </w:cols>
          <w:pgMar w:left="240" w:top="125" w:right="259" w:bottom="0" w:gutter="0" w:footer="0" w:header="0"/>
        </w:sectPr>
      </w:pPr>
    </w:p>
    <w:bookmarkStart w:id="40" w:name="page41"/>
    <w:bookmarkEnd w:id="40"/>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of June 30, 2018, our directors, executive officers and principal stockholders, and their respective affiliates, beneficially own approximately 62% of our outstanding shares of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might harm the market price of our common stock by:</w:t>
      </w:r>
    </w:p>
    <w:p>
      <w:pPr>
        <w:spacing w:after="0" w:line="188" w:lineRule="exact"/>
        <w:rPr>
          <w:sz w:val="20"/>
          <w:szCs w:val="20"/>
          <w:color w:val="auto"/>
        </w:rPr>
      </w:pPr>
    </w:p>
    <w:p>
      <w:pPr>
        <w:ind w:left="1260" w:hanging="28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will be able to avail ourselves of reduced disclosure requirements applicable to emerging growth companies, which could make our common stock less attractive to investors.</w:t>
      </w:r>
    </w:p>
    <w:p>
      <w:pPr>
        <w:spacing w:after="0" w:line="170"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 billion in nonconvertible debt during the previous three years; or (iv) the date on which we are deemed to be a large accelerated filer under the rules of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70"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w:t>
      </w:r>
    </w:p>
    <w:p>
      <w:pPr>
        <w:sectPr>
          <w:pgSz w:w="11900" w:h="16885" w:orient="portrait"/>
          <w:cols w:equalWidth="0" w:num="1">
            <w:col w:w="11400"/>
          </w:cols>
          <w:pgMar w:left="240" w:top="125" w:right="259" w:bottom="0" w:gutter="0" w:footer="0" w:header="0"/>
        </w:sectPr>
      </w:pPr>
    </w:p>
    <w:bookmarkStart w:id="41" w:name="page42"/>
    <w:bookmarkEnd w:id="41"/>
    <w:p>
      <w:pPr>
        <w:spacing w:after="0" w:line="103"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1300" w:right="300" w:hanging="320"/>
        <w:spacing w:after="0" w:line="250" w:lineRule="auto"/>
        <w:tabs>
          <w:tab w:leader="none" w:pos="1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1260" w:hanging="28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compliance matters.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a publicly traded company that is separate from BioXcel, we will incur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or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5"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b w:val="1"/>
          <w:bCs w:val="1"/>
          <w:i w:val="1"/>
          <w:iCs w:val="1"/>
          <w:color w:val="auto"/>
        </w:rPr>
        <w:t>If we fail to comply with the rules under the Sarbanes-Oxley Act of 2002 related to accounting controls and procedures in the future, or, if we discover additional material weaknesses and other deficiencies in our internal control and accounting procedures, our stock price could decline significantly and raising capital could be more difficult. Our management determined that our disclosure controls and procedures and internal controls were ineffective as of December 31, 2017 and 2016 and if they continue to be ineffective could result in material misstatements in our financial statements.</w:t>
      </w:r>
    </w:p>
    <w:p>
      <w:pPr>
        <w:spacing w:after="0" w:line="14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In connection with the audit of our consolidated financial statements for the years ended December 31, 2017 and 2016, our management concluded that we had material weaknesses in its internal controls because we did not have adequately designed internal controls to ensure the timely preparation and review of the accounting for certain complex, non-routine transactions by those with appropriate technical expertise, which was necessary to provide reasonable assurance that our consolidated financial statements and related disclosures would be prepared in accordance with generally accepted accounting principles in the United States of America. In addition, we did not have adequately designed and documented financial close and management review controls to properly detect and prevent certain accounting errors and omitted disclosures in the financial statements and related footnotes. We believe we have addressed this weakness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 This investment may result in increased general and administrative expenses and a diversion of management’s time and attention from revenue-generating activities to compliance activities. If additional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U.S. government recently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purchasers of our common stock. We urge our stockholders to consult with their legal and tax advisors with respect to any such legislation and the potential tax consequences of investing in our common stock.</w:t>
      </w:r>
    </w:p>
    <w:p>
      <w:pPr>
        <w:sectPr>
          <w:pgSz w:w="11900" w:h="16941" w:orient="portrait"/>
          <w:cols w:equalWidth="0" w:num="1">
            <w:col w:w="11400"/>
          </w:cols>
          <w:pgMar w:left="240" w:top="125" w:right="25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gridSpan w:val="2"/>
          </w:tcPr>
          <w:p>
            <w:pPr>
              <w:ind w:left="412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24"/>
                <w:szCs w:val="24"/>
                <w:color w:val="auto"/>
              </w:rPr>
            </w:pPr>
          </w:p>
        </w:tc>
        <w:tc>
          <w:tcPr>
            <w:tcW w:w="8540" w:type="dxa"/>
            <w:vAlign w:val="bottom"/>
            <w:gridSpan w:val="7"/>
            <w:vMerge w:val="restart"/>
          </w:tcPr>
          <w:p>
            <w:pPr>
              <w:ind w:left="3220"/>
              <w:spacing w:after="0"/>
              <w:rPr>
                <w:sz w:val="20"/>
                <w:szCs w:val="20"/>
                <w:color w:val="auto"/>
              </w:rPr>
            </w:pPr>
            <w:r>
              <w:rPr>
                <w:rFonts w:ascii="Arial" w:cs="Arial" w:eastAsia="Arial" w:hAnsi="Arial"/>
                <w:sz w:val="14"/>
                <w:szCs w:val="14"/>
                <w:b w:val="1"/>
                <w:bCs w:val="1"/>
                <w:color w:val="auto"/>
              </w:rPr>
              <w:t>Description</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gridSpan w:val="2"/>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540" w:type="dxa"/>
            <w:vAlign w:val="bottom"/>
            <w:tcBorders>
              <w:bottom w:val="single" w:sz="8" w:color="auto"/>
            </w:tcBorders>
            <w:gridSpan w:val="7"/>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Adopted Pursuant to Section 302 of the Sarbanes-Oxley Act of 2002</w:t>
              </w:r>
            </w:hyperlink>
          </w:p>
        </w:tc>
        <w:tc>
          <w:tcPr>
            <w:tcW w:w="50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Adopted Pursuant to Section 302 of the Sarbanes-Oxley Act of 2002.</w:t>
              </w:r>
            </w:hyperlink>
          </w:p>
        </w:tc>
        <w:tc>
          <w:tcPr>
            <w:tcW w:w="4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Oxley Act of 2002.</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5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gridSpan w:val="2"/>
          </w:tcPr>
          <w:p>
            <w:pPr>
              <w:ind w:left="412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-4660265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-4660265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BioXcel Therapeutics, Inc.</w:t>
            </w:r>
          </w:p>
        </w:tc>
        <w:tc>
          <w:tcPr>
            <w:tcW w:w="40" w:type="dxa"/>
            <w:vAlign w:val="bottom"/>
          </w:tcPr>
          <w:p>
            <w:pPr>
              <w:spacing w:after="0"/>
              <w:rPr>
                <w:sz w:val="20"/>
                <w:szCs w:val="20"/>
                <w:color w:val="auto"/>
              </w:rPr>
            </w:pP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Dated: August 8, 2018</w:t>
            </w:r>
          </w:p>
        </w:tc>
        <w:tc>
          <w:tcPr>
            <w:tcW w:w="20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Vimal Mehta</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634"/>
        </w:trPr>
        <w:tc>
          <w:tcPr>
            <w:tcW w:w="3640" w:type="dxa"/>
            <w:vAlign w:val="bottom"/>
          </w:tcPr>
          <w:p>
            <w:pPr>
              <w:spacing w:after="0"/>
              <w:rPr>
                <w:sz w:val="20"/>
                <w:szCs w:val="20"/>
                <w:color w:val="auto"/>
              </w:rPr>
            </w:pPr>
            <w:r>
              <w:rPr>
                <w:rFonts w:ascii="Arial" w:cs="Arial" w:eastAsia="Arial" w:hAnsi="Arial"/>
                <w:sz w:val="18"/>
                <w:szCs w:val="18"/>
                <w:color w:val="auto"/>
              </w:rPr>
              <w:t>Dated: August 8, 2018</w:t>
            </w:r>
          </w:p>
        </w:tc>
        <w:tc>
          <w:tcPr>
            <w:tcW w:w="20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2"/>
          </w:tcPr>
          <w:p>
            <w:pPr>
              <w:jc w:val="right"/>
              <w:ind w:right="553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r>
      <w:tr>
        <w:trPr>
          <w:trHeight w:val="132"/>
        </w:trPr>
        <w:tc>
          <w:tcPr>
            <w:tcW w:w="364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Vimal Mehta, Ph.D., certify that:</w:t>
      </w:r>
    </w:p>
    <w:p>
      <w:pPr>
        <w:spacing w:after="0" w:line="225" w:lineRule="exact"/>
        <w:rPr>
          <w:sz w:val="20"/>
          <w:szCs w:val="20"/>
          <w:color w:val="auto"/>
        </w:rPr>
      </w:pPr>
    </w:p>
    <w:p>
      <w:pPr>
        <w:ind w:left="620" w:hanging="171"/>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BioXcel Therapeutics, Inc.;</w:t>
      </w:r>
    </w:p>
    <w:p>
      <w:pPr>
        <w:spacing w:after="0" w:line="225"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49"/>
        <w:spacing w:after="0" w:line="277" w:lineRule="auto"/>
        <w:tabs>
          <w:tab w:leader="none" w:pos="6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60" w:firstLine="449"/>
        <w:spacing w:after="0" w:line="277" w:lineRule="auto"/>
        <w:tabs>
          <w:tab w:leader="none" w:pos="6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rFonts w:ascii="Arial" w:cs="Arial" w:eastAsia="Arial" w:hAnsi="Arial"/>
          <w:sz w:val="18"/>
          <w:szCs w:val="18"/>
          <w:color w:val="auto"/>
        </w:rPr>
      </w:pPr>
    </w:p>
    <w:p>
      <w:pPr>
        <w:ind w:left="440" w:right="180" w:firstLine="449"/>
        <w:spacing w:after="0" w:line="264" w:lineRule="auto"/>
        <w:tabs>
          <w:tab w:leader="none" w:pos="106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hanging="191"/>
        <w:spacing w:after="0"/>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440" w:right="680" w:firstLine="449"/>
        <w:spacing w:after="0" w:line="342" w:lineRule="auto"/>
        <w:tabs>
          <w:tab w:leader="none" w:pos="1066"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160" w:firstLine="449"/>
        <w:spacing w:after="0" w:line="264" w:lineRule="auto"/>
        <w:tabs>
          <w:tab w:leader="none" w:pos="10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449"/>
        <w:spacing w:after="0" w:line="308" w:lineRule="auto"/>
        <w:tabs>
          <w:tab w:leader="none" w:pos="62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right="80" w:firstLine="449"/>
        <w:spacing w:after="0" w:line="277" w:lineRule="auto"/>
        <w:tabs>
          <w:tab w:leader="none" w:pos="106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580" w:firstLine="449"/>
        <w:spacing w:after="0" w:line="277" w:lineRule="auto"/>
        <w:tabs>
          <w:tab w:leader="none" w:pos="10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64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Vimal Mehta, Ph.D.</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Steinhart, certify that:</w:t>
      </w:r>
    </w:p>
    <w:p>
      <w:pPr>
        <w:spacing w:after="0" w:line="225" w:lineRule="exact"/>
        <w:rPr>
          <w:sz w:val="20"/>
          <w:szCs w:val="20"/>
          <w:color w:val="auto"/>
        </w:rPr>
      </w:pPr>
    </w:p>
    <w:p>
      <w:pPr>
        <w:ind w:left="620" w:hanging="171"/>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BioXcel Therapeutics, Inc.;</w:t>
      </w:r>
    </w:p>
    <w:p>
      <w:pPr>
        <w:spacing w:after="0" w:line="225"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49"/>
        <w:spacing w:after="0" w:line="277" w:lineRule="auto"/>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60" w:firstLine="449"/>
        <w:spacing w:after="0" w:line="277" w:lineRule="auto"/>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rFonts w:ascii="Arial" w:cs="Arial" w:eastAsia="Arial" w:hAnsi="Arial"/>
          <w:sz w:val="18"/>
          <w:szCs w:val="18"/>
          <w:color w:val="auto"/>
        </w:rPr>
      </w:pPr>
    </w:p>
    <w:p>
      <w:pPr>
        <w:ind w:left="440" w:right="180" w:firstLine="449"/>
        <w:spacing w:after="0" w:line="264" w:lineRule="auto"/>
        <w:tabs>
          <w:tab w:leader="none" w:pos="10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hanging="191"/>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440" w:right="680" w:firstLine="449"/>
        <w:spacing w:after="0" w:line="342" w:lineRule="auto"/>
        <w:tabs>
          <w:tab w:leader="none" w:pos="1066"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160" w:firstLine="449"/>
        <w:spacing w:after="0" w:line="264" w:lineRule="auto"/>
        <w:tabs>
          <w:tab w:leader="none" w:pos="10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449"/>
        <w:spacing w:after="0" w:line="308" w:lineRule="auto"/>
        <w:tabs>
          <w:tab w:leader="none" w:pos="62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right="80" w:firstLine="449"/>
        <w:spacing w:after="0" w:line="277" w:lineRule="auto"/>
        <w:tabs>
          <w:tab w:leader="none" w:pos="10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580" w:firstLine="449"/>
        <w:spacing w:after="0" w:line="277" w:lineRule="auto"/>
        <w:tabs>
          <w:tab w:leader="none" w:pos="10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8, 2018</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Richard Steinhart</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5" w:name="page46"/>
    <w:bookmarkEnd w:id="45"/>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In connection with the Quarterly Report on Form 10-Q of BioXcel Therapeutics, Inc. (the “Company”) for the period ended June 30, 2018 as filed with the Securities and Exchange Commission on the date hereof (the “Report”), the undersigned, Vimal Mehta, Chief Executive Officer of the Company, hereby certifies, pursuant to 18 U.S.C. Section 1350, as adopted pursuant to Section 906 of the Sarbanes-Oxley Act of 2002, that to the best of his knowledge:</w:t>
      </w:r>
    </w:p>
    <w:p>
      <w:pPr>
        <w:spacing w:after="0" w:line="147" w:lineRule="exact"/>
        <w:rPr>
          <w:sz w:val="20"/>
          <w:szCs w:val="20"/>
          <w:color w:val="auto"/>
        </w:rPr>
      </w:pPr>
    </w:p>
    <w:p>
      <w:pPr>
        <w:ind w:left="700" w:hanging="251"/>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8, 2018</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Vimal Mehta, Ph.D.</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6" w:name="page47"/>
    <w:bookmarkEnd w:id="46"/>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In connection with the Quarterly Report on Form 10-Q of BioXcel Therapeutics, Inc. (the “Company”) for the period ended June 30, 2018 as filed with the Securities and Exchange Commission on the date hereof (the “Report”), the undersigned, Richard Steinhart, Chief Financial Officer of the Company, hereby certifies, pursuant to 18 U.S.C. Section 1350, as adopted pursuant to Section 906 of the Sarbanes-Oxley Act of 2002, that to the best of his knowledge:</w:t>
      </w:r>
    </w:p>
    <w:p>
      <w:pPr>
        <w:spacing w:after="0" w:line="147" w:lineRule="exact"/>
        <w:rPr>
          <w:sz w:val="20"/>
          <w:szCs w:val="20"/>
          <w:color w:val="auto"/>
        </w:rPr>
      </w:pPr>
    </w:p>
    <w:p>
      <w:pPr>
        <w:ind w:left="700" w:hanging="25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8, 2018</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Richard Steinhart</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Roman"/>
      <w:start w:val="2"/>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2"/>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2020-01-13T06:20:39Z</dcterms:created>
  <dcterms:modified xsi:type="dcterms:W3CDTF">2020-01-13T06:20:39Z</dcterms:modified>
</cp:coreProperties>
</file>