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72390</wp:posOffset>
            </wp:positionV>
            <wp:extent cx="1655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89535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04" w:lineRule="exact"/>
        <w:rPr>
          <w:sz w:val="24"/>
          <w:szCs w:val="24"/>
          <w:color w:val="auto"/>
        </w:rPr>
      </w:pPr>
    </w:p>
    <w:p>
      <w:pPr>
        <w:jc w:val="center"/>
        <w:ind w:left="3220" w:right="440" w:hanging="2928"/>
        <w:spacing w:after="0" w:line="375" w:lineRule="auto"/>
        <w:tabs>
          <w:tab w:leader="none" w:pos="746"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2019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760" w:hanging="468"/>
        <w:spacing w:after="0"/>
        <w:tabs>
          <w:tab w:leader="none" w:pos="7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tbl>
      <w:tblPr>
        <w:tblLayout w:type="fixed"/>
        <w:tblInd w:w="1500" w:type="dxa"/>
        <w:tblCellMar>
          <w:top w:w="0" w:type="dxa"/>
          <w:left w:w="0" w:type="dxa"/>
          <w:bottom w:w="0" w:type="dxa"/>
          <w:right w:w="0" w:type="dxa"/>
        </w:tblCellMar>
      </w:tblPr>
      <w:tr>
        <w:trPr>
          <w:trHeight w:val="234"/>
        </w:trPr>
        <w:tc>
          <w:tcPr>
            <w:tcW w:w="5520" w:type="dxa"/>
            <w:vAlign w:val="bottom"/>
            <w:gridSpan w:val="3"/>
          </w:tcPr>
          <w:p>
            <w:pPr>
              <w:ind w:left="2020"/>
              <w:spacing w:after="0"/>
              <w:rPr>
                <w:sz w:val="20"/>
                <w:szCs w:val="20"/>
                <w:color w:val="auto"/>
              </w:rPr>
            </w:pPr>
            <w:r>
              <w:rPr>
                <w:rFonts w:ascii="Arial" w:cs="Arial" w:eastAsia="Arial" w:hAnsi="Arial"/>
                <w:sz w:val="18"/>
                <w:szCs w:val="18"/>
                <w:b w:val="1"/>
                <w:bCs w:val="1"/>
                <w:color w:val="auto"/>
              </w:rPr>
              <w:t>For the transition period from</w:t>
            </w:r>
          </w:p>
        </w:tc>
        <w:tc>
          <w:tcPr>
            <w:tcW w:w="1360" w:type="dxa"/>
            <w:vAlign w:val="bottom"/>
          </w:tcPr>
          <w:p>
            <w:pPr>
              <w:ind w:left="460"/>
              <w:spacing w:after="0"/>
              <w:rPr>
                <w:sz w:val="20"/>
                <w:szCs w:val="20"/>
                <w:color w:val="auto"/>
              </w:rPr>
            </w:pPr>
            <w:r>
              <w:rPr>
                <w:rFonts w:ascii="Arial" w:cs="Arial" w:eastAsia="Arial" w:hAnsi="Arial"/>
                <w:sz w:val="18"/>
                <w:szCs w:val="18"/>
                <w:b w:val="1"/>
                <w:bCs w:val="1"/>
                <w:color w:val="auto"/>
              </w:rPr>
              <w:t>to</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p>
        </w:tc>
        <w:tc>
          <w:tcPr>
            <w:tcW w:w="3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Commission File Number: 001-38410</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0"/>
        </w:trPr>
        <w:tc>
          <w:tcPr>
            <w:tcW w:w="5520" w:type="dxa"/>
            <w:vAlign w:val="bottom"/>
            <w:gridSpan w:val="3"/>
          </w:tcPr>
          <w:p>
            <w:pPr>
              <w:jc w:val="center"/>
              <w:ind w:left="1781"/>
              <w:spacing w:after="0"/>
              <w:rPr>
                <w:sz w:val="20"/>
                <w:szCs w:val="20"/>
                <w:color w:val="auto"/>
              </w:rPr>
            </w:pPr>
            <w:r>
              <w:rPr>
                <w:rFonts w:ascii="Arial" w:cs="Arial" w:eastAsia="Arial" w:hAnsi="Arial"/>
                <w:sz w:val="25"/>
                <w:szCs w:val="25"/>
                <w:b w:val="1"/>
                <w:bCs w:val="1"/>
                <w:color w:val="auto"/>
                <w:w w:val="91"/>
              </w:rPr>
              <w:t>BioXcel Therapeutics, Inc.</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520" w:type="dxa"/>
            <w:vAlign w:val="bottom"/>
            <w:gridSpan w:val="3"/>
          </w:tcPr>
          <w:p>
            <w:pPr>
              <w:jc w:val="center"/>
              <w:ind w:left="1801"/>
              <w:spacing w:after="0"/>
              <w:rPr>
                <w:sz w:val="20"/>
                <w:szCs w:val="20"/>
                <w:color w:val="auto"/>
              </w:rPr>
            </w:pPr>
            <w:r>
              <w:rPr>
                <w:rFonts w:ascii="Arial" w:cs="Arial" w:eastAsia="Arial" w:hAnsi="Arial"/>
                <w:sz w:val="14"/>
                <w:szCs w:val="14"/>
                <w:color w:val="auto"/>
                <w:w w:val="93"/>
              </w:rPr>
              <w:t>(Exact name of registrant as specified in its Charter)</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400" w:type="dxa"/>
            <w:vAlign w:val="bottom"/>
          </w:tcPr>
          <w:p>
            <w:pPr>
              <w:spacing w:after="0"/>
              <w:rPr>
                <w:sz w:val="8"/>
                <w:szCs w:val="8"/>
                <w:color w:val="auto"/>
              </w:rPr>
            </w:pPr>
          </w:p>
        </w:tc>
        <w:tc>
          <w:tcPr>
            <w:tcW w:w="26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5520" w:type="dxa"/>
            <w:vAlign w:val="bottom"/>
            <w:gridSpan w:val="3"/>
          </w:tcPr>
          <w:p>
            <w:pPr>
              <w:jc w:val="center"/>
              <w:ind w:right="3220"/>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5"/>
              <w:spacing w:after="0" w:line="161" w:lineRule="exact"/>
              <w:rPr>
                <w:sz w:val="20"/>
                <w:szCs w:val="20"/>
                <w:color w:val="auto"/>
              </w:rPr>
            </w:pPr>
            <w:r>
              <w:rPr>
                <w:rFonts w:ascii="Arial" w:cs="Arial" w:eastAsia="Arial" w:hAnsi="Arial"/>
                <w:sz w:val="14"/>
                <w:szCs w:val="14"/>
                <w:b w:val="1"/>
                <w:bCs w:val="1"/>
                <w:color w:val="auto"/>
                <w:w w:val="94"/>
              </w:rPr>
              <w:t>82</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1386754</w:t>
            </w:r>
          </w:p>
        </w:tc>
        <w:tc>
          <w:tcPr>
            <w:tcW w:w="0" w:type="dxa"/>
            <w:vAlign w:val="bottom"/>
          </w:tcPr>
          <w:p>
            <w:pPr>
              <w:spacing w:after="0"/>
              <w:rPr>
                <w:sz w:val="1"/>
                <w:szCs w:val="1"/>
                <w:color w:val="auto"/>
              </w:rPr>
            </w:pPr>
          </w:p>
        </w:tc>
      </w:tr>
      <w:tr>
        <w:trPr>
          <w:trHeight w:val="149"/>
        </w:trPr>
        <w:tc>
          <w:tcPr>
            <w:tcW w:w="5520" w:type="dxa"/>
            <w:vAlign w:val="bottom"/>
            <w:gridSpan w:val="3"/>
          </w:tcPr>
          <w:p>
            <w:pPr>
              <w:jc w:val="center"/>
              <w:ind w:right="3220"/>
              <w:spacing w:after="0" w:line="149" w:lineRule="exact"/>
              <w:rPr>
                <w:sz w:val="20"/>
                <w:szCs w:val="20"/>
                <w:color w:val="auto"/>
              </w:rPr>
            </w:pPr>
            <w:r>
              <w:rPr>
                <w:rFonts w:ascii="Arial" w:cs="Arial" w:eastAsia="Arial" w:hAnsi="Arial"/>
                <w:sz w:val="14"/>
                <w:szCs w:val="14"/>
                <w:color w:val="auto"/>
                <w:w w:val="94"/>
              </w:rPr>
              <w:t>(State or other jurisdiction of</w:t>
            </w:r>
          </w:p>
        </w:tc>
        <w:tc>
          <w:tcPr>
            <w:tcW w:w="1360" w:type="dxa"/>
            <w:vAlign w:val="bottom"/>
          </w:tcPr>
          <w:p>
            <w:pPr>
              <w:jc w:val="center"/>
              <w:ind w:left="225"/>
              <w:spacing w:after="0" w:line="149"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5520" w:type="dxa"/>
            <w:vAlign w:val="bottom"/>
            <w:gridSpan w:val="3"/>
          </w:tcPr>
          <w:p>
            <w:pPr>
              <w:ind w:left="340"/>
              <w:spacing w:after="0"/>
              <w:rPr>
                <w:sz w:val="20"/>
                <w:szCs w:val="20"/>
                <w:color w:val="auto"/>
              </w:rPr>
            </w:pPr>
            <w:r>
              <w:rPr>
                <w:rFonts w:ascii="Arial" w:cs="Arial" w:eastAsia="Arial" w:hAnsi="Arial"/>
                <w:sz w:val="14"/>
                <w:szCs w:val="14"/>
                <w:color w:val="auto"/>
              </w:rPr>
              <w:t>incorporation or organization)</w:t>
            </w:r>
          </w:p>
        </w:tc>
        <w:tc>
          <w:tcPr>
            <w:tcW w:w="1360" w:type="dxa"/>
            <w:vAlign w:val="bottom"/>
          </w:tcPr>
          <w:p>
            <w:pPr>
              <w:jc w:val="center"/>
              <w:ind w:left="225"/>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05"/>
        </w:trPr>
        <w:tc>
          <w:tcPr>
            <w:tcW w:w="5520" w:type="dxa"/>
            <w:vAlign w:val="bottom"/>
            <w:gridSpan w:val="3"/>
          </w:tcPr>
          <w:p>
            <w:pPr>
              <w:jc w:val="center"/>
              <w:ind w:right="3220"/>
              <w:spacing w:after="0"/>
              <w:rPr>
                <w:sz w:val="20"/>
                <w:szCs w:val="20"/>
                <w:color w:val="auto"/>
              </w:rPr>
            </w:pPr>
            <w:r>
              <w:rPr>
                <w:rFonts w:ascii="Arial" w:cs="Arial" w:eastAsia="Arial" w:hAnsi="Arial"/>
                <w:sz w:val="14"/>
                <w:szCs w:val="14"/>
                <w:b w:val="1"/>
                <w:bCs w:val="1"/>
                <w:color w:val="auto"/>
                <w:w w:val="95"/>
              </w:rPr>
              <w:t>555 Long Wharf Drive</w:t>
            </w:r>
          </w:p>
        </w:tc>
        <w:tc>
          <w:tcPr>
            <w:tcW w:w="136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06511</w:t>
            </w:r>
          </w:p>
        </w:tc>
        <w:tc>
          <w:tcPr>
            <w:tcW w:w="0" w:type="dxa"/>
            <w:vAlign w:val="bottom"/>
          </w:tcPr>
          <w:p>
            <w:pPr>
              <w:spacing w:after="0"/>
              <w:rPr>
                <w:sz w:val="1"/>
                <w:szCs w:val="1"/>
                <w:color w:val="auto"/>
              </w:rPr>
            </w:pPr>
          </w:p>
        </w:tc>
      </w:tr>
      <w:tr>
        <w:trPr>
          <w:trHeight w:val="153"/>
        </w:trPr>
        <w:tc>
          <w:tcPr>
            <w:tcW w:w="5520" w:type="dxa"/>
            <w:vAlign w:val="bottom"/>
            <w:gridSpan w:val="3"/>
          </w:tcPr>
          <w:p>
            <w:pPr>
              <w:jc w:val="center"/>
              <w:ind w:right="3220"/>
              <w:spacing w:after="0" w:line="153" w:lineRule="exact"/>
              <w:rPr>
                <w:sz w:val="20"/>
                <w:szCs w:val="20"/>
                <w:color w:val="auto"/>
              </w:rPr>
            </w:pPr>
            <w:r>
              <w:rPr>
                <w:rFonts w:ascii="Arial" w:cs="Arial" w:eastAsia="Arial" w:hAnsi="Arial"/>
                <w:sz w:val="14"/>
                <w:szCs w:val="14"/>
                <w:b w:val="1"/>
                <w:bCs w:val="1"/>
                <w:color w:val="auto"/>
              </w:rPr>
              <w:t>New Haven, CT</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20" w:type="dxa"/>
            <w:vAlign w:val="bottom"/>
            <w:gridSpan w:val="3"/>
          </w:tcPr>
          <w:p>
            <w:pPr>
              <w:jc w:val="center"/>
              <w:ind w:right="3240"/>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225"/>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18"/>
                <w:szCs w:val="18"/>
                <w:color w:val="auto"/>
              </w:rPr>
            </w:pPr>
          </w:p>
        </w:tc>
        <w:tc>
          <w:tcPr>
            <w:tcW w:w="3120" w:type="dxa"/>
            <w:vAlign w:val="bottom"/>
            <w:gridSpan w:val="2"/>
          </w:tcPr>
          <w:p>
            <w:pPr>
              <w:jc w:val="center"/>
              <w:ind w:right="540"/>
              <w:spacing w:after="0" w:line="161" w:lineRule="exact"/>
              <w:rPr>
                <w:sz w:val="20"/>
                <w:szCs w:val="20"/>
                <w:color w:val="auto"/>
              </w:rPr>
            </w:pPr>
            <w:r>
              <w:rPr>
                <w:rFonts w:ascii="Arial" w:cs="Arial" w:eastAsia="Arial" w:hAnsi="Arial"/>
                <w:sz w:val="14"/>
                <w:szCs w:val="14"/>
                <w:b w:val="1"/>
                <w:bCs w:val="1"/>
                <w:color w:val="auto"/>
                <w:w w:val="94"/>
              </w:rPr>
              <w:t>(475) 238</w:t>
            </w:r>
            <w:r>
              <w:rPr>
                <w:rFonts w:ascii="MS PGothic" w:cs="MS PGothic" w:eastAsia="MS PGothic" w:hAnsi="MS PGothic"/>
                <w:sz w:val="14"/>
                <w:szCs w:val="14"/>
                <w:b w:val="1"/>
                <w:bCs w:val="1"/>
                <w:color w:val="auto"/>
                <w:w w:val="94"/>
              </w:rPr>
              <w:t>‑</w:t>
            </w:r>
            <w:r>
              <w:rPr>
                <w:rFonts w:ascii="Arial" w:cs="Arial" w:eastAsia="Arial" w:hAnsi="Arial"/>
                <w:sz w:val="14"/>
                <w:szCs w:val="14"/>
                <w:b w:val="1"/>
                <w:bCs w:val="1"/>
                <w:color w:val="auto"/>
                <w:w w:val="94"/>
              </w:rPr>
              <w:t>6837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20" w:type="dxa"/>
            <w:vAlign w:val="bottom"/>
            <w:gridSpan w:val="3"/>
          </w:tcPr>
          <w:p>
            <w:pPr>
              <w:jc w:val="center"/>
              <w:ind w:left="1801"/>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125095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38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340"/>
          </w:cols>
          <w:pgMar w:left="760" w:top="233" w:right="799" w:bottom="1440" w:gutter="0" w:footer="0" w:header="0"/>
        </w:sectPr>
      </w:pPr>
    </w:p>
    <w:p>
      <w:pPr>
        <w:spacing w:after="0" w:line="109" w:lineRule="exact"/>
        <w:rPr>
          <w:sz w:val="24"/>
          <w:szCs w:val="24"/>
          <w:color w:val="auto"/>
        </w:rPr>
      </w:pPr>
    </w:p>
    <w:p>
      <w:pPr>
        <w:jc w:val="center"/>
        <w:ind w:right="160"/>
        <w:spacing w:after="0"/>
        <w:rPr>
          <w:sz w:val="20"/>
          <w:szCs w:val="20"/>
          <w:color w:val="auto"/>
        </w:rPr>
      </w:pPr>
      <w:r>
        <w:rPr>
          <w:rFonts w:ascii="Arial" w:cs="Arial" w:eastAsia="Arial" w:hAnsi="Arial"/>
          <w:sz w:val="12"/>
          <w:szCs w:val="12"/>
          <w:b w:val="1"/>
          <w:bCs w:val="1"/>
          <w:color w:val="auto"/>
        </w:rPr>
        <w:t>Title of each class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Trading Symbol(s)</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BTAI</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6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4"/>
          <w:szCs w:val="14"/>
          <w:color w:val="auto"/>
        </w:rPr>
        <w:t>Nasdaq Capital Market</w:t>
      </w:r>
    </w:p>
    <w:p>
      <w:pPr>
        <w:spacing w:after="0" w:line="9" w:lineRule="exact"/>
        <w:rPr>
          <w:sz w:val="24"/>
          <w:szCs w:val="24"/>
          <w:color w:val="auto"/>
        </w:rPr>
      </w:pPr>
    </w:p>
    <w:p>
      <w:pPr>
        <w:sectPr>
          <w:pgSz w:w="11900" w:h="16838" w:orient="portrait"/>
          <w:cols w:equalWidth="0" w:num="3">
            <w:col w:w="3620" w:space="720"/>
            <w:col w:w="1980" w:space="720"/>
            <w:col w:w="3300"/>
          </w:cols>
          <w:pgMar w:left="760" w:top="233" w:right="799" w:bottom="1440" w:gutter="0" w:footer="0" w:header="0"/>
          <w:type w:val="continuous"/>
        </w:sectPr>
      </w:pPr>
    </w:p>
    <w:p>
      <w:pPr>
        <w:ind w:left="960"/>
        <w:spacing w:after="0"/>
        <w:rPr>
          <w:sz w:val="20"/>
          <w:szCs w:val="20"/>
          <w:color w:val="auto"/>
        </w:rPr>
      </w:pPr>
      <w:r>
        <w:rPr>
          <w:rFonts w:ascii="Arial" w:cs="Arial" w:eastAsia="Arial" w:hAnsi="Arial"/>
          <w:sz w:val="12"/>
          <w:szCs w:val="12"/>
          <w:color w:val="auto"/>
        </w:rPr>
        <w:t>$0.001 par value per share</w:t>
      </w:r>
    </w:p>
    <w:p>
      <w:pPr>
        <w:sectPr>
          <w:pgSz w:w="11900" w:h="16838" w:orient="portrait"/>
          <w:cols w:equalWidth="0" w:num="1">
            <w:col w:w="10340"/>
          </w:cols>
          <w:pgMar w:left="760" w:top="233" w:right="799" w:bottom="1440" w:gutter="0" w:footer="0" w:header="0"/>
          <w:type w:val="continuous"/>
        </w:sectPr>
      </w:pPr>
    </w:p>
    <w:p>
      <w:pPr>
        <w:spacing w:after="0" w:line="125" w:lineRule="exact"/>
        <w:rPr>
          <w:sz w:val="24"/>
          <w:szCs w:val="24"/>
          <w:color w:val="auto"/>
        </w:rPr>
      </w:pPr>
    </w:p>
    <w:p>
      <w:pPr>
        <w:ind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9" w:lineRule="exact"/>
        <w:rPr>
          <w:sz w:val="24"/>
          <w:szCs w:val="24"/>
          <w:color w:val="auto"/>
        </w:rPr>
      </w:pPr>
    </w:p>
    <w:p>
      <w:pPr>
        <w:ind w:right="8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0340"/>
          </w:cols>
          <w:pgMar w:left="760" w:top="233" w:right="799" w:bottom="1440" w:gutter="0" w:footer="0" w:header="0"/>
          <w:type w:val="continuous"/>
        </w:sectPr>
      </w:pPr>
    </w:p>
    <w:p>
      <w:pPr>
        <w:spacing w:after="0" w:line="56" w:lineRule="exact"/>
        <w:rPr>
          <w:sz w:val="24"/>
          <w:szCs w:val="24"/>
          <w:color w:val="auto"/>
        </w:rPr>
      </w:pPr>
    </w:p>
    <w:p>
      <w:pPr>
        <w:ind w:left="1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1" w:lineRule="exact"/>
        <w:rPr>
          <w:sz w:val="24"/>
          <w:szCs w:val="24"/>
          <w:color w:val="auto"/>
        </w:rPr>
      </w:pPr>
    </w:p>
    <w:p>
      <w:pPr>
        <w:sectPr>
          <w:pgSz w:w="11900" w:h="16838" w:orient="portrait"/>
          <w:cols w:equalWidth="0" w:num="2">
            <w:col w:w="6520" w:space="720"/>
            <w:col w:w="3100"/>
          </w:cols>
          <w:pgMar w:left="760" w:top="233" w:right="799" w:bottom="1440" w:gutter="0" w:footer="0" w:header="0"/>
          <w:type w:val="continuous"/>
        </w:sectPr>
      </w:pPr>
    </w:p>
    <w:p>
      <w:pPr>
        <w:ind w:left="19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200" w:space="720"/>
            <w:col w:w="3420"/>
          </w:cols>
          <w:pgMar w:left="760" w:top="233" w:right="799" w:bottom="1440" w:gutter="0" w:footer="0" w:header="0"/>
          <w:type w:val="continuous"/>
        </w:sectPr>
      </w:pPr>
    </w:p>
    <w:p>
      <w:pPr>
        <w:ind w:left="69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340"/>
          </w:cols>
          <w:pgMar w:left="760" w:top="233" w:right="799" w:bottom="1440" w:gutter="0" w:footer="0" w:header="0"/>
          <w:type w:val="continuous"/>
        </w:sectPr>
      </w:pPr>
    </w:p>
    <w:p>
      <w:pPr>
        <w:spacing w:after="0" w:line="134" w:lineRule="exact"/>
        <w:rPr>
          <w:sz w:val="24"/>
          <w:szCs w:val="24"/>
          <w:color w:val="auto"/>
        </w:rPr>
      </w:pPr>
    </w:p>
    <w:p>
      <w:pPr>
        <w:ind w:right="3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$0.001 par value per share, outstanding at November 8, 2019 was 18,035,025.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81280</wp:posOffset>
            </wp:positionV>
            <wp:extent cx="66122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66122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20" w:type="dxa"/>
            <w:vAlign w:val="bottom"/>
            <w:gridSpan w:val="13"/>
            <w:vMerge w:val="restart"/>
          </w:tcPr>
          <w:p>
            <w:pPr>
              <w:ind w:left="20"/>
              <w:spacing w:after="0"/>
              <w:rPr>
                <w:sz w:val="20"/>
                <w:szCs w:val="20"/>
                <w:color w:val="auto"/>
              </w:rPr>
            </w:pPr>
            <w:r>
              <w:rPr>
                <w:rFonts w:ascii="Arial" w:cs="Arial" w:eastAsia="Arial" w:hAnsi="Arial"/>
                <w:sz w:val="18"/>
                <w:szCs w:val="18"/>
                <w:b w:val="1"/>
                <w:bCs w:val="1"/>
                <w:color w:val="auto"/>
              </w:rPr>
              <w:t>PART I - FINANCIAL INFORMATION</w:t>
            </w: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20" w:type="dxa"/>
            <w:vAlign w:val="bottom"/>
            <w:gridSpan w:val="13"/>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Forward Looking Statements</w:t>
              </w:r>
            </w:hyperlink>
          </w:p>
        </w:tc>
        <w:tc>
          <w:tcPr>
            <w:tcW w:w="562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w:t>
              </w:r>
            </w:hyperlink>
          </w:p>
        </w:tc>
        <w:tc>
          <w:tcPr>
            <w:tcW w:w="340" w:type="dxa"/>
            <w:vAlign w:val="bottom"/>
            <w:gridSpan w:val="3"/>
          </w:tcPr>
          <w:p>
            <w:pPr>
              <w:spacing w:after="0"/>
              <w:rPr>
                <w:sz w:val="17"/>
                <w:szCs w:val="17"/>
                <w:color w:val="auto"/>
              </w:rPr>
            </w:pPr>
          </w:p>
        </w:tc>
        <w:tc>
          <w:tcPr>
            <w:tcW w:w="24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Financial Statements (Unaudited)</w:t>
              </w:r>
            </w:hyperlink>
          </w:p>
        </w:tc>
        <w:tc>
          <w:tcPr>
            <w:tcW w:w="5300" w:type="dxa"/>
            <w:vAlign w:val="bottom"/>
            <w:gridSpan w:val="9"/>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Balance Sheets as of September 30, 2019 and December 31, 2018</w:t>
              </w:r>
            </w:hyperlink>
          </w:p>
        </w:tc>
        <w:tc>
          <w:tcPr>
            <w:tcW w:w="298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Statements of Operations for the three and nine months ended September 30, 2019 and 2018</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Statements of Changes in Stockholders’ Equity for the three and nine months ended September 30, 2019</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74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and 2018</w:t>
              </w:r>
            </w:hyperlink>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Statements of Cash Flows for the nine months ended September 30, 2019 and 2018</w:t>
              </w:r>
            </w:hyperlink>
          </w:p>
        </w:tc>
        <w:tc>
          <w:tcPr>
            <w:tcW w:w="172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2.</w:t>
              </w:r>
            </w:hyperlink>
          </w:p>
        </w:tc>
        <w:tc>
          <w:tcPr>
            <w:tcW w:w="340" w:type="dxa"/>
            <w:vAlign w:val="bottom"/>
            <w:gridSpan w:val="3"/>
          </w:tcPr>
          <w:p>
            <w:pPr>
              <w:spacing w:after="0"/>
              <w:rPr>
                <w:sz w:val="17"/>
                <w:szCs w:val="17"/>
                <w:color w:val="auto"/>
              </w:rPr>
            </w:pP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Management’s Discussion and Analysis of Financial Condition and Results of Operations</w:t>
              </w:r>
            </w:hyperlink>
          </w:p>
        </w:tc>
        <w:tc>
          <w:tcPr>
            <w:tcW w:w="1260" w:type="dxa"/>
            <w:vAlign w:val="bottom"/>
            <w:gridSpan w:val="3"/>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Quantitative and Qualitative Disclosures About Market Risk</w:t>
              </w:r>
            </w:hyperlink>
          </w:p>
        </w:tc>
        <w:tc>
          <w:tcPr>
            <w:tcW w:w="336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580" w:type="dxa"/>
            <w:vAlign w:val="bottom"/>
            <w:gridSpan w:val="12"/>
          </w:tcPr>
          <w:p>
            <w:pPr>
              <w:ind w:left="160"/>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1.</w:t>
              </w:r>
            </w:hyperlink>
          </w:p>
        </w:tc>
        <w:tc>
          <w:tcPr>
            <w:tcW w:w="340" w:type="dxa"/>
            <w:vAlign w:val="bottom"/>
            <w:gridSpan w:val="3"/>
          </w:tcPr>
          <w:p>
            <w:pPr>
              <w:spacing w:after="0"/>
              <w:rPr>
                <w:sz w:val="24"/>
                <w:szCs w:val="24"/>
                <w:color w:val="auto"/>
              </w:rPr>
            </w:pPr>
          </w:p>
        </w:tc>
        <w:tc>
          <w:tcPr>
            <w:tcW w:w="2300" w:type="dxa"/>
            <w:vAlign w:val="bottom"/>
            <w:gridSpan w:val="9"/>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Legal Proceedings</w:t>
              </w:r>
            </w:hyperlink>
          </w:p>
        </w:tc>
        <w:tc>
          <w:tcPr>
            <w:tcW w:w="2720" w:type="dxa"/>
            <w:vAlign w:val="bottom"/>
            <w:tcBorders>
              <w:top w:val="single" w:sz="8" w:color="0000EE"/>
            </w:tcBorders>
            <w:gridSpan w:val="6"/>
          </w:tcPr>
          <w:p>
            <w:pPr>
              <w:spacing w:after="0"/>
              <w:rPr>
                <w:sz w:val="24"/>
                <w:szCs w:val="24"/>
                <w:color w:val="auto"/>
              </w:rPr>
            </w:pPr>
          </w:p>
        </w:tc>
        <w:tc>
          <w:tcPr>
            <w:tcW w:w="270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720" w:type="dxa"/>
            <w:vAlign w:val="bottom"/>
            <w:gridSpan w:val="2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Unregistered Sales of Equity Securities and Use of Proceeds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3.</w:t>
              </w:r>
            </w:hyperlink>
          </w:p>
        </w:tc>
        <w:tc>
          <w:tcPr>
            <w:tcW w:w="340" w:type="dxa"/>
            <w:vAlign w:val="bottom"/>
            <w:gridSpan w:val="3"/>
          </w:tcPr>
          <w:p>
            <w:pPr>
              <w:spacing w:after="0"/>
              <w:rPr>
                <w:sz w:val="17"/>
                <w:szCs w:val="17"/>
                <w:color w:val="auto"/>
              </w:rPr>
            </w:pPr>
          </w:p>
        </w:tc>
        <w:tc>
          <w:tcPr>
            <w:tcW w:w="23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38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4.</w:t>
              </w:r>
            </w:hyperlink>
          </w:p>
        </w:tc>
        <w:tc>
          <w:tcPr>
            <w:tcW w:w="340" w:type="dxa"/>
            <w:vAlign w:val="bottom"/>
            <w:gridSpan w:val="3"/>
          </w:tcPr>
          <w:p>
            <w:pPr>
              <w:spacing w:after="0"/>
              <w:rPr>
                <w:sz w:val="17"/>
                <w:szCs w:val="17"/>
                <w:color w:val="auto"/>
              </w:rPr>
            </w:pPr>
          </w:p>
        </w:tc>
        <w:tc>
          <w:tcPr>
            <w:tcW w:w="77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Mine Safety Disclosures</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Item 5.</w:t>
              </w:r>
            </w:hyperlink>
          </w:p>
        </w:tc>
        <w:tc>
          <w:tcPr>
            <w:tcW w:w="340" w:type="dxa"/>
            <w:vAlign w:val="bottom"/>
            <w:gridSpan w:val="3"/>
          </w:tcPr>
          <w:p>
            <w:pPr>
              <w:spacing w:after="0"/>
              <w:rPr>
                <w:sz w:val="17"/>
                <w:szCs w:val="17"/>
                <w:color w:val="auto"/>
              </w:rPr>
            </w:pPr>
          </w:p>
        </w:tc>
        <w:tc>
          <w:tcPr>
            <w:tcW w:w="17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5960" w:type="dxa"/>
            <w:vAlign w:val="bottom"/>
            <w:gridSpan w:val="1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Item 6.</w:t>
              </w:r>
            </w:hyperlink>
          </w:p>
        </w:tc>
        <w:tc>
          <w:tcPr>
            <w:tcW w:w="340" w:type="dxa"/>
            <w:vAlign w:val="bottom"/>
            <w:gridSpan w:val="3"/>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Exhibits</w:t>
              </w:r>
            </w:hyperlink>
          </w:p>
        </w:tc>
        <w:tc>
          <w:tcPr>
            <w:tcW w:w="720" w:type="dxa"/>
            <w:vAlign w:val="bottom"/>
            <w:tcBorders>
              <w:top w:val="single" w:sz="8" w:color="0000EE"/>
            </w:tcBorders>
            <w:gridSpan w:val="3"/>
          </w:tcPr>
          <w:p>
            <w:pPr>
              <w:spacing w:after="0"/>
              <w:rPr>
                <w:sz w:val="17"/>
                <w:szCs w:val="17"/>
                <w:color w:val="auto"/>
              </w:rPr>
            </w:pPr>
          </w:p>
        </w:tc>
        <w:tc>
          <w:tcPr>
            <w:tcW w:w="6400" w:type="dxa"/>
            <w:vAlign w:val="bottom"/>
            <w:gridSpan w:val="1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860" w:type="dxa"/>
            <w:vAlign w:val="bottom"/>
            <w:gridSpan w:val="4"/>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Signatures</w:t>
              </w:r>
            </w:hyperlink>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898"/>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12"/>
          </w:tcPr>
          <w:p>
            <w:pPr>
              <w:ind w:left="362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This Quarterly Report on Form 10-Q, or this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78"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relating to clinical trials for BXCL501, BXCL701 and our other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505(b)(2) regulatory path approval;</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225" w:lineRule="exact"/>
        <w:rPr>
          <w:rFonts w:ascii="Arial" w:cs="Arial" w:eastAsia="Arial" w:hAnsi="Arial"/>
          <w:sz w:val="18"/>
          <w:szCs w:val="18"/>
          <w:color w:val="auto"/>
        </w:rPr>
      </w:pPr>
    </w:p>
    <w:p>
      <w:pPr>
        <w:ind w:left="660" w:right="70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seek to enter into collaborations for the development and commercialization of certain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225" w:lineRule="exact"/>
        <w:rPr>
          <w:rFonts w:ascii="Arial" w:cs="Arial" w:eastAsia="Arial" w:hAnsi="Arial"/>
          <w:sz w:val="18"/>
          <w:szCs w:val="18"/>
          <w:color w:val="auto"/>
        </w:rPr>
      </w:pPr>
    </w:p>
    <w:p>
      <w:pPr>
        <w:ind w:left="660" w:right="620" w:hanging="333"/>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intellectual property position and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 for additional financing;</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relationship with BioXcel Corporation (“BioXcel” or “Parent”).</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2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the “Company” or “BTI” refer to BioXcel Therapeutics, Inc. and its subsidiaries, and “BioXcel” or “Parent” refer to BioXcel Corporation, the Company’s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40,252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from Parent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43,697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4,238</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Due to Parent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9,277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$0.001 par value, 10,000,000 shares authorized; no shares issued or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2"/>
              </w:rPr>
              <w:t>Common stock, $0.001 par value, 50,000,000 shares authorized; 18,035,025 and 15,663,221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0"/>
              </w:rPr>
              <w:t>shares issued and outstanding as of September 30, 2019 and December 31, 2018, respectively</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(48,413)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43,697</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2500" w:type="dxa"/>
            <w:vAlign w:val="bottom"/>
            <w:gridSpan w:val="7"/>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and interest income, net</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7"/>
        </w:trPr>
        <w:tc>
          <w:tcPr>
            <w:tcW w:w="4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(12,195)</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320" w:type="dxa"/>
            <w:vAlign w:val="bottom"/>
          </w:tcPr>
          <w:p>
            <w:pPr>
              <w:spacing w:after="0" w:line="201" w:lineRule="exact"/>
              <w:rPr>
                <w:sz w:val="20"/>
                <w:szCs w:val="20"/>
                <w:color w:val="auto"/>
              </w:rPr>
            </w:pPr>
            <w:r>
              <w:rPr>
                <w:rFonts w:ascii="Arial" w:cs="Arial" w:eastAsia="Arial" w:hAnsi="Arial"/>
                <w:sz w:val="18"/>
                <w:szCs w:val="18"/>
                <w:color w:val="auto"/>
                <w:w w:val="97"/>
              </w:rPr>
              <w:t>Net loss per share attributable to common stockholders</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0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(0.57)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(0.31)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(1.57)</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4"/>
        </w:trPr>
        <w:tc>
          <w:tcPr>
            <w:tcW w:w="4320" w:type="dxa"/>
            <w:vAlign w:val="bottom"/>
          </w:tcPr>
          <w:p>
            <w:pPr>
              <w:spacing w:after="0"/>
              <w:rPr>
                <w:sz w:val="20"/>
                <w:szCs w:val="20"/>
                <w:color w:val="auto"/>
              </w:rPr>
            </w:pPr>
            <w:r>
              <w:rPr>
                <w:rFonts w:ascii="Arial" w:cs="Arial" w:eastAsia="Arial" w:hAnsi="Arial"/>
                <w:sz w:val="18"/>
                <w:szCs w:val="18"/>
                <w:color w:val="auto"/>
              </w:rPr>
              <w:t>basic and diluted</w:t>
            </w:r>
          </w:p>
        </w:tc>
        <w:tc>
          <w:tcPr>
            <w:tcW w:w="16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w w:val="94"/>
              </w:rPr>
              <w:t>Weighted average shares outstanding - basic and diluted</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15,752,196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15,645,545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15,695,263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14,228,192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 DEFICIT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12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00" w:type="dxa"/>
            <w:vAlign w:val="bottom"/>
          </w:tcPr>
          <w:p>
            <w:pPr>
              <w:spacing w:after="0"/>
              <w:rPr>
                <w:sz w:val="14"/>
                <w:szCs w:val="14"/>
                <w:color w:val="auto"/>
              </w:rPr>
            </w:pPr>
          </w:p>
        </w:tc>
        <w:tc>
          <w:tcPr>
            <w:tcW w:w="21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Paid in</w:t>
            </w:r>
          </w:p>
        </w:tc>
        <w:tc>
          <w:tcPr>
            <w:tcW w:w="14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9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2"/>
                <w:szCs w:val="12"/>
                <w:color w:val="auto"/>
              </w:rPr>
            </w:pPr>
          </w:p>
        </w:tc>
        <w:tc>
          <w:tcPr>
            <w:tcW w:w="64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9,907,548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Issuance of common shares</w:t>
            </w:r>
          </w:p>
        </w:tc>
        <w:tc>
          <w:tcPr>
            <w:tcW w:w="960" w:type="dxa"/>
            <w:vAlign w:val="bottom"/>
          </w:tcPr>
          <w:p>
            <w:pPr>
              <w:jc w:val="right"/>
              <w:spacing w:after="0"/>
              <w:rPr>
                <w:sz w:val="20"/>
                <w:szCs w:val="20"/>
                <w:color w:val="auto"/>
              </w:rPr>
            </w:pPr>
            <w:r>
              <w:rPr>
                <w:rFonts w:ascii="Arial" w:cs="Arial" w:eastAsia="Arial" w:hAnsi="Arial"/>
                <w:sz w:val="18"/>
                <w:szCs w:val="18"/>
                <w:color w:val="auto"/>
              </w:rPr>
              <w:t>283,452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Issuance of common shares, upon completion of</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Initial Public Offering, net of issuance costs of</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$5,898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5,454,545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54,097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54,102</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(4,282)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March 31,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60,823</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June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61,563</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September 30, 2018</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15,645,545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62,452</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(16,645)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45,823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15,663,221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 of stock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(7,204)</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(7,204)</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15,665,802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32,368</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Issuance of common shares, net of issuance costs</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$11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(8,471)</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Balance as of June 30, 2019</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15,687,546</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64,536</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(39,395)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220"/>
              <w:spacing w:after="0" w:line="201" w:lineRule="exact"/>
              <w:rPr>
                <w:sz w:val="20"/>
                <w:szCs w:val="20"/>
                <w:color w:val="auto"/>
              </w:rPr>
            </w:pPr>
            <w:r>
              <w:rPr>
                <w:rFonts w:ascii="Arial" w:cs="Arial" w:eastAsia="Arial" w:hAnsi="Arial"/>
                <w:sz w:val="18"/>
                <w:szCs w:val="18"/>
                <w:color w:val="auto"/>
                <w:w w:val="95"/>
              </w:rPr>
              <w:t>Issuance of common shares, net of issuance costs</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of $1,991</w:t>
            </w:r>
          </w:p>
        </w:tc>
        <w:tc>
          <w:tcPr>
            <w:tcW w:w="960" w:type="dxa"/>
            <w:vAlign w:val="bottom"/>
          </w:tcPr>
          <w:p>
            <w:pPr>
              <w:jc w:val="right"/>
              <w:spacing w:after="0"/>
              <w:rPr>
                <w:sz w:val="20"/>
                <w:szCs w:val="20"/>
                <w:color w:val="auto"/>
              </w:rPr>
            </w:pPr>
            <w:r>
              <w:rPr>
                <w:rFonts w:ascii="Arial" w:cs="Arial" w:eastAsia="Arial" w:hAnsi="Arial"/>
                <w:sz w:val="18"/>
                <w:szCs w:val="18"/>
                <w:color w:val="auto"/>
              </w:rPr>
              <w:t>2,347,479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(9,018)</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(9,018)</w:t>
            </w:r>
          </w:p>
        </w:tc>
        <w:tc>
          <w:tcPr>
            <w:tcW w:w="0" w:type="dxa"/>
            <w:vAlign w:val="bottom"/>
          </w:tcPr>
          <w:p>
            <w:pPr>
              <w:spacing w:after="0"/>
              <w:rPr>
                <w:sz w:val="1"/>
                <w:szCs w:val="1"/>
                <w:color w:val="auto"/>
              </w:rPr>
            </w:pPr>
          </w:p>
        </w:tc>
      </w:tr>
      <w:tr>
        <w:trPr>
          <w:trHeight w:val="217"/>
        </w:trPr>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2019</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18,035,025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BIOXCEL THERAPEUTICS, INC.</w:t>
      </w:r>
    </w:p>
    <w:p>
      <w:pPr>
        <w:spacing w:after="0" w:line="185"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STATEMENTS OF CASH FLOWS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65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(24,693)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(12,195)</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loss to net cash used in operating activities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Accounts payable, accrued expenses and other</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(9,168)</w:t>
            </w:r>
          </w:p>
        </w:tc>
      </w:tr>
      <w:tr>
        <w:trPr>
          <w:trHeight w:val="216"/>
        </w:trPr>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Proceeds from issuance of common stock, net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56,512</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Due to/from Parent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Note Payable — Parent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0"/>
        </w:trPr>
        <w:tc>
          <w:tcPr>
            <w:tcW w:w="65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55,585</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46,235</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beginning of the period</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r>
      <w:tr>
        <w:trPr>
          <w:trHeight w:val="217"/>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the period</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47,122</w:t>
            </w:r>
          </w:p>
        </w:tc>
      </w:tr>
      <w:tr>
        <w:trPr>
          <w:trHeight w:val="216"/>
        </w:trPr>
        <w:tc>
          <w:tcPr>
            <w:tcW w:w="6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Interest paid</w:t>
            </w:r>
          </w:p>
        </w:tc>
        <w:tc>
          <w:tcPr>
            <w:tcW w:w="5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Activity:</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issuance costs, unpaid as of December 31, 2017</w:t>
            </w:r>
          </w:p>
        </w:tc>
        <w:tc>
          <w:tcPr>
            <w:tcW w:w="5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02"/>
        </w:trPr>
        <w:tc>
          <w:tcPr>
            <w:tcW w:w="6580" w:type="dxa"/>
            <w:vAlign w:val="bottom"/>
          </w:tcPr>
          <w:p>
            <w:pPr>
              <w:ind w:left="220"/>
              <w:spacing w:after="0" w:line="201" w:lineRule="exact"/>
              <w:rPr>
                <w:sz w:val="20"/>
                <w:szCs w:val="20"/>
                <w:color w:val="auto"/>
              </w:rPr>
            </w:pPr>
            <w:r>
              <w:rPr>
                <w:rFonts w:ascii="Arial" w:cs="Arial" w:eastAsia="Arial" w:hAnsi="Arial"/>
                <w:sz w:val="18"/>
                <w:szCs w:val="18"/>
                <w:color w:val="auto"/>
                <w:w w:val="95"/>
              </w:rPr>
              <w:t>Deferred issuance costs reclassified to additional paid-in-capital upon completion of</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initial public offering.</w:t>
            </w:r>
          </w:p>
        </w:tc>
        <w:tc>
          <w:tcPr>
            <w:tcW w:w="5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Reclassification of net Parent Investment in the Company to accumulated deficit.</w:t>
            </w:r>
          </w:p>
        </w:tc>
        <w:tc>
          <w:tcPr>
            <w:tcW w:w="5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r>
    </w:tbl>
    <w:p>
      <w:pPr>
        <w:spacing w:after="0" w:line="202"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BIOXCEL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Principal Activities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BioXcel Therapeutics, Inc. (the “Company” or “BTI”) is a clinical stage biopharmaceutical company utilizing novel artificial intelligence-based approaches to identify the next wave of medicines across neuroscience and immuno-oncology. The Company’s drug re-innovation approach leverages existing approved drugs and/or clinically validated product candidates together with big data and proprietary machine learning algorithms to identify new therapeutic indices. The Company is a majority-owned subsidiary of BioXcel Corporation (“BioXcel” or “Parent”) and was incorporated under the laws of the State of Delaware on March 29, 2017. The Company’s principal office is in New Haven, Connecticut. Unless otherwise indicated or the context requires otherwise, references in this report to “we,” “our,” “us” and similar expressions refer to BioXcel Therapeutics, Inc.</w:t>
      </w:r>
    </w:p>
    <w:p>
      <w:pPr>
        <w:spacing w:after="0" w:line="192"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The unaudited financial information for the nine months ended September 30, 2019 and 2018 is presented on the same basis as the financial statements included in the Company’s Annual Report on Form 10-K for the year ended December 31, 2018. The Company does not have any components of other comprehensive income (loss) recorded within its financial statements, and, therefore, does not separately present a statement of comprehensive income (loss) in its financial statements.</w:t>
      </w:r>
    </w:p>
    <w:p>
      <w:pPr>
        <w:spacing w:after="0" w:line="15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Certain reclassifications have been made to the prior year financial information to conform to the current period presentation. These reclassifications had no effect on the reported results of operations.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Company’s primary activities have been the development of a clinical plan and pre-clinical research and development of two advanced programs: BXCL501, a sublingual thin film formulation of dexmedetomidine designed for acute treatment of agitation resulting from neurological and psychiatric disorders, and BXCL701, an immuno-oncology agent designed for treatment of a rare form of prostate cancer and for treatment of pancreatic cancer. These two programs and two emerging programs BXCL502 and BXCL702 (together, the “BTI Business”) have been contributed to the Company from the Parent pursuant to an asset contribution agreement, effective June 30, 2017, with BioXcel, as amended and restated on November 7, 2017 (the “Contribution Agreement”).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Initial Public Offering</w:t>
      </w:r>
    </w:p>
    <w:p>
      <w:pPr>
        <w:spacing w:after="0" w:line="229" w:lineRule="exact"/>
        <w:rPr>
          <w:sz w:val="20"/>
          <w:szCs w:val="20"/>
          <w:color w:val="auto"/>
        </w:rPr>
      </w:pPr>
    </w:p>
    <w:p>
      <w:pPr>
        <w:jc w:val="both"/>
        <w:ind w:right="20" w:firstLine="324"/>
        <w:spacing w:after="0" w:line="221" w:lineRule="exact"/>
        <w:rPr>
          <w:sz w:val="20"/>
          <w:szCs w:val="20"/>
          <w:color w:val="auto"/>
        </w:rPr>
      </w:pPr>
      <w:r>
        <w:rPr>
          <w:rFonts w:ascii="Arial" w:cs="Arial" w:eastAsia="Arial" w:hAnsi="Arial"/>
          <w:sz w:val="16"/>
          <w:szCs w:val="16"/>
          <w:color w:val="auto"/>
        </w:rPr>
        <w:t>On March 7, 2018, the Company’s registration statement on Form S</w:t>
      </w:r>
      <w:r>
        <w:rPr>
          <w:rFonts w:ascii="MS PGothic" w:cs="MS PGothic" w:eastAsia="MS PGothic" w:hAnsi="MS PGothic"/>
          <w:sz w:val="16"/>
          <w:szCs w:val="16"/>
          <w:color w:val="auto"/>
        </w:rPr>
        <w:t>‑</w:t>
      </w:r>
      <w:r>
        <w:rPr>
          <w:rFonts w:ascii="Arial" w:cs="Arial" w:eastAsia="Arial" w:hAnsi="Arial"/>
          <w:sz w:val="16"/>
          <w:szCs w:val="16"/>
          <w:color w:val="auto"/>
        </w:rPr>
        <w:t>1 relating to its initial public offering of its common stock (the “IPO”) was declared effective by the Securities and Exchange Commission (“SEC”). The IPO closed on March 12, 2018, and the Company issued and sold 5,454,545 shares of common stock at a public offering price of $11.00 per share.</w:t>
      </w:r>
    </w:p>
    <w:p>
      <w:pPr>
        <w:ind w:right="60"/>
        <w:spacing w:after="0" w:line="261" w:lineRule="auto"/>
        <w:rPr>
          <w:sz w:val="20"/>
          <w:szCs w:val="20"/>
          <w:color w:val="auto"/>
        </w:rPr>
      </w:pPr>
      <w:r>
        <w:rPr>
          <w:rFonts w:ascii="Arial" w:cs="Arial" w:eastAsia="Arial" w:hAnsi="Arial"/>
          <w:sz w:val="18"/>
          <w:szCs w:val="18"/>
          <w:color w:val="auto"/>
        </w:rPr>
        <w:t>Gross proceeds totaled $60,000 and net proceeds totaled $54,102 after deducting underwriting discounts and commissions of $4,200 and other offering costs of approximately $1,698.</w:t>
      </w:r>
    </w:p>
    <w:p>
      <w:pPr>
        <w:spacing w:after="0" w:line="184"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In connection with and effective upon the completion of its IPO, the Company effectuated a 237 to one stock split. Accordingly, all share and per share amounts for all periods presented in the accompanying financial statements have been adjusted retroactively, where applicable, to reflect the stock split.</w:t>
      </w:r>
    </w:p>
    <w:p>
      <w:pPr>
        <w:spacing w:after="0" w:line="181"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Also, in connection with the completion of its IPO, the Company amended its articles of incorporation to authorize the issuance of up to 50,000,000 shares of common stock with a par value of $.001 each and 10,000,000 shares of preferred stock with a par value of $.001 each.</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Liquidity and Going Concern</w:t>
      </w:r>
    </w:p>
    <w:p>
      <w:pPr>
        <w:spacing w:after="0" w:line="229" w:lineRule="exact"/>
        <w:rPr>
          <w:sz w:val="20"/>
          <w:szCs w:val="20"/>
          <w:color w:val="auto"/>
        </w:rPr>
      </w:pPr>
    </w:p>
    <w:p>
      <w:pPr>
        <w:ind w:right="200" w:firstLine="324"/>
        <w:spacing w:after="0" w:line="220" w:lineRule="exact"/>
        <w:rPr>
          <w:sz w:val="20"/>
          <w:szCs w:val="20"/>
          <w:color w:val="auto"/>
        </w:rPr>
      </w:pPr>
      <w:r>
        <w:rPr>
          <w:rFonts w:ascii="Arial" w:cs="Arial" w:eastAsia="Arial" w:hAnsi="Arial"/>
          <w:sz w:val="18"/>
          <w:szCs w:val="18"/>
          <w:color w:val="auto"/>
        </w:rPr>
        <w:t>In accordance with Accounting Standards Update (“ASU”) 2014</w:t>
      </w:r>
      <w:r>
        <w:rPr>
          <w:rFonts w:ascii="MS PGothic" w:cs="MS PGothic" w:eastAsia="MS PGothic" w:hAnsi="MS PGothic"/>
          <w:sz w:val="18"/>
          <w:szCs w:val="18"/>
          <w:color w:val="auto"/>
        </w:rPr>
        <w:t>‑</w:t>
      </w:r>
      <w:r>
        <w:rPr>
          <w:rFonts w:ascii="Arial" w:cs="Arial" w:eastAsia="Arial" w:hAnsi="Arial"/>
          <w:sz w:val="18"/>
          <w:szCs w:val="18"/>
          <w:color w:val="auto"/>
        </w:rPr>
        <w:t>15, Disclosure of Uncertainties about an Entity’s Ability to Continue as a Going Concern (Subtopic 205</w:t>
      </w:r>
      <w:r>
        <w:rPr>
          <w:rFonts w:ascii="MS PGothic" w:cs="MS PGothic" w:eastAsia="MS PGothic" w:hAnsi="MS PGothic"/>
          <w:sz w:val="18"/>
          <w:szCs w:val="18"/>
          <w:color w:val="auto"/>
        </w:rPr>
        <w:t>‑</w:t>
      </w:r>
      <w:r>
        <w:rPr>
          <w:rFonts w:ascii="Arial" w:cs="Arial" w:eastAsia="Arial" w:hAnsi="Arial"/>
          <w:sz w:val="18"/>
          <w:szCs w:val="18"/>
          <w:color w:val="auto"/>
        </w:rPr>
        <w:t>40), management must evaluate whether there are conditions or events, considered in the aggregate, that raise substantial doubt about the Company’s ability to continue as a going concern within one year after the date that the financial statements are issued.</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Company’s financial statements are prepared using Generally Accepted Accounting Principles in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America (“GAAP”) applicable to a going concern, which contemplates the realization of assets and the satisfaction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liabilities in the normal course of business. The Company has incurred net losses and negative operating cash flows since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inception. For the nine months ended September 30, 2019, the Company recorded a net loss of approximately $24,693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used approximately $19,356 of cash in operating activities. As of September 30, 2019, the Company had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$40,252 in cash and cash equivalents and working capital of approximately $33,155. The Company has not yet established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source of revenue sufficient to cover its operating costs and allow it to continue as a going concern. The ability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to continue as a going concern is dependent on the Company obtaining adequate capital to fund operating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losses until it becomes profitable. The Company can give no assurances that any additional capital that it is able to obtain, if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will be sufficient to meet its needs, or that any such capital will be obtained on acceptable terms. If the Company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unable to obtain adequate capital, it could be forced to cease operations or substantially curtail its activities. These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raise substantial doubt as to the Company’s ability to continue as a going concern. The accompanying financial statements do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include any adjustments relating to the recoverability and classification of recorded asset amounts and classification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liabilities should the Company be unable to continue as a going concern.</w:t>
      </w:r>
    </w:p>
    <w:p>
      <w:pPr>
        <w:spacing w:after="0" w:line="211"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Management’s plan to continue as a going concern includes obtaining additional capital resources. Management’s plans to obtain such resources for the Company include obtaining capital from the sale of its equity securities, entering into strategic partnership arrangements and short-term borrowings from banks, stockholders or other related parties, if needed. However, management cannot provide any assurance that the Company will be successful in accomplishing any of its plans.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Company’s financial statements are prepared in accordance with GAAP. The preparation of financial statements requires the Company to make estimates and assumptions that impact the reported amounts of assets, liabilities and expenses in its financial statements and the accompanying notes. The most significant estimates in the financial statements relate to the fair value of equity awards and valuation allowance related to the Company’s deferred tax assets and liabilities.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accompanying unaudited financial statements do not include all of the information and footnotes required by GAAP. The accompanying year-end balance sheet was derived from audited financial statements but does not include all disclosures required by GAAP.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September 30, 2019, and the results of its operations for the three and nine months ended September 30, 2019 and 2018 and its cash flows for the nine months ended September 30, 2019 and 2018, respectively. The results for the nine months ended September 30, 2019 are not necessarily indicative of results to be expected for the year ending December 31, 2019, any other interim periods or any future year or period.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380" w:firstLine="324"/>
        <w:spacing w:after="0" w:line="34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date of purchase to be cash equivalents. As of September 30, 2019, cash equivalents were comprised of money market funds.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the equity financing was consummated. After consummation of an equity financing, these costs were recorded in stockholders’ equity as a reduction of proceeds generated as a result of the offering.</w:t>
      </w:r>
    </w:p>
    <w:p>
      <w:pPr>
        <w:spacing w:after="0" w:line="18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As of December 31, 2017, the Company recorded deferred offering costs relating to its IPO of $461. The Company’s IPO was completed in March 2018, and these costs, as well as additional IPO costs including commissions of $4,200 and an additional $1,237 of other expenses incurred in 2018, were charged to Additional paid-in-capital.</w:t>
      </w:r>
    </w:p>
    <w:p>
      <w:pPr>
        <w:spacing w:after="0" w:line="166"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Effective September 23, 2019, the Company terminated its At-The-Market (“ATM”) program. All costs associated with this program have been amortized and charged to Additional paid-in-capital.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Equipment consists of computers and related equipment that are stated at cost and depreciated using the straight-line method over estimated useful life of 5 years. Furniture is being depreciated using the straight-line method over approximately 7 years. Leasehold improvements are being amortized over the shorter of the life of the lease or the asset.</w:t>
      </w:r>
    </w:p>
    <w:p>
      <w:pPr>
        <w:spacing w:after="0" w:line="147" w:lineRule="exact"/>
        <w:rPr>
          <w:sz w:val="20"/>
          <w:szCs w:val="20"/>
          <w:color w:val="auto"/>
        </w:rPr>
      </w:pPr>
    </w:p>
    <w:p>
      <w:pPr>
        <w:ind w:right="100" w:firstLine="324"/>
        <w:spacing w:after="0" w:line="218" w:lineRule="exact"/>
        <w:rPr>
          <w:sz w:val="20"/>
          <w:szCs w:val="20"/>
          <w:color w:val="auto"/>
        </w:rPr>
      </w:pPr>
      <w:r>
        <w:rPr>
          <w:rFonts w:ascii="Arial" w:cs="Arial" w:eastAsia="Arial" w:hAnsi="Arial"/>
          <w:sz w:val="16"/>
          <w:szCs w:val="16"/>
          <w:color w:val="auto"/>
        </w:rPr>
        <w:t>The Company follows the guidance provided by the Financial Accounting Standards Board (“FASB”) ASC Topic 360</w:t>
      </w:r>
      <w:r>
        <w:rPr>
          <w:rFonts w:ascii="MS PGothic" w:cs="MS PGothic" w:eastAsia="MS PGothic" w:hAnsi="MS PGothic"/>
          <w:sz w:val="16"/>
          <w:szCs w:val="16"/>
          <w:color w:val="auto"/>
        </w:rPr>
        <w:t>‑</w:t>
      </w:r>
      <w:r>
        <w:rPr>
          <w:rFonts w:ascii="Arial" w:cs="Arial" w:eastAsia="Arial" w:hAnsi="Arial"/>
          <w:sz w:val="16"/>
          <w:szCs w:val="16"/>
          <w:color w:val="auto"/>
        </w:rPr>
        <w:t xml:space="preserve">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Long-lived assets are reviewed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Impairment charges are recognized at the amount by which the carrying amount of an asset exceeds the fair value of the asset. Assets to be disposed of are reported at the lower of the carrying amount or the fair value less costs to sell.</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Since its inception, the Company has not recognized any impairment or disposition of long 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other current liabilities, and operating lease liabilities in our balance sheet.</w:t>
      </w:r>
    </w:p>
    <w:p>
      <w:pPr>
        <w:spacing w:after="0" w:line="170"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our lease did not provide an implicit rate, we used an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Renewal options were not included in our calculation of the related asset and liability. Lease expense for lease payments is recognized on a straight-line basis over the lease term.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The Company accounts for stock-based compensation in accordance with ASC 718, “</w:t>
      </w:r>
      <w:r>
        <w:rPr>
          <w:rFonts w:ascii="Arial" w:cs="Arial" w:eastAsia="Arial" w:hAnsi="Arial"/>
          <w:sz w:val="16"/>
          <w:szCs w:val="16"/>
          <w:i w:val="1"/>
          <w:iCs w:val="1"/>
          <w:color w:val="auto"/>
        </w:rPr>
        <w:t>Compensation—Stock</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which requires the measurement and recognition of compensation expense based on estimated fair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market values for all share-based awards made to employees and directors, including stock options. The Company’s stock-based compensation plan was adopted and became effective in August 2017. Prior to the Company adopting its stock-based compensation plan, the Parent granted stock options to its employees. As a result, related stock-based compensation expense has been allocated to the Company over the required service period over which these BioXcel stock option awards vest in the same manner that salary costs of employees have been allocated to the BTI Business in the carve-out process.</w:t>
      </w:r>
    </w:p>
    <w:p>
      <w:pPr>
        <w:spacing w:after="0" w:line="15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Both BioXcel and the Company’s stock option awards are valued at fair value on the date of grant and that fair value is recognized over the requisite service period. The estimated fair value of stock option awards was determined using the Black-Scholes option pricing model on the date of grant. Significant judgment and estimates were used to estimate the fair value of these awards, as they were not publicly traded. Stock awards granted by the Company subsequent to the IPO are valued using market prices at the date of grant.</w:t>
      </w:r>
    </w:p>
    <w:p>
      <w:pPr>
        <w:spacing w:after="0" w:line="188" w:lineRule="exact"/>
        <w:rPr>
          <w:sz w:val="20"/>
          <w:szCs w:val="20"/>
          <w:color w:val="auto"/>
        </w:rPr>
      </w:pPr>
    </w:p>
    <w:p>
      <w:pPr>
        <w:ind w:right="180" w:firstLine="324"/>
        <w:spacing w:after="0" w:line="293" w:lineRule="auto"/>
        <w:rPr>
          <w:sz w:val="20"/>
          <w:szCs w:val="20"/>
          <w:color w:val="auto"/>
        </w:rPr>
      </w:pPr>
      <w:r>
        <w:rPr>
          <w:rFonts w:ascii="Arial" w:cs="Arial" w:eastAsia="Arial" w:hAnsi="Arial"/>
          <w:sz w:val="16"/>
          <w:szCs w:val="16"/>
          <w:color w:val="auto"/>
        </w:rPr>
        <w:t>ASC 718 requires companies to estimate the fair value of share-based awards on the date of grant using an option-pricing model. The Black-Scholes option-pricing model was used as its method of determining fair value. This model is affected by the Company’s stock price as well as assumptions regarding a number of subjective variables. These subjective variables include, but are not limited to, the expected stock price volatility over the term of the awards, and actual and projected employee stock option exercise behaviors. The value of the award is recognized as an expense in the statement of operations over the requisite service period. The periodic expense is then determined based on the valuation of the options.</w:t>
      </w:r>
    </w:p>
    <w:p>
      <w:pPr>
        <w:spacing w:after="0" w:line="16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The Company adopted FASB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 of January 1, 2018 and has elected to account for forfeitures as they occur, by reversing compensation cost when the award is forfeited.</w:t>
      </w:r>
    </w:p>
    <w:p>
      <w:pPr>
        <w:spacing w:after="0" w:line="17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Company adopted FASB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 of January 1, 2019 which allows non-employee options to be expensed using the adoption date fair value. This is expected to reduce the volatility of stock based compensation in future periods. Prior to the adoption date, such options were re-measured at each valuation date. The adoption of this standard is not expected to have a significant impact on the Company’s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Research and development expenses include wages, benefits, facilities, supplies, external services, clinical study and manufacturing costs and other expenses that are directly related to its research and development activities. At the end of the reporting period, the Company compares payments made to third party service providers to the estimated progress toward completion of the research or development objectives. Such estimates are subject to change as additional information becomes available. Depending on the timing of payments to the service providers and the progress that the Company estimates has been made as a result of the service provided, the Company may record net prepaid or accrued expense relating to these costs. The Company expenses research and development costs as incurred.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Costs related to filing and pursuing patent applications are recorded as general and administrative expense and expensed as incurred since recoverability of such expenditures is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ASC 820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defines fair value, establishes a framework for measuring fair value in GAAP and expands disclosures about fair value measurements. ASC 820 defines fair value as the price that would be received to sell an asset or paid to transfer a liability in an orderly transaction between market participants at the measurement date. ASC 820 establishes a fair value hierarchy that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39"/>
        <w:spacing w:after="0" w:line="342" w:lineRule="auto"/>
        <w:rPr>
          <w:sz w:val="20"/>
          <w:szCs w:val="20"/>
          <w:color w:val="auto"/>
        </w:rPr>
      </w:pPr>
      <w:r>
        <w:rPr>
          <w:rFonts w:ascii="Arial" w:cs="Arial" w:eastAsia="Arial" w:hAnsi="Arial"/>
          <w:sz w:val="16"/>
          <w:szCs w:val="16"/>
          <w:color w:val="auto"/>
        </w:rPr>
        <w:t>priority to unadjusted quoted prices in active markets for identical assets or liabilities (Level 1) and the lowest priority to unobservable inputs (Level 3). The three levels of the fair value hierarchy under ASC 820 are described below:</w:t>
      </w:r>
    </w:p>
    <w:p>
      <w:pPr>
        <w:spacing w:after="0" w:line="124" w:lineRule="exact"/>
        <w:rPr>
          <w:sz w:val="20"/>
          <w:szCs w:val="20"/>
          <w:color w:val="auto"/>
        </w:rPr>
      </w:pPr>
    </w:p>
    <w:p>
      <w:pPr>
        <w:ind w:left="660" w:right="379"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that are accessible at the measurement date for assets or liabilities. The fair value hierarchy gives the highest priority to Level 1 inputs.</w:t>
      </w:r>
    </w:p>
    <w:p>
      <w:pPr>
        <w:spacing w:after="0" w:line="170" w:lineRule="exact"/>
        <w:rPr>
          <w:rFonts w:ascii="Arial" w:cs="Arial" w:eastAsia="Arial" w:hAnsi="Arial"/>
          <w:sz w:val="18"/>
          <w:szCs w:val="18"/>
          <w:color w:val="auto"/>
        </w:rPr>
      </w:pPr>
    </w:p>
    <w:p>
      <w:pPr>
        <w:ind w:left="660" w:right="59"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93" w:lineRule="exact"/>
        <w:rPr>
          <w:rFonts w:ascii="Arial" w:cs="Arial" w:eastAsia="Arial" w:hAnsi="Arial"/>
          <w:sz w:val="18"/>
          <w:szCs w:val="18"/>
          <w:color w:val="auto"/>
        </w:rPr>
      </w:pPr>
    </w:p>
    <w:p>
      <w:pPr>
        <w:jc w:val="both"/>
        <w:ind w:left="660" w:right="339"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181" w:lineRule="exact"/>
        <w:rPr>
          <w:sz w:val="20"/>
          <w:szCs w:val="20"/>
          <w:color w:val="auto"/>
        </w:rPr>
      </w:pPr>
    </w:p>
    <w:p>
      <w:pPr>
        <w:ind w:right="339" w:firstLine="324"/>
        <w:spacing w:after="0" w:line="264" w:lineRule="auto"/>
        <w:rPr>
          <w:sz w:val="20"/>
          <w:szCs w:val="20"/>
          <w:color w:val="auto"/>
        </w:rPr>
      </w:pPr>
      <w:r>
        <w:rPr>
          <w:rFonts w:ascii="Arial" w:cs="Arial" w:eastAsia="Arial" w:hAnsi="Arial"/>
          <w:sz w:val="18"/>
          <w:szCs w:val="18"/>
          <w:color w:val="auto"/>
        </w:rPr>
        <w:t>In determining fair value, the Company utilizes valuation techniques that maximize the use of observable inputs and minimize the use of unobservable inputs to the extent possible, as well as considering counterparty credit risk in its assessment of fair value.</w:t>
      </w:r>
    </w:p>
    <w:p>
      <w:pPr>
        <w:spacing w:after="0" w:line="181" w:lineRule="exact"/>
        <w:rPr>
          <w:sz w:val="20"/>
          <w:szCs w:val="20"/>
          <w:color w:val="auto"/>
        </w:rPr>
      </w:pPr>
    </w:p>
    <w:p>
      <w:pPr>
        <w:ind w:right="419" w:firstLine="324"/>
        <w:spacing w:after="0" w:line="277" w:lineRule="auto"/>
        <w:rPr>
          <w:sz w:val="20"/>
          <w:szCs w:val="20"/>
          <w:color w:val="auto"/>
        </w:rPr>
      </w:pPr>
      <w:r>
        <w:rPr>
          <w:rFonts w:ascii="Arial" w:cs="Arial" w:eastAsia="Arial" w:hAnsi="Arial"/>
          <w:sz w:val="18"/>
          <w:szCs w:val="18"/>
          <w:color w:val="auto"/>
        </w:rPr>
        <w:t>The carrying amounts of cash, accounts payable and accrued expenses approximate fair value due to the short-term nature of these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39" w:firstLine="324"/>
        <w:spacing w:after="0" w:line="290" w:lineRule="auto"/>
        <w:rPr>
          <w:sz w:val="20"/>
          <w:szCs w:val="20"/>
          <w:color w:val="auto"/>
        </w:rPr>
      </w:pPr>
      <w:r>
        <w:rPr>
          <w:rFonts w:ascii="Arial" w:cs="Arial" w:eastAsia="Arial" w:hAnsi="Arial"/>
          <w:sz w:val="16"/>
          <w:szCs w:val="16"/>
          <w:color w:val="auto"/>
        </w:rPr>
        <w:t>The Company computes basic net loss per share by dividing net loss available to common stockholders by the weighted average number of common shares outstanding for the period and excludes the effects of any potentially dilutive securities. Diluted earnings per share, if presented, would include the dilution that would occur upon the exercise or conversion of all potentially dilutive securities into common stock using the “treasury stock” and/or “if converted” methods as applicable. The potential dilutive securities included outstanding options (for both employees and non-employees) for the three and nine months ended September 30, 2019 and 2018. Such securities have not been included in the loss per share calculation since their impact would be anti-dilutive. There were 3,073,861 and 2,919,016 shares of options that were excluded from the calculation of the loss per share for the three and nine months ended September 30, 2019,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9" w:firstLine="324"/>
        <w:spacing w:after="0" w:line="217" w:lineRule="exact"/>
        <w:rPr>
          <w:sz w:val="20"/>
          <w:szCs w:val="20"/>
          <w:color w:val="auto"/>
        </w:rPr>
      </w:pPr>
      <w:r>
        <w:rPr>
          <w:rFonts w:ascii="Arial" w:cs="Arial" w:eastAsia="Arial" w:hAnsi="Arial"/>
          <w:sz w:val="16"/>
          <w:szCs w:val="16"/>
          <w:color w:val="auto"/>
        </w:rPr>
        <w:t xml:space="preserve">In February 2016, the FASB issued </w:t>
      </w:r>
      <w:r>
        <w:rPr>
          <w:rFonts w:ascii="Arial" w:cs="Arial" w:eastAsia="Arial" w:hAnsi="Arial"/>
          <w:sz w:val="16"/>
          <w:szCs w:val="16"/>
          <w:i w:val="1"/>
          <w:iCs w:val="1"/>
          <w:color w:val="auto"/>
        </w:rPr>
        <w:t>ASU 2016</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02 Lease Accounting Topic 842</w:t>
      </w:r>
      <w:r>
        <w:rPr>
          <w:rFonts w:ascii="Arial" w:cs="Arial" w:eastAsia="Arial" w:hAnsi="Arial"/>
          <w:sz w:val="16"/>
          <w:szCs w:val="16"/>
          <w:color w:val="auto"/>
        </w:rPr>
        <w:t>. This ASU requires the Company to record all leases longer than one year on its balance sheet. Under the new guidance, when the Company records leases on its balance sheet, it will record a liability with a value equal to the present value of payments it will make over the life of the lease and an asset representing the underlying leased asset. The new accounting guidance requires the Company to determine if its leases are operating or financing leases, similar to current accounting guidance. The Company will record expense for operating type leases on a straight-line basis as an operating expense and it will record expense for finance type leases as interest expense. The new lease standard is effective for annual and interim periods beginning after December 15, 2018, with early adoption permitted. The Company adopted the new standard in January 2019 and recorded a ROU asset and related liability in the amount of $1,308 on commencement of a new office lease.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Transactions with BioXcel</w:t>
      </w:r>
    </w:p>
    <w:p>
      <w:pPr>
        <w:spacing w:after="0" w:line="229" w:lineRule="exact"/>
        <w:rPr>
          <w:sz w:val="20"/>
          <w:szCs w:val="20"/>
          <w:color w:val="auto"/>
        </w:rPr>
      </w:pPr>
    </w:p>
    <w:p>
      <w:pPr>
        <w:jc w:val="both"/>
        <w:ind w:right="119" w:firstLine="324"/>
        <w:spacing w:after="0" w:line="288" w:lineRule="auto"/>
        <w:rPr>
          <w:sz w:val="20"/>
          <w:szCs w:val="20"/>
          <w:color w:val="auto"/>
        </w:rPr>
      </w:pPr>
      <w:r>
        <w:rPr>
          <w:rFonts w:ascii="Arial" w:cs="Arial" w:eastAsia="Arial" w:hAnsi="Arial"/>
          <w:sz w:val="16"/>
          <w:szCs w:val="16"/>
          <w:color w:val="auto"/>
        </w:rPr>
        <w:t>The Company has entered into the Contribution Agreement, pursuant to which BioXcel agreed to contribute BioXcel’s rights, title and interest in BXCL501, BXCL701, BXCL502 and BXCL702, and all of the assets and liabilities associated in consideration for (i) 9,480,000 shares of our common stock, (ii) $1,000 upon completion of an initial public offering,</w:t>
      </w:r>
    </w:p>
    <w:p>
      <w:pPr>
        <w:ind w:left="4440" w:right="979" w:hanging="4437"/>
        <w:spacing w:after="0" w:line="762" w:lineRule="auto"/>
        <w:tabs>
          <w:tab w:leader="none" w:pos="314" w:val="left"/>
        </w:tabs>
        <w:numPr>
          <w:ilvl w:val="0"/>
          <w:numId w:val="5"/>
        </w:numPr>
        <w:rPr>
          <w:rFonts w:ascii="Arial" w:cs="Arial" w:eastAsia="Arial" w:hAnsi="Arial"/>
          <w:sz w:val="18"/>
          <w:szCs w:val="18"/>
          <w:color w:val="auto"/>
        </w:rPr>
      </w:pPr>
      <w:r>
        <w:rPr>
          <w:rFonts w:ascii="Arial" w:cs="Arial" w:eastAsia="Arial" w:hAnsi="Arial"/>
          <w:sz w:val="18"/>
          <w:szCs w:val="18"/>
          <w:color w:val="auto"/>
        </w:rPr>
        <w:t>$500 upon the later of the 12 month anniversary of an initial public offering and the first dosing of a patient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79"/>
        <w:spacing w:after="0" w:line="288" w:lineRule="auto"/>
        <w:rPr>
          <w:sz w:val="20"/>
          <w:szCs w:val="20"/>
          <w:color w:val="auto"/>
        </w:rPr>
      </w:pPr>
      <w:r>
        <w:rPr>
          <w:rFonts w:ascii="Arial" w:cs="Arial" w:eastAsia="Arial" w:hAnsi="Arial"/>
          <w:sz w:val="16"/>
          <w:szCs w:val="16"/>
          <w:color w:val="auto"/>
        </w:rPr>
        <w:t>in the bridging bioavailability/ bioequivalence study for the BXCL501 program, (iv) $500 upon the later of the 12 month anniversary of an initial public offering and the first dosing of a patient in the Phase 2 Proof of Consent open label monotherapy or combination trial with Keytruda for the BXCL701 program and (v) a one-time payment of $5,000 within</w:t>
      </w:r>
    </w:p>
    <w:p>
      <w:pPr>
        <w:ind w:right="39"/>
        <w:spacing w:after="0" w:line="270" w:lineRule="auto"/>
        <w:rPr>
          <w:sz w:val="20"/>
          <w:szCs w:val="20"/>
          <w:color w:val="auto"/>
        </w:rPr>
      </w:pPr>
      <w:r>
        <w:rPr>
          <w:rFonts w:ascii="Arial" w:cs="Arial" w:eastAsia="Arial" w:hAnsi="Arial"/>
          <w:sz w:val="17"/>
          <w:szCs w:val="17"/>
          <w:color w:val="auto"/>
        </w:rPr>
        <w:t>60 days after the achievement of $50,000 in cumulative net sales of any product or combination of products resulting from the development and commercialization of any one of the Candidates or a product derived therefrom. With the completion of the Company’s IPO in March 2018, $1,000 was charged to Research and Development costs in connection with (ii) above and was paid on April 5, 2018. The Company paid $500 to BioXcel in connection with (iii) above in April 2019. In July 2019, the Company completed the first dosing of a patient in the combination trial of BXCL701 with Keytruda, and as a result the Company paid $500 to BioXcel in connection with (iv) above in July 2019.</w:t>
      </w:r>
    </w:p>
    <w:p>
      <w:pPr>
        <w:spacing w:after="0" w:line="179" w:lineRule="exact"/>
        <w:rPr>
          <w:sz w:val="20"/>
          <w:szCs w:val="20"/>
          <w:color w:val="auto"/>
        </w:rPr>
      </w:pPr>
    </w:p>
    <w:p>
      <w:pPr>
        <w:ind w:right="79" w:firstLine="324"/>
        <w:spacing w:after="0" w:line="287" w:lineRule="auto"/>
        <w:rPr>
          <w:sz w:val="20"/>
          <w:szCs w:val="20"/>
          <w:color w:val="auto"/>
        </w:rPr>
      </w:pPr>
      <w:r>
        <w:rPr>
          <w:rFonts w:ascii="Arial" w:cs="Arial" w:eastAsia="Arial" w:hAnsi="Arial"/>
          <w:sz w:val="16"/>
          <w:szCs w:val="16"/>
          <w:color w:val="auto"/>
        </w:rPr>
        <w:t>We entered into a separation and shared services agreement with BioXcel that took effect on June 30, 2017, as amended and restated on November 7, 2017, (the “Services Agreement”), pursuant to which BioXcel will allow us to continue to use the office space, equipment, services and leased employees based on the agreed upon terms and conditions for a payment of defined monthly and/or hourly fees. The parties have agreed that the services and office space provided under the Services Agreement shall decrease over time until the 12-month anniversary of the date of the Services Agreement. The office space and equipment portion of the Services Agreement ended effectively on April 30, 2018 when the Company moved to new office space to accommodate additional personnel that had been hired. Services to be provided by BioXcel through its subsidiary in India, were originally expected to decrease through June 30, 2019 provided such dates may be extended upon mutual agreement between the parties. The parties are currently discussing extending the term of these services provided however no definitive agreement has been agreed upon as of the date hereof. There can be no assurance that the parties will agree to any extension to the Services Agreement in the future.</w:t>
      </w:r>
    </w:p>
    <w:p>
      <w:pPr>
        <w:spacing w:after="0" w:line="173" w:lineRule="exact"/>
        <w:rPr>
          <w:sz w:val="20"/>
          <w:szCs w:val="20"/>
          <w:color w:val="auto"/>
        </w:rPr>
      </w:pPr>
    </w:p>
    <w:p>
      <w:pPr>
        <w:ind w:right="39" w:firstLine="324"/>
        <w:spacing w:after="0" w:line="269" w:lineRule="auto"/>
        <w:rPr>
          <w:sz w:val="20"/>
          <w:szCs w:val="20"/>
          <w:color w:val="auto"/>
        </w:rPr>
      </w:pPr>
      <w:r>
        <w:rPr>
          <w:rFonts w:ascii="Arial" w:cs="Arial" w:eastAsia="Arial" w:hAnsi="Arial"/>
          <w:sz w:val="17"/>
          <w:szCs w:val="17"/>
          <w:color w:val="auto"/>
        </w:rPr>
        <w:t>On or before December 31, 2019, the Company expects to have the option to enter into a collaborative services agreement with BioXcel pursuant to which BioXcel shall perform product identification and related services for us utilizing EvolverAI. We have agreed that this agreement will be negotiated in good faith and that such agreement will incorporate reasonable market-based terms, including consideration for BioXcel reflecting a low, single-digit royalty on net sales and reasonable development and commercialization milestone payments, provided that (i) development milestones shall not exceed $10,000 in the aggregate and not be payable prior to proof of concept in humans and (ii) commercialization milestones shall be based on reaching annual net sales levels, be limited to 3% of the applicable net sales level, and not exceed $30,000 in the aggregate. BioXcel shall continue to make such product identification and related services available to us for at least five years from June 30, 2017 pursuant to the Services Agreement. The parties are currently discussing extending the product identification and related services that BioXcel would provide however no definitive agreement has been agreed upon as of the date hereof. There can be no assurance that the parties will agree to any extension to the collaborative services agreement in the future.</w:t>
      </w:r>
    </w:p>
    <w:p>
      <w:pPr>
        <w:spacing w:after="0" w:line="180" w:lineRule="exact"/>
        <w:rPr>
          <w:sz w:val="20"/>
          <w:szCs w:val="20"/>
          <w:color w:val="auto"/>
        </w:rPr>
      </w:pPr>
    </w:p>
    <w:p>
      <w:pPr>
        <w:ind w:right="99" w:firstLine="324"/>
        <w:spacing w:after="0" w:line="219" w:lineRule="exact"/>
        <w:rPr>
          <w:sz w:val="20"/>
          <w:szCs w:val="20"/>
          <w:color w:val="auto"/>
        </w:rPr>
      </w:pPr>
      <w:r>
        <w:rPr>
          <w:rFonts w:ascii="Arial" w:cs="Arial" w:eastAsia="Arial" w:hAnsi="Arial"/>
          <w:sz w:val="18"/>
          <w:szCs w:val="18"/>
          <w:color w:val="auto"/>
        </w:rPr>
        <w:t>In connection with the Services Agreement, BioXcel agreed to provide the Company a line of credit, which was capped at $1,000, or the Total Funding Amount, pursuant to the terms of a grid note, the (“Grid Note”). The Grid Note was payable upon the earlier of (i) the completion of an initial public offering and (ii) December 31, 2018, together with interest on the unpaid balance of each advance made under the Grid Note, which would accrue at a rate per annum equal to the applicable federal rate for short-term loans as of the date thereof, in each case calculated based on a 365</w:t>
      </w:r>
      <w:r>
        <w:rPr>
          <w:rFonts w:ascii="MS PGothic" w:cs="MS PGothic" w:eastAsia="MS PGothic" w:hAnsi="MS PGothic"/>
          <w:sz w:val="18"/>
          <w:szCs w:val="18"/>
          <w:color w:val="auto"/>
        </w:rPr>
        <w:t>‑</w:t>
      </w:r>
      <w:r>
        <w:rPr>
          <w:rFonts w:ascii="Arial" w:cs="Arial" w:eastAsia="Arial" w:hAnsi="Arial"/>
          <w:sz w:val="18"/>
          <w:szCs w:val="18"/>
          <w:color w:val="auto"/>
        </w:rPr>
        <w:t>day year and actual days elapsed.</w:t>
      </w:r>
    </w:p>
    <w:p>
      <w:pPr>
        <w:spacing w:after="0" w:line="203" w:lineRule="exact"/>
        <w:rPr>
          <w:sz w:val="20"/>
          <w:szCs w:val="20"/>
          <w:color w:val="auto"/>
        </w:rPr>
      </w:pPr>
    </w:p>
    <w:p>
      <w:pPr>
        <w:ind w:right="39" w:firstLine="324"/>
        <w:spacing w:after="0" w:line="277" w:lineRule="auto"/>
        <w:rPr>
          <w:sz w:val="20"/>
          <w:szCs w:val="20"/>
          <w:color w:val="auto"/>
        </w:rPr>
      </w:pPr>
      <w:r>
        <w:rPr>
          <w:rFonts w:ascii="Arial" w:cs="Arial" w:eastAsia="Arial" w:hAnsi="Arial"/>
          <w:sz w:val="18"/>
          <w:szCs w:val="18"/>
          <w:color w:val="auto"/>
        </w:rPr>
        <w:t>All amounts due to BioXcel under the line of credit, the Grid Note, and for expenses paid on the Company’s behalf were paid following the completion of the Company’s IPO on March 20, 2018.</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&amp; Equipment</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and Equipment,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7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r>
      <w:tr>
        <w:trPr>
          <w:trHeight w:val="142"/>
        </w:trPr>
        <w:tc>
          <w:tcPr>
            <w:tcW w:w="7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Computers and related equipment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Furniture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10"/>
        </w:trPr>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7"/>
        </w:trPr>
        <w:tc>
          <w:tcPr>
            <w:tcW w:w="70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Master Service Agreements</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Company has entered into a Master Services Agreement (“MSA”) with a Contract Research Organization (“CRO”), dated November 1, 2018 for strategic planning, expert consultation, clinical trial services, statistical programming and analysis, data processing, data management, regulatory, clerical, project management, medical device services, and other research and development services as set forth in specific work orders. This agreement is for a period of five (5) years.</w:t>
      </w:r>
    </w:p>
    <w:p>
      <w:pPr>
        <w:spacing w:after="0" w:line="154"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Excluding the CRO’s property, all improvements, inventions, processes, techniques, work product, know-how, data and information generated, conceived, reduced to practice or derived under the MSA by the CRO or its personnel and subcontractors, shall be and remain the exclusive property of the Company, and any inventions that may evolve from the foregoing shall belong to the Company.</w:t>
      </w:r>
    </w:p>
    <w:p>
      <w:pPr>
        <w:spacing w:after="0" w:line="18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Company entered into a series of cancellable work orders to support its clinical trial activities, related to the first of the Company’s BXCL 701 clinical trials. This clinical trial is expected to cost approximately $10,000 and is anticipated to take place over the next two years. To date, the Company has incurred $1,806 in costs for the work surrounding this trial.</w:t>
      </w:r>
    </w:p>
    <w:p>
      <w:pPr>
        <w:spacing w:after="0" w:line="14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first quarter of 2019 the Company entered into a second series of cancellable work orders to support a second clinical trial related the Company’s BXCL 701 product candidate. This clinical trial is expected to aggregate approximate approximately $8,000 and it is anticipated to take place over the next three years. Approximately one half of this cost is to be reimbursed by a partner. The Company has incurred $1,190 of costs in connection with this trial and has also recorded a related receivable of $173.</w:t>
      </w:r>
    </w:p>
    <w:p>
      <w:pPr>
        <w:spacing w:after="0" w:line="188"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In addition, an MSA was signed with a second CRO during the first quarter of 2019 to include strategic planning, expert consultation, regulatory activities, data interpretation, New Drug Application (“NDA”) services, and research and development services, including clinical, data management, statistical and medical writing activities.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ind w:right="133"/>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Drugs and clinical trial expenses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Accrued salaries, benefits and travel related costs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consultant fees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Legal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administrative accruals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current liabilities as of September 30, 2019 includes $161 for the current portion of Operating lease liabilities and $361 for the financing of insurance premiums.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(Deficit)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w:t>
      </w:r>
    </w:p>
    <w:p>
      <w:pPr>
        <w:spacing w:after="0" w:line="229"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Company is authorized to issue up to 10,000,000 preferred shares with a par value of $0.001 per share. No preferred shares are issued and outstanding.</w:t>
      </w:r>
    </w:p>
    <w:p>
      <w:pPr>
        <w:spacing w:after="0" w:line="17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 is authorized to issue up to 50,000,000 shares of common stock with a par value of $0.001 per share. The Company had 18,035,025 shares of common stock outstanding as of September 30,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Each share of common stock has the right to one vote. The holders of common stock are entitled to dividends when funds are legally available and when declared by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Issuances</w:t>
      </w:r>
    </w:p>
    <w:p>
      <w:pPr>
        <w:spacing w:after="0" w:line="229"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On March 7, 2018, the Company’s registration statement on Form S-1 relating to the Company’s IPO was declared effective by the SEC. The IPO closed on March 12, 2018, and the Company issued and sold 5,454,545 shares of common stock at a public offering price of $11.00 per share, for gross proceeds of $60,000 and net proceeds of $54,102 after deducting underwriting discounts and commissions of $4,200 and other offering costs of $1,698.</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In January and February 2018, the Company issued 283,452 shares of common stock with an issuance price of $6.88 per share for gross and net proceeds of $1,950.</w:t>
      </w:r>
    </w:p>
    <w:p>
      <w:pPr>
        <w:spacing w:after="0" w:line="17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On May 20, 2019, the Company entered into an Open Market Sale Agreement (the “Sale Agreement”) with Jefferies LLC (“Jefferies”) pursuant to which the Company may offer and sell shares of its common stock, par value $0.001 per share (the “Common Stock”), having an initial offering price no greater than $20.0 million (the “Shares”), from time to time, through an “at the market offering” program under which Jefferies will act as sales agent.</w:t>
      </w:r>
    </w:p>
    <w:p>
      <w:pPr>
        <w:spacing w:after="0" w:line="171"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Under the Sale Agreement, the Company set the parameters for the sale of Shares, including the number of Shares to be issued, the time period during which sales are requested to be made, limitations on the number of Shares that may be sold in any one trading day and any minimum price below which sales may not be made. Subject to the terms and conditions of the Sale Agreement, Jefferies may sell the Shares by methods deemed to be an “at the market offering” as defined in Rule 415(a)</w:t>
      </w:r>
    </w:p>
    <w:p>
      <w:pPr>
        <w:spacing w:after="0" w:line="2" w:lineRule="exact"/>
        <w:rPr>
          <w:sz w:val="20"/>
          <w:szCs w:val="20"/>
          <w:color w:val="auto"/>
        </w:rPr>
      </w:pPr>
    </w:p>
    <w:p>
      <w:pPr>
        <w:ind w:right="240" w:firstLine="3"/>
        <w:spacing w:after="0" w:line="295" w:lineRule="auto"/>
        <w:tabs>
          <w:tab w:leader="none" w:pos="255"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promulgated under the Securities Act of 1933, as amended, including sales made directly on or through the Nasdaq Capital Market or any other existing trading market for the Common Stock. The Company agreed to pay Jefferies a commission equal to 3.00% of the gross sales proceeds of any Shares sold through Jefferies under the Sale Agreement and has provided Jefferies with customary indemnification and contribution rights. The Sale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could be terminated at any time by either party upon prior written notice to the other party and was terminated by the Company on September 22, 2019. All deferred issuance costs (including commissions) aggregating $400 associated with implementing the Sale Agreement were charged to Additional paid in capital during the nine months ended September 30, 2019.</w:t>
      </w:r>
    </w:p>
    <w:p>
      <w:pPr>
        <w:spacing w:after="0" w:line="187"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For the three months ended September 30, 2019, the Company sold 44,449 shares under the Sale Agreement for gross proceeds of $496, issuance costs of $390 or net proceeds of $106.</w:t>
      </w:r>
    </w:p>
    <w:p>
      <w:pPr>
        <w:spacing w:after="0" w:line="170"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For the nine months ended September 30, 2019, the Company sold 66,193 shares under the Sale Agreement for gross proceeds of $737, issuance costs of $400 or net proceeds of $337.</w:t>
      </w:r>
    </w:p>
    <w:p>
      <w:pPr>
        <w:spacing w:after="0" w:line="170"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On September 26, 2019, the Company entered into an underwriting agreement with several underwriters in connection with the issuance and sale by the Company in a public offering of 2,303,030 shares of the Company’s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w:t>
      </w:r>
    </w:p>
    <w:p>
      <w:pPr>
        <w:spacing w:after="0" w:line="15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received gross and net proceeds of approximately $19,000 and $17,399 respectively from the September 2019 Offering. The Company intends to use the net proceeds of the September 2019 Offering for general corporate purposes, which may include development and commercialization of their product candidates, research and development, general and administrative expenses, license or technology acquisitions, and working capital and capital expenditures.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Company’s 2017 Stock Incentive Plan (the “2017 Stock Plan”) became effective in August 2017 and will expire in August 2027. Under the 2017 Stock Plan, the Company may grant incentive stock options, non-statutory stock options, restricted stock awards and other stock-based awards.</w:t>
      </w:r>
    </w:p>
    <w:p>
      <w:pPr>
        <w:spacing w:after="0" w:line="181"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As of September 30, 2019, there were 3,442,313 shares of the Company’s common stock authorized for issuance under the 2017 Stock Plan. Options granted under the 2017 Stock Plan have a term of ten years with vesting terms determined by the board of directors, which is generally four years.</w:t>
      </w:r>
    </w:p>
    <w:p>
      <w:pPr>
        <w:spacing w:after="0" w:line="18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fair value of options granted during the nine months ended September 30, 2019 was estimated using the Black-Scholes option-pricing model with the following assumptions.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left="257"/>
              <w:spacing w:after="0"/>
              <w:rPr>
                <w:sz w:val="20"/>
                <w:szCs w:val="20"/>
                <w:color w:val="auto"/>
              </w:rPr>
            </w:pPr>
            <w:r>
              <w:rPr>
                <w:rFonts w:ascii="Arial" w:cs="Arial" w:eastAsia="Arial" w:hAnsi="Arial"/>
                <w:sz w:val="14"/>
                <w:szCs w:val="14"/>
                <w:b w:val="1"/>
                <w:bCs w:val="1"/>
                <w:color w:val="auto"/>
                <w:w w:val="92"/>
              </w:rPr>
              <w:t>For the</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September 30, 2019</w:t>
            </w: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per share</w:t>
            </w:r>
          </w:p>
        </w:tc>
        <w:tc>
          <w:tcPr>
            <w:tcW w:w="15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8"/>
                <w:szCs w:val="18"/>
                <w:color w:val="auto"/>
              </w:rPr>
              <w:t>7.91</w:t>
            </w:r>
          </w:p>
        </w:tc>
        <w:tc>
          <w:tcPr>
            <w:tcW w:w="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78.05 %</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79.48 %</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rate of interest</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Fair value of grants per share</w:t>
            </w:r>
          </w:p>
        </w:tc>
        <w:tc>
          <w:tcPr>
            <w:tcW w:w="1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7"/>
              <w:spacing w:after="0"/>
              <w:rPr>
                <w:sz w:val="20"/>
                <w:szCs w:val="20"/>
                <w:color w:val="auto"/>
              </w:rPr>
            </w:pPr>
            <w:r>
              <w:rPr>
                <w:rFonts w:ascii="Arial" w:cs="Arial" w:eastAsia="Arial" w:hAnsi="Arial"/>
                <w:sz w:val="18"/>
                <w:szCs w:val="18"/>
                <w:color w:val="auto"/>
              </w:rPr>
              <w:t>5.31</w:t>
            </w:r>
          </w:p>
        </w:tc>
        <w:tc>
          <w:tcPr>
            <w:tcW w:w="320" w:type="dxa"/>
            <w:vAlign w:val="bottom"/>
          </w:tcPr>
          <w:p>
            <w:pPr>
              <w:ind w:left="40"/>
              <w:spacing w:after="0"/>
              <w:rPr>
                <w:sz w:val="20"/>
                <w:szCs w:val="20"/>
                <w:color w:val="auto"/>
              </w:rPr>
            </w:pPr>
            <w:r>
              <w:rPr>
                <w:rFonts w:ascii="Arial" w:cs="Arial" w:eastAsia="Arial" w:hAnsi="Arial"/>
                <w:sz w:val="18"/>
                <w:szCs w:val="18"/>
                <w:color w:val="auto"/>
              </w:rPr>
              <w:t>- $</w:t>
            </w:r>
          </w:p>
        </w:tc>
        <w:tc>
          <w:tcPr>
            <w:tcW w:w="540" w:type="dxa"/>
            <w:vAlign w:val="bottom"/>
          </w:tcPr>
          <w:p>
            <w:pPr>
              <w:jc w:val="right"/>
              <w:spacing w:after="0"/>
              <w:rPr>
                <w:sz w:val="20"/>
                <w:szCs w:val="20"/>
                <w:color w:val="auto"/>
              </w:rPr>
            </w:pPr>
            <w:r>
              <w:rPr>
                <w:rFonts w:ascii="Arial" w:cs="Arial" w:eastAsia="Arial" w:hAnsi="Arial"/>
                <w:sz w:val="18"/>
                <w:szCs w:val="18"/>
                <w:color w:val="auto"/>
              </w:rPr>
              <w:t>8.17</w:t>
            </w:r>
          </w:p>
        </w:tc>
        <w:tc>
          <w:tcPr>
            <w:tcW w:w="1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Prior to the Company’s IPO, it did not have a history of market prices of its common stock and, as such, volatility was estimated using historical volatilities of similar public companies. The expected term of the employee awards is estimated based on the simplified method, which calculates the expected term based upon the midpoint of the term of the award and the vesting period. The Company uses the simplified method because it does not have sufficient option exercise data to provide a reasonable basis upon which to estimate the expected term. The expected term of non-employee awards represents the awards contractual term. The expected dividend yield is 0% as the Company has no history of paying dividends nor does management expect to pay dividends over the contractual terms of these options.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risk-free interest rates are based on the United States Treasury yield curve in effect at the time of grant, with maturities approximating the expected term of the stock options.</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following table summarizes information about stock option activity under the 2017 Stock Plan for the nine months ended September 30, 2019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Total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14"/>
              <w:spacing w:after="0"/>
              <w:rPr>
                <w:sz w:val="20"/>
                <w:szCs w:val="20"/>
                <w:color w:val="auto"/>
              </w:rPr>
            </w:pPr>
            <w:r>
              <w:rPr>
                <w:rFonts w:ascii="Arial" w:cs="Arial" w:eastAsia="Arial" w:hAnsi="Arial"/>
                <w:sz w:val="14"/>
                <w:szCs w:val="14"/>
                <w:b w:val="1"/>
                <w:bCs w:val="1"/>
                <w:color w:val="auto"/>
                <w:w w:val="93"/>
              </w:rPr>
              <w:t>Price per Share</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January 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2,744,153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020" w:type="dxa"/>
            <w:vAlign w:val="bottom"/>
          </w:tcPr>
          <w:p>
            <w:pPr>
              <w:ind w:left="220"/>
              <w:spacing w:after="0"/>
              <w:rPr>
                <w:sz w:val="20"/>
                <w:szCs w:val="20"/>
                <w:color w:val="auto"/>
              </w:rPr>
            </w:pPr>
            <w:r>
              <w:rPr>
                <w:rFonts w:ascii="Arial" w:cs="Arial" w:eastAsia="Arial" w:hAnsi="Arial"/>
                <w:sz w:val="18"/>
                <w:szCs w:val="18"/>
                <w:color w:val="auto"/>
              </w:rPr>
              <w:t>Options 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361,800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9.95</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 forfeited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tcPr>
          <w:p>
            <w:pPr>
              <w:ind w:left="200"/>
              <w:spacing w:after="0"/>
              <w:rPr>
                <w:sz w:val="20"/>
                <w:szCs w:val="20"/>
                <w:color w:val="auto"/>
              </w:rPr>
            </w:pPr>
            <w:r>
              <w:rPr>
                <w:rFonts w:ascii="Arial" w:cs="Arial" w:eastAsia="Arial" w:hAnsi="Arial"/>
                <w:sz w:val="18"/>
                <w:szCs w:val="18"/>
                <w:color w:val="auto"/>
              </w:rPr>
              <w:t>Options exercised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0.41</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September 30,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3,092,122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00" w:type="dxa"/>
            <w:vAlign w:val="bottom"/>
            <w:tcBorders>
              <w:top w:val="single" w:sz="8" w:color="CCEEFF"/>
            </w:tcBorders>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1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0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vested and exercisable as of</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2,058,172</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350,191 shares available for grant as of September 30, 2019.</w:t>
      </w:r>
    </w:p>
    <w:p>
      <w:pPr>
        <w:spacing w:after="0" w:line="18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The Company recognized stock-based compensation expense under the 2017 Stock Plan of $758 and $2,427 for the three and nine months ended September 30, 2019, respectively. The Company recognized stock-based compensation expense under the 2017 Stock Plan of $917 and $2,777 for the three and nine months ended September 30, 2018, respectively.</w:t>
      </w:r>
    </w:p>
    <w:p>
      <w:pPr>
        <w:spacing w:after="0" w:line="1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total grant-date fair value of options was $2,453 for the nine months ended September 30, 2019.</w:t>
      </w:r>
    </w:p>
    <w:p>
      <w:pPr>
        <w:spacing w:after="0" w:line="185" w:lineRule="exact"/>
        <w:rPr>
          <w:sz w:val="20"/>
          <w:szCs w:val="20"/>
          <w:color w:val="auto"/>
        </w:rPr>
      </w:pPr>
    </w:p>
    <w:p>
      <w:pPr>
        <w:jc w:val="both"/>
        <w:ind w:right="460" w:firstLine="324"/>
        <w:spacing w:after="0" w:line="264" w:lineRule="auto"/>
        <w:rPr>
          <w:sz w:val="20"/>
          <w:szCs w:val="20"/>
          <w:color w:val="auto"/>
        </w:rPr>
      </w:pPr>
      <w:r>
        <w:rPr>
          <w:rFonts w:ascii="Arial" w:cs="Arial" w:eastAsia="Arial" w:hAnsi="Arial"/>
          <w:sz w:val="18"/>
          <w:szCs w:val="18"/>
          <w:color w:val="auto"/>
        </w:rPr>
        <w:t>Unrecognized compensation expense related to unvested awards as of September 30, 2019 was $3,359 and will be recognized over the remaining vesting periods of the underlying awards. The weighted-average period over which such compensation is expected to be recognized is 1.4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BioXcel Charges</w:t>
      </w:r>
    </w:p>
    <w:p>
      <w:pPr>
        <w:spacing w:after="0" w:line="198" w:lineRule="exact"/>
        <w:rPr>
          <w:sz w:val="20"/>
          <w:szCs w:val="20"/>
          <w:color w:val="auto"/>
        </w:rPr>
      </w:pPr>
    </w:p>
    <w:p>
      <w:pPr>
        <w:ind w:right="120" w:firstLine="359"/>
        <w:spacing w:after="0" w:line="291" w:lineRule="auto"/>
        <w:rPr>
          <w:sz w:val="20"/>
          <w:szCs w:val="20"/>
          <w:color w:val="auto"/>
        </w:rPr>
      </w:pPr>
      <w:r>
        <w:rPr>
          <w:rFonts w:ascii="Arial" w:cs="Arial" w:eastAsia="Arial" w:hAnsi="Arial"/>
          <w:sz w:val="16"/>
          <w:szCs w:val="16"/>
          <w:color w:val="auto"/>
        </w:rPr>
        <w:t>BioXcel has granted stock options to its employees under its own Equity Incentive Plan (“BioXcel Plan”). Stock-based compensation expense from the BioXcel Plan is allocated to the Company over the period over which those stock option awards vest and are based on the percentage of time spent on Company activities compared to BioXcel activities, which is the same basis used for allocation of salary costs. The BioXcel stock option awards are valued at fair value on the date of grant and that fair value is recognized over the requisite service period. The estimated fair value of these BioXcel stock option awards was determined using the Black Scholes option pricing model on the date of grant. Significant judgment and estimates were used to estimate the fair value of these awards, as they are not publicly traded.</w:t>
      </w:r>
    </w:p>
    <w:p>
      <w:pPr>
        <w:spacing w:after="0" w:line="127"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Share based compensation expense (income), net of forfeitures, recognized by the Company in its statements of operations related to BioXcel equity awards totaled approximately $18 and $61 for the three and nine months ended September 30, 2019, respectively and $(27) and $172 for the three and nine months ended September 30, 2018, respectively.</w:t>
      </w:r>
    </w:p>
    <w:p>
      <w:pPr>
        <w:spacing w:after="0" w:line="106" w:lineRule="exact"/>
        <w:rPr>
          <w:sz w:val="20"/>
          <w:szCs w:val="20"/>
          <w:color w:val="auto"/>
        </w:rPr>
      </w:pPr>
    </w:p>
    <w:p>
      <w:pPr>
        <w:ind w:right="460" w:firstLine="359"/>
        <w:spacing w:after="0" w:line="264" w:lineRule="auto"/>
        <w:rPr>
          <w:sz w:val="20"/>
          <w:szCs w:val="20"/>
          <w:color w:val="auto"/>
        </w:rPr>
      </w:pPr>
      <w:r>
        <w:rPr>
          <w:rFonts w:ascii="Arial" w:cs="Arial" w:eastAsia="Arial" w:hAnsi="Arial"/>
          <w:sz w:val="18"/>
          <w:szCs w:val="18"/>
          <w:color w:val="auto"/>
        </w:rPr>
        <w:t>Total share based compensation charges were approximately $776 and $2,488 for the three and nine months ended September 30, 2019, respectively and $890 and $2,949 for the three and nine months ended September 30, 2018,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89"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Deferred income tax assets and liabilities are recognized for the estimated future tax consequences attributable to differences between the financial reporting and tax bases of assets and liabilities and are measured using enacted tax rates in effect for the year in which those temporary differences are expected to be recovered or settled. A valuation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allowance is provided for the amount of deferred tax assets that, based on available evidence, are not expected to be realized.</w:t>
      </w:r>
    </w:p>
    <w:p>
      <w:pPr>
        <w:spacing w:after="0" w:line="208" w:lineRule="exact"/>
        <w:rPr>
          <w:sz w:val="20"/>
          <w:szCs w:val="20"/>
          <w:color w:val="auto"/>
        </w:rPr>
      </w:pPr>
    </w:p>
    <w:p>
      <w:pPr>
        <w:ind w:right="179" w:firstLine="324"/>
        <w:spacing w:after="0" w:line="264" w:lineRule="auto"/>
        <w:rPr>
          <w:sz w:val="20"/>
          <w:szCs w:val="20"/>
          <w:color w:val="auto"/>
        </w:rPr>
      </w:pPr>
      <w:r>
        <w:rPr>
          <w:rFonts w:ascii="Arial" w:cs="Arial" w:eastAsia="Arial" w:hAnsi="Arial"/>
          <w:sz w:val="18"/>
          <w:szCs w:val="18"/>
          <w:color w:val="auto"/>
        </w:rPr>
        <w:t>As a result of the Company’s cumulative losses, management has concluded that a full valuation allowance against the Company’s net deferred tax assets is appropriate. No income tax liabilities existed as of September 30, 2019 and December 31, 2018 due to the Company’s continuing operating losses.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Leases</w:t>
      </w:r>
    </w:p>
    <w:p>
      <w:pPr>
        <w:spacing w:after="0" w:line="189" w:lineRule="exact"/>
        <w:rPr>
          <w:sz w:val="20"/>
          <w:szCs w:val="20"/>
          <w:color w:val="auto"/>
        </w:rPr>
      </w:pPr>
    </w:p>
    <w:p>
      <w:pPr>
        <w:ind w:right="139" w:firstLine="648"/>
        <w:spacing w:after="0" w:line="264" w:lineRule="auto"/>
        <w:rPr>
          <w:sz w:val="20"/>
          <w:szCs w:val="20"/>
          <w:color w:val="auto"/>
        </w:rPr>
      </w:pPr>
      <w:r>
        <w:rPr>
          <w:rFonts w:ascii="Arial" w:cs="Arial" w:eastAsia="Arial" w:hAnsi="Arial"/>
          <w:sz w:val="18"/>
          <w:szCs w:val="18"/>
          <w:color w:val="auto"/>
        </w:rPr>
        <w:t>The Company entered into an agreement to lease approximately 11,040 square feet of space on the 12</w:t>
      </w:r>
      <w:r>
        <w:rPr>
          <w:rFonts w:ascii="Arial" w:cs="Arial" w:eastAsia="Arial" w:hAnsi="Arial"/>
          <w:sz w:val="8"/>
          <w:szCs w:val="8"/>
          <w:color w:val="auto"/>
        </w:rPr>
        <w:t>th</w:t>
      </w:r>
      <w:r>
        <w:rPr>
          <w:rFonts w:ascii="Arial" w:cs="Arial" w:eastAsia="Arial" w:hAnsi="Arial"/>
          <w:sz w:val="18"/>
          <w:szCs w:val="18"/>
          <w:color w:val="auto"/>
        </w:rPr>
        <w:t xml:space="preserve"> floor of the building located at 555 Long Wharf Drive, New Haven, Connecticut that commenced February 22, 2019 (the “Commencement Date”). The premises were occupied in March 2019.</w:t>
      </w:r>
    </w:p>
    <w:p>
      <w:pPr>
        <w:spacing w:after="0" w:line="141" w:lineRule="exact"/>
        <w:rPr>
          <w:sz w:val="20"/>
          <w:szCs w:val="20"/>
          <w:color w:val="auto"/>
        </w:rPr>
      </w:pPr>
    </w:p>
    <w:p>
      <w:pPr>
        <w:ind w:right="79" w:firstLine="648"/>
        <w:spacing w:after="0" w:line="277" w:lineRule="auto"/>
        <w:rPr>
          <w:sz w:val="20"/>
          <w:szCs w:val="20"/>
          <w:color w:val="auto"/>
        </w:rPr>
      </w:pPr>
      <w:r>
        <w:rPr>
          <w:rFonts w:ascii="Arial" w:cs="Arial" w:eastAsia="Arial" w:hAnsi="Arial"/>
          <w:sz w:val="18"/>
          <w:szCs w:val="18"/>
          <w:color w:val="auto"/>
        </w:rPr>
        <w:t>The term of the 12</w:t>
      </w:r>
      <w:r>
        <w:rPr>
          <w:rFonts w:ascii="Arial" w:cs="Arial" w:eastAsia="Arial" w:hAnsi="Arial"/>
          <w:sz w:val="8"/>
          <w:szCs w:val="8"/>
          <w:color w:val="auto"/>
        </w:rPr>
        <w:t>th</w:t>
      </w:r>
      <w:r>
        <w:rPr>
          <w:rFonts w:ascii="Arial" w:cs="Arial" w:eastAsia="Arial" w:hAnsi="Arial"/>
          <w:sz w:val="18"/>
          <w:szCs w:val="18"/>
          <w:color w:val="auto"/>
        </w:rPr>
        <w:t xml:space="preserve"> floor lease continues from the Commencement Date through the last day of the calendar month immediately following the seventh anniversary of the Commencement Date.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improvement costs were approximately $641 and are being amortized over the life of the lease.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the operating lease liability are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Amount</w:t>
            </w: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2019 (excluding the nine months ended September 30, 2019)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r>
      <w:tr>
        <w:trPr>
          <w:trHeight w:val="210"/>
        </w:trPr>
        <w:tc>
          <w:tcPr>
            <w:tcW w:w="6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lease liability</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r>
      <w:tr>
        <w:trPr>
          <w:trHeight w:val="216"/>
        </w:trPr>
        <w:tc>
          <w:tcPr>
            <w:tcW w:w="6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7"/>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r>
    </w:tbl>
    <w:p>
      <w:pPr>
        <w:spacing w:after="0" w:line="202" w:lineRule="exact"/>
        <w:rPr>
          <w:sz w:val="20"/>
          <w:szCs w:val="20"/>
          <w:color w:val="auto"/>
        </w:rPr>
      </w:pPr>
    </w:p>
    <w:p>
      <w:pPr>
        <w:ind w:right="339" w:firstLine="324"/>
        <w:spacing w:after="0" w:line="277" w:lineRule="auto"/>
        <w:rPr>
          <w:sz w:val="20"/>
          <w:szCs w:val="20"/>
          <w:color w:val="auto"/>
        </w:rPr>
      </w:pPr>
      <w:r>
        <w:rPr>
          <w:rFonts w:ascii="Arial" w:cs="Arial" w:eastAsia="Arial" w:hAnsi="Arial"/>
          <w:sz w:val="18"/>
          <w:szCs w:val="18"/>
          <w:color w:val="auto"/>
        </w:rPr>
        <w:t>The current portion of the Company’s operating lease liability of $161 as of September 30, 2019 is included in other current liabilities on the balance sheet.</w:t>
      </w:r>
    </w:p>
    <w:p>
      <w:pPr>
        <w:spacing w:after="0" w:line="130" w:lineRule="exact"/>
        <w:rPr>
          <w:sz w:val="20"/>
          <w:szCs w:val="20"/>
          <w:color w:val="auto"/>
        </w:rPr>
      </w:pPr>
    </w:p>
    <w:p>
      <w:pPr>
        <w:ind w:right="119" w:firstLine="324"/>
        <w:spacing w:after="0" w:line="277" w:lineRule="auto"/>
        <w:rPr>
          <w:sz w:val="20"/>
          <w:szCs w:val="20"/>
          <w:color w:val="auto"/>
        </w:rPr>
      </w:pPr>
      <w:r>
        <w:rPr>
          <w:rFonts w:ascii="Arial" w:cs="Arial" w:eastAsia="Arial" w:hAnsi="Arial"/>
          <w:sz w:val="18"/>
          <w:szCs w:val="18"/>
          <w:color w:val="auto"/>
        </w:rPr>
        <w:t>The Company recorded amortization charges and interest expense of $109 and $30, respectively related to its operating lease right-of-use asset for the nine months ended September 30, 2019.</w:t>
      </w:r>
    </w:p>
    <w:p>
      <w:pPr>
        <w:spacing w:after="0" w:line="143" w:lineRule="exact"/>
        <w:rPr>
          <w:sz w:val="20"/>
          <w:szCs w:val="20"/>
          <w:color w:val="auto"/>
        </w:rPr>
      </w:pPr>
    </w:p>
    <w:p>
      <w:pPr>
        <w:ind w:right="259" w:firstLine="324"/>
        <w:spacing w:after="0" w:line="277" w:lineRule="auto"/>
        <w:rPr>
          <w:sz w:val="20"/>
          <w:szCs w:val="20"/>
          <w:color w:val="auto"/>
        </w:rPr>
      </w:pPr>
      <w:r>
        <w:rPr>
          <w:rFonts w:ascii="Arial" w:cs="Arial" w:eastAsia="Arial" w:hAnsi="Arial"/>
          <w:sz w:val="18"/>
          <w:szCs w:val="18"/>
          <w:color w:val="auto"/>
        </w:rPr>
        <w:t>The Company has an option to renew the lease for one additional five-year term at 95% of the then-prevailing market rates but not less than the rental rate at the end of the initial lease term.</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related notes appearing elsewhere in this Quarterly Report and the audited financial statements and related notes contained in our Annual Report on Form 10-K for the year ended December 31, 2018. Some of the information contained in this discussion and analysis or set forth elsewhere in this Quarterly Report, such as information with respect to our plans and strategy for our business and expectations related to the clinical development of our product candidates, includes forward-looking statements that involve risks and uncertainties. As a result of many factors, including those factors set forth in the “Risk Factors” section of this Quarterly Report, our actual results could differ materially from the results described in, or implied by, the forward-looking statements contained in the following discussion and analysis.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All dollar amounts in this discussion and analysis are to the nearest thousand unless otherwise noted.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are a clinical stage biopharmaceutical company utilizing novel artificial intelligence-based approaches to identify the next wave of medicines across neuroscience and immuno-oncology. Our drug re-innovation approach leverages existing approved drugs and/or clinically validated product candidates together with big data and proprietary machine learning algorithms to identify new therapeutic indices.</w:t>
      </w:r>
    </w:p>
    <w:p>
      <w:pPr>
        <w:spacing w:after="0" w:line="18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We believe that this differentiated approach has the potential to reduce the cost and time of drug development in diseases with substantial unmet medical need. Our two most advanced clinical development programs are BXCL501, a proprietary sublingual thin film formulation of the adrenergic receptor agonist dexmedetomidine, or Dex, for acute treatment of agitation resulting from neuropsychiatric disorders, and BXCL701, an orally available systemic innate-immune activator for treatment of an aggressive form of prostate cancer and pancreatic cancer.</w:t>
      </w:r>
    </w:p>
    <w:p>
      <w:pPr>
        <w:spacing w:after="0" w:line="17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third quarter of 2019, we continued to advance the development of our two lead clinical programs, BXCL501 and BXCL701.</w:t>
      </w:r>
    </w:p>
    <w:p>
      <w:pPr>
        <w:spacing w:after="0" w:line="17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As of November 1, 2019, our patent portfolio included 3 Patent Cooperation Treaty applications, 5 U.S. utility applications, 22 U.S. provisional applications, and 33 non-U.S.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BXCL501 Neuroscience Program</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July 22, 2019, we announced positive top-line results from our adaptive Phase 1b, randomized, double-blind, placebo-controlled, multi-center, U.S. trial, evaluating multiple doses of BXCL501 for acute treatment of agitation in 135 patients with schizophrenia. Since that time, we have been preparing for an end of Phase 2 meeting with the U.S. Food and Drug Administration (“FDA”) to obtain additional feedback on progressing to a Phase 3 pivotal trial for agitation in schizophrenia and bipolar disorder. We anticipate enrolling approximately 600 to 700 patients (300-350 each in schizophrenia and bipolar disorder) across two Phase 3 pivotal trials, which are designed to measure reduction in Positive and Negative Syndrome Scale -Excitatory Component at two hours as the primary endpoint, as discussed with the FDA and used in clinical trials of other approved agents.</w:t>
      </w:r>
    </w:p>
    <w:p>
      <w:pPr>
        <w:spacing w:after="0" w:line="192"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also expect to begin an adaptive Phase 1b/2 trial in agitated Alzheimer’s disease/dementia patients in the fourth quarter of 2019.</w:t>
      </w:r>
    </w:p>
    <w:p>
      <w:pPr>
        <w:spacing w:after="0" w:line="170"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On August 20, 2019 we announced that the U.S. Department of Defense’s Congressionally Directed Medical Research Program had awarded us a planning grant as a part of its Alcohol and Substance Abuse Disorders Research Program related to the development of BXCL501 in collaboration with Yale University. The grant will support the development of a clinical study to evaluate the use of BXCL501 for the treatment of alcohol and substance use disorders, particularly related to Post Traumatic Stress Disorder (“PTSD”) and Traumatic Brain Injury (“TBI”). This grant is intended to allow us to expand the use of BXCL to treat agitation symptoms found in patients suffering from both PTSD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and TBI. We are currently planning to submit a grant proposal that would allow for funding of a BXCL501 study in these conditions.</w:t>
      </w:r>
    </w:p>
    <w:p>
      <w:pPr>
        <w:spacing w:after="0" w:line="1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On September 18, 2019, we announced a strategic plan to investigate the development of using wearable digital device technology such as the Apple Watch, with the goal of enhancing the prevention and treatment of agitation including, if approved, the administration of BXCL501 prior to the onset of agitation. We plan to conduct a feasibility study with potential applications in commercially available wearable digital devices to measure nervous and motor system activity relevant to both agitation and the mechanism of action of BXCL501. This study is expected be conducted in collaboration with both clinical investigators and a third-party digital solutions provider.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BXCL701 Immuno-Oncology Program</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currently has two planned Phase 1b/2 clinical trials for BXCL701.</w:t>
      </w:r>
    </w:p>
    <w:p>
      <w:pPr>
        <w:spacing w:after="0" w:line="225"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We are currently enrolling patients in the U.S. in the double combination of BXCL701 and Keytruda® clinical trial for the treatment of emergent Neuroendocrine Prostate Cancer and, on October 26, 2019, we announced the first clinical results relating to the safety and tolerability of BXCL701 in combination with Keytruda®. Data from the first patient cohort consisting of 400 mcg of BXCL701 plus Keytruda® was well tolerated. We also reported that the study’s second cohort consisting of 600 mcg of BXCL701 along with Keytruda® was enrolling patients and that we expect to report on these additional safety findings by the end of year prior to advancing to the Phase 2 stage efficacy portion of the trial.</w:t>
      </w:r>
    </w:p>
    <w:p>
      <w:pPr>
        <w:spacing w:after="0" w:line="165"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In June 2019, we reported that the FDA had cleared the Investigational New Drug application for the triple combination of BXCL701, bempegaldesleukin (produced by Nektar Therapeutics, Inc., or Nektar) and BAVENCIO® (avelumab, Merck KGaA, Darmstadt, Germany and Pfizer) in pancreatic cancer. We expect to commence the BXCL701 phase of the trial following a Pfizer-Nektar safety run-in trial of Avelumab and bempegaldesleuk and the outcome of their trial.</w:t>
      </w:r>
    </w:p>
    <w:p>
      <w:pPr>
        <w:spacing w:after="0" w:line="15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September 4, 2019 we reported that the FDA had granted Orphan Drug Designation for BXCL701, for the treatment of Acute Myeloid Leukemia (“AML”). This is the third Orphan Drug Designation received for BXCL701 from the FDA in addition to Melanoma and Pancreatic Cancer. Recent preclinical work published in the July 2018 Nature Medicine publication, “DPP8/DPP9 inhibitor-induced pyroptosis for treatment of acute myeloid leukemia,” has pointed to AML as a potential indication for BXCL701 because AML cells are of the same lineage as macrophages, one of BXCL701’s main targets.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clinical and pre-clinical product candidates including:</w:t>
      </w:r>
    </w:p>
    <w:p>
      <w:pPr>
        <w:spacing w:after="0" w:line="170" w:lineRule="exact"/>
        <w:rPr>
          <w:sz w:val="20"/>
          <w:szCs w:val="20"/>
          <w:color w:val="auto"/>
        </w:rPr>
      </w:pPr>
    </w:p>
    <w:p>
      <w:pPr>
        <w:ind w:left="660" w:right="10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and travel expenses for employees engaged in research and development functions;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payments to our Parent pursuant to various agreements entered into with the Parent;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32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and sites that conduct our non-clinical studies and clinical trials;</w:t>
      </w:r>
    </w:p>
    <w:p>
      <w:pPr>
        <w:spacing w:after="0" w:line="170" w:lineRule="exact"/>
        <w:rPr>
          <w:rFonts w:ascii="Arial" w:cs="Arial" w:eastAsia="Arial" w:hAnsi="Arial"/>
          <w:sz w:val="18"/>
          <w:szCs w:val="18"/>
          <w:color w:val="auto"/>
        </w:rPr>
      </w:pPr>
    </w:p>
    <w:p>
      <w:pPr>
        <w:ind w:left="660" w:right="56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of outside consultants engaged in research and development activities, including their fees, stock-based compensation and travel expenses;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 of acquiring, developing and manufacturing pre-clinical and clinical trial materials and lab supplies; and</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occupancy costs, depreciation and other expenses.</w:t>
      </w:r>
    </w:p>
    <w:p>
      <w:pPr>
        <w:spacing w:after="0" w:line="22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Our research and development costs by program for the nine months ended September 30, 2019 and 2018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BXCL 501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BXCL 701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BXCL 502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BXCL 702</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research and development programs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 support services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w:t>
            </w:r>
          </w:p>
        </w:tc>
      </w:tr>
      <w:tr>
        <w:trPr>
          <w:trHeight w:val="217"/>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19,302</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w:t>
            </w:r>
          </w:p>
        </w:tc>
      </w:tr>
    </w:tbl>
    <w:p>
      <w:pPr>
        <w:spacing w:after="0" w:line="202"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Because of the numerous risks and uncertainties associated with product development, we cannot determine with certainty the duration and completion costs of these or other current or future clinical trials of BXCL501, BXCL701 or our other product candidates. However, our research and development costs have increased, and we expect will continue to increase, as we plan for and begin clinical trials for our current and future product candidates. We may never succeed in achieving regulatory approval for BXCL501, BXCL701 or any of our other product candidates. The duration, costs and timing of clinical trials and development of our product candidates will depend on a variety of factors, including the uncertainties of future clinical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324"/>
        <w:spacing w:after="0" w:line="279" w:lineRule="auto"/>
        <w:rPr>
          <w:sz w:val="20"/>
          <w:szCs w:val="20"/>
          <w:color w:val="auto"/>
        </w:rPr>
      </w:pPr>
      <w:r>
        <w:rPr>
          <w:rFonts w:ascii="Arial" w:cs="Arial" w:eastAsia="Arial" w:hAnsi="Arial"/>
          <w:sz w:val="17"/>
          <w:szCs w:val="17"/>
          <w:color w:val="auto"/>
        </w:rPr>
        <w:t>General and administrative expenses consist primarily of salaries and related costs for employees in executive, finance and administration, corporate development and administrative support functions, including stock-based compensation expenses and benefits. Other significant general and administrative expenses include accounting and legal services, the cost of various consultants, occupancy costs and information systems costs.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expect that our general and administrative costs, including payroll and related expenses, will increase in the future as we continue to increase our headcount to support the expected growth in our business, expand our operations and organizational capabilities. These increases will likely include increased costs for director and officer liability insurance, hiring additional personnel to support future market research and future product commercialization efforts and increased fees for outside consultants, attorneys and accountants. We also have incurred and expect to continue to incur increased costs associated with being a public company, including costs of accounting, audit, legal, regulatory and tax-related services associated with maintaining compliance with Nasdaq and SEC requirements; director and officer insurance costs; and investor and public relations costs.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(Unaudited)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 except</w:t>
            </w:r>
          </w:p>
        </w:tc>
        <w:tc>
          <w:tcPr>
            <w:tcW w:w="100" w:type="dxa"/>
            <w:vAlign w:val="bottom"/>
            <w:tcBorders>
              <w:bottom w:val="single" w:sz="8" w:color="auto"/>
            </w:tcBorders>
          </w:tcPr>
          <w:p>
            <w:pPr>
              <w:spacing w:after="0"/>
              <w:rPr>
                <w:sz w:val="12"/>
                <w:szCs w:val="12"/>
                <w:color w:val="auto"/>
              </w:rPr>
            </w:pPr>
          </w:p>
        </w:tc>
        <w:tc>
          <w:tcPr>
            <w:tcW w:w="2400" w:type="dxa"/>
            <w:vAlign w:val="bottom"/>
            <w:tcBorders>
              <w:bottom w:val="single" w:sz="8" w:color="auto"/>
            </w:tcBorders>
            <w:gridSpan w:val="8"/>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Three months ended September 30,</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8"/>
          </w:tcPr>
          <w:p>
            <w:pPr>
              <w:jc w:val="right"/>
              <w:ind w:right="180"/>
              <w:spacing w:after="0" w:line="142" w:lineRule="exact"/>
              <w:rPr>
                <w:sz w:val="20"/>
                <w:szCs w:val="20"/>
                <w:color w:val="auto"/>
              </w:rPr>
            </w:pPr>
            <w:r>
              <w:rPr>
                <w:rFonts w:ascii="Arial" w:cs="Arial" w:eastAsia="Arial" w:hAnsi="Arial"/>
                <w:sz w:val="14"/>
                <w:szCs w:val="14"/>
                <w:b w:val="1"/>
                <w:bCs w:val="1"/>
                <w:color w:val="auto"/>
              </w:rPr>
              <w:t>Nine months ended September 30,</w:t>
            </w: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4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Operating costs and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86 %</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19,302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w:t>
            </w:r>
          </w:p>
        </w:tc>
        <w:tc>
          <w:tcPr>
            <w:tcW w:w="2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2"/>
        </w:trPr>
        <w:tc>
          <w:tcPr>
            <w:tcW w:w="24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administrative</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2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Total operating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25,188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2440" w:type="dxa"/>
            <w:vAlign w:val="bottom"/>
            <w:gridSpan w:val="2"/>
          </w:tcPr>
          <w:p>
            <w:pPr>
              <w:ind w:left="220"/>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(9,134)</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(5,119)</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(4,015)</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78 %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(25,188)</w:t>
            </w: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(12,649)</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(12,539)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99 %</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ind w:left="32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w w:val="95"/>
              </w:rPr>
              <w:t>(50)%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17"/>
        </w:trPr>
        <w:tc>
          <w:tcPr>
            <w:tcW w:w="2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(9,018)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(4,887)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(4,131)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85 %</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(24,693)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(12,498)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225" w:lineRule="exact"/>
        <w:rPr>
          <w:sz w:val="20"/>
          <w:szCs w:val="20"/>
          <w:color w:val="auto"/>
        </w:rPr>
      </w:pPr>
    </w:p>
    <w:p>
      <w:pPr>
        <w:ind w:right="200" w:firstLine="324"/>
        <w:spacing w:after="0" w:line="308" w:lineRule="auto"/>
        <w:rPr>
          <w:sz w:val="20"/>
          <w:szCs w:val="20"/>
          <w:color w:val="auto"/>
        </w:rPr>
      </w:pPr>
      <w:r>
        <w:rPr>
          <w:rFonts w:ascii="Arial" w:cs="Arial" w:eastAsia="Arial" w:hAnsi="Arial"/>
          <w:sz w:val="17"/>
          <w:szCs w:val="17"/>
          <w:color w:val="auto"/>
        </w:rPr>
        <w:t>As a result of the factors described below, we generated a net loss of $9,018 for the three months ended September 30, 2019 compared to $4,887 for the three months ended September 30, 2018, an increase of $4,131.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not recognized any revenues since inception.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Research and development expenses for the three months ended September 30, 2019 were $7,122, compared to $3,821 for the three months ended September 30, 2018. The increase of $3,301 is attributable to the costs described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Drug acquisition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Chemical, manufacturing and controls ("CMC") cost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50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associated travel costs.</w:t>
      </w:r>
    </w:p>
    <w:p>
      <w:pPr>
        <w:spacing w:after="0" w:line="17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Non-cash stock-based compensation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vested during the third quarter of 2018 and there was no corresponding charge during the third quarter of 2019. These lower charges were offset in part by increases in expense relating to new hires.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Drug acquisition costs are related to certain payments triggered pursuant to our asset contribution agreement with our Parent (the “Contribution Agreement”) as discussed in Note 5 to the financial statements included elsewhere in this Quarterly Report.</w:t>
      </w:r>
    </w:p>
    <w:p>
      <w:pPr>
        <w:spacing w:after="0" w:line="181"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increase in professional research &amp; project related costs, and clinical trials expenses reflect the acceleration of research and development activities.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trade shows, product liability insurance, research subscription costs and shared service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40" w:firstLine="324"/>
        <w:spacing w:after="0" w:line="342" w:lineRule="auto"/>
        <w:rPr>
          <w:sz w:val="20"/>
          <w:szCs w:val="20"/>
          <w:color w:val="auto"/>
        </w:rPr>
      </w:pPr>
      <w:r>
        <w:rPr>
          <w:rFonts w:ascii="Arial" w:cs="Arial" w:eastAsia="Arial" w:hAnsi="Arial"/>
          <w:sz w:val="16"/>
          <w:szCs w:val="16"/>
          <w:color w:val="auto"/>
        </w:rPr>
        <w:t>General and administrative expenses for the three months ended September 30, 2019 were $2,012, compared to $1,298 for the three months ended September 30, 2018. The increase of $714 is attributable to the costs described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642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travel related costs.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Non-cash stock-based compensation increased primarily due to additional grants provided to officers and directors of the Company and increased headcount.</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Professional fees increased due to higher patent and legal fees.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due to an increase in director and officer liability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22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As a result of the factors described below, we generated a net loss of $24,693 for the nine months ended September 30, 2019 compared to $12,195 for the nine months ended September 30, 2018, an increase of $12,498.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discussed above, we have not recognized any revenues since inception.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Research and development expenses for the nine months ended September 30, 2019 were $19,302, compared to $8,540 for the nine months ended September 30, 2018. The increase of $10,762 is attributable to the costs described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42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Professional research &amp; project related costs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Drug acquisition costs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 expenses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Chemical, manufacturing and controls ("CMC") cost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7"/>
        </w:trPr>
        <w:tc>
          <w:tcPr>
            <w:tcW w:w="5060" w:type="dxa"/>
            <w:vAlign w:val="bottom"/>
          </w:tcPr>
          <w:p>
            <w:pPr>
              <w:ind w:left="220"/>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19,302</w:t>
            </w:r>
          </w:p>
        </w:tc>
        <w:tc>
          <w:tcPr>
            <w:tcW w:w="30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8,540</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associated travel costs.</w:t>
      </w:r>
    </w:p>
    <w:p>
      <w:pPr>
        <w:spacing w:after="0" w:line="170"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Non-cash stock-based compensation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first quarter of 2018 and there was no corresponding charge during the first quarter of 2019. These lower charges were offset in part by increases in expense relating to new hires beginning in the second quarter of 2018.</w:t>
      </w:r>
    </w:p>
    <w:p>
      <w:pPr>
        <w:spacing w:after="0" w:line="15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Drug acquisition costs are related to certain payments triggered pursuant to our Contribution Agreement as discussed in Note 5 to the financial statements included elsewhere in this Quarterly Report.</w:t>
      </w:r>
    </w:p>
    <w:p>
      <w:pPr>
        <w:spacing w:after="0" w:line="17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Professional research &amp; project related costs, clinical trials expenses and CMC costs increased due to the acceleration of research and development activities.</w:t>
      </w:r>
    </w:p>
    <w:p>
      <w:pPr>
        <w:spacing w:after="0" w:line="170"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All other expenses increased as a result of higher occupancy costs, trade shows, product liability insurance, research subscription costs and shared service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General and administrative expenses for the nine months ended September 30, 2019 were $5,886, compared to $4,109 for the nine months ended September 30, 2018. The increase of $1,777 is attributable to the costs described in the table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9"/>
              </w:rPr>
              <w:t>Nine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Salaries, bonus &amp; related costs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Insurance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7"/>
        </w:trPr>
        <w:tc>
          <w:tcPr>
            <w:tcW w:w="3840" w:type="dxa"/>
            <w:vAlign w:val="bottom"/>
          </w:tcPr>
          <w:p>
            <w:pPr>
              <w:ind w:left="220"/>
              <w:spacing w:after="0"/>
              <w:rPr>
                <w:sz w:val="20"/>
                <w:szCs w:val="20"/>
                <w:color w:val="auto"/>
              </w:rPr>
            </w:pPr>
            <w:r>
              <w:rPr>
                <w:rFonts w:ascii="Arial" w:cs="Arial" w:eastAsia="Arial" w:hAnsi="Arial"/>
                <w:sz w:val="18"/>
                <w:szCs w:val="18"/>
                <w:color w:val="auto"/>
              </w:rPr>
              <w:t>Total general and administrative expenses</w:t>
            </w:r>
          </w:p>
        </w:tc>
        <w:tc>
          <w:tcPr>
            <w:tcW w:w="25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2580" w:type="dxa"/>
            <w:vAlign w:val="bottom"/>
          </w:tcPr>
          <w:p>
            <w:pPr>
              <w:jc w:val="right"/>
              <w:ind w:right="171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Salaries, bonus &amp; related costs increased due to increases in headcount and related benefits, payroll taxes, recruiting fees and travel related costs.</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Non-cash stock-based compensation decreased due to the adoption of FASB ASU 2018-07 as of January 1, 2019, which allowed non-employee options to be expensed using the adoption date fair value. The adoption date value of the stock price was significantly lower than prior re-measurement dates. In addition, several large option grants became fully vested during the first quarter of 2018 and there was no corresponding charge during the first quarter of 2019. These lower charges were offset in part by increases in expenses relating to additional headcount beginning in the second quarter of 2018 and additional grants provided to officers and directors in the nine months ended September 30, 2019.</w:t>
      </w:r>
    </w:p>
    <w:p>
      <w:pPr>
        <w:spacing w:after="0" w:line="16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Professional fees increased due to expanding operations and operating as a public company. Higher legal, patent, audit, investor relations, licensing and information technology costs were incurred during the nine months ended September 30, 2019.</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Insurance costs increased primarily due to Director and Officer liability insurance.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All other expenses increased due to franchise taxes, higher office space costs and filing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The Company has incurred net losses and negative operating cash flows since inception. For the nine months ended September 30, 2019, the Company recorded a net loss of approximately $24,693 and used approximately $19,356 of cash in operating activities. As of September 30, 2019, the Company had approximately $40,252 in cash and cash equivalents and working capital of approximately $33,155. We have not yet generated any revenues and we have not yet achieved profitability. We expect that our research and development and general and administrative expenses will continue to increase and, as a result, we will need to generate significant product revenues to achieve profitability.</w:t>
      </w:r>
    </w:p>
    <w:p>
      <w:pPr>
        <w:spacing w:after="0" w:line="16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Company’s financial statements are prepared in accordance with Generally Accepted Accounting Principles in the United States of America (“GAAP”) applicable to a going concern, which contemplates the realization of assets and the satisfaction of liabilities in the normal course of business. The Company has not yet established an ongoing source of revenue sufficient to cover its operating costs and allow it to continue as a going concern. The ability of the Company to continue as a going concern is dependent on the Company obtaining adequate capital to fund operating losses until it becomes profitable. The Company can give no assurances that any additional capital that it is able to obtain, if any, will be sufficient to meet its needs, or that any such capital will be obtained on acceptable terms. If the Company is unable to obtain adequate capital, it could be forced to cease operations or substantially curtail its activities. These conditions raise substantial doubt as to the Company’s ability to continue as a going concern. The accompanying financial statements do not include any adjustments relating to the recoverability and classification of recorded asset amounts and classification of liabilities should the Company be unable to continue as a going concern.</w:t>
      </w:r>
    </w:p>
    <w:p>
      <w:pPr>
        <w:spacing w:after="0" w:line="18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Management’s plan to continue as a going concern includes obtaining additional capital resources. Management’s plans to obtain such resources for the Company include obtaining capital from the sale of its equity securities, entering into strategic partnership arrangements and short-term borrowings from banks, stockholders or other related parties, if needed. However, management cannot provide any assurance that the Company will be successful in accomplishing any of its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We have focused our efforts on raising capital and building the products in our pipeline. Since our inception, all our operations have been financed by our Parent, BioXcel, or the sales of our common stock in a series of private placements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and public offerings. We have not yet established an ongoing source of revenue sufficient to cover our operating costs and will need to do so in future periods.</w:t>
      </w:r>
    </w:p>
    <w:p>
      <w:pPr>
        <w:spacing w:after="0" w:line="17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May 20, 2019, we entered into an Open Market Sale Agreement (the “Sale Agreement”) with Jefferies LLC (“Jefferies”) pursuant to which we could offer and sell shares of our common stock, par value $0.001 per share (the “Common Stock”), having an initial offering price no greater than $20.0 million (the “Shares”), from time to time, through an At-The-Market (“ATM”) program under which Jefferies acted as sales agent.</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terminated the ATM program and Sale Agreement effective September 23, 2019. In connection with the termination, all deferred issuance costs associated with implementing the Sale Agreement were charged to additional paid in capital during the three months ended September 30, 2019.</w:t>
      </w:r>
    </w:p>
    <w:p>
      <w:pPr>
        <w:spacing w:after="0" w:line="18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For the three months ended September 30, 2019, we sold 44,449 shares under the Sale Agreement for gross proceeds of $496, net of issuance costs of $390, or net proceeds of $106.</w:t>
      </w:r>
    </w:p>
    <w:p>
      <w:pPr>
        <w:spacing w:after="0" w:line="170"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For the nine months ended September 30, 2019, we sold 66,193 shares under the Sale Agreement for gross proceeds of $737, net of issuance costs of $400, or net proceeds of $337.</w:t>
      </w:r>
    </w:p>
    <w:p>
      <w:pPr>
        <w:spacing w:after="0" w:line="17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On September 26, 2019, we entered into an underwriting agreement with several underwriters in connection with our issuance and sale in a public offering of 2,303,030 shares of our common stock at a public offering price of $8.25 per share, less underwriting discounts and commissions, pursuant to an effective shelf registration statement on Form S-3 (Registration No. 333-230674) and a related prospectus supplement filed with the SEC (the “September 2019 Offering”). The September 2019 Offering closed on September 30, 2019.</w:t>
      </w:r>
    </w:p>
    <w:p>
      <w:pPr>
        <w:spacing w:after="0" w:line="188"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We received gross and net proceeds of approximately $19,000 and $17,399 respectively, from the September 2019 Offering. We intend to use the net proceeds of the September 2019 Offering for general corporate purposes, which may include development and commercialization of our product candidates, research and development, general and administrative expenses, license or technology acquisitions, and working capital and 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80" w:type="dxa"/>
            <w:vAlign w:val="bottom"/>
            <w:gridSpan w:val="2"/>
            <w:vMerge w:val="continue"/>
          </w:tcPr>
          <w:p>
            <w:pPr>
              <w:spacing w:after="0"/>
              <w:rPr>
                <w:sz w:val="12"/>
                <w:szCs w:val="12"/>
                <w:color w:val="auto"/>
              </w:rPr>
            </w:pPr>
          </w:p>
        </w:tc>
        <w:tc>
          <w:tcPr>
            <w:tcW w:w="9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provided by (used in) in thousands:</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   (19,356)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(9,168)</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698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960" w:type="dxa"/>
            <w:vAlign w:val="bottom"/>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55,585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For the nine months ended September 30, 2019, net cash used in operating activities was $19,356 which consisted of a net loss of $24,693 partially offset by $2,488 in stock-based compensation and $218 of depreciation and amortization. Increases in accounts payable and accrued expenses of $3,249 were offset in part by increases in prepaid expenses (primarily for insurance premiums) and other assets of $618.</w:t>
      </w:r>
    </w:p>
    <w:p>
      <w:pPr>
        <w:spacing w:after="0" w:line="187"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For the nine months ended September 30, 2018, net cash used in operating activities was $9,168, which consisted of a net loss of $12,195 partially offset by $2,949 in stock-based compensation and $9 of depreciation. Increases in accounts payable and accrued expenses of $584 were offset in part by increases in prepaid expenses of $515.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Net cash used in investing activities was $868 for the nine months ended September 30, 2019, compared to $182 for the nine months ended September 30, 2018. All of the net cash used in investing activities related to expenditures for</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79"/>
        <w:spacing w:after="0" w:line="264" w:lineRule="auto"/>
        <w:rPr>
          <w:sz w:val="20"/>
          <w:szCs w:val="20"/>
          <w:color w:val="auto"/>
        </w:rPr>
      </w:pPr>
      <w:r>
        <w:rPr>
          <w:rFonts w:ascii="Arial" w:cs="Arial" w:eastAsia="Arial" w:hAnsi="Arial"/>
          <w:sz w:val="18"/>
          <w:szCs w:val="18"/>
          <w:color w:val="auto"/>
        </w:rPr>
        <w:t>property and equipment. Of the $686 increase in net cash used in investing activities over the prior year period, $455 related to construction costs that were incurred related to occupancy at our new office site. Purchases of furniture and computer equipment accounted for the remainder of the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right="219" w:firstLine="324"/>
        <w:spacing w:after="0" w:line="312" w:lineRule="auto"/>
        <w:rPr>
          <w:sz w:val="20"/>
          <w:szCs w:val="20"/>
          <w:color w:val="auto"/>
        </w:rPr>
      </w:pPr>
      <w:r>
        <w:rPr>
          <w:rFonts w:ascii="Arial" w:cs="Arial" w:eastAsia="Arial" w:hAnsi="Arial"/>
          <w:sz w:val="16"/>
          <w:szCs w:val="16"/>
          <w:color w:val="auto"/>
        </w:rPr>
        <w:t>Net cash provided by financing activities was $17,911 for the nine months ended September 30, 2019. Our September 2019 Offering provided funds of $17,399, net of $1,601 of closing costs. In addition, our ATM program provided funds of $337, net of $401 of closing costs. The two equity issuances accounted for the majority of our financing activities.</w:t>
      </w:r>
    </w:p>
    <w:p>
      <w:pPr>
        <w:spacing w:after="0" w:line="147" w:lineRule="exact"/>
        <w:rPr>
          <w:sz w:val="20"/>
          <w:szCs w:val="20"/>
          <w:color w:val="auto"/>
        </w:rPr>
      </w:pPr>
    </w:p>
    <w:p>
      <w:pPr>
        <w:ind w:right="299" w:firstLine="324"/>
        <w:spacing w:after="0" w:line="264" w:lineRule="auto"/>
        <w:rPr>
          <w:sz w:val="20"/>
          <w:szCs w:val="20"/>
          <w:color w:val="auto"/>
        </w:rPr>
      </w:pPr>
      <w:r>
        <w:rPr>
          <w:rFonts w:ascii="Arial" w:cs="Arial" w:eastAsia="Arial" w:hAnsi="Arial"/>
          <w:sz w:val="18"/>
          <w:szCs w:val="18"/>
          <w:color w:val="auto"/>
        </w:rPr>
        <w:t>Net cash provided by financing activities was approximately $55,585 for the nine months ended September 30, 2018 which was mainly attributable to the proceeds from issuance of common stock in our IPO and other private placements, offset in part by repayment of loans to our Parent.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and Capital Expenditure Requirements</w:t>
      </w:r>
    </w:p>
    <w:p>
      <w:pPr>
        <w:spacing w:after="0" w:line="229" w:lineRule="exact"/>
        <w:rPr>
          <w:sz w:val="20"/>
          <w:szCs w:val="20"/>
          <w:color w:val="auto"/>
        </w:rPr>
      </w:pPr>
    </w:p>
    <w:p>
      <w:pPr>
        <w:ind w:right="39" w:firstLine="324"/>
        <w:spacing w:after="0" w:line="255"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as we commence our clinical trials of BXCL501 and BXCL701, seek marketing approval for our product candidates and pursue development of our other product candidates. We do not expect to generate revenue unless and until we successfully complete development and obtain regulatory approval for our product candidates. Our net losses may fluctuate significantly from quarter-to-quarter and year-to-year, depending on the timing of our planned clinical trials and our expenditures on other research and development activities.</w:t>
      </w:r>
    </w:p>
    <w:p>
      <w:pPr>
        <w:spacing w:after="0" w:line="193" w:lineRule="exact"/>
        <w:rPr>
          <w:sz w:val="20"/>
          <w:szCs w:val="20"/>
          <w:color w:val="auto"/>
        </w:rPr>
      </w:pPr>
    </w:p>
    <w:p>
      <w:pPr>
        <w:ind w:right="159" w:firstLine="324"/>
        <w:spacing w:after="0" w:line="302"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research, development and commercialization of pharmaceutical products, we are unable to estimate the exact amount of our operating capital requirements. We anticipate that our expenses will increase substantially as we:</w:t>
      </w:r>
    </w:p>
    <w:p>
      <w:pPr>
        <w:spacing w:after="0" w:line="154"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our clinical development of BXCL501 and BXCL701;</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conduct additional research and development with our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to identify, acquire, develop and commercialize additional product candidates;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 acquired technologies into a comprehensive regulatory and product development strategy;</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scientific, clinical, quality control and administrative personnel;</w:t>
      </w:r>
    </w:p>
    <w:p>
      <w:pPr>
        <w:spacing w:after="0" w:line="225" w:lineRule="exact"/>
        <w:rPr>
          <w:rFonts w:ascii="Arial" w:cs="Arial" w:eastAsia="Arial" w:hAnsi="Arial"/>
          <w:sz w:val="18"/>
          <w:szCs w:val="18"/>
          <w:color w:val="auto"/>
        </w:rPr>
      </w:pPr>
    </w:p>
    <w:p>
      <w:pPr>
        <w:ind w:left="660" w:right="159"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drug development efforts;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5" w:lineRule="exact"/>
        <w:rPr>
          <w:rFonts w:ascii="Arial" w:cs="Arial" w:eastAsia="Arial" w:hAnsi="Arial"/>
          <w:sz w:val="18"/>
          <w:szCs w:val="18"/>
          <w:color w:val="auto"/>
        </w:rPr>
      </w:pPr>
    </w:p>
    <w:p>
      <w:pPr>
        <w:ind w:left="660" w:right="799" w:hanging="333"/>
        <w:spacing w:after="0" w:line="34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ultimately establish a sales, marketing and distribution infrastructure and scale up external manufacturing capabilities to commercialize any product candidates for which we may obtain regulatory approval; and</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operate as a public company.</w:t>
      </w:r>
    </w:p>
    <w:p>
      <w:pPr>
        <w:spacing w:after="0" w:line="225" w:lineRule="exact"/>
        <w:rPr>
          <w:sz w:val="20"/>
          <w:szCs w:val="20"/>
          <w:color w:val="auto"/>
        </w:rPr>
      </w:pPr>
    </w:p>
    <w:p>
      <w:pPr>
        <w:ind w:right="19" w:firstLine="324"/>
        <w:spacing w:after="0" w:line="308" w:lineRule="auto"/>
        <w:rPr>
          <w:sz w:val="20"/>
          <w:szCs w:val="20"/>
          <w:color w:val="auto"/>
        </w:rPr>
      </w:pPr>
      <w:r>
        <w:rPr>
          <w:rFonts w:ascii="Arial" w:cs="Arial" w:eastAsia="Arial" w:hAnsi="Arial"/>
          <w:sz w:val="17"/>
          <w:szCs w:val="17"/>
          <w:color w:val="auto"/>
        </w:rPr>
        <w:t>We expect that we will need to obtain substantial additional funding in order to complete our clinical trials. To the extent that we raise additional capital through the sale of common stock, convertible securities or other equity securities,</w:t>
      </w:r>
    </w:p>
    <w:p>
      <w:pPr>
        <w:spacing w:after="0" w:line="36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ownership interests of our existing stockholders may be materially diluted and the terms of these securities could include liquidation or other preferences that could adversely affect the rights of our existing stockholders. In addition, debt financing, if available, would result in increased fixed payment obligations and may involve agreements that include restrictive covenants that limit our ability to take specific actions, such as incurring additional debt, making capital expenditures or declaring dividends, that could adversely impact our ability to conduct our business. If we are unable to raise capital when needed or on attractive terms, we could be forced to significantly delay, scale back or discontinue the development or commercialization of BXCL501, BXCL701 or other product candidates, seek collaborators at an earlier stage than otherwise would be desirable or on terms that are less favorable than might otherwise be available, and relinquish or license, potentially on unfavorable terms, our rights to BXCL501, BXCL701 or other product candidates that we otherwise would seek to develop or commercialize ourselves.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September 30, 2019, we did not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financial statements are prepared in accordance with accounting principles generally accepted in the United States.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w:t>
      </w:r>
    </w:p>
    <w:p>
      <w:pPr>
        <w:spacing w:after="0" w:line="171"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an ongoing basis, we evaluate our estimates and judgments. We base our estimates and judgments on a variety of factors including our historical experience, knowledge of our business and industry, current and expected economic conditions, the attributes of our products, the regulatory environment, and in certain cases, the results of outside appraisals. We periodically re-evaluate our estimates and assumptions with respect to these judgments and modify our approach when circumstances indicate that modifications are necessary.</w:t>
      </w:r>
    </w:p>
    <w:p>
      <w:pPr>
        <w:spacing w:after="0" w:line="188"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While we believe that the factors we evaluate provide us with a meaningful basis for establishing and applying sound accounting policies, we cannot guarantee that the results will always be accurate. Since the determination of these estimates requires the exercise of judgment, actual results could differ from such estimates.</w:t>
      </w:r>
    </w:p>
    <w:p>
      <w:pPr>
        <w:spacing w:after="0" w:line="16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significant accounting policies are described in Note 4 to the financial statements included elsewhere in this Quarterly Report. As of September 30, 2019, there have been no material changes to any of the critical accounting policies contained in our disclosure reported in “Critical Accounting Policies” in our Annual Report on Form 10-K for the year ended December 31, 2018 except as disclosed in Note 4 to the financial statements included elsewhere in this Quarterly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4 to the financial statements included elsewhere in this Quarterly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60" w:firstLine="324"/>
        <w:spacing w:after="0" w:line="312" w:lineRule="auto"/>
        <w:rPr>
          <w:sz w:val="20"/>
          <w:szCs w:val="20"/>
          <w:color w:val="auto"/>
        </w:rPr>
      </w:pPr>
      <w:r>
        <w:rPr>
          <w:rFonts w:ascii="Arial" w:cs="Arial" w:eastAsia="Arial" w:hAnsi="Arial"/>
          <w:sz w:val="16"/>
          <w:szCs w:val="16"/>
          <w:color w:val="auto"/>
        </w:rPr>
        <w:t>Our balance sheet as of September 30, 2019 includes cash and cash equivalents of $42,252. We do not participate in any foreign currency hedging activities and we do not have any other derivative financial instruments. We did not recognize any significant exchange rate losses during the nine months ended September 30, 2019 and 2018, respectively.</w:t>
      </w:r>
    </w:p>
    <w:p>
      <w:pPr>
        <w:spacing w:after="0" w:line="147"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do not believe that our cash has significant risk of default or illiquidity. While we believe our cash and cash equivalents does not contain excessive risk, we cannot provide absolute assurance that in the future our investments will not be subject to adverse changes in market value. In addition, we maintain significant amounts of cash at one or more financial institutions that are in excess of federally insured limits.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market risk inherent in our financial instruments and in our financial position has historically been the potential loss arising from adverse changes in interest rates. At September 30, 2019 and December 31, 2018, we had cash and cash equivalents of approximately $40.3 million and $42.6 million, respectively. As of September 30, 2019, we held our cash in primarily in money market accounts and accordingly, the value of these accounts is subject to fluctuation in interest rates.</w:t>
      </w:r>
    </w:p>
    <w:p>
      <w:pPr>
        <w:spacing w:after="0" w:line="15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do not engage in any hedging activities against changes in interest rates. We do not have any foreign currency or other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Our management, with the participation of our Chief Executive Officer and Chief Financial Officer (our principal executive officer and principal financial officer, respectively), evaluated the effectiveness of our disclosure controls and procedures as of September 30, 2019.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 w:firstLine="363"/>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three months ended September 30, 2019 that have materially affected, or are reasonably likely to materially affect,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0" w:firstLine="324"/>
        <w:spacing w:after="0" w:line="259"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19" w:lineRule="exact"/>
        <w:rPr>
          <w:sz w:val="20"/>
          <w:szCs w:val="20"/>
          <w:color w:val="auto"/>
        </w:rPr>
      </w:pPr>
      <w:r>
        <w:rPr>
          <w:rFonts w:ascii="Arial" w:cs="Arial" w:eastAsia="Arial" w:hAnsi="Arial"/>
          <w:sz w:val="17"/>
          <w:szCs w:val="17"/>
          <w:i w:val="1"/>
          <w:iCs w:val="1"/>
          <w:color w:val="auto"/>
        </w:rPr>
        <w:t>You should carefully consider the risks described below, as well as general economic and business risks and the other information in this Quarterly Report on Form 10</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Q. The occurrence of any of the events or circumstances described below or other adverse events could have a material adverse effect on our business, results of operations and financial condition and could cause the trading price of our common stock to decline. Additional risks or uncertainties not presently known to us or that we currently deem immaterial may also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Position and Need for Additional Capital</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never generated any product revenues, which may make it difficult to evaluate the success of our business to date and to assess our future viability.</w:t>
      </w:r>
    </w:p>
    <w:p>
      <w:pPr>
        <w:spacing w:after="0" w:line="17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We were incorporated in March 2017 and our operations to date have been largely focused on organizing and staffing our company, raising capital and acquiring the rights to, and advancing the development of, our product candidates, including conducting preclinical studies. We have not yet demonstrated an ability to successfully complete clinical trials, obtain marketing approvals, manufacture products on a commercial scale, or arrange for a third party to do so on our behalf, or conduct sales and marketing activities necessary for successful commercialization. Consequently, predictions about our future success or viability may not be as accurate as they could be if we had a longer operating history or a history of successfully developing and commercializing products.</w:t>
      </w:r>
    </w:p>
    <w:p>
      <w:pPr>
        <w:spacing w:after="0" w:line="17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We expect our financial condition and operating results to continue to fluctuate from quarter to quarter and year to year due to a variety of factors, many of which are beyond our control. We will need to eventually transition from a company with a research and development focus to a company capable of undertaking commercial activities. We may encounter unforeseen expenses, difficulties, complications and delays, and may not be successful in such a transition.</w:t>
      </w:r>
    </w:p>
    <w:p>
      <w:pPr>
        <w:spacing w:after="0" w:line="154"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have incurred significant operating losses since inception and anticipate that we will continue to incur substantial operating losses for the foreseeable future and may never achieve or maintain profitability.</w:t>
      </w:r>
    </w:p>
    <w:p>
      <w:pPr>
        <w:spacing w:after="0" w:line="14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Since our inception, we have incurred significant operating losses. Our net loss was $24.7 million and $12.2 million for the nine months ended September 30, 2019 and 2018, respectively. As of September 30, 2019, we had stockholders’ equity of $34.4 million. We expect to continue to incur significant expenses and increasing operating losses for the foreseeable future. None of our product candidates have been approved for marketing in the United States, or in any other jurisdiction, and may never receive such approval. It could be several years, if ever, before we have a commercialized product that generates significant revenues. As a result, we are uncertain when or if we will achieve profitability and, if so, whether we will be able to sustain it. The net losses we incur may fluctuate significantly from quarter to quarter and year to year. We anticipate that our expenses will increase substantially as we:</w:t>
      </w:r>
    </w:p>
    <w:p>
      <w:pPr>
        <w:spacing w:after="0" w:line="17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the development of our product candidates;</w:t>
      </w:r>
    </w:p>
    <w:p>
      <w:pPr>
        <w:spacing w:after="0" w:line="225" w:lineRule="exact"/>
        <w:rPr>
          <w:rFonts w:ascii="Arial" w:cs="Arial" w:eastAsia="Arial" w:hAnsi="Arial"/>
          <w:sz w:val="18"/>
          <w:szCs w:val="18"/>
          <w:color w:val="auto"/>
        </w:rPr>
      </w:pPr>
    </w:p>
    <w:p>
      <w:pPr>
        <w:ind w:left="660" w:right="2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indications for our current product candidates and any future product candidates that we may pursue;</w:t>
      </w:r>
    </w:p>
    <w:p>
      <w:pPr>
        <w:spacing w:after="0" w:line="170" w:lineRule="exact"/>
        <w:rPr>
          <w:rFonts w:ascii="Arial" w:cs="Arial" w:eastAsia="Arial" w:hAnsi="Arial"/>
          <w:sz w:val="18"/>
          <w:szCs w:val="18"/>
          <w:color w:val="auto"/>
        </w:rPr>
      </w:pPr>
    </w:p>
    <w:p>
      <w:pPr>
        <w:ind w:left="660" w:right="440" w:hanging="333"/>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build our portfolio of product candidates through the acquisition or in-license of additional product candidates or technologies;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develop, maintain, expand and protect our intellectual property portfolio;</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pursue regulatory approvals for our current and future product candidates that successfully complete clinical trials;</w:t>
      </w:r>
    </w:p>
    <w:p>
      <w:pPr>
        <w:spacing w:after="0" w:line="248" w:lineRule="exact"/>
        <w:rPr>
          <w:rFonts w:ascii="Arial" w:cs="Arial" w:eastAsia="Arial" w:hAnsi="Arial"/>
          <w:sz w:val="16"/>
          <w:szCs w:val="16"/>
          <w:color w:val="auto"/>
        </w:rPr>
      </w:pPr>
    </w:p>
    <w:p>
      <w:pPr>
        <w:ind w:left="660" w:right="280" w:hanging="333"/>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ultimately establish a sales, marketing and distribution infrastructure to commercialize any product candidate for which we may obtain marketing approval;</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clinical, regulatory, scientific and accounting personnel;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one or more product candidates with significant market potential. This will require us to be successful in a range of challenging activities, including completing clinical trials of our product candidates, developing commercial scale manufacturing processes, obtaining marketing approval, manufacturing, marketing and selling any current and future product candidates for which we may obtain marketing approval, and satisfying any post-marketing requirements. We are only in the preliminary stages of most of these activities and, in some cases, have not yet commenced certain of these activities. We may never succeed in any or all of these activities and, even if we do, we may never generate sufficient revenue to achieve profitability.</w:t>
      </w:r>
    </w:p>
    <w:p>
      <w:pPr>
        <w:spacing w:after="0" w:line="178"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Because of the numerous risks and uncertainties associated with product development, we are unable to accurately predict the timing or amount of expenses or when, or if, we will obtain marketing approval to commercialize any of our product candidates. If we are required by the U.S. Food and Drug Administration, or FDA, or other regulatory authorities such as the European Medicines Agency, or EMA, to perform studies and trials in addition to those currently expected, or if there are any delays in the development, or in the completion of any planned or future preclinical studies or clinical trials of our current or future product candidates, our expenses could increase and profitability could be further delayed.</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w:t>
      </w:r>
    </w:p>
    <w:p>
      <w:pPr>
        <w:spacing w:after="0" w:line="24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Our failure to become and remain profitable would decrease the value of our company and could impair our ability to raise capital, maintain our research and development efforts, expand our business or continue our operations. A decline in the value of our company also could cause you to lose all or part of your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losses from operations raise substantial doubt regarding our ability to continue as a going concern.</w:t>
      </w:r>
    </w:p>
    <w:p>
      <w:pPr>
        <w:spacing w:after="0" w:line="248"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currently operate with limited resources. We have incurred significant losses since our inception and have never generated revenue or profit, and it is possible we will never generate revenue or profit. Based on our current operating plans, and without additional funding, we believe we will not have sufficient funds to meet our obligations within the twelve months from the issuance of our unaudited consolidated financial statements included in this Quarterly Report on Form 10-Q for the period ended September 30, 2019. These factors raise substantial doubt about our ability to continue as a going concern. We have relied on our ability to fund our operations primarily through public and private equity financings, but there can be no assurances that such financing will continue to be available to us on satisfactory terms, or at all.</w:t>
      </w:r>
    </w:p>
    <w:p>
      <w:pPr>
        <w:spacing w:after="0" w:line="16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Securing additional financing may divert our management from our day-to-day activities, which may adversely affect our ability to develop and commercialize any of our product candidates. In addition, we cannot guarantee that future financing will be available in sufficient amounts or on terms acceptable to us, if at all. If we are unable to obtain funding, we would be forced to delay, reduce or eliminate our research and development programs, which would adversely affect our business prospects. In addition, if we are unable to raise capital, we will also need to implement cost reductions, and any failure to effectively do so will harm our business, results of operations and future prospects. The perception that we may not be able to continue as a going concern may cause others to choose not to deal with us due to</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concerns about our ability to meet our contractual obligations. If we are unable to continue as a going concern, investors could lose all or part of their investment in our Company.</w:t>
      </w:r>
    </w:p>
    <w:p>
      <w:pPr>
        <w:spacing w:after="0" w:line="170"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funding, and if we are unable to raise capital when needed, we could be forced to delay, reduce or eliminate our product development programs or commercialization efforts.</w:t>
      </w:r>
    </w:p>
    <w:p>
      <w:pPr>
        <w:spacing w:after="0" w:line="14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anticipate that our expenses will increase substantially if and as we continue to develop and begin clinical trials with respect to BXCL501, BXCL701 and our other product candidates; seek to identify and develop additional product candidates; acquire or in-license other product candidates or technologies; seek regulatory and marketing approvals for our product candidates that successfully complete clinical trials, if any; establish sales, marketing, distribution and other commercial infrastructure in the future to commercialize various products for which we may obtain marketing approval, if any; require the manufacture of larger quantities of product candidates for clinical development and, potentially, commercialization; maintain, expand and protect our intellectual property portfolio; hire and retain additional personnel, such as clinical, quality control and scientific personnel; add operational, financial and management information systems and personnel, including personnel to support our product development and help us comply with our obligations as a public company; and add equipment and physical infrastructure to support our research and development programs.</w:t>
      </w:r>
    </w:p>
    <w:p>
      <w:pPr>
        <w:spacing w:after="0" w:line="178"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expect that our current cash and cash equivalents will be used primarily to fund our ongoing research and development efforts over the coming months. We will be required to expend significant funds in order to advance the development of BXCL501, BXCL701 and our other product candidates. In addition, while we may seek one or more collaborators for future development of our current product candidate or any future product candidates that we may develop for one or more indications, we may not be able to enter into a collaboration for any of our product candidates for such indications on suitable terms, on a timely basis or at all. In any event, the net proceeds of our IPO and our September 2019 Offering and our existing cash will not be sufficient to fund all of the efforts that we plan to undertake or to fund the completion of development of our product candidates or our other preclinical programs. Accordingly, we will be required to obtain further funding through public or private equity offerings, debt financings, collaborations and licensing arrangements or other sources. Further financing may not be available to us on acceptable terms, or at all. Our failure to raise capital as and when needed would have a negative impact on our financial condition and our ability to pursue our business strategy.</w:t>
      </w:r>
    </w:p>
    <w:p>
      <w:pPr>
        <w:spacing w:after="0" w:line="173"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Our estimate as to how long we expect our existing cash to be able to continue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spacing w:after="0" w:line="173" w:lineRule="exact"/>
        <w:rPr>
          <w:sz w:val="20"/>
          <w:szCs w:val="20"/>
          <w:color w:val="auto"/>
        </w:rPr>
      </w:pPr>
    </w:p>
    <w:p>
      <w:pPr>
        <w:ind w:left="660" w:right="58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of BXCL501, BXCL701 and our other product candidates;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and the terms and timing of any collaborations, licensing agreements or other arrangements;</w:t>
      </w:r>
    </w:p>
    <w:p>
      <w:pPr>
        <w:spacing w:after="0" w:line="248" w:lineRule="exact"/>
        <w:rPr>
          <w:rFonts w:ascii="Arial" w:cs="Arial" w:eastAsia="Arial" w:hAnsi="Arial"/>
          <w:sz w:val="16"/>
          <w:szCs w:val="16"/>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seeking regulatory approvals;</w:t>
      </w:r>
    </w:p>
    <w:p>
      <w:pPr>
        <w:spacing w:after="0" w:line="225" w:lineRule="exact"/>
        <w:rPr>
          <w:rFonts w:ascii="Arial" w:cs="Arial" w:eastAsia="Arial" w:hAnsi="Arial"/>
          <w:sz w:val="18"/>
          <w:szCs w:val="18"/>
          <w:color w:val="auto"/>
        </w:rPr>
      </w:pPr>
    </w:p>
    <w:p>
      <w:pPr>
        <w:ind w:left="660" w:right="20"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181" w:lineRule="exact"/>
        <w:rPr>
          <w:rFonts w:ascii="Arial" w:cs="Arial" w:eastAsia="Arial" w:hAnsi="Arial"/>
          <w:sz w:val="18"/>
          <w:szCs w:val="18"/>
          <w:color w:val="auto"/>
        </w:rPr>
      </w:pPr>
    </w:p>
    <w:p>
      <w:pPr>
        <w:ind w:left="660" w:right="54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as well as potentially establish a commercial infrastructure;</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revenue received from commercial sales, if any, of our current and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60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regulatory policies or laws that may affect our operations;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changes in physician acceptance or medical society recommendations that may affect commercial efforts;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acquiring potential new product candidates or technology;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limited experience in drug discovery and drug development, and we have never had a drug approved.</w:t>
      </w:r>
    </w:p>
    <w:p>
      <w:pPr>
        <w:spacing w:after="0" w:line="237"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Prior to the acquisition of our product candidates, we were not involved in and had no control over their preclinical and clinical development. In addition, we are relying upon the parties we have acquired our product candidates from to have conducted such research and development in accordance with the applicable protocol, legal, regulatory and scientific standards, having accurately reported the results of all clinical trials conducted prior to our acquisition of the applicable product candidate, and having correctly collected and interpreted the data from these studies and trials. To the extent any of these has not occurred, our expected development time and costs may be increased, which could adversely affect our prospects for marketing approval of, and receiving any future revenue from, these product candidates.</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In the near term, we are dependent on the success of BXCL501 and BXCL701. If we are unable to initiate or complete the clinical development of, obtain marketing approval for or successfully commercialize BXCL501, BXCL701 and our other product candidates, either alone or with a collaborator, or if we experience significant delays in doing so, our business could be substantially harmed.</w:t>
      </w:r>
    </w:p>
    <w:p>
      <w:pPr>
        <w:spacing w:after="0" w:line="187"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currently do not have any products that have received regulatory approval and may never be able to develop marketable product candidates. We are investing a significant portion of our efforts and financial resources in the development of BXCL501, BXCL701 and our other product candidates. Our prospects are substantially dependent on our ability, or that of any future collaborator, to develop, obtain marketing approval for and successfully commercialize product candidates in one or more disease indications.</w:t>
      </w:r>
    </w:p>
    <w:p>
      <w:pPr>
        <w:spacing w:after="0" w:line="18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success of BXCL501, BXCL701 and our other product candidates will depend on several factors, including the following:</w:t>
      </w:r>
    </w:p>
    <w:p>
      <w:pPr>
        <w:spacing w:after="0" w:line="170" w:lineRule="exact"/>
        <w:rPr>
          <w:sz w:val="20"/>
          <w:szCs w:val="20"/>
          <w:color w:val="auto"/>
        </w:rPr>
      </w:pPr>
    </w:p>
    <w:p>
      <w:pPr>
        <w:ind w:left="1300" w:right="80" w:hanging="325"/>
        <w:spacing w:after="0" w:line="258"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acceptance of an Investigational New Drug, or IND, for the conduct of clinical trials of product candidates and proposed design of future clinical trials;</w:t>
      </w:r>
    </w:p>
    <w:p>
      <w:pPr>
        <w:spacing w:after="0" w:line="1"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initiation, progress, timing, costs and results of clinical trials of our product candidates and potential product candidates;</w:t>
      </w:r>
    </w:p>
    <w:p>
      <w:pPr>
        <w:ind w:left="1300" w:right="4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 safety, tolerability and efficacy profile that is satisfactory to the FDA or any comparable foreign regulatory authority for marketing approval;</w:t>
      </w: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performance of our current and future collaborators;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extent of any required post-marketing approval commitments to applicable regulatory authorities;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establishment of supply arrangements with third-party raw materials suppliers and manufacturers;</w:t>
      </w:r>
    </w:p>
    <w:p>
      <w:pPr>
        <w:spacing w:after="0" w:line="20" w:lineRule="exact"/>
        <w:rPr>
          <w:rFonts w:ascii="Arial" w:cs="Arial" w:eastAsia="Arial" w:hAnsi="Arial"/>
          <w:sz w:val="17"/>
          <w:szCs w:val="17"/>
          <w:color w:val="auto"/>
        </w:rPr>
      </w:pPr>
    </w:p>
    <w:p>
      <w:pPr>
        <w:ind w:left="1300" w:right="540" w:hanging="325"/>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establishment of arrangements with third-party manufacturers to obtain finished drug product that is appropriately packaged for sale;</w:t>
      </w:r>
    </w:p>
    <w:p>
      <w:pPr>
        <w:ind w:left="1300" w:right="700" w:hanging="325"/>
        <w:spacing w:after="0" w:line="261"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product for clinical development and any commercial sales;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80" w:hanging="325"/>
        <w:spacing w:after="0" w:line="258"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trade secret protection and regulatory exclusivity, both in the United States and internationally;</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these factors are beyond our control, including the results of clinical trials, the time required for the FDA or any comparable foreign regulatory authorities to review any regulatory submissions we may make, potential threats to our intellectual property rights and the manufacturing, marketing and sales efforts of any future collaborator. If we are unable to develop, receive marketing approval for and successfully commercialize BXCL501, BXCL701 and our other product candidates, on our own or with any future collaborator, or experience delays as a result of any of these factors or otherwise, our business could be substantially harmed.</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expensive and inherently unpredictable, and if we are ultimately unable to obtain regulatory approval for our product candidates, our business will be substantially harmed.</w:t>
      </w:r>
    </w:p>
    <w:p>
      <w:pPr>
        <w:spacing w:after="0" w:line="18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It is not uncommon for companies in the biopharmaceutical industry to suffer significant setbacks in advanced clinical trials due to nonclinical findings made while clinical studies were underway and safety or efficacy observations made in clinical studies, including previously unreported adverse events. Our future clinical trial results may not be successful, and notwithstanding any potential promising results in earlier studies, we cannot be certain that we will not face similar setbacks. The historical failure rate for product candidates in our industry is high.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existing product candidates or any product candidates we may seek to develop in the future will ever obtain regulatory approval.</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300" w:right="200" w:hanging="325"/>
        <w:spacing w:after="0" w:line="258"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 w:lineRule="exact"/>
        <w:rPr>
          <w:rFonts w:ascii="Arial" w:cs="Arial" w:eastAsia="Arial" w:hAnsi="Arial"/>
          <w:sz w:val="18"/>
          <w:szCs w:val="18"/>
          <w:color w:val="auto"/>
        </w:rPr>
      </w:pPr>
    </w:p>
    <w:p>
      <w:pPr>
        <w:ind w:left="1300" w:right="740" w:hanging="325"/>
        <w:spacing w:after="0" w:line="281"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w:t>
      </w:r>
    </w:p>
    <w:p>
      <w:pPr>
        <w:spacing w:after="0" w:line="1" w:lineRule="exact"/>
        <w:rPr>
          <w:rFonts w:ascii="Arial" w:cs="Arial" w:eastAsia="Arial" w:hAnsi="Arial"/>
          <w:sz w:val="16"/>
          <w:szCs w:val="16"/>
          <w:color w:val="auto"/>
        </w:rPr>
      </w:pPr>
    </w:p>
    <w:p>
      <w:pPr>
        <w:ind w:left="1300" w:right="60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300" w:right="30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300" w:right="20" w:hanging="325"/>
        <w:spacing w:after="0" w:line="250"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New Drug Application, or NDA, or other submission or to obtain regulatory approval in the United States or elsewhere; the FDA or comparable foreign regulatory authorities may disagree that our changes to branded reference drugs meet the criteria for the 505(b)(2) regulatory pathway or foreign regulatory pathways;</w:t>
      </w:r>
    </w:p>
    <w:p>
      <w:pPr>
        <w:spacing w:after="0" w:line="2" w:lineRule="exact"/>
        <w:rPr>
          <w:rFonts w:ascii="Arial" w:cs="Arial" w:eastAsia="Arial" w:hAnsi="Arial"/>
          <w:sz w:val="18"/>
          <w:szCs w:val="18"/>
          <w:color w:val="auto"/>
        </w:rPr>
      </w:pPr>
    </w:p>
    <w:p>
      <w:pPr>
        <w:ind w:left="1300" w:right="160" w:hanging="325"/>
        <w:spacing w:after="0" w:line="323"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760" w:hanging="325"/>
        <w:spacing w:after="0" w:line="308"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We have limited experience in completing clinical trials of any of our product candidates. Consequently, we may not have the necessary capabilities, including adequate staffing, to successfully manage the execution and completion of any clinical trials we initiate in a way that leads to our obtaining marketing approval for our product candidates in a timely manner, or at all. This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9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approve a product candidate with a label that does not include the labeling claims necessary or desirable for the successful commercialization of that product candidate or may restrict its distribution. Any of the foregoing scenarios could materially harm the commercial prospects for our product candidates.</w:t>
      </w:r>
    </w:p>
    <w:p>
      <w:pPr>
        <w:spacing w:after="0" w:line="19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have not previously submitted a New Drug Application (“NDA”) to the FDA or similar drug approval filings to comparable foreign authorities, for any product candidate, and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patients that we are targeting for our product candidates are not as significant as we estimate, we may not generate significant revenues from sales of such products, if approved.</w:t>
      </w:r>
    </w:p>
    <w:p>
      <w:pPr>
        <w:spacing w:after="0" w:line="166"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158"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b w:val="1"/>
          <w:bCs w:val="1"/>
          <w:i w:val="1"/>
          <w:iCs w:val="1"/>
          <w:color w:val="auto"/>
        </w:rPr>
        <w:t>We depend on enrollment of patients in our clinical trials in order for us to continue development of our product candidates. If we are unable to enroll patients in our clinical trials, our research and development efforts could be adversely affected.</w:t>
      </w:r>
    </w:p>
    <w:p>
      <w:pPr>
        <w:spacing w:after="0" w:line="18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Patient enrollment is affected by many factors including the size and nature of the patient population, the proximity of patients to clinical sites, the eligibility criteria for the trial, the design of the clinical trial, the size of the patient population required for analysis of the trial’s primary endpoints, the proximity of patients to study sites, our ability to recruit clinical trial investigators with the appropriate competencies and experience, our ability to obtain and maintain patient consents, the risk that patients enrolled in clinical trials will drop out of the trials before completion, and competing clinical trials and clinicians’ and patients’ perceptions as to the potential advantages of the drug being studied in relation to other available therapies, including any new drugs that may be approved for the indications we are investigating. Many pharmaceutical companies are conducting clinical trials in patients with the disease indications that our potential drug products target. As a result, we must compete with them for clinical sites, physicians and the limited number of patients who fulfill the stringent requirements for participation in clinical trials. Also, due to the confidential nature of clinical trials, we do not know how many of the eligible patients may be enrolled in competing studies and who are consequently not available to us for our clinical trials. Our clinical trials may be delayed or terminated due to the inability to enroll enough patients. The delay 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inability to meet planned patient enrollment may result in increased costs and delay or termination of our trials, which could have a harmful effect on our ability to develop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Delays in clinical testing could result in increased costs to us and delay our ability to generate revenue.</w:t>
      </w:r>
    </w:p>
    <w:p>
      <w:pPr>
        <w:spacing w:after="0" w:line="225"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Although we are planning for certain clinical trials relating to BXCL501, BXCL701 and our other product candidates, there can be no assurance that the FDA will accept our proposed trial designs. We may experience delays in our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154" w:lineRule="exact"/>
        <w:rPr>
          <w:sz w:val="20"/>
          <w:szCs w:val="20"/>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regulatory approval to commence a trial;</w:t>
      </w:r>
    </w:p>
    <w:p>
      <w:pPr>
        <w:spacing w:after="0" w:line="23" w:lineRule="exact"/>
        <w:rPr>
          <w:rFonts w:ascii="Arial" w:cs="Arial" w:eastAsia="Arial" w:hAnsi="Arial"/>
          <w:sz w:val="18"/>
          <w:szCs w:val="18"/>
          <w:color w:val="auto"/>
        </w:rPr>
      </w:pPr>
    </w:p>
    <w:p>
      <w:pPr>
        <w:jc w:val="both"/>
        <w:ind w:left="1300" w:right="260" w:hanging="325"/>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at each site;</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dependence on the needs and timing of third party collaborators;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for use in clinical trials.</w:t>
      </w:r>
    </w:p>
    <w:p>
      <w:pPr>
        <w:spacing w:after="0" w:line="21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may also experience numerous unforeseen events during, or as a result of, clinical trials that could delay or prevent our ability to receive marketing approval or commercialize our product candidates, including:</w:t>
      </w:r>
    </w:p>
    <w:p>
      <w:pPr>
        <w:spacing w:after="0" w:line="170" w:lineRule="exact"/>
        <w:rPr>
          <w:sz w:val="20"/>
          <w:szCs w:val="20"/>
          <w:color w:val="auto"/>
        </w:rPr>
      </w:pPr>
    </w:p>
    <w:p>
      <w:pPr>
        <w:ind w:left="1300" w:right="200" w:hanging="325"/>
        <w:spacing w:after="0" w:line="258"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of our clinical trials;</w:t>
      </w:r>
    </w:p>
    <w:p>
      <w:pPr>
        <w:spacing w:after="0" w:line="1" w:lineRule="exact"/>
        <w:rPr>
          <w:rFonts w:ascii="Arial" w:cs="Arial" w:eastAsia="Arial" w:hAnsi="Arial"/>
          <w:sz w:val="18"/>
          <w:szCs w:val="18"/>
          <w:color w:val="auto"/>
        </w:rPr>
      </w:pPr>
    </w:p>
    <w:p>
      <w:pPr>
        <w:jc w:val="both"/>
        <w:ind w:left="1300" w:right="100" w:hanging="325"/>
        <w:spacing w:after="0" w:line="281"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clinical trials of our product candidates may produce negative or inconclusive results, and we may decide, or regulators may require us, to conduct additional clinical trials or abandon drug development programs;</w:t>
      </w:r>
    </w:p>
    <w:p>
      <w:pPr>
        <w:spacing w:after="0" w:line="1" w:lineRule="exact"/>
        <w:rPr>
          <w:rFonts w:ascii="Arial" w:cs="Arial" w:eastAsia="Arial" w:hAnsi="Arial"/>
          <w:sz w:val="16"/>
          <w:szCs w:val="16"/>
          <w:color w:val="auto"/>
        </w:rPr>
      </w:pPr>
    </w:p>
    <w:p>
      <w:pPr>
        <w:ind w:left="1300" w:right="6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 w:lineRule="exact"/>
        <w:rPr>
          <w:rFonts w:ascii="Arial" w:cs="Arial" w:eastAsia="Arial" w:hAnsi="Arial"/>
          <w:sz w:val="18"/>
          <w:szCs w:val="18"/>
          <w:color w:val="auto"/>
        </w:rPr>
      </w:pPr>
    </w:p>
    <w:p>
      <w:pPr>
        <w:ind w:left="1300" w:right="48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9" w:lineRule="exact"/>
        <w:rPr>
          <w:rFonts w:ascii="Arial" w:cs="Arial" w:eastAsia="Arial" w:hAnsi="Arial"/>
          <w:sz w:val="18"/>
          <w:szCs w:val="18"/>
          <w:color w:val="auto"/>
        </w:rPr>
      </w:pPr>
    </w:p>
    <w:p>
      <w:pPr>
        <w:ind w:left="1300" w:right="6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ind w:left="1300" w:hanging="325"/>
        <w:spacing w:after="0" w:line="250"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 and</w:t>
      </w:r>
    </w:p>
    <w:p>
      <w:pPr>
        <w:ind w:left="1300" w:right="380" w:hanging="325"/>
        <w:spacing w:after="0" w:line="323" w:lineRule="auto"/>
        <w:tabs>
          <w:tab w:leader="none" w:pos="13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future collaborators that conduct clinical trials may face any of the above issues, and may conduct clinical trials in ways they view as advantageous to themselves but that are suboptimal for us.</w:t>
      </w:r>
    </w:p>
    <w:p>
      <w:pPr>
        <w:spacing w:after="0" w:line="13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For example, we believe that we will be able to proceed directly to Phase 3 registration trials of BXCL501 if we successfully complete our planned Phase 1b/2 open-label Proof of Concept and bridging BA/BE studies. However, the FDA may not agree with our development plans and could require us to perform additional clinical trials or preclinical studies, including additional Phase 1 and/or Phase 2 clinical trials, before permitting us to conduct our planned registration trials.</w:t>
      </w:r>
    </w:p>
    <w:p>
      <w:pPr>
        <w:spacing w:after="0" w:line="154" w:lineRule="exact"/>
        <w:rPr>
          <w:sz w:val="20"/>
          <w:szCs w:val="20"/>
          <w:color w:val="auto"/>
        </w:rPr>
      </w:pPr>
    </w:p>
    <w:p>
      <w:pPr>
        <w:ind w:right="300" w:firstLine="324"/>
        <w:spacing w:after="0" w:line="342" w:lineRule="auto"/>
        <w:rPr>
          <w:sz w:val="20"/>
          <w:szCs w:val="20"/>
          <w:color w:val="auto"/>
        </w:rPr>
      </w:pPr>
      <w:r>
        <w:rPr>
          <w:rFonts w:ascii="Arial" w:cs="Arial" w:eastAsia="Arial" w:hAnsi="Arial"/>
          <w:sz w:val="16"/>
          <w:szCs w:val="16"/>
          <w:color w:val="auto"/>
        </w:rPr>
        <w:t>If we are required to conduct additional clinical trials or other testing of our product candidates beyond those that we currently contemplate, if we are unable to successfully complete clinical trials of our product candidates or other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testing, if the results of these trials or tests are not positive or are only modestly positive or if there are safety concerns, we may:</w:t>
      </w:r>
    </w:p>
    <w:p>
      <w:pPr>
        <w:spacing w:after="0" w:line="170" w:lineRule="exact"/>
        <w:rPr>
          <w:sz w:val="20"/>
          <w:szCs w:val="20"/>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23" w:lineRule="exact"/>
        <w:rPr>
          <w:rFonts w:ascii="Arial" w:cs="Arial" w:eastAsia="Arial" w:hAnsi="Arial"/>
          <w:sz w:val="18"/>
          <w:szCs w:val="18"/>
          <w:color w:val="auto"/>
        </w:rPr>
      </w:pPr>
    </w:p>
    <w:p>
      <w:pPr>
        <w:ind w:left="1300" w:right="100" w:hanging="325"/>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9" w:lineRule="exact"/>
        <w:rPr>
          <w:rFonts w:ascii="Arial" w:cs="Arial" w:eastAsia="Arial" w:hAnsi="Arial"/>
          <w:sz w:val="18"/>
          <w:szCs w:val="18"/>
          <w:color w:val="auto"/>
        </w:rPr>
      </w:pPr>
    </w:p>
    <w:p>
      <w:pPr>
        <w:ind w:left="1300" w:right="600" w:hanging="325"/>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ind w:left="1300" w:right="240" w:hanging="325"/>
        <w:spacing w:after="0" w:line="250"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w:t>
      </w: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Furthermore, we intend to rely on CROs and clinical trial sites to ensure the proper and timely conduct of our clinical trials and we intend to have agreements governing their committed activities. They may not perform as required.</w:t>
      </w:r>
    </w:p>
    <w:p>
      <w:pPr>
        <w:spacing w:after="0" w:line="124"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7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conducting clinical trials in foreign countries, as we may do for our current and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results of our clinical trials may not support the intended uses of any product candidates we may develop.</w:t>
      </w:r>
    </w:p>
    <w:p>
      <w:pPr>
        <w:spacing w:after="0" w:line="24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Even if our clinical trials are completed as planned, we cannot be certain that the results will support the intended use of our product candidates.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 is safe and effective in humans for its intended uses. This failure may cause us to conduct additional clinical trials or abandon a product candidate and may delay development of other product candidates. Any delay in, or termination of, our clinical trials will delay the submission of an NDA with the FDA and, ultimately, our ability to commercialize our product candidate and generate revenues.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Clinical failure can occur at any stage of clinical development. Because the results of earlier clinical trials are not necessarily predictive of future results, any product candidate we advance through clinical trials may not have favorable results in later clinical trials or receive regulatory approval.</w:t>
      </w:r>
    </w:p>
    <w:p>
      <w:pPr>
        <w:spacing w:after="0" w:line="180"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Clinical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Success in preclinical testing, early clinical trials and even later stage clinical trials, does not ensure that later clinical trials will generate the same results or otherwise provide adequate data to demonstrate the efficacy and safety of a product candidate. Frequently, product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or completed. While members of our management team have experience in designing clinical trials, we have limited experience in conducting clinical trials for our current product candidates and we may be unable to design and execute a clinical trial which, if successfully completed, would support regulatory approval. Further, clinical trials of product candidates often reveal that it is not practical or feasible to continue development efforts. If our product candidates are found to be unsafe or show clinically meaningful efficacy, we will not be able to obtain regulatory approvals and our business would be harmed.</w:t>
      </w:r>
    </w:p>
    <w:p>
      <w:pPr>
        <w:spacing w:after="0" w:line="17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8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The clinical evaluation of BXCL501, BXCL701 and our other product candidates in patients is still in the early stages and it is possible that there may be side effects associated with their use. To date, based on information available in the package insert for Dex, patients treated with Dex have experienced drug-related side effects including hypotension, transient hypertension, bradycardia, dry mouth, acute respiratory distress syndrome, respiratory failure and agitation with hypotension, bradycardia and dry mouth considered serious adverse events. In addition, based on the investigator brochure for Talabostat, patients treated with Talabostat have experienced edema/peripheral swelling, hypotension, dizziness, hypovolemia fatigue, nausea, vomiting, pyrexia rigors and rash with edema and fatigue representing the most frequently observed serious adverse events. Results of our trials could reveal a high and unacceptable severity and prevalence of these or other side effects. In such an event, we, the FDA, the IRBs at the institutions in which our studies are conducted, or the DSMB could suspend or terminate our clinical trials or the FDA or comparable foreign regulatory authorities could order us to cease clinical trials or deny approval of our product candidates for any or all targeted indications. For example, the FDA placed Point Therapeutics, Inc.’s IND for BXCL701 on clinical hold following an increase in observed mortality in patients receiving BXCL701 in a Phase 3 trial in patients with non-small cell lung cancer. Though we believe that this result was caused by, among other things, an imbalance in the disease severity of patients enrolled in the active arm of the clinical trial, there is no guarantee that excess mortality will not be observed in future clinical studies. Treatment-related side effects could also affect patient recruitment or the ability of enrolled patients to complete the clinical trial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Inadequate training in recognizing or managing the potential side effects of our product candidates could result in patient injury or death. Any of these occurrences may harm our business, financial condition and prospects significantly.</w:t>
      </w:r>
    </w:p>
    <w:p>
      <w:pPr>
        <w:spacing w:after="0" w:line="17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81"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a product is administered to patients;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right="380" w:hanging="325"/>
        <w:spacing w:after="0" w:line="258"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distribution of the particular product or the manufacturing processes for the product or any component thereof;</w:t>
      </w:r>
    </w:p>
    <w:p>
      <w:pPr>
        <w:spacing w:after="0" w:line="1" w:lineRule="exact"/>
        <w:rPr>
          <w:rFonts w:ascii="Arial" w:cs="Arial" w:eastAsia="Arial" w:hAnsi="Arial"/>
          <w:sz w:val="18"/>
          <w:szCs w:val="18"/>
          <w:color w:val="auto"/>
        </w:rPr>
      </w:pPr>
    </w:p>
    <w:p>
      <w:pPr>
        <w:ind w:left="1300" w:right="480" w:hanging="325"/>
        <w:spacing w:after="0" w:line="250"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contraindication;</w:t>
      </w:r>
    </w:p>
    <w:p>
      <w:pPr>
        <w:ind w:left="1300" w:right="660" w:hanging="325"/>
        <w:spacing w:after="0" w:line="265"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be required to implement Risk Evaluation and Mitigation Strategies, or REMS, or create a medication guide outlining the risks of such side effects for distribution to patients;</w:t>
      </w: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product may become less competitive;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or for particular indications of a product candidate, if approved, and could significantly harm our business, results of operations and prospects.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b w:val="1"/>
          <w:bCs w:val="1"/>
          <w:i w:val="1"/>
          <w:iCs w:val="1"/>
          <w:color w:val="auto"/>
        </w:rPr>
        <w:t>BioXcel’s approach to the discovery and development of product candidates based on EvolverAI is novel and unproven, and we do not know whether we will be able to develop any products of commercial value.</w:t>
      </w:r>
    </w:p>
    <w:p>
      <w:pPr>
        <w:spacing w:after="0" w:line="147"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We are leveraging EvolverAI to create a pipeline of neuroscience and immuno-oncology product candidates for patients whose diseases have not been adequately addressed to date by other approaches and to design and conduct efficient clinical trials with a higher likelihood of success. While we believe that applying EvolverAI to create medicines for defined patient populations may potentially enable drug research and clinical development that is more efficient than conventional drug research and development, our approach is both novel and unproven. Because our approach is both novel and unproven, the cost and time needed to develop our product candidates is difficult to predict, and our efforts may not result in the discovery and development of commercially viable medicines. We may also be incorrect about the effects of our product candidates on the diseases of our defined patient populations, which may limit the utility of our approach or the perception of the utility of our approach. Furthermore, our estimates of our defined patient populations available for study and treatment may be lower than expected, which could adversely affect our ability to conduct clinical trials and may also adversely affect the size of any market for medicines we may successfully commercialize. Our approach may not result in time savings, higher success rates or reduced costs as we expect it to, and if not, we may not attract collaborators or develop new drugs as quickly or cost effectively as expected and therefore we may not be able to commercialize our approach as originally expected.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EvolverAI may fail to help us discover and develop additional potential product candidates.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Any drug discovery that we are conducting using EvolverAI may not be successful in identifying compounds that have commercial value or therapeutic utility. EvolverAI may initially show promise in identifying potential product candidates, yet fail to yield viable product candidates for clinical development or commercialization for a number of reasons, including:</w:t>
      </w:r>
    </w:p>
    <w:p>
      <w:pPr>
        <w:spacing w:after="0" w:line="147" w:lineRule="exact"/>
        <w:rPr>
          <w:sz w:val="20"/>
          <w:szCs w:val="20"/>
          <w:color w:val="auto"/>
        </w:rPr>
      </w:pPr>
    </w:p>
    <w:p>
      <w:pPr>
        <w:ind w:left="1300" w:right="160" w:hanging="325"/>
        <w:spacing w:after="0" w:line="285"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research programs to identify new product candidates will require substantial technical, financial and human resources, and we may be unsuccessful in our efforts to identify new product candidates.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2" w:lineRule="exact"/>
        <w:rPr>
          <w:rFonts w:ascii="Arial" w:cs="Arial" w:eastAsia="Arial" w:hAnsi="Arial"/>
          <w:sz w:val="16"/>
          <w:szCs w:val="16"/>
          <w:color w:val="auto"/>
        </w:rPr>
      </w:pP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compounds found through EvolverAI may not demonstrate efficacy, safety or tolerability;</w:t>
      </w:r>
    </w:p>
    <w:p>
      <w:pPr>
        <w:spacing w:after="0" w:line="9" w:lineRule="exact"/>
        <w:rPr>
          <w:rFonts w:ascii="Arial" w:cs="Arial" w:eastAsia="Arial" w:hAnsi="Arial"/>
          <w:sz w:val="18"/>
          <w:szCs w:val="18"/>
          <w:color w:val="auto"/>
        </w:rPr>
      </w:pPr>
    </w:p>
    <w:p>
      <w:pPr>
        <w:ind w:left="1300" w:right="580" w:hanging="325"/>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receive marketing approval and achieve market acceptance;</w:t>
      </w:r>
    </w:p>
    <w:p>
      <w:pPr>
        <w:spacing w:after="0" w:line="1"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 therapies that render our potential product candidates non-competitive or less attractive; or</w:t>
      </w:r>
    </w:p>
    <w:p>
      <w:pPr>
        <w:ind w:left="1300" w:hanging="325"/>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at an acceptable cost.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 NDA submitted under Section 505(b)(2) subjects us to the risk that we may be subject to a patent infringement lawsuit that would delay or prevent the review or approval of our product candidate.</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product candidates will be submitted to the FDA for approval under Section 505(b)(2) of the Federal Food, Drug and Cosmetic Act, or FDCA. Section 505(b)(2) permits the submission of an NDA where at least some of the information required for approval comes from studies that were not conducted by, or for, the applicant and on which the applicant has not obtained a right of reference. The 505(b)(2) application would enable us to reference published literature and/or the FDA’s previous findings of safety and effectiveness for a branded reference drug with the same active ingredient. For NDAs submitted under Section 505(b)(2) of the FDCA, the patent certification and related provisions of the Drug Price Competition and Patent Term Restoration Act of 1984, also known as the Hatch-Waxman Act, apply. In accordance with the Hatch-Waxman Act, such NDAs may be required to include certifications, known as paragraph IV certifications, that certify that any patents listed in the Patent and Exclusivity Information Addendum of the FDA’s publication, Approved Drug Products with Therapeutic Equivalence Evaluations, commonly known as the Orange Book, with respect to any product referenced in the 505(b)(2) application, are invalid, unenforceable or will not be infringed by the manufacture, use or sale of the product that is the subject of the 505(b)(2) NDA.</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Under the Hatch-Waxman Act, the holder of patents that the 505(b)(2) application references may file a patent infringement lawsuit after receiving notice of the paragraph IV certification. Filing of a patent infringement lawsuit against the filer of the 505(b)(2) applicant within 45 days of the patent owner’s receipt of notice triggers a one-time, automatic, 30-month stay of the FDA’s ability to approve the 505(b)(2) NDA, unless patent litigation is resolved in the favor of the paragraph IV filer or the patent expires before that time. Accordingly, we may invest a significant amount of time and expense in the development of one or more product candidates only to be subject to significant delay and patent litigation before such product candidates may be commercialized, if at all. In addition, a 505(b)(2) application will not be approved until any non-patent exclusivity, such as exclusivity for obtaining approval of a new chemical entity, or NCE, listed in the Orange Book for the branded reference drug product has expired. The FDA may also require us to perform one or more additional clinical studies or measurements to support the change from the branded reference drug, which could be time consuming and could substantially delay our achievement of regulatory approvals for such product candidates. The FDA may also reject our future 505(b)(2) submissions and require us to file such submissions under Section 505(b)(1) of the FDCA, which would require us to provide extensive data to establish safety and effectiveness of the drug product for the proposed use and could cause delay and be considerably more expensive and time consuming. These factors, among others, may limit our ability to successfully commercialize our product candidates.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0"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drug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personally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and financial condition.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may seek Fast Track designation for one or more of our product candidates, but we might not receive such designation, and even if we do, such designation may not actually lead to a faster development or regulatory review or approval process.</w:t>
      </w:r>
    </w:p>
    <w:p>
      <w:pPr>
        <w:spacing w:after="0" w:line="181"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If a product is intended for the treatment of a serious condition and nonclinical or clinical data demonstrate the potential to address unmet medical need for this condition, a product sponsor may apply for FDA Fast Track designation. If we seek Fast Track designation for a product candidate, we may not receive it from the FDA. However, even if we receive Fast Track designation,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66"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b w:val="1"/>
          <w:bCs w:val="1"/>
          <w:i w:val="1"/>
          <w:iCs w:val="1"/>
          <w:color w:val="auto"/>
        </w:rPr>
        <w:t>Even if our product candidates receive regulatory approval,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47"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our product candidates will remain subject to ongoing requirements governing the manufacturing process, labeling, packaging, storage, advertising, distribution, import, export, promotion, recordkeeping and adverse event reporting. These requirements include submissions of safety and other post-marketing information and reports, registration, as well as continued compliance with good clinical practice, or GCP, requirements for any clinical trials that we conduct post-approval. In addition, manufacturers of drug products and their facilities are subject to continual review and periodic inspections by the FDA and other regulatory authorities for compliance with Good Manufacturing Practices, or GMP, regulations. If we or a regulatory agency discovers previously unknown problems with a product, such as adverse events of unanticipated severity or frequency, or problems with the facility where the product is manufactured, a regulatory agency may impose restrictions on that product or the manufacturer, including requiring voluntary or mandatory recalls, additional restrictions on manufacturing or withdrawal of the product from the market or suspension of manufacturing. If we, our product candidates or the manufacturing facilities for our product candidates fail to comply with applicable regulatory requirements, a regulatory agency may:</w:t>
      </w:r>
    </w:p>
    <w:p>
      <w:pPr>
        <w:spacing w:after="0" w:line="391"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seize or detain products or request us to initiate a product recall; or</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pursue and obtain an injunction.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by us to comply with existing regulations could harm our reputation and operating results.</w:t>
      </w:r>
    </w:p>
    <w:p>
      <w:pPr>
        <w:spacing w:after="0" w:line="2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will be subject to extensive regulation by U.S. federal and state and foreign governments in each of the markets where we intend to sell BXCL501 and BXCL701 if and after they are approved. For example, we will have to adhere to all regulatory requirements including the FDA’s current GCPs, Good Laboratory Practice, or GLP, and GMP requirements. If we fail to comply with applicable regulations, including FDA pre-or post- approval cGMP requirements, then the FDA or other foreign regulatory authorities could sanction us. Even if a drug is FDA-approved,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regulatory authorities may impose significant restrictions on a product’s indicated uses or marketing or impose ongoing requirements for potentially costly post-marketing studies.</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Any action against us for violation of these laws, even if we successfully defend against it, could cause us to incur significant legal expenses, divert our management’s attention from the operation of our business and damage our reputation. We expend significant resources on compliance efforts and such expenses are unpredictable and might adversely affect our results.</w:t>
      </w:r>
    </w:p>
    <w:p>
      <w:pPr>
        <w:spacing w:after="0" w:line="187"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addition, 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Notably, on January 30, 2017, President Trump issued an Executive Order directing all executive agencies, including the FDA,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included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OMB on February 2, 2017, the administration indicates that the “two-for-one” provisions may apply not only to agency regulations, but also to significant agency guidance documents, and on September 8, 2017, the FDA published notices in the Federal Register soliciting broad public comment to identify regulations that could be modified in compliance with these Executive Orders. It is difficult to predict how these requirements will be implemented, and the extent to which they will impact the FDA’s ability to exercise its regulatory authority. If these executive actions impose restrictions on the FDA’s ability to engage in oversight and implementation activities in the normal course, our business may be negatively impacted. 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extensive regulations outside the United States and may not obtain marketing approvals for products in Europe and other jurisdictions.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to regulations in the United States, should we or our collaborators pursue marketing approvals for BXCL501, BXCL701 and our other product candidates internationally, we and our collaborators will be subject to a variety of regulations in other jurisdictions governing, among other things, clinical trials and any commercial sales and distribution of our products. 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w:t>
      </w:r>
    </w:p>
    <w:p>
      <w:pPr>
        <w:spacing w:after="0" w:line="189" w:lineRule="exact"/>
        <w:rPr>
          <w:sz w:val="20"/>
          <w:szCs w:val="20"/>
          <w:color w:val="auto"/>
        </w:rPr>
      </w:pPr>
    </w:p>
    <w:p>
      <w:pPr>
        <w:ind w:right="180" w:firstLine="324"/>
        <w:spacing w:after="0" w:line="286" w:lineRule="auto"/>
        <w:rPr>
          <w:sz w:val="20"/>
          <w:szCs w:val="20"/>
          <w:color w:val="auto"/>
        </w:rPr>
      </w:pPr>
      <w:r>
        <w:rPr>
          <w:rFonts w:ascii="Arial" w:cs="Arial" w:eastAsia="Arial" w:hAnsi="Arial"/>
          <w:sz w:val="17"/>
          <w:szCs w:val="17"/>
          <w:color w:val="auto"/>
        </w:rPr>
        <w:t>We expect to pursue marketing approvals for BXCL501, BXCL701 and our other product candidates in Europe and other jurisdictions outside the United States with collaborative partners. The time and process required to obtain regulatory approvals and reimbursement in Europe and other jurisdictions may be different from those in the United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States regulatory and approval in one jurisdiction does not ensure approvals in any other jurisdiction; however, negative regulatory decisions in any jurisdiction may have a negative impact on the regulatory process in other jurisdictions.</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While Article 50 of the Lisbon Treaty was invoked by the United Kingdom on March 29, 2017, substantial uncertainty remains regarding the timing and outcome of the negotiations, the terms of any withdrawal, as well as the scope and duration of a transitionary period, if any, following the expiration of the Article 50 period on January 31, 2020. Since a 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we are found in violation of federal or state “fraud and abuse” laws, we may be required to pay a penalty and/or be suspended from participation in federal or state health care programs, which may adversely affect our business, financial condition and results of operations.</w:t>
      </w:r>
    </w:p>
    <w:p>
      <w:pPr>
        <w:spacing w:after="0" w:line="181" w:lineRule="exact"/>
        <w:rPr>
          <w:sz w:val="20"/>
          <w:szCs w:val="20"/>
          <w:color w:val="auto"/>
        </w:rPr>
      </w:pPr>
    </w:p>
    <w:p>
      <w:pPr>
        <w:ind w:right="20" w:firstLine="324"/>
        <w:spacing w:after="0" w:line="284" w:lineRule="auto"/>
        <w:rPr>
          <w:sz w:val="20"/>
          <w:szCs w:val="20"/>
          <w:color w:val="auto"/>
        </w:rPr>
      </w:pPr>
      <w:r>
        <w:rPr>
          <w:rFonts w:ascii="Arial" w:cs="Arial" w:eastAsia="Arial" w:hAnsi="Arial"/>
          <w:sz w:val="16"/>
          <w:szCs w:val="16"/>
          <w:color w:val="auto"/>
        </w:rPr>
        <w:t>In the United States, we will be subject to various federal and state health care “fraud and abuse” laws, including anti-kickback laws, false claims laws and other laws intended to reduce fraud and abuse in federal and state health care programs, which could affect us, particularly upon successful commercialization of our products in the United States.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 care program, such as Medicare or Medicaid. Under federal government regulations, some arrangements, known as safe harbors, are deemed not to violate the federal Anti-Kickback Statute. Although we seek to structure our business arrangements in compliance with all applicable requirements, these laws are broadly written, and it is often difficult to determine precisely how the law will be applied in specific circumstances. Accordingly, it is possible that our practices may be challenged under the federal Anti-Kickback Statute. False claims laws prohibit anyone from knowingly and willfully presenting or causing to be presented for payment to third-party payers, including government payers, claims for reimbursed drugs or services that are false or fraudulent, claims for items or services that were not provided as claimed, or claims for medically unnecessary items or services. Cases have been brought under false claims laws alleging that off-label promotion of pharmaceutical products or the provision of kickbacks has resulted in the submission of false claims to governmental health care programs. Under the Health Insurance Portability and Accountability Act of 1996, we are prohibited from knowingly and willfully executing a scheme to defraud any health care benefit program, including private payers, or knowingly and willfully falsifying, concealing or covering up a material fact or making any materially false, fictitious or fraudulent statement in connection with the delivery of or payment for health care benefits, items or services. Violations of fraud and abuse laws may be punishable by criminal and/or civil sanctions, including fines and/or exclusion or suspension from federal and state health care programs such as Medicare and Medicaid and debarment from contracting with the U.S. government. In addition, private individuals have the ability to bring actions on behalf of the government under the federal False Claims Act as well as under the false claims laws of several states.</w:t>
      </w:r>
    </w:p>
    <w:p>
      <w:pPr>
        <w:spacing w:after="0" w:line="39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Many states have adopted laws similar to the federal anti-kickback statute, some of which apply to the referral of patients for health care services reimbursed by any source, not just governmental payers. Neither the government nor the courts have provided definitive guidance on the application of fraud and abuse laws to our business. Law enforcement authorities are increasingly focused on enforcing these laws, and if we are found in violation of one of these laws, we could be required to pay a penalty and could be suspended or excluded from participation in federal or state health care programs, and our business, results of operations and financial condition may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maintain sufficient clinical trial liability insurance.</w:t>
      </w:r>
    </w:p>
    <w:p>
      <w:pPr>
        <w:spacing w:after="0" w:line="225"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Our inability to obtain and retain sufficient clinical trial liability insurance at an acceptable cost to protect against potential liability claims could prevent or inhibit our ability to conduct clinical trials for product candidates we develop. We currently have clinical trial liability insurance for our IV Dex trials. However, we do not have clinical trial liability insurance for our BXCL 701 program. We may be unable to obtain appropriate levels of such insurance. Even if we do secure clinical trial liability insurance for our programs, we may not be able to achieve sufficient levels of such insurance. Any claim that may be brought against us could result in a court judgment or settlement in an amount that is not covered, in whole or in part, by our insurance or that is in excess of the limits of our insurance coverage. We expect we will supplement our clinical trial coverage with product liability coverage in connection with the commercial launch of BXCL501, BXCL701 or other product candidates we develop in the future; however, we may be unable to obtain such increased coverage on acceptable terms or at all. If we are found liable in a clinical trial lawsuit or a product liability lawsuit in the future,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products do not gain market acceptance, our business will suffer because we might not be able to fund future operations.</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number of factors may affect the market acceptance of our products or any other products we develop or acquire, including, among others:</w:t>
      </w:r>
    </w:p>
    <w:p>
      <w:pPr>
        <w:spacing w:after="0" w:line="170" w:lineRule="exact"/>
        <w:rPr>
          <w:sz w:val="20"/>
          <w:szCs w:val="20"/>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our products relative to other products for the same or similar treatments;</w:t>
      </w:r>
    </w:p>
    <w:p>
      <w:pPr>
        <w:spacing w:after="0" w:line="23" w:lineRule="exact"/>
        <w:rPr>
          <w:rFonts w:ascii="Arial" w:cs="Arial" w:eastAsia="Arial" w:hAnsi="Arial"/>
          <w:sz w:val="18"/>
          <w:szCs w:val="18"/>
          <w:color w:val="auto"/>
        </w:rPr>
      </w:pPr>
    </w:p>
    <w:p>
      <w:pPr>
        <w:ind w:left="1300" w:right="20" w:hanging="325"/>
        <w:spacing w:after="0" w:line="250"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perception by patients, physicians and other members of the health care community of the effectiveness and safety of our products for their indicated applications and treatments;</w:t>
      </w: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fund our sales and marketing efforts;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1"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181" w:lineRule="exact"/>
        <w:rPr>
          <w:sz w:val="20"/>
          <w:szCs w:val="20"/>
          <w:color w:val="auto"/>
        </w:rPr>
      </w:pPr>
    </w:p>
    <w:p>
      <w:pPr>
        <w:ind w:right="160"/>
        <w:spacing w:after="0" w:line="327" w:lineRule="auto"/>
        <w:rPr>
          <w:sz w:val="20"/>
          <w:szCs w:val="20"/>
          <w:color w:val="auto"/>
        </w:rPr>
      </w:pPr>
      <w:r>
        <w:rPr>
          <w:rFonts w:ascii="Arial" w:cs="Arial" w:eastAsia="Arial" w:hAnsi="Arial"/>
          <w:sz w:val="15"/>
          <w:szCs w:val="15"/>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4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intend to seek FDA approval through the 505(b)(2) regulatory pathway for certain of our product candidates, including BXCL501. The Hatch-Waxman Act, added Section 505(b)(2) to the FDCA. Section 505(b)(2) permits the filing of an NDA where at least some of the information required for approval comes from studies that were not conducted by or for the applicant. 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allowed to pursue the 505(b)(2) regulatory pathway for a product candidate, we cannot assure you that we will receive the requisite or timely approvals for commercialization of such product candidate. In addition, we expect that our competitors will file citizens’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expect to rely heavily on orphan drug status to commercialize some of our product candidates, if approved, but any orphan drug designations we receive may not confer marketing exclusivity or other expected commercial benefits.</w:t>
      </w:r>
    </w:p>
    <w:p>
      <w:pPr>
        <w:spacing w:after="0" w:line="101"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We expect to rely heavily on orphan drug exclusivity for our product candidates.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 Although we have received orphan designation for BXCL701 for the treatment of pancreatic cancer, BXCL701 has not yet filed for orphan designation for the treatment of emergent Neuroendocrine Prostate Cancer.</w:t>
      </w:r>
    </w:p>
    <w:p>
      <w:pPr>
        <w:spacing w:after="0" w:line="169"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Even if we, or any future collaborators, obtain orphan drug designation for a product candidate, we, or they,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and it is possible that another company also holding orphan drug designation for the same product candidate will receive marketing approval for the same indication before we do. If that were to happen, our applications for that indication may not be approved until the competing company’s period of exclusivity expires.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drug any advantage in the regulatory review or approval process, nor does it prevent competitors from obtaining approval of the same product candidate as ours for indications other than those in which we have been granted orphan drug designation.</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may seek a breakthrough therapy designation for BXCL701 or one or more of our other product candidates,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We may seek a breakthrough therapy designation for BXCL701 or one or more of our other product candidates. A breakthrough therapy is defined as a drug that is intended, alone or in combination with one or more other drugs, to treat a serious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if supported by clinical data at the time the NDA is submitted to the FDA.</w:t>
      </w:r>
    </w:p>
    <w:p>
      <w:pPr>
        <w:spacing w:after="0" w:line="19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or regulatory review or approval process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seek priority review designation for BXCL701 or one or more of our other product candidates, but we might not receive such designation, and even if we do, such designation may not lead to a faster development or regulatory review or approval process.</w:t>
      </w:r>
    </w:p>
    <w:p>
      <w:pPr>
        <w:spacing w:after="0" w:line="181"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If we are unable to develop satisfactory sales and marketing capabilities, we may not succeed in commercializing BXCL501, BXCL701 or any other product candidate.</w:t>
      </w:r>
    </w:p>
    <w:p>
      <w:pPr>
        <w:spacing w:after="0" w:line="170"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We have no experience in marketing and selling drug products. We have not entered into arrangements for the sale and marketing of BXCL501, BXCL701 or any other product candidate. Typically, pharmaceutical companies would employ groups of sales representatives and associated sales and marketing staff numbering in the hundreds to thousands of individuals to call on this large number of physicians and hospitals. We may seek to collaborate with a third party to market our drugs or may seek to market and sell our drugs by ourselves. If we seek to collaborate with a third party, we cannot be sure that a collaborative agreement can be reached on terms acceptable to us. If we seek to market and sell our drugs directly, we will need to hire additional personnel skilled in marketing and sales. We cannot be sure that we will be able to acquire, or establish third party relationships to provide, any or all of these marketing and sales capabilities. The establishment of a direct sales force or a contract sales force or a combination direct and contract sales force to market our products will be expensive and time-consuming and could delay any product launch. Further, we can give no assurances that we may be able to maintain a direct and/or contract sales force for any period of time or that our sales efforts will be sufficient to grow our revenues or that our sales efforts will ever lead to profits.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and rapidly changing industry.</w:t>
      </w:r>
    </w:p>
    <w:p>
      <w:pPr>
        <w:spacing w:after="0" w:line="22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Biopharmaceutical product development is highly competitive and subject to rapid and significant technological advancements. Our success is highly dependent upon our ability to in-license, acquire, develop and obtain regulatory approval for new and innovative products on a cost-effective basis and to market them successfully. In doing so, we face and will continue to face intense competition from a variety of businesses, including large, fully integrated, well-established pharmaceutical companies who already possess a large share of the market, specialty pharmaceutical and biopharmaceutical companies, academic institutions, government agencies and other private and public research institutions in the United States, the European Union and other jurisdictions.</w:t>
      </w:r>
    </w:p>
    <w:p>
      <w:pPr>
        <w:spacing w:after="0" w:line="17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These third parties compete with us in recruiting and retaining qualified scientific and management personnel, establishing clinical trial sites and patient registration for clinical trials, as well as in acquiring technologies complementary to, or necessary for, our programs. Mergers and acquisitions in the biopharmaceutical industry could result in even more resources being concentrated among a small number of our competitors.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99" w:firstLine="324"/>
        <w:spacing w:after="0" w:line="312" w:lineRule="auto"/>
        <w:rPr>
          <w:sz w:val="20"/>
          <w:szCs w:val="20"/>
          <w:color w:val="auto"/>
        </w:rPr>
      </w:pPr>
      <w:r>
        <w:rPr>
          <w:rFonts w:ascii="Arial" w:cs="Arial" w:eastAsia="Arial" w:hAnsi="Arial"/>
          <w:sz w:val="16"/>
          <w:szCs w:val="16"/>
          <w:color w:val="auto"/>
        </w:rPr>
        <w:t>Competition may further increase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w:t>
      </w:r>
    </w:p>
    <w:p>
      <w:pPr>
        <w:spacing w:after="0" w:line="147" w:lineRule="exact"/>
        <w:rPr>
          <w:sz w:val="20"/>
          <w:szCs w:val="20"/>
          <w:color w:val="auto"/>
        </w:rPr>
      </w:pPr>
    </w:p>
    <w:p>
      <w:pPr>
        <w:ind w:right="99" w:firstLine="324"/>
        <w:spacing w:after="0" w:line="293" w:lineRule="auto"/>
        <w:rPr>
          <w:sz w:val="20"/>
          <w:szCs w:val="20"/>
          <w:color w:val="auto"/>
        </w:rPr>
      </w:pPr>
      <w:r>
        <w:rPr>
          <w:rFonts w:ascii="Arial" w:cs="Arial" w:eastAsia="Arial" w:hAnsi="Arial"/>
          <w:sz w:val="16"/>
          <w:szCs w:val="16"/>
          <w:color w:val="auto"/>
        </w:rPr>
        <w:t>Established biopharmaceutical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FDA approval for or commercializing drugs before we do, which would have an adverse impact on our business and results of operations.</w:t>
      </w:r>
    </w:p>
    <w:p>
      <w:pPr>
        <w:spacing w:after="0" w:line="165" w:lineRule="exact"/>
        <w:rPr>
          <w:sz w:val="20"/>
          <w:szCs w:val="20"/>
          <w:color w:val="auto"/>
        </w:rPr>
      </w:pPr>
    </w:p>
    <w:p>
      <w:pPr>
        <w:jc w:val="both"/>
        <w:ind w:right="19" w:firstLine="324"/>
        <w:spacing w:after="0" w:line="264" w:lineRule="auto"/>
        <w:rPr>
          <w:sz w:val="20"/>
          <w:szCs w:val="20"/>
          <w:color w:val="auto"/>
        </w:rPr>
      </w:pPr>
      <w:r>
        <w:rPr>
          <w:rFonts w:ascii="Arial" w:cs="Arial" w:eastAsia="Arial" w:hAnsi="Arial"/>
          <w:sz w:val="18"/>
          <w:szCs w:val="18"/>
          <w:color w:val="auto"/>
        </w:rPr>
        <w:t>The availability of our competitors’ products could limit the demand and the price we are able to charge for any product candidate we commercialize, if any. The inability to compete with existing or subsequently introduced drugs would harm our business, financial condition and results of operations.</w:t>
      </w:r>
    </w:p>
    <w:p>
      <w:pPr>
        <w:spacing w:after="0" w:line="181" w:lineRule="exact"/>
        <w:rPr>
          <w:sz w:val="20"/>
          <w:szCs w:val="20"/>
          <w:color w:val="auto"/>
        </w:rPr>
      </w:pPr>
    </w:p>
    <w:p>
      <w:pPr>
        <w:ind w:right="499"/>
        <w:spacing w:after="0" w:line="342" w:lineRule="auto"/>
        <w:rPr>
          <w:sz w:val="20"/>
          <w:szCs w:val="20"/>
          <w:color w:val="auto"/>
        </w:rPr>
      </w:pPr>
      <w:r>
        <w:rPr>
          <w:rFonts w:ascii="Arial" w:cs="Arial" w:eastAsia="Arial" w:hAnsi="Arial"/>
          <w:sz w:val="16"/>
          <w:szCs w:val="16"/>
          <w:b w:val="1"/>
          <w:bCs w:val="1"/>
          <w:i w:val="1"/>
          <w:iCs w:val="1"/>
          <w:color w:val="auto"/>
        </w:rPr>
        <w:t>Even if we obtain regulatory approvals to commercialize BXCL501, BXCL701 or our other product candidates, our product candidates may not be accepted by physicians or the medical community in general.</w:t>
      </w:r>
    </w:p>
    <w:p>
      <w:pPr>
        <w:spacing w:after="0" w:line="124" w:lineRule="exact"/>
        <w:rPr>
          <w:sz w:val="20"/>
          <w:szCs w:val="20"/>
          <w:color w:val="auto"/>
        </w:rPr>
      </w:pPr>
    </w:p>
    <w:p>
      <w:pPr>
        <w:ind w:right="79" w:firstLine="324"/>
        <w:spacing w:after="0" w:line="276" w:lineRule="auto"/>
        <w:rPr>
          <w:sz w:val="20"/>
          <w:szCs w:val="20"/>
          <w:color w:val="auto"/>
        </w:rPr>
      </w:pPr>
      <w:r>
        <w:rPr>
          <w:rFonts w:ascii="Arial" w:cs="Arial" w:eastAsia="Arial" w:hAnsi="Arial"/>
          <w:sz w:val="17"/>
          <w:szCs w:val="17"/>
          <w:color w:val="auto"/>
        </w:rPr>
        <w:t>There can be no assurance that BXCL501, BXCL701 and our other product candidates or any other product candidate successfully developed by us, independently or with partners, will be accepted by physicians, hospitals and other health care facilities. BXCL501, BXCL701 and any future product candidates we develop will compete with a number of products manufactured and marketed by major pharmaceutical and biotech companies. The degree of market acceptance of any drugs we develop depends on a number of factors, including:</w:t>
      </w:r>
    </w:p>
    <w:p>
      <w:pPr>
        <w:spacing w:after="0" w:line="173" w:lineRule="exact"/>
        <w:rPr>
          <w:sz w:val="20"/>
          <w:szCs w:val="20"/>
          <w:color w:val="auto"/>
        </w:rPr>
      </w:pPr>
    </w:p>
    <w:p>
      <w:pPr>
        <w:ind w:left="1300" w:right="559" w:hanging="325"/>
        <w:spacing w:after="0" w:line="258"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demonstration of the clinical efficacy and safety of BXCL501, BXCL701 and our other product candidates;</w:t>
      </w:r>
    </w:p>
    <w:p>
      <w:pPr>
        <w:spacing w:after="0" w:line="1" w:lineRule="exact"/>
        <w:rPr>
          <w:rFonts w:ascii="Arial" w:cs="Arial" w:eastAsia="Arial" w:hAnsi="Arial"/>
          <w:sz w:val="18"/>
          <w:szCs w:val="18"/>
          <w:color w:val="auto"/>
        </w:rPr>
      </w:pPr>
    </w:p>
    <w:p>
      <w:pPr>
        <w:ind w:left="1300" w:right="699" w:hanging="325"/>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timing of market approval and commercial launch of BXCL501, BXCL701 and our other product candidates;</w:t>
      </w:r>
    </w:p>
    <w:p>
      <w:pPr>
        <w:ind w:left="1300" w:hanging="325"/>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clinical indication(s) for which BXCL501, BXCL701 and our other product candidates are approved;</w:t>
      </w:r>
    </w:p>
    <w:p>
      <w:pPr>
        <w:spacing w:after="0" w:line="32" w:lineRule="exact"/>
        <w:rPr>
          <w:rFonts w:ascii="Arial" w:cs="Arial" w:eastAsia="Arial" w:hAnsi="Arial"/>
          <w:sz w:val="16"/>
          <w:szCs w:val="16"/>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 and package insert requirements;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advantages and disadvantages of our product candidates compared to existing therapies;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continued interest in and growth of the market for anti-cancer or anti-agitation drugs;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pricing in absolute terms and relative to alternative treatments;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future changes in health care laws, regulations, and medical policies; and</w:t>
      </w:r>
    </w:p>
    <w:p>
      <w:pPr>
        <w:spacing w:after="0" w:line="9" w:lineRule="exact"/>
        <w:rPr>
          <w:rFonts w:ascii="Arial" w:cs="Arial" w:eastAsia="Arial" w:hAnsi="Arial"/>
          <w:sz w:val="18"/>
          <w:szCs w:val="18"/>
          <w:color w:val="auto"/>
        </w:rPr>
      </w:pPr>
    </w:p>
    <w:p>
      <w:pPr>
        <w:ind w:left="1300" w:right="939" w:hanging="325"/>
        <w:spacing w:after="0" w:line="26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availability of reimbursement codes and coverage in select jurisdictions, and future changes to reimbursement policies of government and third-party payors.</w:t>
      </w:r>
    </w:p>
    <w:p>
      <w:pPr>
        <w:spacing w:after="0" w:line="184" w:lineRule="exact"/>
        <w:rPr>
          <w:sz w:val="20"/>
          <w:szCs w:val="20"/>
          <w:color w:val="auto"/>
        </w:rPr>
      </w:pPr>
    </w:p>
    <w:p>
      <w:pPr>
        <w:ind w:right="39" w:firstLine="324"/>
        <w:spacing w:after="0" w:line="257"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product candidates’ commercial success.</w:t>
      </w:r>
    </w:p>
    <w:p>
      <w:pPr>
        <w:spacing w:after="0" w:line="225" w:lineRule="exact"/>
        <w:rPr>
          <w:sz w:val="20"/>
          <w:szCs w:val="20"/>
          <w:color w:val="auto"/>
        </w:rPr>
      </w:pPr>
    </w:p>
    <w:p>
      <w:pPr>
        <w:ind w:right="59" w:firstLine="324"/>
        <w:spacing w:after="0" w:line="276" w:lineRule="auto"/>
        <w:rPr>
          <w:sz w:val="20"/>
          <w:szCs w:val="20"/>
          <w:color w:val="auto"/>
        </w:rPr>
      </w:pPr>
      <w:r>
        <w:rPr>
          <w:rFonts w:ascii="Arial" w:cs="Arial" w:eastAsia="Arial" w:hAnsi="Arial"/>
          <w:sz w:val="17"/>
          <w:szCs w:val="17"/>
          <w:color w:val="auto"/>
        </w:rPr>
        <w:t>The U.S. government and other governments have shown significant interest in pursuing healthcare reform. Any government-adopted reform measures could adversely impact the pricing of healthcare products and services in the United States or internationally and the amount of reimbursement available from governmental agencies or other third-party payors. The continuing efforts of the U.S. and foreign governments, insurance companies, managed care organizations and other payors of health care services to contain or reduce health care costs may adversely affect our</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ability to set prices for our products which we believe are fair, and our ability to generate revenues and achieve and maintain profitability.</w:t>
      </w:r>
    </w:p>
    <w:p>
      <w:pPr>
        <w:spacing w:after="0" w:line="17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New laws, regulations and judicial decisions, or new interpretations of existing laws, regulations and decisions, that relate to healthcare availability, methods of delivery or payment for products and services, or sales, marketing or pricing, may limit our potential revenue, and we may need to revise our research and development programs. The pricing and reimbursement environment may change in the future and become more challenging due to several reasons, including policies advanced by the current executive administration in the United States, new healthcare legislation or fiscal challenges faced by government health administration authorities. Specifically, in both the United States and some foreign jurisdictions, there have been a number of legislative and regulatory proposals to change the health care system in ways that could affect our ability to sell our products profitably.</w:t>
      </w:r>
    </w:p>
    <w:p>
      <w:pPr>
        <w:spacing w:after="0" w:line="1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the Patient Protection and Affordable Care Act, as amended by the Health Care and Education Reconciliation Act, or the PPACA has substantially changed the way healthcare is financed by both government health plans and private insurers, and significantly impacts the pharmaceutical industry. The PPACA contains a number of provisions that are expected to impact our business and operations in ways that may negatively affect our potential revenues in the future. For example, the PPACA imposes a non-deductible excise tax on pharmaceutical manufacturers or importers that sell branded prescription drugs to government programs which we believe will increase the cost of our products. In addition, as part of the PPACA’s provisions closing a funding gap that currently exists in the Medicare Part D prescription drug program, we will be required to provide a discount on branded prescription drugs equal to 50% of the government-negotiated price, for drugs provided to certain beneficiaries who fall within the donut hole. Similarly, PPACA increases the level of Medicaid rebates payable by manufacturers of brand-name drugs from 15.1% to 23.1% and requires collection of rebates for drugs paid by Medicaid managed care organizations. The PPACA also includes significant changes to the 340B drug discount program including expansion of the list of eligible covered entities that may purchase drugs under the program. At the same time, the expansion in eligibility for health insurance benefits created under PPACA is expected to increase the number of patients with insurance coverage who may receive our products. While it is too early to predict all the specific effects the PPACA or any future healthcare reform legislation will have on our business, they could have a material adverse effect on our business and financial condition.</w:t>
      </w:r>
    </w:p>
    <w:p>
      <w:pPr>
        <w:spacing w:after="0" w:line="18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Congress periodically adopts legislation like the PPACA and the Medicare Prescription Drug, Improvement and Modernization Act of 2003, that modifies Medicare reimbursement and coverage policies pertaining to prescription drugs. Implementation of these laws is subject to ongoing revision through regulatory and sub regulatory policies. Congress also may consider additional changes to Medicare policies, potentially including Medicare prescription drug policies, as part of ongoing budget negotiations. While the scope of any such legislation is uncertain at this time, there can be no assurances that future legislation or regulations will not decrease the coverage and price that we may receive for our proposed products. Other third-party payors are increasingly challenging the prices charged for medical products and services. It will be time consuming and expensive for us to go through the process of seeking coverage and reimbursement from Medicare and private payors. Our proposed products may not be considered cost-effective, and coverage and reimbursement may not be available or sufficient to allow us to sell our proposed products on a profitable basis. Further federal and state proposals and health care reforms are likely which could limit the prices that can be charged for the product candidates that we develop and may further limit our commercial opportunities. Our results of operations could be materially adversely affected by proposed healthcare reforms, by the Medicare prescription drug coverage legislation, by the possible effect of such current or future legislation on amounts that private insurers will pay and by other health care reforms that may be enacted or adopted in the future.</w:t>
      </w:r>
    </w:p>
    <w:p>
      <w:pPr>
        <w:spacing w:after="0" w:line="18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September 2007, the Food and Drug Administration Amendments Act of 2007 was enacted, giving the FDA enhanced post-marketing authority, including the authority to require post-marketing studies and clinical trials, labeling changes based on new safety information, and compliance with risk evaluations and mitigation strategies approved by the FDA. The FDA’s exercise of this authority could result in delays or increased costs during product development, clinical trials and regulatory review, increased costs to assure compliance with post-approval regulatory requirements, and potential restrictions on the sale and/or distribution of approved products.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 with BioXcel</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BioXcel controls the direction of our business, and the concentrated ownership of our common stock will prevent you and other stockholders from influencing significant decisions.</w:t>
      </w:r>
    </w:p>
    <w:p>
      <w:pPr>
        <w:spacing w:after="0" w:line="170" w:lineRule="exact"/>
        <w:rPr>
          <w:sz w:val="20"/>
          <w:szCs w:val="20"/>
          <w:color w:val="auto"/>
        </w:rPr>
      </w:pPr>
    </w:p>
    <w:p>
      <w:pPr>
        <w:ind w:right="180" w:firstLine="324"/>
        <w:spacing w:after="0" w:line="272" w:lineRule="auto"/>
        <w:rPr>
          <w:sz w:val="20"/>
          <w:szCs w:val="20"/>
          <w:color w:val="auto"/>
        </w:rPr>
      </w:pPr>
      <w:r>
        <w:rPr>
          <w:rFonts w:ascii="Arial" w:cs="Arial" w:eastAsia="Arial" w:hAnsi="Arial"/>
          <w:sz w:val="17"/>
          <w:szCs w:val="17"/>
          <w:color w:val="auto"/>
        </w:rPr>
        <w:t>As of September 30, 2019, BioXcel owned approximately 52.6% of the economic interest and voting power of our outstanding common stock. As long as BioXcel beneficially controls a majority of the voting power of our outstanding common stock, it will generally be able to determine the outcome of all corporate actions requiring stockholder approval, including the election and removal of directors. Even if BioXcel were to control less than a majority of the voting power of our outstanding common stock, it may influence the outcome of such corporate actions so long as it owns a significant portion of our common stock. If BioXcel continues to hold its shares of our common stock, it could remain our controlling stockholder for an extended period of time or indefinitely.</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Approval of commercial terms between us and BioXcel does not preclude the possibility of stockholder litigation, including but not limited to derivative litigation nominally against BioXcel and against its directors and officers and also against us and our directors and officers.</w:t>
      </w:r>
    </w:p>
    <w:p>
      <w:pPr>
        <w:spacing w:after="0" w:line="181"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The commercial terms of the Amended Services Agreement dated November 7, 2017, the grid note dated June 30, 2017, or Grid Note, and the asset contribution agreement, or the Contribution Agreement, that we have entered into with BioXcel have not been negotiated on behalf of BioXcel by persons consisting solely of disinterested BioXcel directors. Notwithstanding the foregoing, we have no basis for believing that the terms of these agreements will not be in the best interests of both BioXcel and its stockholders and also us and our stockholders.</w:t>
      </w:r>
    </w:p>
    <w:p>
      <w:pPr>
        <w:spacing w:after="0" w:line="173"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Nonetheless, no assurance can be given that any stockholder of BioXcel will not claim in a lawsuit that such terms in fact are not in the best interests of BioXcel and its stockholders, that the directors and officers of BioXcel breached their fiduciary duties in connection with such agreements and that any disclosures by BioXcel to its stockholders regarding these agreements and the relationship between BioXcel and us did not satisfy applicable requirements. In any such instance, we and our directors and officers may also be named as defendants and we would have to defend ourselves and our directors and officers. While we will seek indemnification from BioXcel under the terms of these agreements against any damages or other costs, which could be substantial, no such indemnification has yet been agreed to or may be agreed to and be in effect. Further, any such litigation would be time-consuming and would divert focus and resources from the development of our product candidates and our business, including but not limited to possibly delaying our clinical trials due to our management having to spend time and attention on such litigation.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depend on BioXcel to provide us with certain services for our business.</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administrative services required by us for the operation of our business have historically been provided by BioXcel, including services related to insurance and risk management, accounting and human resources. Under the Services Agreement, BioXcel has provided us with various services and will continue to do so until we are able to build our own capabilities in the transition areas. We believe it has been efficient for BioXcel to provide these services for us to facilitate the efficient operation of our business as we transition to becoming an independent, public company. At our election, or if BioXcel does not or is unable to perform its obligations under the Services Agreement, we will be required to provide these services ourselves or to obtain substitute arrangements with other third parties. Virtually all of these administrative services have transitioned to our control. However we may be unable to continue to provide these services because of financial or other constraints or we may be unable to implement substitute arrangements on a timely basis on terms that are favorable to us, or at all.</w:t>
      </w:r>
    </w:p>
    <w:p>
      <w:pPr>
        <w:spacing w:after="0" w:line="178"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exercise no control over the activities of BioXcel other than the contractual rights we have pursuant to our Services Agreement and Contribution Agreement. Because of our historical relationship with our Parent, our reputation is also tied to BioXcel. We may be subject to reputational harm, or our relationships with existing and potential clients, third-party research organizations, consultants and other business partners could be harmed if BioXcel or any of its affiliates, previously, or in the future, among other things, engages in poor business practices, restructures or files for bankruptcy, becomes subject to litigation or otherwise damages its reputation or business prospects. Any of these events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might in turn adversely affect our reputation, revenues and/or business prospects, and may also adversely affect our access to EvolverAI and BioXcel’s collaborative services.</w:t>
      </w:r>
    </w:p>
    <w:p>
      <w:pPr>
        <w:spacing w:after="0" w:line="170"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We also rely, in part, on BioXcel and access to EvolverAI, a research and development engine created and owned by BioXcel, to identify, research and develop potential product candidates in neuroscience and immuno-oncology. We have the option to enter into a collaborative services agreement with BioXcel, pursuant to which BioXcel shall perform product identification and related services for us utilizing EvolverAI. We have agreed that such agreement will be negotiated in good faith and that such agreement will incorporate reasonable market based terms, including royalty payments on net sales and reasonable development and commercialization milestone payments. In addition, BioXcel has granted us a first right to negotiate exclusive rights to any additional product candidates in the fields of neuroscience and immuno-oncology that BioXcel may identify on its own and not in connection with BioXcel’s provision of services to us under the Services Agreement. This option for first negotiation shall be valid for a period of five years from the date of our initial public offering. If our rights and access to BioXcel’s collaborative services and to EvolverAI were to become limited, terminated, or if we were otherwise precluded from conducting research and development using EvolverAI, or if BioXcel is unable to fulfill its obligations under the agreements, such development could materially adversely affect our future operating results, financial condition and prospects. Furthermore, certain individuals conducting services on our behalf are not our employees, and except for remedies available to us under our agreements with BioXcel, we cannot control whether or not they devote sufficient time, skill and resources to our ongoing development programs. We also cannot ensure that BioXcel retains sufficient resources of personnel or otherwise to conduct its operations. BioXcel may also have relationships with other commercial entities, including our competitors, for whom they may also be conducting research and development activities, which could impede their ability to devote appropriate time to our research and development programs. In addition, if we fail to comply with our diligence, payment or other obligations under the agreements, any such collaboration may terminate or we may not be able to successfully negotiate agreements for future product candidates or collaborations with BioXcel.</w:t>
      </w:r>
    </w:p>
    <w:p>
      <w:pPr>
        <w:spacing w:after="0" w:line="168"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The ownership by our executive officers and our directors of shares of BioXcel common stock and rights to purchase BioXcel common stock may create, or may create the appearance of, conflicts of interest.</w:t>
      </w:r>
    </w:p>
    <w:p>
      <w:pPr>
        <w:spacing w:after="0" w:line="147"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ownership by our executive officers and our directors of shares of BioXcel common stock, options to purchase shares of BioXcel common stock, or other equity awards of BioXcel may create, or may create the appearance of, conflicts of interest. Our Chief Executive Officer continues to serve in the same respective roles at BioXcel. Two of our four directors currently serve on both our board of directors and the board of directors of BioXcel. Because of the current positions of our executive officer and our directors with BioXcel, they own shares of BioXcel common stock, options to purchase shares of BioXcel common stock or other equity awards of BioXcel. As of September 30, 2019, our Chief Executive Officer, Vimal Mehta, Ph.D. and one of our directors, Krishnan Nandabalan, Ph.D., each owned approximately 42% of outstanding BioXcel voting stock. Ownership by our executive officers and directors of common stock or options to purchase common stock of BioXcel, or any other equity awards, creates, or, may create the appearance of, conflicts of interest when these individuals are faced with decisions that could have different implications for BioXcel than the decisions have for us, including decisions that relate to our Services Agreement, Contribution Agreement, as well as potential agreements relating to future product candidates and AI-related services or collaborations. In connection with the various agreements and transactions entered into in connection with our separation from BioXcel, or the Separation, our chief executive officer has agreed to recuse himself with respect to voting on any matter coming before either BioXcel’s or our board of directors related to our relationship with BioXcel, although he will still be permitted to participate in discussions and negotiations. Any perceived conflicts of interest resulting from investors questioning the independence of our management or the integrity of corporate governance procedures may materially affect our stock price.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Any disputes that arise between us and BioXcel with respect to our past and ongoing relationships could harm our business operations.</w:t>
      </w:r>
    </w:p>
    <w:p>
      <w:pPr>
        <w:spacing w:after="0" w:line="170"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Disputes may arise between BioXcel and us in a number of areas relating to our past and ongoing relationships, including:</w:t>
      </w:r>
    </w:p>
    <w:p>
      <w:pPr>
        <w:spacing w:after="0" w:line="170" w:lineRule="exact"/>
        <w:rPr>
          <w:sz w:val="20"/>
          <w:szCs w:val="20"/>
          <w:color w:val="auto"/>
        </w:rPr>
      </w:pPr>
    </w:p>
    <w:p>
      <w:pPr>
        <w:ind w:left="1300" w:right="480" w:hanging="325"/>
        <w:spacing w:after="0" w:line="291" w:lineRule="auto"/>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intellectual property, technology and business matters, including failure to make required technology transfers and failure to comply with non-compete provisions applicable to BioXcel and us;</w:t>
      </w: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labor, tax, employee benefit, indemnification and other matters arising from the Separation;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distribution and supply obligations;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employee retention and recruiting;</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or distributions by BioXcel of all or any portion of its ownership interest in us;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nature, quality and pricing of services BioXcel has agreed to provide us;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opportunities that may be attractive to both BioXcel and us.</w:t>
      </w:r>
    </w:p>
    <w:p>
      <w:pPr>
        <w:spacing w:after="0" w:line="21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entered into the Services Agreement with BioXcel related to the Separation of our business operations from those of BioXcel that contains certain limitations on BioXcel’s ability to control various aspects of our business and operations, notwithstanding BioXcel’s substantial ownership position. This agreement may be amended upon agreement between us and BioXcel.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and our stockholders may not achieve some or all of the expected benefits of the Separation from BioXcel.</w:t>
      </w:r>
    </w:p>
    <w:p>
      <w:pPr>
        <w:spacing w:after="0" w:line="23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Drug development is an expensive and time-consuming process, but we believe the knowledge we have gained while operating as a subsidiary of BioXcel has helped expedite this process. However, in order to realize the value proposition of BTI as a drug development company, we intend to target early stage healthcare and pharmaceutical focused investors, who are interested in investing in drug development companies and who appreciate the risks, rewards and typically longer investment timelines associated with such investments. In order to successfully attract this type of new investment, we believe it is critical that we separate from BioXcel, because we believe that doing so will provide us with some or all of the following benefits:</w:t>
      </w:r>
    </w:p>
    <w:p>
      <w:pPr>
        <w:spacing w:after="0" w:line="189" w:lineRule="exact"/>
        <w:rPr>
          <w:sz w:val="20"/>
          <w:szCs w:val="20"/>
          <w:color w:val="auto"/>
        </w:rPr>
      </w:pPr>
    </w:p>
    <w:p>
      <w:pPr>
        <w:ind w:left="1300" w:right="240" w:hanging="325"/>
        <w:spacing w:after="0" w:line="256"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improving strategic and operational flexibility, increasing management focus and streamlining decision-making by providing the flexibility to implement our strategic plan and to respond more effectively to different customer needs and the changing economic environment;</w:t>
      </w:r>
    </w:p>
    <w:p>
      <w:pPr>
        <w:ind w:left="1300" w:hanging="325"/>
        <w:spacing w:after="0" w:line="265"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allowing us to adopt the capital structure, investment policy and dividend policy best suited to our financial profile and business needs, without competing for capital with BioXcel’s other businesses;</w:t>
      </w:r>
    </w:p>
    <w:p>
      <w:pPr>
        <w:ind w:left="1300" w:right="80" w:hanging="325"/>
        <w:spacing w:after="0" w:line="250"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creating an independent equity structure that will facilitate our ability to affect future acquisitions utilizing our common stock; and</w:t>
      </w:r>
    </w:p>
    <w:p>
      <w:pPr>
        <w:ind w:left="1300" w:right="200" w:hanging="325"/>
        <w:spacing w:after="0" w:line="25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facilitating incentive compensation arrangements for employees more directly tied to the performance of our business, and enhancing employee hiring and retention by, among other things, improving the alignment of management and employee incentives with performance and growth objectives of our business.</w:t>
      </w:r>
    </w:p>
    <w:p>
      <w:pPr>
        <w:spacing w:after="0" w:line="190"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color w:val="auto"/>
        </w:rPr>
        <w:t>If we are not successful implementing the Separation, we may not be able to achieve the full strategic and financial benefits we expect to receive, or the benefits may be delayed or not occur at all. Even if we are able to achieve stand-alone, independent status as a drug development company, there can be no assurance that investors and analysts will place a greater value on us as a stand-alone drug development company than as a wholly- or substantially-owned subsidiary of BioXcel.</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rules and, as a result, may qualify for, and may rely on, exemptions from certain corporate governance requirements that provide protection to stockholders of other companies.</w:t>
      </w:r>
    </w:p>
    <w:p>
      <w:pPr>
        <w:spacing w:after="0" w:line="101"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BioXcel controls a majority of the voting power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a controlled company, we rely on certain exemptions from the Nasdaq standards that may enable us not to comply with certain Nasdaq corporate governance requirements if BioXcel continues to control a majority of the voting power of our outstanding common stock. Accordingly, you may not have the same protections afforded to stockholders of companies that are subject to all of the corporate governance requirements of The Nasdaq Capital Market.</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We may in the near future no longer qualify as a controlled company and, in accordance with the applicable listing rules of The Nasdaq Capital Market, would have to phase into compliance with certain requirements from which we are currently exempt and with which we do not currently comply, including the requirement that we have a nominating and corporate governance committee that is composed entirely of independent directors. If we lose controlled company status, we may not be able to attract and/or retain the number of independent directors needed to comply with the applicable listing rules of The Nasdaq Capital Market during the phase-in period for compliance.</w:t>
      </w:r>
    </w:p>
    <w:p>
      <w:pPr>
        <w:spacing w:after="0" w:line="178"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The assets and resources that we acquired from BioXcel may not be sufficient for us to operate as a stand-alone company, and we may experience difficulty in separating our assets and resources from BioXcel.</w:t>
      </w:r>
    </w:p>
    <w:p>
      <w:pPr>
        <w:spacing w:after="0" w:line="12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Because we have not operated as a stand-alone company in the past, we may have difficulty doing so. We may need to acquire assets and resources in addition to those provided by BioXcel to us, and in connection with the Separation, may also face difficulty in separating our resources from BioXcel’s and integrating newly acquired assets into our business. For example, we may need to hire additional personnel to assist with administrative and technical functions, and acquire other office and laboratory equipment for use in the ordinary course operations of our business. If we have difficulty operating as a stand-alone company, fail to acquire assets that we need to run our operations, or incur unexpected costs in separating our business from BioXcel’s business or in integrating newly acquired assets into our business, our financial condition and results of operations will be adversely affected.</w:t>
      </w:r>
    </w:p>
    <w:p>
      <w:pPr>
        <w:spacing w:after="0" w:line="1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You may have difficulty evaluating our business because we have no history as a separate company and our historical financial information may not be representative of our results as a separate company.</w:t>
      </w:r>
    </w:p>
    <w:p>
      <w:pPr>
        <w:spacing w:after="0" w:line="14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Our historical financial information does not necessarily reflect the financial condition, results of operations or cash flows that we would have achieved as a separate company during the periods presented or those that we will achieve in the future. Prior to the contribution of our assets from BioXcel, our research and development activities were conducted by BioXcel as part of its broader operations, rather than as an independent division or subsidiary. BioXcel also performed various corporate functions relating to our business. Our historical financial information reflects allocations of corporate expenses from BioXcel for these and similar functions. We believe that these allocations are comparable to the expenses we would have incurred had we operated as a separate company, although we may incur higher expenses as a separate company.</w:t>
      </w:r>
    </w:p>
    <w:p>
      <w:pPr>
        <w:spacing w:after="0" w:line="16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BioXcel may experience challenges with the acquisition, development, enhancement or deployment of technology necessary for EvolverAI.</w:t>
      </w:r>
    </w:p>
    <w:p>
      <w:pPr>
        <w:spacing w:after="0" w:line="170"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BioXcel operates in businesses that require sophisticated computer systems and software for data collection, data processing, cloud-based platforms, analytics, statistical projections and forecasting, mobile computing, social media analytics and other applications and technologies. BioXcel seeks to address its technology risks by increasing its reliance on the use of innovations by cross-industry technology leaders and adapt these for their pharmaceutical, specialty-pharma, biotech, biopharmaceutical, diagnostic, medical device and contract research and manufacturing clients. Some of the technologies supporting the industries they serve are changing rapidly and we must continue to adapt to these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changes in a timely and effective manner at an acceptable cost. They also must continue to deliver data to its clients in forms that are easy to use while simultaneously providing clear answers to complex questions. There can be no guarantee that we or BioXcel will be able to develop, acquire or integrate new technologies, that these new technologies will meet our and BioXcel’s needs or achieve our expected goals, or that we will be able to do so as quickly or cost-effectively as our competitors. Significant technological change could render EvolverAI obsolete. BioXcel’s continued success will depend on its ability to adapt to changing technologies, manage and process ever-increasing amounts of data and information and improve the performance, features and reliability of its services in response to changing client and industry demands. BioXcel may experience difficulties that could delay or prevent the successful design, development, testing, and introduction of advanced versions of EvolverAI, limiting our ability to identify new product candidates. New services, or enhancements to existing EvolverAI services, may not adequately meet our requirements. Any of these failures could have a material adverse effect on our operating results and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140"/>
        <w:spacing w:after="0" w:line="320" w:lineRule="auto"/>
        <w:rPr>
          <w:sz w:val="20"/>
          <w:szCs w:val="20"/>
          <w:color w:val="auto"/>
        </w:rPr>
      </w:pPr>
      <w:r>
        <w:rPr>
          <w:rFonts w:ascii="Arial" w:cs="Arial" w:eastAsia="Arial" w:hAnsi="Arial"/>
          <w:sz w:val="15"/>
          <w:szCs w:val="15"/>
          <w:b w:val="1"/>
          <w:bCs w:val="1"/>
          <w:i w:val="1"/>
          <w:iCs w:val="1"/>
          <w:color w:val="auto"/>
        </w:rPr>
        <w:t>We are substantially dependent on third parties for the manufacture of our clinical supplies of our product candidates, and we intend to rely on third parties to produce commercial supplies of any approved product candidate. Therefore, our development of our products could be stopped or delayed, and our commercialization of any future product could be stopped or delayed or made less profitable if third party manufacturers fail to obtain approval of the FDA or comparable regulatory authorities or fail to provide us with drug product in sufficient quantities or at acceptable prices.</w:t>
      </w:r>
    </w:p>
    <w:p>
      <w:pPr>
        <w:spacing w:after="0" w:line="14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manufacture of biotechnology and pharmaceutical products is complex and requires significant expertise, capital investment, process controls and know-how. Common difficulties in biotechnology and pharmaceutical manufacturing may include: sourcing and producing raw materials, transferring technology from chemistry and development activities to production activities, validating initial production designs, scaling manufacturing techniques, improving costs and yields, establishing and maintaining quality controls and stability requirements, eliminating contaminations and operator errors, and maintaining compliance with regulatory requirements. We do not currently have nor do we plan to acquire the infrastructure or capability internally in accordance with cGMP prescribed by the FDA or to produce an adequate supply of compounds to meet future requirements for clinical trials and commercialization of our products. Drug manufacturing facilities are subject to inspection before the FDA will issue an approval to market a new drug product, and all of the manufacturers that we intend to use must adhere to the cGMP regulations prescribed by the FDA.</w:t>
      </w:r>
    </w:p>
    <w:p>
      <w:pPr>
        <w:spacing w:after="0" w:line="169"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expect therefore to rely on third-party manufacturers for clinical supplies of our product candidates that we may develop. These third-party manufacturers will be required to comply with current good manufacturing practices, or GMPs, and other applicable laws and regulations. We will have no control over the ability of these third parties to comply with these requirements, or to maintain adequate quality control, quality assurance and qualified personnel. If the FDA or any other applicable regulatory authorities do not approve the facilities of these third parties for the manufacture of our other product candidates or any products that we may successfully develop, or if it withdraws any such approval, or if our suppliers or contract manufacturers decide they no longer want to supply or manufacture for us, we may need to find alternative manufacturing facilities, in which case we might not be able to identify manufacturers for clinical or commercial supply on acceptable terms, or at all. Any of these factors would significantly impact our ability to develop, obtain regulatory approval for or market our product candidates and adversely affect our business.</w:t>
      </w:r>
    </w:p>
    <w:p>
      <w:pPr>
        <w:spacing w:after="0" w:line="17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We and/or our third-party manufacturers may be adversely affected by developments outside of our control, and these developments may delay or prevent further manufacturing of our products. Adverse developments may include labor disputes, resource constraints, shipment delays, inventory shortages, lot failures, unexpected sources of contamination, lawsuits related to our manufacturing techniques, equipment used during manufacturing, or composition of matter, unstable political environments, acts of terrorism, war, natural disasters, and other natural and man-made disasters. If BioXcel, we or our third-party manufacturers were to encounter any of the above difficulties, or otherwise fail to comply with contractual obligations, our ability to provide any product for clinical trial or commercial purposes would be jeopardized. This may increase the costs associated with completing our clinical trials and commercial production. Further, production disruptions may cause us to terminate ongoing clinical trials and/or commence new clinical trials at additional expense. We may also have to take inventory write-offs and incur other charges and expenses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products that fail to meet specifications or pass safety inspections. If production difficulties cannot be solved with acceptable costs, expenses, and timeframes, we may be forced to abandon our clinical development and commercialization plans, which could have a material adverse effect on our business, prospects, financial condition, and the value of our securities.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or third-party manufacturers on whom we rely, may be unable to successfully scale-up manufacturing of our product candidates in sufficient quality and quantity, which would delay or prevent us from developing our product candidates and commercializing approved products, if any.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order to conduct clinical trials of our product candidates and commercialize any approved product candidates, we, or our manufacturers, will need to manufacture them in large quantities. We, or our manufacturers, may be unable to successfully increase the manufacturing capacity for any of our product candidates in a timely or cost-effective manner, or at all. In addition, quality issues may arise during scale-up activities. If we, or any of our manufacturers,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 If we are unable to obtain or maintain third-party manufacturing for commercial supply of our product candidates, or to do so on commercially reasonable terms, we may not be able to develop and commercialize our product candidates successfully.</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failure to find third party collaborators to assist or share in the costs of product development could materially harm our business, financial condition and results of operations.</w:t>
      </w:r>
    </w:p>
    <w:p>
      <w:pPr>
        <w:spacing w:after="0" w:line="17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strategy for the development and commercialization of our proprietary product candidates may include the formation of collaborative arrangements with third parties. We are a party to several collaboration agreements (Research and Clinical), including agreements with Nektar Therapeutics, Inc., or Nektar, relating to Nektar’s NKTR-214 compound and BXCL 701. Existing and future collaborators have significant discretion in determining the efforts and resources they apply and may not perform their obligations as expected. Potential third party collaborators include biopharmaceutical, pharmaceutical and biotechnology companies, academic institutions and other entities. Third-party collaborators may assist us in:</w:t>
      </w:r>
    </w:p>
    <w:p>
      <w:pPr>
        <w:spacing w:after="0" w:line="189"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funding research, preclinical development, clinical trials and manufacturing;</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seeking and obtaining regulatory approvals;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commercializing any future product candidates.</w:t>
      </w:r>
    </w:p>
    <w:p>
      <w:pPr>
        <w:spacing w:after="0" w:line="21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If we are not able to establish further collaboration agreements, we may be required to undertake product development and commercialization at our own expense. Such an undertaking may limit the number of product candidates that we will be able to develop, significantly increase our capital requirements and place additional strain on our internal resources. Our failure to enter into additional collaborations could materially harm our business, financial condition and results of operations.</w:t>
      </w:r>
    </w:p>
    <w:p>
      <w:pPr>
        <w:spacing w:after="0" w:line="18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addition, our dependence on licensing, collaboration and other agreements with third parties may subject us to a number of risks. These agreements may not be on terms that prove favorable to us and may require us to relinquish certain rights in our product candidates. To the extent we agree to work exclusively with one collaborator in a given area, our opportunities to collaborate with other entities could be curtailed. Lengthy negotiations with potential new collaborators may lead to delays in the research, development or commercialization of product candidates. The decision by our collaborators to pursue alternative technologies or the failure of our collaborators to develop or commercialize successfully any product candidate to which they have obtained rights from us could materially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We rely on third parties to conduct our preclinical and clinical trials. If these third parties do not successfully perform their contractual legal and regulatory duties or meet expected deadlines, we may not be able to obtain regulatory approval for or commercialize our product candidates and our business could be substantially harmed.</w:t>
      </w:r>
    </w:p>
    <w:p>
      <w:pPr>
        <w:spacing w:after="0" w:line="147" w:lineRule="exact"/>
        <w:rPr>
          <w:sz w:val="20"/>
          <w:szCs w:val="20"/>
          <w:color w:val="auto"/>
        </w:rPr>
      </w:pPr>
    </w:p>
    <w:p>
      <w:pPr>
        <w:jc w:val="both"/>
        <w:ind w:right="220" w:firstLine="324"/>
        <w:spacing w:after="0" w:line="288" w:lineRule="auto"/>
        <w:rPr>
          <w:sz w:val="20"/>
          <w:szCs w:val="20"/>
          <w:color w:val="auto"/>
        </w:rPr>
      </w:pPr>
      <w:r>
        <w:rPr>
          <w:rFonts w:ascii="Arial" w:cs="Arial" w:eastAsia="Arial" w:hAnsi="Arial"/>
          <w:sz w:val="16"/>
          <w:szCs w:val="16"/>
          <w:color w:val="auto"/>
        </w:rPr>
        <w:t>We have relied upon and plan to continue to rely upon third-party medical institutions, clinical investigators, contract laboratories and other third party CROs to monitor and manage data for our ongoing preclinical and clinical programs. We rely on these parties for execution of our preclinical and clinical trials, and control only certain aspects of their activities.</w:t>
      </w:r>
    </w:p>
    <w:p>
      <w:pPr>
        <w:ind w:right="60"/>
        <w:spacing w:after="0" w:line="271" w:lineRule="auto"/>
        <w:rPr>
          <w:sz w:val="20"/>
          <w:szCs w:val="20"/>
          <w:color w:val="auto"/>
        </w:rPr>
      </w:pPr>
      <w:r>
        <w:rPr>
          <w:rFonts w:ascii="Arial" w:cs="Arial" w:eastAsia="Arial" w:hAnsi="Arial"/>
          <w:sz w:val="17"/>
          <w:szCs w:val="17"/>
          <w:color w:val="auto"/>
        </w:rPr>
        <w:t>Nevertheless, we are responsible for ensuring that each of our studies is conducted in accordance with the applicable protocol, legal, regulatory and scientific standards, and our reliance on the CROs does not relieve us of our regulatory responsibilities. We and our CROs are required to comply with cGCPs, which are regulations and guidelines enforced by the FDA, the Competent Authorities of the Member States of the European Economic Area, or EEA, and comparable foreign regulatory authorities for all of our products in clinical development.</w:t>
      </w:r>
    </w:p>
    <w:p>
      <w:pPr>
        <w:spacing w:after="0" w:line="17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Regulatory authorities enforce these cGCPs through periodic inspections of trial sponsors, principal investigators and trial sites. If we or any of our CROs fail to comply with applicable cGCPs,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cGCP regulations. In addition, our clinical trials must be conducted with product produced under current good manufacturing practices, or cGMP, regulations. Our failure to comply with these regulations may require us to repeat clinical trials, which would delay the regulatory approval process.</w:t>
      </w:r>
    </w:p>
    <w:p>
      <w:pPr>
        <w:spacing w:after="0" w:line="179"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on-going clinical, nonclinical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w:t>
      </w:r>
    </w:p>
    <w:p>
      <w:pPr>
        <w:spacing w:after="0" w:line="178"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Many of the third parties with whom we contract may also have relationships with other commercial entities, including our competitors, for whom they may also be conducting clinical trials or other drug development activities that could harm our competitive position. If the third parties conducting our GLP preclinical studies or our clinical trials do not perform their contractual duties or obligations, experience work stoppages, do not meet expected deadlines, terminate their agreements with us or need to be replaced, or if the quality or accuracy of the clinical data they obtain is compromised due to their failure to adhere to our clinical trial protocols or to GCPs, or for any other reason, we may need to enter into new arrangements with alternative third parties.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will need to increase the size of our organization and the scope of our outside vendor relationships, and we may experience difficulties in managing growth.</w:t>
      </w:r>
    </w:p>
    <w:p>
      <w:pPr>
        <w:spacing w:after="0" w:line="170" w:lineRule="exact"/>
        <w:rPr>
          <w:sz w:val="20"/>
          <w:szCs w:val="20"/>
          <w:color w:val="auto"/>
        </w:rPr>
      </w:pPr>
    </w:p>
    <w:p>
      <w:pPr>
        <w:ind w:right="320" w:firstLine="324"/>
        <w:spacing w:after="0" w:line="312" w:lineRule="auto"/>
        <w:rPr>
          <w:sz w:val="20"/>
          <w:szCs w:val="20"/>
          <w:color w:val="auto"/>
        </w:rPr>
      </w:pPr>
      <w:r>
        <w:rPr>
          <w:rFonts w:ascii="Arial" w:cs="Arial" w:eastAsia="Arial" w:hAnsi="Arial"/>
          <w:sz w:val="16"/>
          <w:szCs w:val="16"/>
          <w:color w:val="auto"/>
        </w:rPr>
        <w:t>As of September 30, 2019, we employed a total of twenty three full-time employees. In addition, we have access to certain of BioXcel’s employees and resources through the various agreements we have entered into with BioXcel. Our current internal departments include finance, research and development and administration. We have been expanding our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management team to include an operation ramp up of additional technical staff required to achieve our business objectives. We will need to continue to expand our managerial, operational, technical and scientific, financial and other resources in order to manage our operations and clinical trials, establish independent manufacturing, continue our research and development activities, and commercialize our product candidate. Our management and scientific personnel, systems and facilities currently in place may not be adequate to support our future growth.</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need to effectively manage our operations, growth and various projects requires that we:</w:t>
      </w:r>
    </w:p>
    <w:p>
      <w:pPr>
        <w:spacing w:after="0" w:line="225" w:lineRule="exact"/>
        <w:rPr>
          <w:sz w:val="20"/>
          <w:szCs w:val="20"/>
          <w:color w:val="auto"/>
        </w:rPr>
      </w:pPr>
    </w:p>
    <w:p>
      <w:pPr>
        <w:ind w:left="1300" w:right="60" w:hanging="325"/>
        <w:spacing w:after="0" w:line="258"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clinical trials effectively, including our planned clinical trials of BXCL501, BXCL701 and our other product candidates;</w:t>
      </w:r>
    </w:p>
    <w:p>
      <w:pPr>
        <w:spacing w:after="0" w:line="1" w:lineRule="exact"/>
        <w:rPr>
          <w:rFonts w:ascii="Arial" w:cs="Arial" w:eastAsia="Arial" w:hAnsi="Arial"/>
          <w:sz w:val="18"/>
          <w:szCs w:val="18"/>
          <w:color w:val="auto"/>
        </w:rPr>
      </w:pPr>
    </w:p>
    <w:p>
      <w:pPr>
        <w:ind w:left="1300" w:right="50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licensors, contractors and other third parties;</w:t>
      </w:r>
    </w:p>
    <w:p>
      <w:pPr>
        <w:ind w:left="1300" w:right="620" w:hanging="325"/>
        <w:spacing w:after="0" w:line="250"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continue to improve our operational, financial and management controls and reporting systems and procedures; and</w:t>
      </w: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attract and retain sufficient numbers of talented employees.</w:t>
      </w:r>
    </w:p>
    <w:p>
      <w:pPr>
        <w:spacing w:after="0" w:line="21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may utilize the services of third party vendors to perform tasks including pre-clinical and clinical trial management, statistics and analysis, regulatory affairs, medical advisory, market research, formulation development, chemistry, manufacturing and control activities, other drug development functions, legal, auditing, financial advisory, and investor relations. Our growth strategy may also entail expanding our group of contractors or consultants to implement these and other tasks going forward. Because we rely on numerous consultants, to outsource many key functions of our business, we</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 and, accordingly, may not achieve our research, development and commercialization goals.</w:t>
      </w:r>
    </w:p>
    <w:p>
      <w:pPr>
        <w:spacing w:after="0" w:line="18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the loss of one or more of our executive officers or key employees or an inability to attract and retain highly skilled employees could adversely affect our business.</w:t>
      </w:r>
    </w:p>
    <w:p>
      <w:pPr>
        <w:spacing w:after="0" w:line="147"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Vimal Mehta, our Chief Executive Officer, President, Secretary and Director and Frank Yocca, our Chief Scientific Officer. We do not maintain “key person” insurance for any of these executive officers or any of our other key employees. We also rely on our leadership team in the areas of research and development, marketing, services and general and administrative functions. From time to time, there may be changes in our executive management and leadership teams resulting from the hiring or departure of executives or other key employees, which could disrupt our business. The replacement of one or more of our executive officers or other key employees would likely involve significant time and costs and may significantly delay or prevent the achievement of our business objectives.</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To continue to execute our growth strategy, we also must attract and retain highly skilled personnel. We might not be successful in maintaining our unique culture and continuing to attract and retain qualified personnel. We have from time to time in the past experienced, and we expect to continue to experience in the future, difficulty in hiring and retaining highly skilled personnel with appropriate qualifications. The pool of qualified personnel with SaaS, or experience working with the pharma market is limited overall. In addition, many of the companies with which we compete for experienced personnel have greater resources than we have.</w:t>
      </w:r>
    </w:p>
    <w:p>
      <w:pPr>
        <w:spacing w:after="0" w:line="193"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In addition, in making employment decisions, particularly in the internet, biotechnology and high-technology industries, job candidates often consider the value of the stock options or other equity instruments they are to receive in connection with their employment. Volatility in the price of our stock might, therefore, adversely affect our ability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attract or retain highly skilled personnel. Furthermore, the requirement to expense stock options and other equity instruments might discourage us from granting the size or type of stock option or equity awards that job candidates require to join our company. If we fail to attract new personnel or fail to retain and motivate our current personnel, our business and future growth prospects could be severely harmed.</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170"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any regulations applicable to us, to provide accurate information to regulatory authorities,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but it is not always possible to identify and deter employee misconduct, and the precautions we take to detect and prevent this activity may not be effective in controlling unknown or unmanaged risk.</w:t>
      </w:r>
    </w:p>
    <w:p>
      <w:pPr>
        <w:spacing w:after="0" w:line="1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Business interruptions could adversely affect future operations, revenues, and financial conditions, and may increase our costs and expenses.</w:t>
      </w:r>
    </w:p>
    <w:p>
      <w:pPr>
        <w:spacing w:after="0" w:line="17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Our operations, and those of our directors, advisors, contractors, consultants, CROs, and collaborators, could be adversely affected by earthquakes, floods, hurricanes, typhoons, extreme weather conditions, fires, water shortages, power failures, business systems failures, medical epidemics and other natural and man-made disaster or business interruptions. Our phones, electronic devices and computer systems and those of our directors, advisors, contractors, consultants, CROs, and collaborators are vulnerable to damages, theft and accidental loss, negligence, unauthorized access, terrorism, war, electronic and telecommunications failures, and other natural and man-made disasters. Several of our employees conduct business outside of our headquarters and leased or owned facilities. These locations may be subject to additional security and other risk factors due to the limited control of our employees. If such an event as described above were to occur in the future, it may cause interruptions in our operations, delay research and development programs, clinical trials, regulatory activities, manufacturing and quality assurance activities, sales and marketing activities, hiring, training of employees and persons within associated third parties, and other business activities. For example, the loss of clinical trial data from completed or future clinical trials could result in delays in our regulatory approval efforts and significantly increase our costs to recover or reproduce the data.</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Likewise, we will rely on third parties to manufacture BXCL501 and BXCL701 and conduct clinical trials, and similar events as those described in the prior paragraph relating to their business systems, equipment and facilities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 could be delayed or altogether terminated.</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failure to successfully acquire, develop and market additional product candidates or approved drug products could impair our ability to grow.</w:t>
      </w:r>
    </w:p>
    <w:p>
      <w:pPr>
        <w:spacing w:after="0" w:line="170"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part of our growth strategy, we may evaluate, acquire, license, develop and/or market additional product candidates and technologies. These investments will not constitute a significant portion of our business. However, our internal research capabilities are limited, we may be dependent upon pharmaceutical and biotechnology companies, academic scientists and other researchers to sell or license products or technology to us. The success of this strategy depends partly upon our ability to identify, select and acquire promising pharmaceutical product candidates and products. The process of proposing, negotiating and implementing a license or acquisition of a product candidate or</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approved product is lengthy and complex. Other companies, including some with substantially greater financial, marketing and sales resources, may compete with us for the license or acquisition of product candidates and approved products. We have limited resources to identify and execute the acquisition or in-licensing of third party products, businesses and technologies and integrate them into our current infrastructure. Moreover, we may devote resources to potential acquisitions or in-licensing opportunities that are never completed, or we may fail to realize the anticipated benefits of such efforts. We may not be able to acquire the rights to additional product candidates on terms that we find acceptable, or at all.</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23" w:lineRule="exact"/>
        <w:rPr>
          <w:rFonts w:ascii="Arial" w:cs="Arial" w:eastAsia="Arial" w:hAnsi="Arial"/>
          <w:sz w:val="18"/>
          <w:szCs w:val="18"/>
          <w:color w:val="auto"/>
        </w:rPr>
      </w:pPr>
    </w:p>
    <w:p>
      <w:pPr>
        <w:ind w:left="1300" w:right="10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and technical personnel’s time and attention to develop acquired products or technologies;</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9" w:lineRule="exact"/>
        <w:rPr>
          <w:rFonts w:ascii="Arial" w:cs="Arial" w:eastAsia="Arial" w:hAnsi="Arial"/>
          <w:sz w:val="18"/>
          <w:szCs w:val="18"/>
          <w:color w:val="auto"/>
        </w:rPr>
      </w:pPr>
    </w:p>
    <w:p>
      <w:pPr>
        <w:ind w:left="1300" w:right="72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w:t>
      </w:r>
    </w:p>
    <w:p>
      <w:pPr>
        <w:ind w:left="1300" w:right="160" w:hanging="325"/>
        <w:spacing w:after="0" w:line="250"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businesses due to changes in management and ownership; and</w:t>
      </w:r>
    </w:p>
    <w:p>
      <w:pPr>
        <w:ind w:left="1300" w:hanging="325"/>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Any product candidate that we acquire may require additional development efforts prior to commercial sale, including extensive clinical testing and approval by the FDA and applicable foreign regulatory authorities. All product candidates are prone to risks of failure typical of pharmaceutical product development, including the possibility that a product candidate will not be shown to be sufficiently safe and effective for approval by regulatory authorities. In addition, we cannot provide assurance that any products that we develop or approved products that we acquire will be manufactured profitably or achieve market acceptance.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 If our patent position does not adequately protect our product candidates, others could compete against us more directly, which would harm our business, possibly materially.</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commercial success will depend in part on obtaining and maintaining patent protection and trade secret protection of our current and future product candidates, the processes used to manufacture them and the methods for using them, as well as successfully defending these patents against third-party challenges. We are the owner of record of patent applications pending in the United States and in certain foreign jurisdictions. We own Patent Cooperation Treaty, or PCT, patent applications relating to our platform technologies covering methods of use and applications of the platform technologies. To date, no patents have been issued to us specifically covering our product candidates, and we cannot be certain that any patents will issue with claims that cover our product candidates. Our ability to stop third parties from making, using, selling, offering to sell or importing our product candidates is dependent upon the extent to which we have rights under valid and enforceable patents or trade secrets that cover these activities.</w:t>
      </w:r>
    </w:p>
    <w:p>
      <w:pPr>
        <w:spacing w:after="0" w:line="182"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patent positions of biotechnology and pharmaceutical companies can be highly uncertain and involve complex legal and factual questions for which important legal principles remain unresolved. No consistent policy regarding the breadth of claims allowed in pharmaceutical patents has emerged to date in the United States or in foreign jurisdictions outside of the United States. Changes in either the patent laws or interpretations of patent laws in the United States and other countries may diminish the value of our intellectual property. Accordingly, we cannot predict the breadth of claims that may be enforced in the patents that may be issued from the applications we currently or may in the future own or license from third parties. Further, if any patents we obtain or license are deemed invalid and unenforceable, our ability to commercialize or license our technology could be adversely affected.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Others have filed, and in the future are likely to file, patent applications covering products and technologies that are similar, identical or competitive to ours or important to our business. We cannot be certain that any patent application owned by a third party will not have priority over patent applications filed or in-licensed by us, or that we or our licensors will not be involved in interference, opposition, reexamination, review, reissue, post grant review or invalidity proceedings before U.S. or non-U.S. patent offices.</w:t>
      </w:r>
    </w:p>
    <w:p>
      <w:pPr>
        <w:spacing w:after="0" w:line="188"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24" w:lineRule="exact"/>
        <w:rPr>
          <w:sz w:val="20"/>
          <w:szCs w:val="20"/>
          <w:color w:val="auto"/>
        </w:rPr>
      </w:pPr>
    </w:p>
    <w:p>
      <w:pPr>
        <w:ind w:left="1300" w:right="120" w:hanging="325"/>
        <w:spacing w:after="0" w:line="258"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our patents;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our pending patent applications;</w:t>
      </w:r>
    </w:p>
    <w:p>
      <w:pPr>
        <w:spacing w:after="0" w:line="20" w:lineRule="exact"/>
        <w:rPr>
          <w:rFonts w:ascii="Arial" w:cs="Arial" w:eastAsia="Arial" w:hAnsi="Arial"/>
          <w:sz w:val="17"/>
          <w:szCs w:val="17"/>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9" w:lineRule="exact"/>
        <w:rPr>
          <w:rFonts w:ascii="Arial" w:cs="Arial" w:eastAsia="Arial" w:hAnsi="Arial"/>
          <w:sz w:val="18"/>
          <w:szCs w:val="18"/>
          <w:color w:val="auto"/>
        </w:rPr>
      </w:pPr>
    </w:p>
    <w:p>
      <w:pPr>
        <w:ind w:left="1300" w:right="16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products or product candidates;</w:t>
      </w: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patents that we obtain may not provide us with any competitive advantages;</w:t>
      </w:r>
    </w:p>
    <w:p>
      <w:pPr>
        <w:spacing w:after="0" w:line="9" w:lineRule="exact"/>
        <w:rPr>
          <w:rFonts w:ascii="Arial" w:cs="Arial" w:eastAsia="Arial" w:hAnsi="Arial"/>
          <w:sz w:val="18"/>
          <w:szCs w:val="18"/>
          <w:color w:val="auto"/>
        </w:rPr>
      </w:pPr>
    </w:p>
    <w:p>
      <w:pPr>
        <w:ind w:left="1300" w:right="280" w:hanging="325"/>
        <w:spacing w:after="0" w:line="250"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granted patents may be held invalid or unenforceable as a result of legal challenges by third parties; and</w:t>
      </w: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may license intellectual property rights from third parties or otherwise experience disruptions to our business relationships with our licensors, we could lose rights that are important to our business.</w:t>
      </w:r>
    </w:p>
    <w:p>
      <w:pPr>
        <w:spacing w:after="0" w:line="181" w:lineRule="exact"/>
        <w:rPr>
          <w:sz w:val="20"/>
          <w:szCs w:val="20"/>
          <w:color w:val="auto"/>
        </w:rPr>
      </w:pPr>
    </w:p>
    <w:p>
      <w:pPr>
        <w:ind w:right="140" w:firstLine="324"/>
        <w:spacing w:after="0" w:line="290" w:lineRule="auto"/>
        <w:rPr>
          <w:sz w:val="20"/>
          <w:szCs w:val="20"/>
          <w:color w:val="auto"/>
        </w:rPr>
      </w:pPr>
      <w:r>
        <w:rPr>
          <w:rFonts w:ascii="Arial" w:cs="Arial" w:eastAsia="Arial" w:hAnsi="Arial"/>
          <w:sz w:val="16"/>
          <w:szCs w:val="16"/>
          <w:color w:val="auto"/>
        </w:rPr>
        <w:t>We may be required to enter into intellectual property license agreements that are important to our business. These license agreements may impose various diligence, milestone payment, royalty and other obligations on us. For example, we may enter into exclusive license agreements with various universities and research institutions, we may be required to use commercially reasonable efforts to engage in various development and commercialization activities with respect to licensed products, and may need to satisfy specified milestone and royalty payment obligations. If we fail to comply with any obligations under our agreements with any of these licensors, we may be subject to termination of the license agreement in whole or in part; increased financial obligations to our licensors or loss of exclusivity in a particular field or territory, in which case our ability to develop or commercialize products covered by the license agreement will be impaired.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disputes may arise regarding intellectual property subject to a license agreement, including:</w:t>
      </w:r>
    </w:p>
    <w:p>
      <w:pPr>
        <w:spacing w:after="0" w:line="225" w:lineRule="exact"/>
        <w:rPr>
          <w:sz w:val="20"/>
          <w:szCs w:val="20"/>
          <w:color w:val="auto"/>
        </w:rPr>
      </w:pPr>
    </w:p>
    <w:p>
      <w:pPr>
        <w:ind w:left="1300" w:hanging="325"/>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3"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ind w:left="1300" w:hanging="325"/>
        <w:spacing w:after="0"/>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obligations;</w:t>
      </w:r>
    </w:p>
    <w:p>
      <w:pPr>
        <w:spacing w:after="0" w:line="20" w:lineRule="exact"/>
        <w:rPr>
          <w:rFonts w:ascii="Arial" w:cs="Arial" w:eastAsia="Arial" w:hAnsi="Arial"/>
          <w:sz w:val="17"/>
          <w:szCs w:val="17"/>
          <w:color w:val="auto"/>
        </w:rPr>
      </w:pPr>
    </w:p>
    <w:p>
      <w:pPr>
        <w:ind w:left="1300" w:right="140" w:hanging="325"/>
        <w:spacing w:after="0" w:line="250"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third-party expresses interest in an area under a license that we are not pursuing, under the terms of certain of our license agreements, we may be required to sublicense rights in that area to a third party, and that sublicense could harm our business; and</w:t>
      </w:r>
    </w:p>
    <w:p>
      <w:pPr>
        <w:spacing w:after="0" w:line="1" w:lineRule="exact"/>
        <w:rPr>
          <w:rFonts w:ascii="Arial" w:cs="Arial" w:eastAsia="Arial" w:hAnsi="Arial"/>
          <w:sz w:val="18"/>
          <w:szCs w:val="18"/>
          <w:color w:val="auto"/>
        </w:rPr>
      </w:pPr>
    </w:p>
    <w:p>
      <w:pPr>
        <w:ind w:left="1300" w:right="120" w:hanging="325"/>
        <w:spacing w:after="0" w:line="261"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18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other intellectual property rights.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If we choose to commence a proceeding or litigation to prevent another party from infringing our patents, that party will have the right to ask the examiner or court to rule that our patents are invalid or should not be enforced against them. There is a risk that the examiner or court will decide that our patents are not valid and that we do not have the right to stop the other party from using the related inventions. There is also the risk that, even if the validity of our patents is upheld, the examiner or court will refuse to stop the other party on the ground that such other party’s activities do not infringe our rights to such patents. In addition, the U.S. Supreme Court has recently modified some tests used by the U.S. Patent and Trademark Office, or USPTO, in granting patents over the past 20 years, which may decrease the likelihood that we will be able to obtain patents and increase the likelihood of challenge to any patents we obtain or license. Any proceedings or litigation to enforce our intellectual property rights or defend ourselves against claims of infringement of third-party intellectual property rights could be costly and divert the attention of managerial and scientific personnel, regardless of whether such litigation is ultimately resolved in our favor. We may not have sufficient resources to bring these actions to a successful conclusion.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72"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24"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Our success will depend in part on our ability to operate without infringing the proprietary rights of third parties. We cannot guarantee that our products, or manufacture or use of our product candidates, will not infringe third-party patents. 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scientific personnel. Some of these third parties may be better capitalized and have more resources than us. There is a risk that a court would decide that we are infringing the third party’s patents and would order us to stop the activities covered by the patents. In that event, we may not have a viable way around the patent and may need to halt commercialization of the relevant product candidate. In addition, there is a risk that a court will order us to pay the other party damages for having violated the other party’s patents. In addition, we may be obligated to indemnify our licensors and collaborators against certain intellectual property infringement claims brought by third parties, which could require us to expend additional resources. 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w:t>
      </w:r>
    </w:p>
    <w:p>
      <w:pPr>
        <w:spacing w:after="0" w:line="172"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substantial monetary damages, encounter significant delays in bringing our product candidates to market and be precluded from manufacturing or selling our product candidates.</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cannot be certain that others have not filed patent applications for technology covered by our pending applications, or that we were the first to invent the technology, because:</w:t>
      </w:r>
    </w:p>
    <w:p>
      <w:pPr>
        <w:spacing w:after="0" w:line="170" w:lineRule="exact"/>
        <w:rPr>
          <w:sz w:val="20"/>
          <w:szCs w:val="20"/>
          <w:color w:val="auto"/>
        </w:rPr>
      </w:pPr>
    </w:p>
    <w:p>
      <w:pPr>
        <w:ind w:left="1300" w:hanging="325"/>
        <w:spacing w:after="0"/>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some patent applications in the United States may be maintained in secrecy until the patents are issued;</w:t>
      </w:r>
    </w:p>
    <w:p>
      <w:pPr>
        <w:spacing w:after="0" w:line="46" w:lineRule="exact"/>
        <w:rPr>
          <w:rFonts w:ascii="Arial" w:cs="Arial" w:eastAsia="Arial" w:hAnsi="Arial"/>
          <w:sz w:val="16"/>
          <w:szCs w:val="16"/>
          <w:color w:val="auto"/>
        </w:rPr>
      </w:pPr>
    </w:p>
    <w:p>
      <w:pPr>
        <w:ind w:left="1300" w:right="200" w:hanging="325"/>
        <w:spacing w:after="0" w:line="250"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patent applications in the United States are typically not published until 18 months after the priority date; and</w:t>
      </w:r>
    </w:p>
    <w:p>
      <w:pPr>
        <w:ind w:left="1300" w:hanging="325"/>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publications in the scientific literature often lag behind actual discoveries.</w:t>
      </w:r>
    </w:p>
    <w:p>
      <w:pPr>
        <w:spacing w:after="0" w:line="211"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US patent applications on inventions similar to ours that claims priority to any applications filed prior to the priority dates of our applications,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inventions prior to our own inventions, resulting in a loss of our U.S. patent position with respect to such inventions. Other countries have similar laws that permit secrecy of patent applications, and may be entitled to priority over our applications in such jurisdictions.</w:t>
      </w:r>
    </w:p>
    <w:p>
      <w:pPr>
        <w:spacing w:after="0" w:line="167"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are not able to adequately prevent disclosure of trade secrets and other proprietary information, the value of our technology and products could be significantly diminished.</w:t>
      </w:r>
    </w:p>
    <w:p>
      <w:pPr>
        <w:spacing w:after="0" w:line="170" w:lineRule="exact"/>
        <w:rPr>
          <w:sz w:val="20"/>
          <w:szCs w:val="20"/>
          <w:color w:val="auto"/>
        </w:rPr>
      </w:pPr>
    </w:p>
    <w:p>
      <w:pPr>
        <w:ind w:right="240" w:firstLine="324"/>
        <w:spacing w:after="0" w:line="286" w:lineRule="auto"/>
        <w:rPr>
          <w:sz w:val="20"/>
          <w:szCs w:val="20"/>
          <w:color w:val="auto"/>
        </w:rPr>
      </w:pPr>
      <w:r>
        <w:rPr>
          <w:rFonts w:ascii="Arial" w:cs="Arial" w:eastAsia="Arial" w:hAnsi="Arial"/>
          <w:sz w:val="16"/>
          <w:szCs w:val="16"/>
          <w:color w:val="auto"/>
        </w:rPr>
        <w:t>We also rely on trade secrets to protect our proprietary technologies,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Furthermore, any license agreements we enter into in the future may require us to notify, and in some cases license back to the licensor, certain additional proprietary information or intellectual property that we developed using the rights licensed to us under these agreements. Any such licenses back to the licensor could allow our licensors to use that proprietary information or intellectual property in a manner that could harm our business. In addition, others may independently discover our trade secrets and proprietary information. For example, the FDA, as part of its transparency initiative,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spacing w:after="0" w:line="16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alleged trade secrets.</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is common in the biotechnology and pharmaceutical industries, we employ individuals who were previously employed at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trade secrets or other proprietary information of their former employers. Litigation may be necessary to defend against these claims. If we fail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defending any such claims, in addition to paying monetary damages, we could lose valuable intellectual property rights or personnel, which could adversely impact our business. Even if we are successful in defending against these claims, litigation could result in substantial costs and be a distraction to management.</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intellectual property may not be sufficient to protect our products from competition, which may negatively affect our business as well as limit our partnership or acquisition appeal.</w:t>
      </w:r>
    </w:p>
    <w:p>
      <w:pPr>
        <w:spacing w:after="0" w:line="170"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may be subject to competition despite the existence of intellectual property we license or own. We can give no assurances that our intellectual property claims will be sufficient to prevent third parties from designing around patents we own or license and developing and commercializing competitive products. The existence of competitive products that avoid our intellectual property could materially adversely affect our operating results and financial condition. Furthermore, limitations, or perceived limitations, in our intellectual property may limit the interest of third parties to partner, collaborate or otherwise transact with us, if third parties perceive a higher than acceptable risk to commercialization of our products or future products.</w:t>
      </w:r>
    </w:p>
    <w:p>
      <w:pPr>
        <w:spacing w:after="0" w:line="189"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Our drug re-innovation approach involves the filing of patent applications covering new methods of use and/or new formulations of previously known, studied and/or marketed drugs. Although the protection afforded by our patent applications may be significant with respect to BXCL501 and BXCL701, when looking at our patents’ ability to block competition, the protection offered by our patents may be, to some extent, more limited than the protection provided by patents claiming the composition of matter of entirely new chemical structures previously unknown. If a competitor were able to successfully design around any method of use and formulation patents we may have in the future, our business and competitive advantage could be significantly affected.</w:t>
      </w:r>
    </w:p>
    <w:p>
      <w:pPr>
        <w:spacing w:after="0" w:line="178"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We may elect to sue a third party, or otherwise make a claim, alleging infringement or other violation of patents, trademarks, trade dress, copyrights, trade secrets, domain names or other intellectual property rights that we either own or license from BioXcel. If we do not prevail in enforcing our intellectual property rights in this type of litigation, we may be subject to:</w:t>
      </w:r>
    </w:p>
    <w:p>
      <w:pPr>
        <w:spacing w:after="0" w:line="187" w:lineRule="exact"/>
        <w:rPr>
          <w:sz w:val="20"/>
          <w:szCs w:val="20"/>
          <w:color w:val="auto"/>
        </w:rPr>
      </w:pPr>
    </w:p>
    <w:p>
      <w:pPr>
        <w:ind w:left="1300" w:hanging="325"/>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paying monetary damages related to the legal expenses of the third party;</w:t>
      </w:r>
    </w:p>
    <w:p>
      <w:pPr>
        <w:spacing w:after="0" w:line="23" w:lineRule="exact"/>
        <w:rPr>
          <w:rFonts w:ascii="Arial" w:cs="Arial" w:eastAsia="Arial" w:hAnsi="Arial"/>
          <w:sz w:val="18"/>
          <w:szCs w:val="18"/>
          <w:color w:val="auto"/>
        </w:rPr>
      </w:pPr>
    </w:p>
    <w:p>
      <w:pPr>
        <w:ind w:left="1300" w:right="360" w:hanging="325"/>
        <w:spacing w:after="0" w:line="281"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facing additional competition that may have a significant adverse effect on our product pricing, market share, business operations, financial condition, and the commercial viability of our products; and</w:t>
      </w:r>
    </w:p>
    <w:p>
      <w:pPr>
        <w:spacing w:after="0" w:line="1" w:lineRule="exact"/>
        <w:rPr>
          <w:rFonts w:ascii="Arial" w:cs="Arial" w:eastAsia="Arial" w:hAnsi="Arial"/>
          <w:sz w:val="16"/>
          <w:szCs w:val="16"/>
          <w:color w:val="auto"/>
        </w:rPr>
      </w:pPr>
    </w:p>
    <w:p>
      <w:pPr>
        <w:ind w:left="1300" w:right="380" w:hanging="325"/>
        <w:spacing w:after="0" w:line="277" w:lineRule="auto"/>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restructuring our company or delaying or terminating select business opportunities, including, but not limited to, research and development, clinical trial, and commercialization activities, due to a potential deterioration of our financial condition or market competitiveness.</w:t>
      </w:r>
    </w:p>
    <w:p>
      <w:pPr>
        <w:spacing w:after="0" w:line="17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third party may also challenge the validity, enforceability or scope of the intellectual property rights that we license or own; and, the result of these challenges may narrow the scope or claims of or invalidate patents that are integral to our product candidates in the future. There can be no assurance that we will be able to successfully defend patents we own in an action against third parties due to the unpredictability of litigation and the high costs associated with intellectual property litigation, amongst other factors.</w:t>
      </w:r>
    </w:p>
    <w:p>
      <w:pPr>
        <w:spacing w:after="0" w:line="18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Intellectual property rights and enforcement may be less extensive in jurisdictions outside of the United States; thus, we may not be able to protect our intellectual property and third parties may be able to market competitive products that may use some or all of our intellectual property.</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Changes to patent law, including the Leahy-Smith America Invests Act, AIA or Leahy-Smith Act, of 2011 and the Patent Reform Act of 2009 and other future article of legislation, may substantially change the regulations and procedures surrounding patent applications, issuance of patents, and prosecution of patents. We can give no assurances that our patents and those of our licensor, BioXcel, can be defended or will protect us against future intellectual property challenges, particularly as they pertain to changes in patent law and future patent law interpretations.</w:t>
      </w:r>
    </w:p>
    <w:p>
      <w:pPr>
        <w:spacing w:after="0" w:line="158"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In addition, enforcing and maintaining our intellectual property protection depends on compliance with various procedural, document submission, fee payment and other requirements imposed by the U.S. Patent and Trademark</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Office, courts and foreign government patent agencies, and our patent protection could be reduced or eliminated for non-compliance with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79" w:firstLine="324"/>
        <w:spacing w:after="0" w:line="259" w:lineRule="auto"/>
        <w:rPr>
          <w:sz w:val="20"/>
          <w:szCs w:val="20"/>
          <w:color w:val="auto"/>
        </w:rPr>
      </w:pPr>
      <w:r>
        <w:rPr>
          <w:rFonts w:ascii="Arial" w:cs="Arial" w:eastAsia="Arial" w:hAnsi="Arial"/>
          <w:sz w:val="18"/>
          <w:szCs w:val="18"/>
          <w:color w:val="auto"/>
        </w:rPr>
        <w:t>You should consider an investment in our common stock to be risky, and you should invest in our common stock only if you can withstand a significant loss and wide fluctuations in the market value of your investment. Some factors that may cause the market price of our common stock to fluctuate, in addition to the other risks mentioned in this "Risk Factors" section, are:</w:t>
      </w:r>
    </w:p>
    <w:p>
      <w:pPr>
        <w:spacing w:after="0" w:line="187"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 of our common stock by our stockholders, executives, and directors;</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volatility and limitations in trading volumes of our shares of common stock;</w:t>
      </w:r>
    </w:p>
    <w:p>
      <w:pPr>
        <w:spacing w:after="0" w:line="9" w:lineRule="exact"/>
        <w:rPr>
          <w:rFonts w:ascii="Arial" w:cs="Arial" w:eastAsia="Arial" w:hAnsi="Arial"/>
          <w:sz w:val="18"/>
          <w:szCs w:val="18"/>
          <w:color w:val="auto"/>
        </w:rPr>
      </w:pPr>
    </w:p>
    <w:p>
      <w:pPr>
        <w:ind w:left="1300" w:right="3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financings to conduct and complete research and development activities including, but not limited to, our clinical trials, and other business activities;</w:t>
      </w:r>
    </w:p>
    <w:p>
      <w:pPr>
        <w:ind w:left="1300" w:right="21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possible delays in the expected recognition of revenue due to lengthy and sometimes unpredictable sales timelines;</w:t>
      </w:r>
    </w:p>
    <w:p>
      <w:pPr>
        <w:ind w:left="1300" w:right="23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and success of introductions of new applications and services by us or our competitors or any other change in the competitive dynamics of our industry, including consolidation among competitors, customers or strategic partners;</w:t>
      </w:r>
    </w:p>
    <w:p>
      <w:pPr>
        <w:spacing w:after="0" w:line="1"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network outages or security breaches;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customer renewal rates and the timing and terms of customer renewals;</w:t>
      </w:r>
    </w:p>
    <w:p>
      <w:pPr>
        <w:spacing w:after="0" w:line="9" w:lineRule="exact"/>
        <w:rPr>
          <w:rFonts w:ascii="Arial" w:cs="Arial" w:eastAsia="Arial" w:hAnsi="Arial"/>
          <w:sz w:val="18"/>
          <w:szCs w:val="18"/>
          <w:color w:val="auto"/>
        </w:rPr>
      </w:pPr>
    </w:p>
    <w:p>
      <w:pPr>
        <w:ind w:left="1300" w:right="65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secure resources and the necessary personnel to conduct clinical trials on our desired schedule;</w:t>
      </w:r>
    </w:p>
    <w:p>
      <w:pPr>
        <w:ind w:left="1300" w:right="7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commencement, enrollment or results of our clinical trials for our product candidates or any future clinical trials we may conduct;</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w:t>
      </w:r>
    </w:p>
    <w:p>
      <w:pPr>
        <w:spacing w:after="0" w:line="9" w:lineRule="exact"/>
        <w:rPr>
          <w:rFonts w:ascii="Arial" w:cs="Arial" w:eastAsia="Arial" w:hAnsi="Arial"/>
          <w:sz w:val="18"/>
          <w:szCs w:val="18"/>
          <w:color w:val="auto"/>
        </w:rPr>
      </w:pPr>
    </w:p>
    <w:p>
      <w:pPr>
        <w:ind w:left="1300" w:right="15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delays or adverse developments or perceived adverse developments with respect to the FDA’s review of our planned preclinical and clinical trials;</w:t>
      </w:r>
    </w:p>
    <w:p>
      <w:pPr>
        <w:ind w:left="1300" w:right="31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 in our submission for studies or product approvals or adverse regulatory decisions, including failure to receive regulatory approval for our product candidates;</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safety concerns related to the use of our product candidates;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failures to meet external expectations or management guidance;</w:t>
      </w:r>
    </w:p>
    <w:p>
      <w:pPr>
        <w:spacing w:after="0" w:line="9" w:lineRule="exact"/>
        <w:rPr>
          <w:rFonts w:ascii="Arial" w:cs="Arial" w:eastAsia="Arial" w:hAnsi="Arial"/>
          <w:sz w:val="18"/>
          <w:szCs w:val="18"/>
          <w:color w:val="auto"/>
        </w:rPr>
      </w:pPr>
    </w:p>
    <w:p>
      <w:pPr>
        <w:ind w:left="1300" w:right="21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our capital structure or dividend policy, future issuances of securities, sales of large blocks of common stock by our stockholders;</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and events surrounding financing efforts, including debt and equity securities;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enter into new markets or develop new products;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reputational issues;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competition from existing technologies and products or new technologies and products that may emerge;</w:t>
      </w:r>
    </w:p>
    <w:p>
      <w:pPr>
        <w:spacing w:after="0" w:line="32" w:lineRule="exact"/>
        <w:rPr>
          <w:rFonts w:ascii="Arial" w:cs="Arial" w:eastAsia="Arial" w:hAnsi="Arial"/>
          <w:sz w:val="16"/>
          <w:szCs w:val="16"/>
          <w:color w:val="auto"/>
        </w:rPr>
      </w:pPr>
    </w:p>
    <w:p>
      <w:pPr>
        <w:ind w:left="1300" w:right="73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acquisitions, partnerships, collaborations, joint ventures, new products, capital commitments, or other events by us or our competitors;</w:t>
      </w:r>
    </w:p>
    <w:p>
      <w:pPr>
        <w:ind w:left="1300" w:right="7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general economic, political and market conditions in or any of the regions in which we conduct our business;</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industry conditions or perceptions;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valuations of similar companies or groups of companies;</w:t>
      </w:r>
    </w:p>
    <w:p>
      <w:pPr>
        <w:spacing w:after="0" w:line="9" w:lineRule="exact"/>
        <w:rPr>
          <w:rFonts w:ascii="Arial" w:cs="Arial" w:eastAsia="Arial" w:hAnsi="Arial"/>
          <w:sz w:val="18"/>
          <w:szCs w:val="18"/>
          <w:color w:val="auto"/>
        </w:rPr>
      </w:pPr>
    </w:p>
    <w:p>
      <w:pPr>
        <w:ind w:left="1300" w:right="59" w:hanging="325"/>
        <w:spacing w:after="0" w:line="250"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analyst research reports, recommendation and changes in recommendations, price targets, and withdrawals of coverage;</w:t>
      </w: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departures and additions of key personnel;</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disputes and litigations related to intellectual properties, proprietary rights, and contractual obligations;</w:t>
      </w:r>
    </w:p>
    <w:p>
      <w:pPr>
        <w:spacing w:after="0" w:line="34" w:lineRule="exact"/>
        <w:rPr>
          <w:rFonts w:ascii="Arial" w:cs="Arial" w:eastAsia="Arial" w:hAnsi="Arial"/>
          <w:sz w:val="17"/>
          <w:szCs w:val="17"/>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applicable laws, rules, regulations, or accounting practices and other dynamics;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events or factors, many of which may be out of our control.</w:t>
      </w:r>
    </w:p>
    <w:p>
      <w:pPr>
        <w:spacing w:after="0" w:line="211" w:lineRule="exact"/>
        <w:rPr>
          <w:sz w:val="20"/>
          <w:szCs w:val="20"/>
          <w:color w:val="auto"/>
        </w:rPr>
      </w:pPr>
    </w:p>
    <w:p>
      <w:pPr>
        <w:jc w:val="both"/>
        <w:ind w:right="220" w:firstLine="324"/>
        <w:spacing w:after="0" w:line="302" w:lineRule="auto"/>
        <w:rPr>
          <w:sz w:val="20"/>
          <w:szCs w:val="20"/>
          <w:color w:val="auto"/>
        </w:rPr>
      </w:pPr>
      <w:r>
        <w:rPr>
          <w:rFonts w:ascii="Arial" w:cs="Arial" w:eastAsia="Arial" w:hAnsi="Arial"/>
          <w:sz w:val="16"/>
          <w:szCs w:val="16"/>
          <w:color w:val="auto"/>
        </w:rPr>
        <w:t>In addition, if the market for stocks in our industry or industries related to our industry, or the stock market in general, experiences a loss of investor confidence, the trading price of our common stock could decline for reasons unrelated to our business, financial condition and results of operations. If any of the foregoing occurs, it could cause our stock price to fall and may expose us to lawsuits that, even if unsuccessful, could be costly to defend and a distraction to management.</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We may acquire other companies or technologies, which could divert our management’s attention, result in dilution to our stockholders and otherwise disrupt our operations and adversely affect our operating results.</w:t>
      </w:r>
    </w:p>
    <w:p>
      <w:pPr>
        <w:spacing w:after="0" w:line="147" w:lineRule="exact"/>
        <w:rPr>
          <w:sz w:val="20"/>
          <w:szCs w:val="20"/>
          <w:color w:val="auto"/>
        </w:rPr>
      </w:pPr>
    </w:p>
    <w:p>
      <w:pPr>
        <w:ind w:right="260" w:firstLine="324"/>
        <w:spacing w:after="0" w:line="302" w:lineRule="auto"/>
        <w:rPr>
          <w:sz w:val="20"/>
          <w:szCs w:val="20"/>
          <w:color w:val="auto"/>
        </w:rPr>
      </w:pPr>
      <w:r>
        <w:rPr>
          <w:rFonts w:ascii="Arial" w:cs="Arial" w:eastAsia="Arial" w:hAnsi="Arial"/>
          <w:sz w:val="16"/>
          <w:szCs w:val="16"/>
          <w:color w:val="auto"/>
        </w:rPr>
        <w:t>We may in the future seek to acquire or invest in businesses, applications and services or technologies that we believe could complement or expand our services,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54"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addition, we do not have any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9" w:lineRule="exact"/>
        <w:rPr>
          <w:rFonts w:ascii="Arial" w:cs="Arial" w:eastAsia="Arial" w:hAnsi="Arial"/>
          <w:sz w:val="18"/>
          <w:szCs w:val="18"/>
          <w:color w:val="auto"/>
        </w:rPr>
      </w:pPr>
    </w:p>
    <w:p>
      <w:pPr>
        <w:ind w:left="1300" w:right="180" w:hanging="325"/>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ind w:left="1300" w:hanging="325"/>
        <w:spacing w:after="0" w:line="281"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difficulty converting the customers of the acquired business onto our platform and contract terms, including disparities in the revenue, licensing, support or professional services model of the acquired company;</w:t>
      </w:r>
    </w:p>
    <w:p>
      <w:pPr>
        <w:spacing w:after="0" w:line="1" w:lineRule="exact"/>
        <w:rPr>
          <w:rFonts w:ascii="Arial" w:cs="Arial" w:eastAsia="Arial" w:hAnsi="Arial"/>
          <w:sz w:val="16"/>
          <w:szCs w:val="16"/>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1300" w:right="40" w:hanging="325"/>
        <w:spacing w:after="0" w:line="250"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customers as a result of the acquisition;</w:t>
      </w: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11"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87"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and economic conditions may negatively impact our business, financial condition and share price.</w:t>
      </w:r>
    </w:p>
    <w:p>
      <w:pPr>
        <w:spacing w:after="0" w:line="237"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Concerns over inflation, energy costs, geopolitical issues, the U.S. mortgage market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share price and could require us to delay or abandon development or commercialization plans.</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may decline.</w:t>
      </w:r>
    </w:p>
    <w:p>
      <w:pPr>
        <w:spacing w:after="0" w:line="170"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trading market for our common stock will rely in part on the research and reports that industry or financial analysts publish about us, our business, our markets and our competitors. We do not control these analysts. If securities analysts do not cover our common stock, the lack of research coverage may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Because certain of our stockholders control a significant number of shares of our common stock, they may have effective control over actions requiring stockholder approval.</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of September 30, 2019, our directors, executive officers and principal stockholders, and their respective affiliates, beneficially owned approximately 55% of our outstanding shares of common stock. As a result, these stockholders, acting together, would have the ability to control the outcome of matters submitted to our stockholders for approval, including the election of directors and any merger, consolidation or sale of all or substantially all of our assets. In addition, these stockholders, acting together, would have the ability to control the management and affairs of our company. Accordingly, this concentration of ownership might harm the market price of our common stock by:</w:t>
      </w:r>
    </w:p>
    <w:p>
      <w:pPr>
        <w:spacing w:after="0" w:line="178"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delaying, deferring or preventing a change in corporate control;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300" w:right="220" w:hanging="325"/>
        <w:spacing w:after="0" w:line="261"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could result in additional dilution of the percentage ownership of our stockholders and could cause our share price to fall.</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We expect that significant additional capital will be needed in the future to continue our planned operations, including increased marketing, hiring new personnel, commercializing our products, and continuing activities as an operating public company.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Such sales may also result in material dilution to our existing stockholders, and new investors could gain rights superior to our existing stockholders.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cash dividends on our shares of common stock so any returns will be limited to the value of our shares.</w:t>
      </w:r>
    </w:p>
    <w:p>
      <w:pPr>
        <w:spacing w:after="0" w:line="17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Any return to stockholders will therefore be limited to the increase, if any, of our share price.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are able to avail ourselves of reduced disclosure requirements applicable to emerging growth companies and smaller reporting companies, which could make our common stock less attractive to investors.</w:t>
      </w:r>
    </w:p>
    <w:p>
      <w:pPr>
        <w:spacing w:after="0" w:line="18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are not electing to delay such adoption of new or revised accounting standards, and as a result, we will comply with new or revised accounting standards on the relevant dates on which adoption of such standards is required for non-emerging growth companies.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revenues of $1.07 billion or more; (ii) the last day of our fiscal year following the fifth anniversary of the date of the completion of our initial public offering; (iii) the date on which we have issued more than $1 billion in nonconvertible debt during the previous three years; or (iv) the date on which we are deemed to be a large accelerated filer under the rules of the Securities and Exchange Commission.</w:t>
      </w:r>
    </w:p>
    <w:p>
      <w:pPr>
        <w:spacing w:after="0" w:line="38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also a smaller reporting company, and we will remain a smaller reporting company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Similar to emerging growth companies, smaller reporting companies are able to provide simplified executive compensation disclosure, are exempt from the auditor attestation requirements of Section 404,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18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We have elected to take advantage of certain of the reduced reporting obligations.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risk of securities class action litigation.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We may be at risk of securities class action litigation. In the past, biotechnology and pharmaceutical companies have experienced significant stock price volatility, particularly when associated with binary events such as clinical trials and product approvals. If we face such litigation, it could result in substantial costs and a diversion of management’s attention and resources, which could harm our business and results in a decline in the market price of our common stock.</w:t>
      </w:r>
    </w:p>
    <w:p>
      <w:pPr>
        <w:spacing w:after="0" w:line="15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certificate of incorporation and our bylaws, and Delaware law may have anti-takeover effects that could discourage, delay or prevent a change in control, which may cause our stock price to decline.</w:t>
      </w:r>
    </w:p>
    <w:p>
      <w:pPr>
        <w:spacing w:after="0" w:line="170" w:lineRule="exact"/>
        <w:rPr>
          <w:sz w:val="20"/>
          <w:szCs w:val="20"/>
          <w:color w:val="auto"/>
        </w:rPr>
      </w:pPr>
    </w:p>
    <w:p>
      <w:pPr>
        <w:ind w:right="340" w:firstLine="324"/>
        <w:spacing w:after="0" w:line="312" w:lineRule="auto"/>
        <w:rPr>
          <w:sz w:val="20"/>
          <w:szCs w:val="20"/>
          <w:color w:val="auto"/>
        </w:rPr>
      </w:pPr>
      <w:r>
        <w:rPr>
          <w:rFonts w:ascii="Arial" w:cs="Arial" w:eastAsia="Arial" w:hAnsi="Arial"/>
          <w:sz w:val="16"/>
          <w:szCs w:val="16"/>
          <w:color w:val="auto"/>
        </w:rPr>
        <w:t>Our amended and restated certificate of incorporation and our amended and restated bylaws and Delaware law could make it more difficult for a third party to acquire us, even if closing such a transaction would be beneficial to our stockholders. We are authorized to issue up to 10,000,000 shares of preferred stock. This preferred stock may be issued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one or more series, the terms of which may be determined at the time of issuance by our board of directors without further action by stockholders. The terms of any series of preferred stock may include voting rights (including the right to vote as a series on particular matters), preferences as to dividend, liquidation, conversion and redemption rights and sinking fund provisions. No preferred stock is currently outstanding. The issuance of any preferred stock could materially adversely affect the rights of the holders of our common stock, and therefore, reduce the value of our common stock and the Notes. In particular, specific rights granted to future holders of preferred stock could be used to restrict our ability to merge with, or sell our assets to, a third party and thereby preserve control by the present management.</w:t>
      </w:r>
    </w:p>
    <w:p>
      <w:pPr>
        <w:spacing w:after="0" w:line="178"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Provisions of our amended and restated certificate of incorporation and our amended and restated bylaws and Delaware law also could have the effect of discouraging potential acquisition proposals or making a tender offer or delaying or preventing a change in control, including changes a stockholder might consider favorable. Such provisions may also prevent or frustrate attempts by our stockholders to replace or remove our management. In particular, the certificate of incorporation and bylaws and Delaware law, as applicable, among other things:</w:t>
      </w:r>
    </w:p>
    <w:p>
      <w:pPr>
        <w:spacing w:after="0" w:line="173"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the board of directors with the ability to alter the bylaws without stockholder approval;</w:t>
      </w:r>
    </w:p>
    <w:p>
      <w:pPr>
        <w:spacing w:after="0" w:line="23"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place limitations on the removal of directors;</w:t>
      </w:r>
    </w:p>
    <w:p>
      <w:pPr>
        <w:spacing w:after="0" w:line="9" w:lineRule="exact"/>
        <w:rPr>
          <w:rFonts w:ascii="Arial" w:cs="Arial" w:eastAsia="Arial" w:hAnsi="Arial"/>
          <w:sz w:val="18"/>
          <w:szCs w:val="18"/>
          <w:color w:val="auto"/>
        </w:rPr>
      </w:pPr>
    </w:p>
    <w:p>
      <w:pPr>
        <w:ind w:left="1300" w:right="520" w:hanging="325"/>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 and</w:t>
      </w:r>
    </w:p>
    <w:p>
      <w:pPr>
        <w:ind w:left="1300" w:right="100" w:hanging="325"/>
        <w:spacing w:after="0" w:line="261"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provide that vacancies on the board of directors may be filled by a majority of directors in office, although less than a quorum.</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our management will be required to devote substantial time to compliance matters.</w:t>
      </w:r>
    </w:p>
    <w:p>
      <w:pPr>
        <w:spacing w:after="0" w:line="170"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As a publicly traded company that is separate from BioXcel, we will incur significant additional legal, accounting and other expenses that we did not incur as a privately held subsidiary of BioXcel. The obligations of being a public company in the United States requires significant expenditures and will place significant demands on our management and other personnel, including costs resulting from public company reporting obligations under the Securities Exchange Act of 1934, as amended, or the Exchange Act, and the rules and regulations regarding corporate governance practices, including those under the Sarbanes-Oxley Act of 2002, or the Sarbanes-Oxley Act, the Dodd-Frank Wall Street Reform and Consumer Protection Act, or the Dodd-Frank Act, and the listing requirements of the stock exchange on which our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JOBS Act, the reporting requirements, rules, and regulations will make some activities more time-consuming and costly, particularly after we are no longer an “emerging growth company.” In addition, we expect these rules and regulations to make it more difficult and more expensive for us to obtain director and officer liability insurance and we may be required to incur substantial costs to maintain the same or similar coverage that we had through BioXcel. Our management and other personnel will need to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If we fail to comply with the rules under the Sarbanes-Oxley Act of 2002 related to accounting controls and procedures in the future, or, if we discover material weaknesses and other deficiencies in our internal control and accounting procedures, our stock price could decline significantly and raising capital could be more difficult.</w:t>
      </w:r>
    </w:p>
    <w:p>
      <w:pPr>
        <w:spacing w:after="0" w:line="147"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Section 404 of the Sarbanes-Oxley Act requires annual management assessments of the effectiveness of our internal control over financial reporting. If we fail to comply with the rules under the Sarbanes-Oxley Act related to disclosure controls and procedures in the future, or, if we discover material weaknesses and other deficiencies in our internal control and accounting procedures, our stock price could decline significantly and raising capital could be more difficult. In connection with the audit of our financial statements for the years ended December 31, 2017 and 2016, our management concluded that we had material weaknesses in its internal controls because we did not have adequately designed internal controls to ensure the timely preparation and review of the accounting for certain complex, non-routine transactions by those with appropriate technical expertise, which was necessary to provide reasonable assurance that our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financial statements and related disclosures would be prepared in accordance with generally accepted accounting principles in the United States of America. In addition, we did not have adequately designed and documented financial close and management review controls to properly detect and prevent certain accounting errors and omitted disclosures in the financial statements and related footnotes. We believe we have remediated this material weakness by establishing proper closing procedures involving account reconciliations, engaging a third party to assist us with analyzing technically complex and non-routine transactions, the creation of a larger finance function with additional personnel, including the recruitment of a controller, assistant controller and administrative support personnel. This investment resulted and may continue to result in increased general and administrative expenses and a diversion of management’s time and attention from revenue-generating activities to compliance activities. If additional material weaknesses or significant deficiencies are discovered or if we otherwise fail to achieve and maintain the adequacy of our internal control, we may not be able to ensure that we can conclude on an ongoing basis that we have effective internal controls over financial reporting in accordance with Section 404 of the Sarbanes-Oxley Act. Moreover, effective internal controls are necessary for us to produce reliable financial reports and are important to helping prevent financial fraud. If we cannot provide reliable financial reports or prevent fraud, our business and operating results could be harmed, investors could lose confidence in our reported financial information, and the trading price of our common stock could drop significantly.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U.S. government recently enacted comprehensive federal income tax legislation that includes significant changes to the taxation of business entities. These changes include, among others, a permanent reduction to the corporate income tax rate. Notwithstanding the reduction in the corporate income tax rate, the overall impact of this tax reform is uncertain, and our business and financial condition could be adversely affected. This Quarterly Report on Form 10-Q does not discuss any such tax legislation or the manner in which it might affect purchasers of our common stock. We urge our stockholders to consult with their legal and tax advisors with respect to any such legislation and the potential tax consequences of investing in our common stock.</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Exhibit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jc w:val="center"/>
              <w:ind w:left="754"/>
              <w:spacing w:after="0"/>
              <w:rPr>
                <w:sz w:val="20"/>
                <w:szCs w:val="20"/>
                <w:color w:val="auto"/>
              </w:rPr>
            </w:pPr>
            <w:r>
              <w:rPr>
                <w:rFonts w:ascii="Arial" w:cs="Arial" w:eastAsia="Arial" w:hAnsi="Arial"/>
                <w:sz w:val="14"/>
                <w:szCs w:val="14"/>
                <w:b w:val="1"/>
                <w:bCs w:val="1"/>
                <w:color w:val="auto"/>
                <w:w w:val="92"/>
              </w:rPr>
              <w:t>Filed/</w:t>
            </w:r>
          </w:p>
        </w:tc>
        <w:tc>
          <w:tcPr>
            <w:tcW w:w="0" w:type="dxa"/>
            <w:vAlign w:val="bottom"/>
          </w:tcPr>
          <w:p>
            <w:pPr>
              <w:spacing w:after="0"/>
              <w:rPr>
                <w:sz w:val="1"/>
                <w:szCs w:val="1"/>
                <w:color w:val="auto"/>
              </w:rPr>
            </w:pPr>
          </w:p>
        </w:tc>
      </w:tr>
      <w:tr>
        <w:trPr>
          <w:trHeight w:val="149"/>
        </w:trPr>
        <w:tc>
          <w:tcPr>
            <w:tcW w:w="9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80" w:type="dxa"/>
            <w:vAlign w:val="bottom"/>
            <w:gridSpan w:val="9"/>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6"/>
              </w:rPr>
              <w:t>File No. Exhibit</w:t>
            </w:r>
          </w:p>
        </w:tc>
        <w:tc>
          <w:tcPr>
            <w:tcW w:w="1500" w:type="dxa"/>
            <w:vAlign w:val="bottom"/>
          </w:tcPr>
          <w:p>
            <w:pPr>
              <w:jc w:val="center"/>
              <w:ind w:left="754"/>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580" w:type="dxa"/>
            <w:vAlign w:val="bottom"/>
            <w:gridSpan w:val="9"/>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500" w:type="dxa"/>
            <w:vAlign w:val="bottom"/>
          </w:tcPr>
          <w:p>
            <w:pPr>
              <w:ind w:left="6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740" w:type="dxa"/>
            <w:vAlign w:val="bottom"/>
            <w:tcBorders>
              <w:top w:val="single" w:sz="8" w:color="auto"/>
            </w:tcBorders>
          </w:tcPr>
          <w:p>
            <w:pPr>
              <w:jc w:val="right"/>
              <w:ind w:right="133"/>
              <w:spacing w:after="0" w:line="170"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4960" w:type="dxa"/>
            <w:vAlign w:val="bottom"/>
            <w:tcBorders>
              <w:top w:val="single" w:sz="8" w:color="auto"/>
            </w:tcBorders>
            <w:gridSpan w:val="11"/>
          </w:tcPr>
          <w:p>
            <w:pPr>
              <w:spacing w:after="0" w:line="170" w:lineRule="exact"/>
              <w:rPr>
                <w:rFonts w:ascii="Arial" w:cs="Arial" w:eastAsia="Arial" w:hAnsi="Arial"/>
                <w:sz w:val="18"/>
                <w:szCs w:val="18"/>
                <w:color w:val="0000EE"/>
              </w:rPr>
            </w:pPr>
            <w:hyperlink r:id="rId83">
              <w:r>
                <w:rPr>
                  <w:rFonts w:ascii="Arial" w:cs="Arial" w:eastAsia="Arial" w:hAnsi="Arial"/>
                  <w:sz w:val="18"/>
                  <w:szCs w:val="18"/>
                  <w:color w:val="0000EE"/>
                </w:rPr>
                <w:t>Amended and Restated Certificate of Incorporation.</w:t>
              </w:r>
            </w:hyperlink>
          </w:p>
        </w:tc>
        <w:tc>
          <w:tcPr>
            <w:tcW w:w="58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640" w:type="dxa"/>
            <w:vAlign w:val="bottom"/>
            <w:tcBorders>
              <w:top w:val="single" w:sz="8" w:color="auto"/>
            </w:tcBorders>
          </w:tcPr>
          <w:p>
            <w:pPr>
              <w:ind w:left="100"/>
              <w:spacing w:after="0" w:line="170" w:lineRule="exact"/>
              <w:rPr>
                <w:sz w:val="20"/>
                <w:szCs w:val="20"/>
                <w:color w:val="auto"/>
              </w:rPr>
            </w:pPr>
            <w:r>
              <w:rPr>
                <w:rFonts w:ascii="Arial" w:cs="Arial" w:eastAsia="Arial" w:hAnsi="Arial"/>
                <w:sz w:val="18"/>
                <w:szCs w:val="18"/>
                <w:color w:val="auto"/>
              </w:rPr>
              <w:t>001-</w:t>
            </w:r>
          </w:p>
        </w:tc>
        <w:tc>
          <w:tcPr>
            <w:tcW w:w="480" w:type="dxa"/>
            <w:vAlign w:val="bottom"/>
            <w:tcBorders>
              <w:top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rPr>
              <w:t>3.1</w:t>
            </w:r>
          </w:p>
        </w:tc>
        <w:tc>
          <w:tcPr>
            <w:tcW w:w="1500" w:type="dxa"/>
            <w:vAlign w:val="bottom"/>
            <w:tcBorders>
              <w:top w:val="single" w:sz="8" w:color="auto"/>
            </w:tcBorders>
          </w:tcPr>
          <w:p>
            <w:pPr>
              <w:ind w:left="40"/>
              <w:spacing w:after="0" w:line="170" w:lineRule="exact"/>
              <w:rPr>
                <w:sz w:val="20"/>
                <w:szCs w:val="20"/>
                <w:color w:val="auto"/>
              </w:rPr>
            </w:pPr>
            <w:r>
              <w:rPr>
                <w:rFonts w:ascii="Arial" w:cs="Arial" w:eastAsia="Arial" w:hAnsi="Arial"/>
                <w:sz w:val="18"/>
                <w:szCs w:val="18"/>
                <w:color w:val="auto"/>
              </w:rPr>
              <w:t>3/13/2018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38410</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right"/>
              <w:ind w:right="133"/>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4960" w:type="dxa"/>
            <w:vAlign w:val="bottom"/>
            <w:gridSpan w:val="11"/>
          </w:tcPr>
          <w:p>
            <w:pPr>
              <w:spacing w:after="0"/>
              <w:rPr>
                <w:rFonts w:ascii="Arial" w:cs="Arial" w:eastAsia="Arial" w:hAnsi="Arial"/>
                <w:sz w:val="18"/>
                <w:szCs w:val="18"/>
                <w:color w:val="0000EE"/>
              </w:rPr>
            </w:pPr>
            <w:hyperlink r:id="rId84">
              <w:r>
                <w:rPr>
                  <w:rFonts w:ascii="Arial" w:cs="Arial" w:eastAsia="Arial" w:hAnsi="Arial"/>
                  <w:sz w:val="18"/>
                  <w:szCs w:val="18"/>
                  <w:color w:val="0000EE"/>
                </w:rPr>
                <w:t>Amended and Restated Bylaws.</w:t>
              </w:r>
            </w:hyperlink>
          </w:p>
        </w:tc>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640" w:type="dxa"/>
            <w:vAlign w:val="bottom"/>
          </w:tcPr>
          <w:p>
            <w:pPr>
              <w:ind w:left="100"/>
              <w:spacing w:after="0"/>
              <w:rPr>
                <w:sz w:val="20"/>
                <w:szCs w:val="20"/>
                <w:color w:val="auto"/>
              </w:rPr>
            </w:pPr>
            <w:r>
              <w:rPr>
                <w:rFonts w:ascii="Arial" w:cs="Arial" w:eastAsia="Arial" w:hAnsi="Arial"/>
                <w:sz w:val="18"/>
                <w:szCs w:val="18"/>
                <w:color w:val="auto"/>
              </w:rPr>
              <w:t>001-</w:t>
            </w:r>
          </w:p>
        </w:tc>
        <w:tc>
          <w:tcPr>
            <w:tcW w:w="48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500" w:type="dxa"/>
            <w:vAlign w:val="bottom"/>
          </w:tcPr>
          <w:p>
            <w:pPr>
              <w:ind w:left="40"/>
              <w:spacing w:after="0"/>
              <w:rPr>
                <w:sz w:val="20"/>
                <w:szCs w:val="20"/>
                <w:color w:val="auto"/>
              </w:rPr>
            </w:pPr>
            <w:r>
              <w:rPr>
                <w:rFonts w:ascii="Arial" w:cs="Arial" w:eastAsia="Arial" w:hAnsi="Arial"/>
                <w:sz w:val="18"/>
                <w:szCs w:val="18"/>
                <w:color w:val="auto"/>
              </w:rPr>
              <w:t>3/13/2018</w:t>
            </w: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980" w:type="dxa"/>
            <w:vAlign w:val="bottom"/>
            <w:tcBorders>
              <w:top w:val="single" w:sz="8" w:color="0000EE"/>
            </w:tcBorders>
          </w:tcPr>
          <w:p>
            <w:pPr>
              <w:spacing w:after="0"/>
              <w:rPr>
                <w:sz w:val="20"/>
                <w:szCs w:val="20"/>
                <w:color w:val="auto"/>
              </w:rPr>
            </w:pPr>
          </w:p>
        </w:tc>
        <w:tc>
          <w:tcPr>
            <w:tcW w:w="920" w:type="dxa"/>
            <w:vAlign w:val="bottom"/>
            <w:tcBorders>
              <w:top w:val="single" w:sz="8" w:color="0000EE"/>
            </w:tcBorders>
          </w:tcPr>
          <w:p>
            <w:pPr>
              <w:spacing w:after="0"/>
              <w:rPr>
                <w:sz w:val="20"/>
                <w:szCs w:val="20"/>
                <w:color w:val="auto"/>
              </w:rPr>
            </w:pPr>
          </w:p>
        </w:tc>
        <w:tc>
          <w:tcPr>
            <w:tcW w:w="1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38410</w:t>
            </w: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right"/>
              <w:ind w:right="133"/>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480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2"/>
              </w:rPr>
              <w:t>Certification of Principal Executive Officer Pursuant to Rules 13a-</w:t>
            </w:r>
          </w:p>
        </w:tc>
        <w:tc>
          <w:tcPr>
            <w:tcW w:w="16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1"/>
          </w:tcPr>
          <w:p>
            <w:pPr>
              <w:spacing w:after="0" w:line="196" w:lineRule="exact"/>
              <w:rPr>
                <w:sz w:val="20"/>
                <w:szCs w:val="20"/>
                <w:color w:val="auto"/>
              </w:rPr>
            </w:pPr>
            <w:r>
              <w:rPr>
                <w:rFonts w:ascii="Arial" w:cs="Arial" w:eastAsia="Arial" w:hAnsi="Arial"/>
                <w:sz w:val="18"/>
                <w:szCs w:val="18"/>
                <w:color w:val="0000EE"/>
                <w:w w:val="92"/>
              </w:rPr>
              <w:t>14(a) and 15d-14(a) under the Securities Exchange Act of 1934, as</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vMerge w:val="restart"/>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tcBorders>
              <w:top w:val="single" w:sz="8" w:color="0000EE"/>
            </w:tcBorders>
            <w:gridSpan w:val="9"/>
            <w:vMerge w:val="restart"/>
          </w:tcPr>
          <w:p>
            <w:pPr>
              <w:spacing w:after="0" w:line="196" w:lineRule="exact"/>
              <w:rPr>
                <w:sz w:val="20"/>
                <w:szCs w:val="20"/>
                <w:color w:val="auto"/>
              </w:rPr>
            </w:pPr>
            <w:r>
              <w:rPr>
                <w:rFonts w:ascii="Arial" w:cs="Arial" w:eastAsia="Arial" w:hAnsi="Arial"/>
                <w:sz w:val="18"/>
                <w:szCs w:val="18"/>
                <w:color w:val="0000EE"/>
                <w:w w:val="95"/>
              </w:rPr>
              <w:t>Adopted Pursuant to Section 302 of the Sarbanes-Oxley Act of</w:t>
            </w:r>
          </w:p>
        </w:tc>
        <w:tc>
          <w:tcPr>
            <w:tcW w:w="160" w:type="dxa"/>
            <w:vAlign w:val="bottom"/>
            <w:gridSpan w:val="2"/>
            <w:vMerge w:val="restart"/>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gridSpan w:val="9"/>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33"/>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47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2"/>
              </w:rPr>
              <w:t>Certification of Principal Financial Officer Pursuant to Rules 13a-</w:t>
            </w:r>
          </w:p>
        </w:tc>
        <w:tc>
          <w:tcPr>
            <w:tcW w:w="20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1"/>
          </w:tcPr>
          <w:p>
            <w:pPr>
              <w:spacing w:after="0" w:line="196" w:lineRule="exact"/>
              <w:rPr>
                <w:sz w:val="20"/>
                <w:szCs w:val="20"/>
                <w:color w:val="auto"/>
              </w:rPr>
            </w:pPr>
            <w:r>
              <w:rPr>
                <w:rFonts w:ascii="Arial" w:cs="Arial" w:eastAsia="Arial" w:hAnsi="Arial"/>
                <w:sz w:val="18"/>
                <w:szCs w:val="18"/>
                <w:color w:val="0000EE"/>
                <w:w w:val="92"/>
              </w:rPr>
              <w:t>14(a) and 15d-14(a) under the Securities Exchange Act of 1934, as</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vMerge w:val="restart"/>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9"/>
        </w:trPr>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0" w:type="dxa"/>
            <w:vAlign w:val="bottom"/>
            <w:tcBorders>
              <w:top w:val="single" w:sz="8" w:color="0000EE"/>
            </w:tcBorders>
            <w:gridSpan w:val="9"/>
            <w:vMerge w:val="restart"/>
          </w:tcPr>
          <w:p>
            <w:pPr>
              <w:spacing w:after="0" w:line="196" w:lineRule="exact"/>
              <w:rPr>
                <w:sz w:val="20"/>
                <w:szCs w:val="20"/>
                <w:color w:val="auto"/>
              </w:rPr>
            </w:pPr>
            <w:r>
              <w:rPr>
                <w:rFonts w:ascii="Arial" w:cs="Arial" w:eastAsia="Arial" w:hAnsi="Arial"/>
                <w:sz w:val="18"/>
                <w:szCs w:val="18"/>
                <w:color w:val="0000EE"/>
                <w:w w:val="95"/>
              </w:rPr>
              <w:t>Adopted Pursuant to Section 302 of the Sarbanes-Oxley Act of</w:t>
            </w:r>
          </w:p>
        </w:tc>
        <w:tc>
          <w:tcPr>
            <w:tcW w:w="160" w:type="dxa"/>
            <w:vAlign w:val="bottom"/>
            <w:gridSpan w:val="2"/>
            <w:vMerge w:val="restart"/>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0" w:type="dxa"/>
            <w:vAlign w:val="bottom"/>
            <w:gridSpan w:val="9"/>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9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right"/>
              <w:ind w:right="133"/>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4"/>
                <w:szCs w:val="24"/>
                <w:color w:val="auto"/>
              </w:rPr>
            </w:pPr>
          </w:p>
        </w:tc>
        <w:tc>
          <w:tcPr>
            <w:tcW w:w="47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Principal Executive Officer Pursuant to 18 U.S.C.</w:t>
            </w:r>
          </w:p>
        </w:tc>
        <w:tc>
          <w:tcPr>
            <w:tcW w:w="2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vMerge w:val="restart"/>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1"/>
          </w:tcPr>
          <w:p>
            <w:pPr>
              <w:spacing w:after="0" w:line="196" w:lineRule="exact"/>
              <w:rPr>
                <w:sz w:val="20"/>
                <w:szCs w:val="20"/>
                <w:color w:val="auto"/>
              </w:rPr>
            </w:pPr>
            <w:r>
              <w:rPr>
                <w:rFonts w:ascii="Arial" w:cs="Arial" w:eastAsia="Arial" w:hAnsi="Arial"/>
                <w:sz w:val="18"/>
                <w:szCs w:val="18"/>
                <w:color w:val="0000EE"/>
              </w:rPr>
              <w:t>Oxley Act of 2002.</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right"/>
              <w:ind w:right="133"/>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4960" w:type="dxa"/>
            <w:vAlign w:val="bottom"/>
            <w:gridSpan w:val="11"/>
          </w:tcPr>
          <w:p>
            <w:pPr>
              <w:spacing w:after="0"/>
              <w:rPr>
                <w:sz w:val="20"/>
                <w:szCs w:val="20"/>
                <w:color w:val="auto"/>
              </w:rPr>
            </w:pPr>
            <w:r>
              <w:rPr>
                <w:rFonts w:ascii="Arial" w:cs="Arial" w:eastAsia="Arial" w:hAnsi="Arial"/>
                <w:sz w:val="18"/>
                <w:szCs w:val="18"/>
                <w:color w:val="0000EE"/>
                <w:w w:val="97"/>
              </w:rPr>
              <w:t>Certification of Principal Financial Officer Pursuant to 18 U.S.C.</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vMerge w:val="restart"/>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80" w:type="dxa"/>
            <w:vAlign w:val="bottom"/>
            <w:gridSpan w:val="6"/>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2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8"/>
              </w:rPr>
              <w:t>Section 1350, as Adopted Pursuant to Section 906 of the Sarbanes-</w:t>
            </w: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60" w:type="dxa"/>
            <w:vAlign w:val="bottom"/>
            <w:gridSpan w:val="11"/>
          </w:tcPr>
          <w:p>
            <w:pPr>
              <w:spacing w:after="0" w:line="196" w:lineRule="exact"/>
              <w:rPr>
                <w:sz w:val="20"/>
                <w:szCs w:val="20"/>
                <w:color w:val="auto"/>
              </w:rPr>
            </w:pPr>
            <w:r>
              <w:rPr>
                <w:rFonts w:ascii="Arial" w:cs="Arial" w:eastAsia="Arial" w:hAnsi="Arial"/>
                <w:sz w:val="18"/>
                <w:szCs w:val="18"/>
                <w:color w:val="0000EE"/>
              </w:rPr>
              <w:t>Oxley Act of 2002.</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358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vMerge w:val="restart"/>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453"/>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101.INS</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101.SCH</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101.CAL</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101.DEF</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101.LAB</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8"/>
        </w:trPr>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101.PRE</w:t>
            </w:r>
          </w:p>
        </w:tc>
        <w:tc>
          <w:tcPr>
            <w:tcW w:w="49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jc w:val="center"/>
              <w:ind w:left="754"/>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68580</wp:posOffset>
            </wp:positionV>
            <wp:extent cx="13893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00" w:hanging="297"/>
        <w:spacing w:after="0"/>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97"/>
        <w:spacing w:after="0"/>
        <w:tabs>
          <w:tab w:leader="none" w:pos="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BioXcel Therapeutics, Inc.</w:t>
            </w:r>
          </w:p>
        </w:tc>
      </w:tr>
      <w:tr>
        <w:trPr>
          <w:trHeight w:val="418"/>
        </w:trPr>
        <w:tc>
          <w:tcPr>
            <w:tcW w:w="3200" w:type="dxa"/>
            <w:vAlign w:val="bottom"/>
          </w:tcPr>
          <w:p>
            <w:pPr>
              <w:spacing w:after="0"/>
              <w:rPr>
                <w:sz w:val="20"/>
                <w:szCs w:val="20"/>
                <w:color w:val="auto"/>
              </w:rPr>
            </w:pPr>
            <w:r>
              <w:rPr>
                <w:rFonts w:ascii="Arial" w:cs="Arial" w:eastAsia="Arial" w:hAnsi="Arial"/>
                <w:sz w:val="18"/>
                <w:szCs w:val="18"/>
                <w:color w:val="auto"/>
              </w:rPr>
              <w:t>Dated: November 14, 2019</w:t>
            </w:r>
          </w:p>
        </w:tc>
        <w:tc>
          <w:tcPr>
            <w:tcW w:w="13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Vimal Mehta</w:t>
            </w:r>
          </w:p>
        </w:tc>
      </w:tr>
      <w:tr>
        <w:trPr>
          <w:trHeight w:val="195"/>
        </w:trPr>
        <w:tc>
          <w:tcPr>
            <w:tcW w:w="3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Vimal Mehta</w:t>
            </w:r>
          </w:p>
        </w:tc>
      </w:tr>
      <w:tr>
        <w:trPr>
          <w:trHeight w:val="216"/>
        </w:trPr>
        <w:tc>
          <w:tcPr>
            <w:tcW w:w="3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634"/>
        </w:trPr>
        <w:tc>
          <w:tcPr>
            <w:tcW w:w="3200" w:type="dxa"/>
            <w:vAlign w:val="bottom"/>
          </w:tcPr>
          <w:p>
            <w:pPr>
              <w:spacing w:after="0"/>
              <w:rPr>
                <w:sz w:val="20"/>
                <w:szCs w:val="20"/>
                <w:color w:val="auto"/>
              </w:rPr>
            </w:pPr>
            <w:r>
              <w:rPr>
                <w:rFonts w:ascii="Arial" w:cs="Arial" w:eastAsia="Arial" w:hAnsi="Arial"/>
                <w:sz w:val="18"/>
                <w:szCs w:val="18"/>
                <w:color w:val="auto"/>
              </w:rPr>
              <w:t>Dated: November 14, 2019</w:t>
            </w:r>
          </w:p>
        </w:tc>
        <w:tc>
          <w:tcPr>
            <w:tcW w:w="13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By:</w:t>
            </w:r>
          </w:p>
        </w:tc>
      </w:tr>
      <w:tr>
        <w:trPr>
          <w:trHeight w:val="230"/>
        </w:trPr>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Steinhart</w:t>
            </w:r>
          </w:p>
        </w:tc>
      </w:tr>
      <w:tr>
        <w:trPr>
          <w:trHeight w:val="195"/>
        </w:trPr>
        <w:tc>
          <w:tcPr>
            <w:tcW w:w="3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Richard Steinhart, Chief Financial Officer</w:t>
            </w:r>
          </w:p>
        </w:tc>
      </w:tr>
      <w:tr>
        <w:trPr>
          <w:trHeight w:val="230"/>
        </w:trPr>
        <w:tc>
          <w:tcPr>
            <w:tcW w:w="3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864"/>
        </w:trPr>
        <w:tc>
          <w:tcPr>
            <w:tcW w:w="3200" w:type="dxa"/>
            <w:vAlign w:val="bottom"/>
          </w:tcPr>
          <w:p>
            <w:pPr>
              <w:spacing w:after="0"/>
              <w:rPr>
                <w:sz w:val="24"/>
                <w:szCs w:val="24"/>
                <w:color w:val="auto"/>
              </w:rPr>
            </w:pPr>
          </w:p>
        </w:tc>
        <w:tc>
          <w:tcPr>
            <w:tcW w:w="5860" w:type="dxa"/>
            <w:vAlign w:val="bottom"/>
            <w:gridSpan w:val="2"/>
          </w:tcPr>
          <w:p>
            <w:pPr>
              <w:jc w:val="right"/>
              <w:ind w:right="4350"/>
              <w:spacing w:after="0"/>
              <w:rPr>
                <w:sz w:val="20"/>
                <w:szCs w:val="20"/>
                <w:color w:val="auto"/>
              </w:rPr>
            </w:pPr>
            <w:r>
              <w:rPr>
                <w:rFonts w:ascii="Arial" w:cs="Arial" w:eastAsia="Arial" w:hAnsi="Arial"/>
                <w:sz w:val="18"/>
                <w:szCs w:val="18"/>
                <w:color w:val="auto"/>
              </w:rPr>
              <w:t>72</w:t>
            </w:r>
          </w:p>
        </w:tc>
      </w:tr>
      <w:tr>
        <w:trPr>
          <w:trHeight w:val="561"/>
        </w:trPr>
        <w:tc>
          <w:tcPr>
            <w:tcW w:w="3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72" w:name="page73"/>
    <w:bookmarkEnd w:id="72"/>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Vimal Mehta, Ph.D., certify that:</w:t>
      </w:r>
    </w:p>
    <w:p>
      <w:pPr>
        <w:spacing w:after="0" w:line="374" w:lineRule="exact"/>
        <w:rPr>
          <w:sz w:val="20"/>
          <w:szCs w:val="20"/>
          <w:color w:val="auto"/>
        </w:rPr>
      </w:pPr>
    </w:p>
    <w:p>
      <w:pPr>
        <w:ind w:left="480" w:right="219" w:hanging="329"/>
        <w:spacing w:after="0" w:line="27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83" w:lineRule="exact"/>
        <w:rPr>
          <w:rFonts w:ascii="Arial" w:cs="Arial" w:eastAsia="Arial" w:hAnsi="Arial"/>
          <w:sz w:val="16"/>
          <w:szCs w:val="16"/>
          <w:color w:val="auto"/>
        </w:rPr>
      </w:pPr>
    </w:p>
    <w:p>
      <w:pPr>
        <w:ind w:left="960" w:right="159" w:hanging="323"/>
        <w:spacing w:after="0" w:line="259" w:lineRule="auto"/>
        <w:tabs>
          <w:tab w:leader="none" w:pos="16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600" w:hanging="963"/>
        <w:spacing w:after="0"/>
        <w:tabs>
          <w:tab w:leader="none" w:pos="16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84" w:lineRule="exact"/>
        <w:rPr>
          <w:rFonts w:ascii="Arial" w:cs="Arial" w:eastAsia="Arial" w:hAnsi="Arial"/>
          <w:sz w:val="18"/>
          <w:szCs w:val="18"/>
          <w:color w:val="auto"/>
        </w:rPr>
      </w:pPr>
    </w:p>
    <w:p>
      <w:pPr>
        <w:ind w:left="960" w:right="259" w:hanging="323"/>
        <w:spacing w:after="0" w:line="264" w:lineRule="auto"/>
        <w:tabs>
          <w:tab w:leader="none" w:pos="16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960" w:right="299" w:hanging="323"/>
        <w:spacing w:after="0" w:line="259" w:lineRule="auto"/>
        <w:tabs>
          <w:tab w:leader="none" w:pos="16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960" w:right="419" w:hanging="323"/>
        <w:spacing w:after="0" w:line="264" w:lineRule="auto"/>
        <w:tabs>
          <w:tab w:leader="none" w:pos="16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960" w:right="639" w:hanging="323"/>
        <w:spacing w:after="0" w:line="277" w:lineRule="auto"/>
        <w:tabs>
          <w:tab w:leader="none" w:pos="160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Date: November 14, 2019</w:t>
            </w:r>
          </w:p>
        </w:tc>
        <w:tc>
          <w:tcPr>
            <w:tcW w:w="5580" w:type="dxa"/>
            <w:vAlign w:val="bottom"/>
            <w:gridSpan w:val="2"/>
          </w:tcPr>
          <w:p>
            <w:pPr>
              <w:ind w:left="124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736"/>
        </w:trPr>
        <w:tc>
          <w:tcPr>
            <w:tcW w:w="3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88900</wp:posOffset>
            </wp:positionV>
            <wp:extent cx="554863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5548630" cy="254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Richard Steinhart, certify that:</w:t>
      </w:r>
    </w:p>
    <w:p>
      <w:pPr>
        <w:spacing w:after="0" w:line="374" w:lineRule="exact"/>
        <w:rPr>
          <w:sz w:val="20"/>
          <w:szCs w:val="20"/>
          <w:color w:val="auto"/>
        </w:rPr>
      </w:pPr>
    </w:p>
    <w:p>
      <w:pPr>
        <w:ind w:left="480" w:right="219" w:hanging="329"/>
        <w:spacing w:after="0" w:line="277"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2019 of BioXcel Therapeutics, Inc.;</w:t>
      </w:r>
    </w:p>
    <w:p>
      <w:pPr>
        <w:spacing w:after="0" w:line="170" w:lineRule="exact"/>
        <w:rPr>
          <w:rFonts w:ascii="Arial" w:cs="Arial" w:eastAsia="Arial" w:hAnsi="Arial"/>
          <w:sz w:val="18"/>
          <w:szCs w:val="18"/>
          <w:color w:val="auto"/>
        </w:rPr>
      </w:pPr>
    </w:p>
    <w:p>
      <w:pPr>
        <w:ind w:left="480" w:right="519" w:hanging="329"/>
        <w:spacing w:after="0" w:line="264"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80" w:right="399" w:hanging="329"/>
        <w:spacing w:after="0" w:line="264"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480" w:right="439" w:hanging="329"/>
        <w:spacing w:after="0" w:line="342" w:lineRule="auto"/>
        <w:tabs>
          <w:tab w:leader="none" w:pos="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Arial" w:cs="Arial" w:eastAsia="Arial" w:hAnsi="Arial"/>
          <w:sz w:val="16"/>
          <w:szCs w:val="16"/>
          <w:color w:val="auto"/>
        </w:rPr>
      </w:pPr>
    </w:p>
    <w:p>
      <w:pPr>
        <w:ind w:left="1120" w:right="219" w:hanging="321"/>
        <w:spacing w:after="0" w:line="259"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1120" w:hanging="321"/>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left="1120" w:right="399" w:hanging="321"/>
        <w:spacing w:after="0" w:line="264"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120" w:right="179" w:hanging="321"/>
        <w:spacing w:after="0" w:line="259"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Arial" w:cs="Arial" w:eastAsia="Arial" w:hAnsi="Arial"/>
          <w:sz w:val="18"/>
          <w:szCs w:val="18"/>
          <w:color w:val="auto"/>
        </w:rPr>
      </w:pPr>
    </w:p>
    <w:p>
      <w:pPr>
        <w:jc w:val="both"/>
        <w:ind w:left="480" w:right="199" w:hanging="329"/>
        <w:spacing w:after="0" w:line="264"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120" w:right="179" w:hanging="321"/>
        <w:spacing w:after="0" w:line="264"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1120" w:right="319" w:hanging="321"/>
        <w:spacing w:after="0" w:line="277" w:lineRule="auto"/>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Date: November 14, 2019</w:t>
            </w:r>
          </w:p>
        </w:tc>
        <w:tc>
          <w:tcPr>
            <w:tcW w:w="5580" w:type="dxa"/>
            <w:vAlign w:val="bottom"/>
            <w:gridSpan w:val="2"/>
          </w:tcPr>
          <w:p>
            <w:pPr>
              <w:ind w:left="124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912"/>
        </w:trPr>
        <w:tc>
          <w:tcPr>
            <w:tcW w:w="3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5" w:name="page76"/>
    <w:bookmarkEnd w:id="75"/>
    <w:p>
      <w:pPr>
        <w:ind w:left="7940"/>
        <w:spacing w:after="0"/>
        <w:rPr>
          <w:sz w:val="20"/>
          <w:szCs w:val="20"/>
          <w:color w:val="auto"/>
        </w:rPr>
      </w:pPr>
      <w:r>
        <w:rPr>
          <w:rFonts w:ascii="Arial" w:cs="Arial" w:eastAsia="Arial" w:hAnsi="Arial"/>
          <w:sz w:val="16"/>
          <w:szCs w:val="16"/>
          <w:b w:val="1"/>
          <w:bCs w:val="1"/>
          <w:color w:val="auto"/>
        </w:rPr>
        <w:t>Exhibit 32.1</w:t>
      </w:r>
    </w:p>
    <w:p>
      <w:pPr>
        <w:spacing w:after="0" w:line="167"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199" w:firstLine="648"/>
        <w:spacing w:after="0" w:line="259" w:lineRule="auto"/>
        <w:rPr>
          <w:sz w:val="20"/>
          <w:szCs w:val="20"/>
          <w:color w:val="auto"/>
        </w:rPr>
      </w:pPr>
      <w:r>
        <w:rPr>
          <w:rFonts w:ascii="Arial" w:cs="Arial" w:eastAsia="Arial" w:hAnsi="Arial"/>
          <w:sz w:val="18"/>
          <w:szCs w:val="18"/>
          <w:color w:val="auto"/>
        </w:rPr>
        <w:t>In connection with the Quarterly Report on Form 10-Q of BioXcel Therapeutics, Inc. (the “Company”) for the quarterly period ended September 30,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960" w:right="219" w:hanging="323"/>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3"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040" w:type="dxa"/>
            <w:vAlign w:val="bottom"/>
          </w:tcPr>
          <w:p>
            <w:pPr>
              <w:ind w:left="20"/>
              <w:spacing w:after="0"/>
              <w:rPr>
                <w:sz w:val="20"/>
                <w:szCs w:val="20"/>
                <w:color w:val="auto"/>
              </w:rPr>
            </w:pPr>
            <w:r>
              <w:rPr>
                <w:rFonts w:ascii="Arial" w:cs="Arial" w:eastAsia="Arial" w:hAnsi="Arial"/>
                <w:sz w:val="18"/>
                <w:szCs w:val="18"/>
                <w:color w:val="auto"/>
              </w:rPr>
              <w:t>Date: November 14, 2019</w:t>
            </w:r>
          </w:p>
        </w:tc>
        <w:tc>
          <w:tcPr>
            <w:tcW w:w="5680" w:type="dxa"/>
            <w:vAlign w:val="bottom"/>
            <w:gridSpan w:val="2"/>
          </w:tcPr>
          <w:p>
            <w:pPr>
              <w:ind w:left="1160"/>
              <w:spacing w:after="0"/>
              <w:rPr>
                <w:sz w:val="20"/>
                <w:szCs w:val="20"/>
                <w:color w:val="auto"/>
              </w:rPr>
            </w:pPr>
            <w:r>
              <w:rPr>
                <w:rFonts w:ascii="Arial" w:cs="Arial" w:eastAsia="Arial" w:hAnsi="Arial"/>
                <w:sz w:val="18"/>
                <w:szCs w:val="18"/>
                <w:color w:val="auto"/>
              </w:rPr>
              <w:t>By:  /s/ Vimal Mehta</w:t>
            </w:r>
          </w:p>
        </w:tc>
        <w:tc>
          <w:tcPr>
            <w:tcW w:w="20" w:type="dxa"/>
            <w:vAlign w:val="bottom"/>
          </w:tcPr>
          <w:p>
            <w:pPr>
              <w:spacing w:after="0"/>
              <w:rPr>
                <w:sz w:val="20"/>
                <w:szCs w:val="20"/>
                <w:color w:val="auto"/>
              </w:rPr>
            </w:pPr>
          </w:p>
        </w:tc>
      </w:tr>
      <w:tr>
        <w:trPr>
          <w:trHeight w:val="195"/>
        </w:trPr>
        <w:tc>
          <w:tcPr>
            <w:tcW w:w="3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Vimal Mehta, Ph.D.</w:t>
            </w:r>
          </w:p>
        </w:tc>
        <w:tc>
          <w:tcPr>
            <w:tcW w:w="2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0" w:type="dxa"/>
            <w:vAlign w:val="bottom"/>
          </w:tcPr>
          <w:p>
            <w:pPr>
              <w:spacing w:after="0"/>
              <w:rPr>
                <w:sz w:val="18"/>
                <w:szCs w:val="18"/>
                <w:color w:val="auto"/>
              </w:rPr>
            </w:pPr>
          </w:p>
        </w:tc>
      </w:tr>
      <w:tr>
        <w:trPr>
          <w:trHeight w:val="230"/>
        </w:trPr>
        <w:tc>
          <w:tcPr>
            <w:tcW w:w="30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 w:type="dxa"/>
            <w:vAlign w:val="bottom"/>
          </w:tcPr>
          <w:p>
            <w:pPr>
              <w:spacing w:after="0"/>
              <w:rPr>
                <w:sz w:val="20"/>
                <w:szCs w:val="20"/>
                <w:color w:val="auto"/>
              </w:rPr>
            </w:pPr>
          </w:p>
        </w:tc>
      </w:tr>
      <w:tr>
        <w:trPr>
          <w:trHeight w:val="736"/>
        </w:trPr>
        <w:tc>
          <w:tcPr>
            <w:tcW w:w="30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8" w:right="1440" w:bottom="1440" w:gutter="0" w:footer="0" w:header="0"/>
        </w:sectPr>
      </w:pPr>
    </w:p>
    <w:bookmarkStart w:id="76" w:name="page77"/>
    <w:bookmarkEnd w:id="76"/>
    <w:p>
      <w:pPr>
        <w:ind w:left="7940"/>
        <w:spacing w:after="0"/>
        <w:rPr>
          <w:sz w:val="20"/>
          <w:szCs w:val="20"/>
          <w:color w:val="auto"/>
        </w:rPr>
      </w:pPr>
      <w:r>
        <w:rPr>
          <w:rFonts w:ascii="Arial" w:cs="Arial" w:eastAsia="Arial" w:hAnsi="Arial"/>
          <w:sz w:val="16"/>
          <w:szCs w:val="16"/>
          <w:b w:val="1"/>
          <w:bCs w:val="1"/>
          <w:color w:val="auto"/>
        </w:rPr>
        <w:t>Exhibit 32.2</w:t>
      </w:r>
    </w:p>
    <w:p>
      <w:pPr>
        <w:spacing w:after="0" w:line="167" w:lineRule="exact"/>
        <w:rPr>
          <w:sz w:val="20"/>
          <w:szCs w:val="20"/>
          <w:color w:val="auto"/>
        </w:rPr>
      </w:pPr>
    </w:p>
    <w:p>
      <w:pPr>
        <w:jc w:val="center"/>
        <w:ind w:left="1600" w:right="19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86" w:lineRule="exact"/>
        <w:rPr>
          <w:sz w:val="20"/>
          <w:szCs w:val="20"/>
          <w:color w:val="auto"/>
        </w:rPr>
      </w:pPr>
    </w:p>
    <w:p>
      <w:pPr>
        <w:ind w:left="160" w:right="199" w:firstLine="648"/>
        <w:spacing w:after="0" w:line="259" w:lineRule="auto"/>
        <w:rPr>
          <w:sz w:val="20"/>
          <w:szCs w:val="20"/>
          <w:color w:val="auto"/>
        </w:rPr>
      </w:pPr>
      <w:r>
        <w:rPr>
          <w:rFonts w:ascii="Arial" w:cs="Arial" w:eastAsia="Arial" w:hAnsi="Arial"/>
          <w:sz w:val="18"/>
          <w:szCs w:val="18"/>
          <w:color w:val="auto"/>
        </w:rPr>
        <w:t>In connection with the Quarterly Report on Form 10-Q of BioXcel Therapeutics, Inc. (the “Company”) for the quarterly period ended September 30, 2019, as filed with the Securities and Exchange Commission on the date hereof (the “Report”), the undersigned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960" w:right="219" w:hanging="323"/>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960" w:right="419" w:hanging="323"/>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Date: November 14, 2019</w:t>
            </w:r>
          </w:p>
        </w:tc>
        <w:tc>
          <w:tcPr>
            <w:tcW w:w="5580" w:type="dxa"/>
            <w:vAlign w:val="bottom"/>
            <w:gridSpan w:val="2"/>
          </w:tcPr>
          <w:p>
            <w:pPr>
              <w:ind w:left="1240"/>
              <w:spacing w:after="0"/>
              <w:rPr>
                <w:sz w:val="20"/>
                <w:szCs w:val="20"/>
                <w:color w:val="auto"/>
              </w:rPr>
            </w:pPr>
            <w:r>
              <w:rPr>
                <w:rFonts w:ascii="Arial" w:cs="Arial" w:eastAsia="Arial" w:hAnsi="Arial"/>
                <w:sz w:val="18"/>
                <w:szCs w:val="18"/>
                <w:color w:val="auto"/>
              </w:rPr>
              <w:t>By: /s/ Richard Steinhart</w:t>
            </w:r>
          </w:p>
        </w:tc>
        <w:tc>
          <w:tcPr>
            <w:tcW w:w="20" w:type="dxa"/>
            <w:vAlign w:val="bottom"/>
          </w:tcPr>
          <w:p>
            <w:pPr>
              <w:spacing w:after="0"/>
              <w:rPr>
                <w:sz w:val="20"/>
                <w:szCs w:val="20"/>
                <w:color w:val="auto"/>
              </w:rPr>
            </w:pPr>
          </w:p>
        </w:tc>
      </w:tr>
      <w:tr>
        <w:trPr>
          <w:trHeight w:val="195"/>
        </w:trPr>
        <w:tc>
          <w:tcPr>
            <w:tcW w:w="3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9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Richard Steinhart</w:t>
            </w:r>
          </w:p>
        </w:tc>
        <w:tc>
          <w:tcPr>
            <w:tcW w:w="20" w:type="dxa"/>
            <w:vAlign w:val="bottom"/>
          </w:tcPr>
          <w:p>
            <w:pPr>
              <w:spacing w:after="0"/>
              <w:rPr>
                <w:sz w:val="16"/>
                <w:szCs w:val="16"/>
                <w:color w:val="auto"/>
              </w:rPr>
            </w:pPr>
          </w:p>
        </w:tc>
      </w:tr>
      <w:tr>
        <w:trPr>
          <w:trHeight w:val="216"/>
        </w:trPr>
        <w:tc>
          <w:tcPr>
            <w:tcW w:w="3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20" w:type="dxa"/>
            <w:vAlign w:val="bottom"/>
          </w:tcPr>
          <w:p>
            <w:pPr>
              <w:spacing w:after="0"/>
              <w:rPr>
                <w:sz w:val="18"/>
                <w:szCs w:val="18"/>
                <w:color w:val="auto"/>
              </w:rPr>
            </w:pPr>
          </w:p>
        </w:tc>
      </w:tr>
      <w:tr>
        <w:trPr>
          <w:trHeight w:val="230"/>
        </w:trPr>
        <w:tc>
          <w:tcPr>
            <w:tcW w:w="3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20" w:type="dxa"/>
            <w:vAlign w:val="bottom"/>
          </w:tcPr>
          <w:p>
            <w:pPr>
              <w:spacing w:after="0"/>
              <w:rPr>
                <w:sz w:val="20"/>
                <w:szCs w:val="20"/>
                <w:color w:val="auto"/>
              </w:rPr>
            </w:pPr>
          </w:p>
        </w:tc>
      </w:tr>
      <w:tr>
        <w:trPr>
          <w:trHeight w:val="736"/>
        </w:trPr>
        <w:tc>
          <w:tcPr>
            <w:tcW w:w="3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lowerRoman"/>
      <w:start w:val="3"/>
    </w:lvl>
  </w:abstractNum>
  <w:abstractNum w:abstractNumId="5">
    <w:nsid w:val="B03E0C6"/>
    <w:multiLevelType w:val="hybridMultilevel"/>
    <w:lvl w:ilvl="0">
      <w:lvlJc w:val="left"/>
      <w:lvlText w:val="(%1)"/>
      <w:numFmt w:val="decimal"/>
      <w:start w:val="4"/>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3" Type="http://schemas.openxmlformats.org/officeDocument/2006/relationships/hyperlink" Target="http://www.sec.gov/Archives/edgar/data/1357874/000119312519094641/d727819dex31.htm" TargetMode="External"/><Relationship Id="rId84" Type="http://schemas.openxmlformats.org/officeDocument/2006/relationships/hyperlink" Target="http://www.sec.gov/Archives/edgar/data/1357874/000119312519094641/d72781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2019-11-28T05:51:05Z</dcterms:created>
  <dcterms:modified xsi:type="dcterms:W3CDTF">2019-11-28T05:51:05Z</dcterms:modified>
</cp:coreProperties>
</file>