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360" w:right="280" w:hanging="3082"/>
        <w:spacing w:after="0" w:line="375" w:lineRule="auto"/>
        <w:tabs>
          <w:tab w:leader="none" w:pos="71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July 22, 2024 was 40,743,762.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2024 and December 31, 2023</w:t>
            </w:r>
          </w:p>
        </w:tc>
        <w:tc>
          <w:tcPr>
            <w:tcW w:w="11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2024</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2024 and 2023</w:t>
            </w:r>
          </w:p>
        </w:tc>
        <w:tc>
          <w:tcPr>
            <w:tcW w:w="1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2024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9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299" w:firstLine="324"/>
        <w:spacing w:after="0" w:line="264"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7" w:lineRule="exact"/>
        <w:rPr>
          <w:sz w:val="20"/>
          <w:szCs w:val="20"/>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2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related reduction in force may not achieve our intended outcome.</w:t>
      </w:r>
    </w:p>
    <w:p>
      <w:pPr>
        <w:spacing w:after="0" w:line="184"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4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p>
      <w:pPr>
        <w:spacing w:after="0" w:line="148" w:lineRule="exact"/>
        <w:rPr>
          <w:rFonts w:ascii="Times New Roman" w:cs="Times New Roman" w:eastAsia="Times New Roman" w:hAnsi="Times New Roman"/>
          <w:sz w:val="18"/>
          <w:szCs w:val="18"/>
          <w:color w:val="auto"/>
        </w:rPr>
      </w:pPr>
    </w:p>
    <w:p>
      <w:pPr>
        <w:ind w:left="720" w:right="179" w:hanging="319"/>
        <w:spacing w:after="0" w:line="21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either alone or with a collaborator, or if we experience significant delays in doing so, our business could be substantially harmed.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difficult to design, difficult to conduct and involve an uncertain outcome.</w:t>
      </w:r>
    </w:p>
    <w:p>
      <w:pPr>
        <w:spacing w:after="0" w:line="198"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35"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spacing w:after="0" w:line="148"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jc w:val="both"/>
        <w:ind w:left="720" w:right="3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product candidates for which we obtain approval.</w:t>
      </w:r>
    </w:p>
    <w:p>
      <w:pPr>
        <w:spacing w:after="0" w:line="38" w:lineRule="exact"/>
        <w:rPr>
          <w:rFonts w:ascii="Times New Roman" w:cs="Times New Roman" w:eastAsia="Times New Roman" w:hAnsi="Times New Roman"/>
          <w:sz w:val="18"/>
          <w:szCs w:val="18"/>
          <w:color w:val="auto"/>
        </w:rPr>
      </w:pPr>
    </w:p>
    <w:p>
      <w:pPr>
        <w:ind w:left="720" w:right="239" w:hanging="319"/>
        <w:spacing w:after="0" w:line="22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products and product candidates may not be accepted by physicians or the medical community in general, and there may be insufficient insurance coverage and reimbursement.</w:t>
      </w:r>
    </w:p>
    <w:p>
      <w:pPr>
        <w:spacing w:after="0" w:line="173"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which may adversely affect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BioXcel LLC has significant influence over the direction of our business, and the concentrated ownership of our common stock will prevent you and other stockholders from influencing significant decisions.</w:t>
      </w:r>
    </w:p>
    <w:p>
      <w:pPr>
        <w:spacing w:after="0" w:line="134" w:lineRule="exact"/>
        <w:rPr>
          <w:rFonts w:ascii="Times New Roman" w:cs="Times New Roman" w:eastAsia="Times New Roman" w:hAnsi="Times New Roman"/>
          <w:sz w:val="18"/>
          <w:szCs w:val="18"/>
          <w:color w:val="auto"/>
        </w:rPr>
      </w:pPr>
    </w:p>
    <w:p>
      <w:pPr>
        <w:jc w:val="both"/>
        <w:ind w:left="720" w:right="699" w:hanging="319"/>
        <w:spacing w:after="0" w:line="22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we intend to rely on third parties to produce commercial supplies of any other approved product candidate.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2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and financial results, or result in the loss or exposure of confidential or sensitive Company information.</w:t>
      </w:r>
    </w:p>
    <w:p>
      <w:pPr>
        <w:spacing w:after="0" w:line="134"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increased scrutiny relating to environmental, social and governance matters.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38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89" w:lineRule="exact"/>
        <w:rPr>
          <w:sz w:val="20"/>
          <w:szCs w:val="20"/>
          <w:color w:val="auto"/>
        </w:rPr>
      </w:pPr>
    </w:p>
    <w:p>
      <w:pPr>
        <w:ind w:left="60" w:right="13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65,435</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related parties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100,598</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130,210</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and 100,000 shares authorized as of</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30, 2024 and December 31, 2023, respectively; 40,383 and 29,930 shares issued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outstanding as of June 30, 2024 and December 31, 2023, respectively</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(625,688)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0"/>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2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w:t>
            </w:r>
          </w:p>
        </w:tc>
        <w:tc>
          <w:tcPr>
            <w:tcW w:w="2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488,292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(411,545)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76,775</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(52,796)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(464,341)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53,005</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6,124</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6,124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(53,515)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20" w:type="dxa"/>
            <w:vAlign w:val="bottom"/>
          </w:tcPr>
          <w:p>
            <w:pPr>
              <w:spacing w:after="0"/>
              <w:rPr>
                <w:sz w:val="17"/>
                <w:szCs w:val="17"/>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(590,598)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5,306</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198"/>
        </w:trPr>
        <w:tc>
          <w:tcPr>
            <w:tcW w:w="4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551,347</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(625,688)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(12,066)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(40,880)</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initial public offering costs in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jc w:val="both"/>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31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jc w:val="both"/>
        <w:ind w:left="60" w:right="23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2024, the results of its operations for the three and six months ended June 30, 2024 and 2023 and its cash flows for the six months ended June 30, 2024 and 2023. The results for the three and six months ended June 30, 2024 are not necessarily indicative of results to be expected for the year ending December 31, 2024, any other interim periods or any future year or period. The accompanying unaudited interim condensed consolidated financial statements of the Company should be read in conjunction with the audited financial statements and notes thereto included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Company’s Annual Report on Form 10-K for the year ended December 31, 2023 filed with the Securities and Exchange Commission on March 22, 2024.</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cash and cash equivalents of $56,271 and an accumulated deficit of $625,688. BTI has incurred substantial net losses and negative cash flows from operating activities in nearly every fiscal period since inception and expects this trend to continue for the foreseeable future. The Company recognized net losses of $8,299 and $53,515 for the three months ended June 30, 2024 and 2023, respectively, and $35,090 and $106,311 for the six months ended June 30, 2024 and 2023, respectively, and had net cash used in operating activities of $40,880 and $90,559 for the six months ended June, 2024 and 2023, respectively.</w:t>
      </w:r>
    </w:p>
    <w:p>
      <w:pPr>
        <w:spacing w:after="0" w:line="147"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84" w:lineRule="auto"/>
        <w:rPr>
          <w:sz w:val="20"/>
          <w:szCs w:val="20"/>
          <w:color w:val="auto"/>
        </w:rPr>
      </w:pPr>
      <w:r>
        <w:rPr>
          <w:rFonts w:ascii="Times New Roman" w:cs="Times New Roman" w:eastAsia="Times New Roman" w:hAnsi="Times New Roman"/>
          <w:sz w:val="17"/>
          <w:szCs w:val="17"/>
          <w:color w:val="auto"/>
        </w:rPr>
        <w:t xml:space="preserve">The Company’s history of significant losses, its negative cash flows from operations, potential near-term, increased covenant-driven payments under its Credit Agreement (as defined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97" w:lineRule="exact"/>
        <w:rPr>
          <w:sz w:val="20"/>
          <w:szCs w:val="20"/>
          <w:color w:val="auto"/>
        </w:rPr>
      </w:pPr>
    </w:p>
    <w:p>
      <w:pPr>
        <w:ind w:left="60" w:right="29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and the additional restructuring actions taken in the second quarter of 2024.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including the additional restructuring actions taken in the second quarter of 2024, will not mitigate the entity’s ability to continue as a going concern within one year after the date that the financial statements are issued.</w:t>
      </w:r>
    </w:p>
    <w:p>
      <w:pPr>
        <w:spacing w:after="0" w:line="1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43" w:lineRule="exact"/>
        <w:rPr>
          <w:sz w:val="20"/>
          <w:szCs w:val="20"/>
          <w:color w:val="auto"/>
        </w:rPr>
      </w:pPr>
    </w:p>
    <w:p>
      <w:pPr>
        <w:ind w:left="60" w:right="299" w:firstLine="324"/>
        <w:spacing w:after="0" w:line="270"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05"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refinance or restructure its existing Credit Agreement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June 30, 2024 and December 31, 2023,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1" w:lineRule="exact"/>
        <w:rPr>
          <w:sz w:val="20"/>
          <w:szCs w:val="20"/>
          <w:color w:val="auto"/>
        </w:rPr>
      </w:pPr>
    </w:p>
    <w:p>
      <w:pPr>
        <w:ind w:left="60" w:right="199" w:firstLine="324"/>
        <w:spacing w:after="0" w:line="243" w:lineRule="auto"/>
        <w:rPr>
          <w:sz w:val="20"/>
          <w:szCs w:val="20"/>
          <w:color w:val="auto"/>
        </w:rPr>
      </w:pPr>
      <w:r>
        <w:rPr>
          <w:rFonts w:ascii="Times New Roman" w:cs="Times New Roman" w:eastAsia="Times New Roman" w:hAnsi="Times New Roman"/>
          <w:sz w:val="18"/>
          <w:szCs w:val="18"/>
          <w:color w:val="auto"/>
        </w:rPr>
        <w:t>Accounts receivable arise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represent amounts due from distributors and group purchasing organizations (“GPOs”). Payment terms generally range from 30 to 90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June 30, 2024, the Company determined that an allowance for credit losses was not required.</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94" w:lineRule="exact"/>
        <w:rPr>
          <w:sz w:val="20"/>
          <w:szCs w:val="20"/>
          <w:color w:val="auto"/>
        </w:rPr>
      </w:pPr>
    </w:p>
    <w:p>
      <w:pPr>
        <w:ind w:left="60" w:right="299" w:firstLine="324"/>
        <w:spacing w:after="0" w:line="237" w:lineRule="auto"/>
        <w:rPr>
          <w:sz w:val="20"/>
          <w:szCs w:val="20"/>
          <w:color w:val="auto"/>
        </w:rPr>
      </w:pPr>
      <w:r>
        <w:rPr>
          <w:rFonts w:ascii="Times New Roman" w:cs="Times New Roman" w:eastAsia="Times New Roman" w:hAnsi="Times New Roman"/>
          <w:sz w:val="18"/>
          <w:szCs w:val="18"/>
          <w:color w:val="auto"/>
        </w:rPr>
        <w:t>The Company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through a drop-ship program under which orders from hospitals and similar health care institutions are processed through wholesalers, but shipments of the product are sent directly to the individual hospitals and similar health care institutions. BTI also contracts directly with certain hospitals, and GPOs. All trade accounts receivables are due from the distributor that fulfills orders on behalf of the Company and other customers. The Company sold $735 to a single customer during the second quarter of 2024, included in the Accounts receivable balance at June 30, 2024.</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of inventory is determined on a first-in, first-out basis.</w:t>
      </w:r>
    </w:p>
    <w:p>
      <w:pPr>
        <w:spacing w:after="0" w:line="12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spacing w:after="0" w:line="139"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are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Initial Public Offering Costs</w:t>
      </w:r>
    </w:p>
    <w:p>
      <w:pPr>
        <w:spacing w:after="0" w:line="189" w:lineRule="exact"/>
        <w:rPr>
          <w:sz w:val="20"/>
          <w:szCs w:val="20"/>
          <w:color w:val="auto"/>
        </w:rPr>
      </w:pPr>
    </w:p>
    <w:p>
      <w:pPr>
        <w:ind w:left="60" w:right="599" w:firstLine="324"/>
        <w:spacing w:after="0" w:line="281" w:lineRule="auto"/>
        <w:rPr>
          <w:sz w:val="20"/>
          <w:szCs w:val="20"/>
          <w:color w:val="auto"/>
        </w:rPr>
      </w:pPr>
      <w:r>
        <w:rPr>
          <w:rFonts w:ascii="Times New Roman" w:cs="Times New Roman" w:eastAsia="Times New Roman" w:hAnsi="Times New Roman"/>
          <w:sz w:val="17"/>
          <w:szCs w:val="17"/>
          <w:color w:val="auto"/>
        </w:rPr>
        <w:t>Deferred initial public offering costs of $2,570 consisted of legal, accounting, and other costs that were directly related to the Company’s proposed initial public offering of OnkosXcel. These costs were charged to the Condensed Consolidated Statements of Operations during the year ended December 31, 2023 as the initial public offering was delayed for an extended period of time. The costs were recorded as Selling, general and administrative expenses.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 shorter of their remaining lease term or their estimated useful life on a straight-line basis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life of improvement or lease term</w:t>
            </w:r>
          </w:p>
        </w:tc>
      </w:tr>
    </w:tbl>
    <w:p>
      <w:pPr>
        <w:spacing w:after="0" w:line="19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Other (income) expense, net in the Condensed Consolidated Statements of Operations.</w:t>
      </w:r>
    </w:p>
    <w:p>
      <w:pPr>
        <w:spacing w:after="0" w:line="13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spacing w:after="0" w:line="13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Debt and Detachable Warrants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then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Liabilities</w:t>
      </w:r>
      <w:r>
        <w:rPr>
          <w:rFonts w:ascii="Times New Roman" w:cs="Times New Roman" w:eastAsia="Times New Roman" w:hAnsi="Times New Roman"/>
          <w:sz w:val="18"/>
          <w:szCs w:val="18"/>
          <w:color w:val="auto"/>
        </w:rPr>
        <w:t>” section of this Note and as a debt discount. The Company accounts for debt as liabilities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spacing w:after="0" w:line="15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89"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recorded as other income or expense within Other (income) expense, net in the Condensed Consolidated Statements of Operations.</w:t>
      </w:r>
    </w:p>
    <w:p>
      <w:pPr>
        <w:spacing w:after="0" w:line="13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for speculative purposes or to hedge exposures to cash flow or market risks. Certain financing facilities entered into by the Company include freestanding financial instruments and/or embedded features that require separate accounting as derivative assets and/or liabilities.</w:t>
      </w:r>
    </w:p>
    <w:p>
      <w:pPr>
        <w:spacing w:after="0" w:line="149"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 registered direct offering completed in March 2024, the Company issued accompanying warrants to purchase 8,620 shares of its common stock that are classified as derivative liabilities, and were measured at fair value upon issuance, with subsequent changes in fair value reported in the Condensed Consolidated Statement of Operations each reporting period.</w:t>
      </w:r>
    </w:p>
    <w:p>
      <w:pPr>
        <w:spacing w:after="0" w:line="13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consist of product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consideration, if any; (iv) 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60"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139" w:firstLine="324"/>
        <w:spacing w:after="0" w:line="226" w:lineRule="auto"/>
        <w:rPr>
          <w:sz w:val="20"/>
          <w:szCs w:val="20"/>
          <w:color w:val="auto"/>
        </w:rPr>
      </w:pPr>
      <w:r>
        <w:rPr>
          <w:rFonts w:ascii="Times New Roman" w:cs="Times New Roman" w:eastAsia="Times New Roman" w:hAnsi="Times New Roman"/>
          <w:sz w:val="18"/>
          <w:szCs w:val="18"/>
          <w:color w:val="auto"/>
        </w:rPr>
        <w:t>BTI distributes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through arrangements with a distributor, wholesalers, and GPOs. The distributor and wholesalers help process and fulfill orders from hospitals on the Company’s behalf. The Company believes the hospitals are its customers.</w:t>
      </w:r>
    </w:p>
    <w:p>
      <w:pPr>
        <w:spacing w:after="0" w:line="174"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w:t>
      </w:r>
    </w:p>
    <w:p>
      <w:pPr>
        <w:spacing w:after="0" w:line="155" w:lineRule="exact"/>
        <w:rPr>
          <w:sz w:val="20"/>
          <w:szCs w:val="20"/>
          <w:color w:val="auto"/>
        </w:rPr>
      </w:pPr>
    </w:p>
    <w:p>
      <w:pPr>
        <w:ind w:left="60" w:right="239" w:firstLine="324"/>
        <w:spacing w:after="0" w:line="237" w:lineRule="auto"/>
        <w:rPr>
          <w:sz w:val="20"/>
          <w:szCs w:val="20"/>
          <w:color w:val="auto"/>
        </w:rPr>
      </w:pPr>
      <w:r>
        <w:rPr>
          <w:rFonts w:ascii="Times New Roman" w:cs="Times New Roman" w:eastAsia="Times New Roman" w:hAnsi="Times New Roman"/>
          <w:sz w:val="18"/>
          <w:szCs w:val="18"/>
          <w:color w:val="auto"/>
        </w:rPr>
        <w:t>BTI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at wholesale acquisition cost less any agreed upon discounts,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Trade Discounts and Allowances</w:t>
      </w:r>
    </w:p>
    <w:p>
      <w:pPr>
        <w:spacing w:after="0" w:line="20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Government Rebates</w:t>
      </w:r>
    </w:p>
    <w:p>
      <w:pPr>
        <w:spacing w:after="0" w:line="181" w:lineRule="exact"/>
        <w:rPr>
          <w:sz w:val="20"/>
          <w:szCs w:val="20"/>
          <w:color w:val="auto"/>
        </w:rPr>
      </w:pPr>
    </w:p>
    <w:p>
      <w:pPr>
        <w:ind w:left="60" w:right="139" w:firstLine="324"/>
        <w:spacing w:after="0" w:line="226"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Chargebacks</w:t>
      </w:r>
    </w:p>
    <w:p>
      <w:pPr>
        <w:spacing w:after="0" w:line="18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202" w:lineRule="exact"/>
        <w:rPr>
          <w:sz w:val="20"/>
          <w:szCs w:val="20"/>
          <w:color w:val="auto"/>
        </w:rPr>
      </w:pPr>
    </w:p>
    <w:p>
      <w:pPr>
        <w:ind w:left="60" w:right="459" w:firstLine="324"/>
        <w:spacing w:after="0" w:line="277" w:lineRule="auto"/>
        <w:rPr>
          <w:sz w:val="20"/>
          <w:szCs w:val="20"/>
          <w:color w:val="auto"/>
        </w:rPr>
      </w:pPr>
      <w:r>
        <w:rPr>
          <w:rFonts w:ascii="Times New Roman" w:cs="Times New Roman" w:eastAsia="Times New Roman" w:hAnsi="Times New Roman"/>
          <w:sz w:val="17"/>
          <w:szCs w:val="17"/>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 of goods sold on BTI’s Condensed Consolidated Statements of Operations.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0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revenues during the respective period. Cost of goods sold also includes costs related to excess or obsolete inventory, as well as costs related to warehouse operations paid to distributors.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based on estimated fair value for all share-based awards made to employees, non-employee service providers, and directors, including stock options, BTI restricted stock units (“BTI RSUs”), OnkosXcel profit sharing units (“PSUs”), OnkosXcel restricted stock units (“OnkosXcel RSUs”) and BTI performance stock units (“Performance Units”).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6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stock-based awards are valued at fair value on the date of grant and that fair value is recognized as an expense in the Condensed Consolidated Statements of Operations over the requisite service period using the accelerated attribution method. The estimated value of the BTI RSUs and Performance Units is based on the Company’s closing stock price on the grant date. The estimated value of the OnkosXcel RSUs are based on the OnkosXcel valuation on the grant date. The estimated fair value of stock options and PSUs was determined using the Black-Scholes pricing model on the date of grant. For awards subject to performance-based vesting conditions, the Company recognizes stock-based compensation expense when the achievement of the performance condition becomes probable.</w:t>
      </w:r>
    </w:p>
    <w:p>
      <w:pPr>
        <w:spacing w:after="0" w:line="14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Such estimates are subject to change as additional information becomes available. The Company expenses research and development costs as incurred.</w:t>
      </w:r>
    </w:p>
    <w:p>
      <w:pPr>
        <w:spacing w:after="0" w:line="14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Most of the Company’s service providers invoice BTI monthly in arrears for services performed. The Company estimates its accrued expenses as of each balance sheet date in the condensed consolidated financial statements based on facts and circumstances known to management at that time. BTI management periodically confirms the accuracy of the Company’s estimates with the service providers and makes adjustments if necessary.</w:t>
      </w:r>
    </w:p>
    <w:p>
      <w:pPr>
        <w:spacing w:after="0" w:line="139" w:lineRule="exact"/>
        <w:rPr>
          <w:sz w:val="20"/>
          <w:szCs w:val="20"/>
          <w:color w:val="auto"/>
        </w:rPr>
      </w:pPr>
    </w:p>
    <w:p>
      <w:pPr>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in Selling, general and administrative expenses in the Condensed Consolidated Statements of Operations and are expensed as incurred since recoverability of such expenditures is uncertain.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48" w:lineRule="exact"/>
        <w:rPr>
          <w:sz w:val="20"/>
          <w:szCs w:val="20"/>
          <w:color w:val="auto"/>
        </w:rPr>
      </w:pPr>
    </w:p>
    <w:p>
      <w:pPr>
        <w:ind w:left="720" w:right="3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 gives the highest priority to Level 1 inputs.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60" w:lineRule="exact"/>
        <w:rPr>
          <w:rFonts w:ascii="Times New Roman" w:cs="Times New Roman" w:eastAsia="Times New Roman" w:hAnsi="Times New Roman"/>
          <w:sz w:val="18"/>
          <w:szCs w:val="18"/>
          <w:color w:val="auto"/>
        </w:rPr>
      </w:pPr>
    </w:p>
    <w:p>
      <w:pPr>
        <w:jc w:val="both"/>
        <w:ind w:left="720" w:right="29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35"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as well as considering counterparty credit risk in its assessment of fair value.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0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In June 2016, the Financial Accounting Standards Board (“FASB”) issued Accounting Standards Update (“ASU”) No. 2016-13, Financial Instruments-Credit Losses (Topic 326): Measurement of Credit Losses on Financial Instruments, and subsequent amendments to the initial 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Financial Instruments - Credit Losses (Topic 326), Derivatives and Hedging (Topic 815), and Leases (Topic 842) - Effective Dates, which deferred the effective dates of Topic 326 for the Company, until fiscal year 2023. The Company adopted Topic 326 in 2023 and it did not have a material impact on its condensed consolidated financial statements.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condensed consolidated financial statements.</w:t>
      </w:r>
    </w:p>
    <w:p>
      <w:pPr>
        <w:spacing w:after="0" w:line="13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202" w:lineRule="exact"/>
        <w:rPr>
          <w:sz w:val="20"/>
          <w:szCs w:val="20"/>
          <w:color w:val="auto"/>
        </w:rPr>
      </w:pPr>
    </w:p>
    <w:p>
      <w:pPr>
        <w:ind w:left="60" w:right="259" w:firstLine="324"/>
        <w:spacing w:after="0" w:line="247" w:lineRule="auto"/>
        <w:rPr>
          <w:sz w:val="20"/>
          <w:szCs w:val="20"/>
          <w:color w:val="auto"/>
        </w:rPr>
      </w:pPr>
      <w:r>
        <w:rPr>
          <w:rFonts w:ascii="Times New Roman" w:cs="Times New Roman" w:eastAsia="Times New Roman" w:hAnsi="Times New Roman"/>
          <w:sz w:val="18"/>
          <w:szCs w:val="18"/>
          <w:color w:val="auto"/>
        </w:rPr>
        <w:t>On August 8, 2023, the Company’s Board of Directors approved a broad-based strategic reprioritization (the “Reprioritization”). The Company took actions to reduce certain operational and workforce expenses that were no longer deemed core to ongoing operations in order to extend its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and recorded total restructuring costs of $4,163 for the year ended December 31, 2023. These costs consisted of severance and benefit costs of $4,063 and contract termination costs of $100. The Company paid $3,998 of severance and benefit costs and $100 of contract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termination costs in the year ended December 31, 2023. The Reprioritization is substantially complete as of December 31, 2023, and the remaining costs were paid during the first quarter of 2024.</w:t>
      </w:r>
    </w:p>
    <w:p>
      <w:pPr>
        <w:spacing w:after="0" w:line="162"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of $0 and $45 for the three and six months ended June 30, 2024, respectively. No inventory write-downs were recorded for the three and six months ended June 30,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$77 and $81 for the three months ended June 30, 2024 and 2023, respectively, and $155 and $161 for the six months ended June 30,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202"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3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w:t>
      </w:r>
    </w:p>
    <w:p>
      <w:pPr>
        <w:spacing w:after="0" w:line="14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and six months ended June 30, 2024 and 2023, respectively were as follows: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0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4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4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382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4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there were no outstanding service charges related to the Services Agreement included in Due to related parties in the Company’s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10"/>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41"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of agitation in patients with Alzheimer’s disease, and for general corporate purposes. The Lenders and Purchasers are comprised of affiliates of Oaktree Capital Management, L.P. and Qatar Investment Authority.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1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June 30, 2024, $100,000 in commitments under the Credit Agreement remains unfunded, and Oaktree has an Equity Investment Right (as defined below) to purchase up to $5,000 of Common Stock from the Company. The blended effective interest rate on the Tranches A-1 and A-2 as of June 30, 2024 was approximately 14.0%.</w:t>
      </w:r>
    </w:p>
    <w:p>
      <w:pPr>
        <w:spacing w:after="0" w:line="169"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The remaining tranches may be borrowed at the Company’s option prior to December 31, 2024, subject to satisfaction of certain conditions, including regulatory and financial milestones. Tranche B of the Credit Agreement is $20,000 and is available upon satisfaction of certain conditions and financial milestones.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w:t>
      </w:r>
    </w:p>
    <w:p>
      <w:pPr>
        <w:spacing w:after="0" w:line="131" w:lineRule="exact"/>
        <w:rPr>
          <w:sz w:val="20"/>
          <w:szCs w:val="20"/>
          <w:color w:val="auto"/>
        </w:rPr>
      </w:pPr>
    </w:p>
    <w:p>
      <w:pPr>
        <w:ind w:left="60" w:right="139" w:firstLine="324"/>
        <w:spacing w:after="0" w:line="257"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4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47"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6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63"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4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7"/>
          <w:szCs w:val="17"/>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w:t>
      </w:r>
    </w:p>
    <w:p>
      <w:pPr>
        <w:spacing w:after="0" w:line="2" w:lineRule="exact"/>
        <w:rPr>
          <w:sz w:val="20"/>
          <w:szCs w:val="20"/>
          <w:color w:val="auto"/>
        </w:rPr>
      </w:pPr>
    </w:p>
    <w:p>
      <w:pPr>
        <w:ind w:left="60" w:right="219" w:hanging="10"/>
        <w:spacing w:after="0" w:line="255"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until May 15, 2024. For the avoidance of doubt, failure to perform clause (ii) of the preceding sentence would constitute an immediate event of default under the Credit Agreement without any cure or grace period.</w:t>
      </w:r>
    </w:p>
    <w:p>
      <w:pPr>
        <w:spacing w:after="0" w:line="18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 During the second quarter of 2024, the Company received $5,476 of gross proceeds from the issuance of the Company’s common stock. As of June 30, 2024,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Company had satisfied $30,476 of the $40,000 required to maintain the Minimum Liquidity Amount and the $50,000 gross proceeds requirement.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Interest Financing Agreement</w:t>
      </w:r>
    </w:p>
    <w:p>
      <w:pPr>
        <w:spacing w:after="0" w:line="202" w:lineRule="exact"/>
        <w:rPr>
          <w:sz w:val="20"/>
          <w:szCs w:val="20"/>
          <w:color w:val="auto"/>
        </w:rPr>
      </w:pPr>
    </w:p>
    <w:p>
      <w:pPr>
        <w:ind w:left="60" w:right="279" w:firstLine="324"/>
        <w:spacing w:after="0" w:line="236" w:lineRule="auto"/>
        <w:rPr>
          <w:sz w:val="20"/>
          <w:szCs w:val="20"/>
          <w:color w:val="auto"/>
        </w:rPr>
      </w:pPr>
      <w:r>
        <w:rPr>
          <w:rFonts w:ascii="Times New Roman" w:cs="Times New Roman" w:eastAsia="Times New Roman" w:hAnsi="Times New Roman"/>
          <w:sz w:val="18"/>
          <w:szCs w:val="18"/>
          <w:color w:val="auto"/>
        </w:rPr>
        <w:t>As noted, the RIFA was terminated when the Company entered into the Second Amendment, which amended the Credit Agreement (as amended by the First Amendment). The $30,000 Tranche A previously provided to the Company under the RIFA was converted to the Tranche A-2 Term Loan. Prior to termination, the RIFA provided up to $120,000 in potential financing in exchange for a capped revenue interest on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other future BXCL501 products, if any, that received regulatory approval for sale. The initial Tranche A of $30,000 was funded on July 8, 2022. The effective interest rate on the RIFA as of December 31, 2022, was approximately 14%.</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RIFA, the Purchasers were to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The Company would also have been required to make certain additional payments to the Purchasers from time to time to ensure that the aggregate amount of payments received by the Purchasers under the RIFA were at least equal to certain agreed upon minimum levels as of certain specified dates, subject to terms and conditions set forth in the RIFA. Revenue interest payments due under the RIFA were payable quarterly based on net sales.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278 shares of the Company’s common stock at an exercise price of $20.04 per share (the “Original Warrants”). Pursuant to the amendment and restatement of the Original Warrants, dated December 5, 2023 (the “Amended and Restated Original Warrants”), the exercise price of the Original Warrants has been reduced to $3.6452 per share. In addition, the Company granted new warrants to the Lenders to purchase up to 70 shares of the Company’s common stock (the “2023 Warrant Shares”) at an exercise price of $3.6452 per share (the “2023 Warrants” and together with the Amended and Restated Original Warrants, the “Warrants”). The Amended and Restated Original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BTI common stock issuable under the Warrants (including the Original Warrants and the 2023 Warrants) and Lenders’ Equity Investment Right was 5,852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5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OnkosXcel after the closing of the Credit Agreement. The OnkosXcel Warrants are transferable with approval from BTI, which cannot be unreasonably withheld, expire on April 19, 2029, and may be net exercised at the holder’s election.</w:t>
      </w:r>
    </w:p>
    <w:p>
      <w:pPr>
        <w:spacing w:after="0" w:line="11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100 shares of its common stock (the “2024 Warrant Shares”) at an exercise price of $3.0723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pacing w:after="0" w:line="188"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Maturities of debt, excluding the impacts of any mandatory payments pursuant to the Revenue Covenant or to meet minimum royalty levels, are expected to be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9"/>
        </w:trPr>
        <w:tc>
          <w:tcPr>
            <w:tcW w:w="6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105,173</w:t>
            </w:r>
          </w:p>
        </w:tc>
        <w:tc>
          <w:tcPr>
            <w:tcW w:w="2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was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7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1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0"/>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02" w:lineRule="exact"/>
        <w:rPr>
          <w:sz w:val="20"/>
          <w:szCs w:val="20"/>
          <w:color w:val="auto"/>
        </w:rPr>
      </w:pPr>
    </w:p>
    <w:p>
      <w:pPr>
        <w:ind w:left="60" w:right="219" w:firstLine="405"/>
        <w:spacing w:after="0" w:line="271" w:lineRule="auto"/>
        <w:rPr>
          <w:sz w:val="20"/>
          <w:szCs w:val="20"/>
          <w:color w:val="auto"/>
        </w:rPr>
      </w:pPr>
      <w:r>
        <w:rPr>
          <w:rFonts w:ascii="Times New Roman" w:cs="Times New Roman" w:eastAsia="Times New Roman" w:hAnsi="Times New Roman"/>
          <w:sz w:val="17"/>
          <w:szCs w:val="17"/>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w:t>
      </w:r>
    </w:p>
    <w:p>
      <w:pPr>
        <w:spacing w:after="0" w:line="171" w:lineRule="exact"/>
        <w:rPr>
          <w:sz w:val="20"/>
          <w:szCs w:val="20"/>
          <w:color w:val="auto"/>
        </w:rPr>
      </w:pPr>
    </w:p>
    <w:p>
      <w:pPr>
        <w:ind w:left="60" w:right="179" w:firstLine="401"/>
        <w:spacing w:after="0" w:line="258" w:lineRule="auto"/>
        <w:rPr>
          <w:sz w:val="20"/>
          <w:szCs w:val="20"/>
          <w:color w:val="auto"/>
        </w:rPr>
      </w:pPr>
      <w:r>
        <w:rPr>
          <w:rFonts w:ascii="Times New Roman" w:cs="Times New Roman" w:eastAsia="Times New Roman" w:hAnsi="Times New Roman"/>
          <w:sz w:val="18"/>
          <w:szCs w:val="18"/>
          <w:color w:val="auto"/>
        </w:rPr>
        <w:t xml:space="preserve">With respect to the Securities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 xml:space="preserve">Derivative liabilities in the Condensed Consolidated Balance Sheet as of June 30, 2024. The respective derivative liabilities were recorded at fair value on the date of issuance in the amount of $19,347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 of June 30, 2024, the fair value of the Accompanying Warrants was $7,626. The Company recorded a fair value adjustment resulting in an unrealized gain of $11,779 and $11,721 for the three and six months ended June 30, 2024,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For the year ended December 31, 2023, the Company sold 1,408 shares of its common stock for a gross amount of $27,032, incurred issuance costs of $811, and received net proceeds of $26,221. For the three months ended June 30, 2024, the Company sold 2,839 shares of its common stock for a gross amount of $5,472, incurred issuance costs of $164, and received net proceeds of $5,308. For the six months ended June 30, 2024, the Company sold 3,486 shares of its common stock for a gross amount of $7,215, incurred issuance costs of $216, and received net proceeds of $6,999.</w:t>
      </w:r>
    </w:p>
    <w:p>
      <w:pPr>
        <w:spacing w:after="0" w:line="19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3,055 shares (the “Shares”) of common stock, par value $0.001 per share, and accompanying warrants (the “Accompanying Warrants”) to purchase up to 3,055 shares of common stock at a combined offering price of $2.901 per Share and Accompanying Warrant and pre-funded warrants (the “Pre-Funded Warrants”) to purchase up to 5,565 shares of common stock and Accompanying Warrants to purchase up to 5,565 shares of common stock, at a combined offering price of $2.900 per share underlying each Pre-Funded Warrant and Accompanying Warrant, which equals the offering price per Share and Accompanying Warrant less the $0.001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The Company intends to use the proceeds from the Offering, together with its existing cash and cash equivalents, to fund planned clinical trials of BXCL501, commercialization activities for IGALMI™ and for working capital and other general corporate purposes.</w:t>
      </w:r>
    </w:p>
    <w:p>
      <w:pPr>
        <w:spacing w:after="0" w:line="19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three and six months ended June 30, 2024, 3,860 Pre-Funded Warrants were exercised and the same number of shares of common stock were issued in exchange for $4 of proceeds received.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$3.20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instrument. Therefore, these instruments are recorded as Derivative liabilities in the Condensed Consolidated Balance Sheet as of June 30,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1,197 shares and 1,126 shares on January 1, 2024 and 2023, respectively.</w:t>
      </w:r>
    </w:p>
    <w:p>
      <w:pPr>
        <w:spacing w:after="0" w:line="15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there were 2,107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granted 5 time-based BTI RSUs which fully vest on the one-year anniversary of the grant date. The average grant date fair value per share for the BTI RSUs was $2.52. During the three and six months ended June 30, 2024, 6 BTI RSUs were cancelled. The outstanding RSUs generally vest over four years, with 25% vesting at the one-year anniversary of the grant date and the balance vesting ratably over the remaining 12 quarters of the vesting period. The weighted average grant date fair value per share for the BTI RSUs granted in 2023 was $19.62. Unrecognized stock-based compensation expense related to these awards was approximately $1,040 and $3,358 as of June 30,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00" w:type="dxa"/>
            <w:vAlign w:val="bottom"/>
          </w:tcPr>
          <w:p>
            <w:pPr>
              <w:spacing w:after="0"/>
              <w:rPr>
                <w:sz w:val="15"/>
                <w:szCs w:val="15"/>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Company granted 543 Performance Units to employees. 209 Performance Units vest on the one-year anniversary of the grant date, and the remaining 334 Performance Units are performance based and vest on the one-year anniversary of the grant date, provided certain performance criteria are met. The weighted average value per share of Performance Units granted in 2023 and cancelled during 2023 and 2024 was $2.43. None of the Performance Units had vested as of June 30, 2024. Unrecognized stock-based compensation expense related to the awards expected to vest was $123 as of June 30, 2024.</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8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8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10"/>
        </w:trPr>
        <w:tc>
          <w:tcPr>
            <w:tcW w:w="58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During 2023, OnkosXcel Employee Holdings, LLC, a management holding company used to facilitate the grant of equity interests to service providers of OnkosXcel granted 30 individual (not in thousands) time-based PSUs related to OnkosXcel to certain employees of the Company in consideration for services provided to OnkosXcel. In 2022, OnkosXcel Employee Holdings, LLC granted 1,310 (not in thousands) PSUs to employees and a consultant of the Company for services provided to OnkosXcel. The PSUs represent indirect equity interests in OnkosXcel. All PSUs, other than those granted to certain executive employees of the Company, vest ratably over 48 months. PSUs granted to certain executive employees of the Company, vested ratably over 24 months.</w:t>
      </w:r>
    </w:p>
    <w:p>
      <w:pPr>
        <w:spacing w:after="0" w:line="14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during 2023 were estimated at the date of grant using a Black-Scholes option pricing model and assumptions below.</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 grant profit share</w:t>
            </w:r>
          </w:p>
        </w:tc>
      </w:tr>
      <w:tr>
        <w:trPr>
          <w:trHeight w:val="238"/>
        </w:trPr>
        <w:tc>
          <w:tcPr>
            <w:tcW w:w="4200" w:type="dxa"/>
            <w:vAlign w:val="bottom"/>
          </w:tcPr>
          <w:p>
            <w:pPr>
              <w:spacing w:after="0"/>
              <w:rPr>
                <w:sz w:val="20"/>
                <w:szCs w:val="20"/>
                <w:color w:val="auto"/>
              </w:rPr>
            </w:pPr>
          </w:p>
        </w:tc>
        <w:tc>
          <w:tcPr>
            <w:tcW w:w="4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unit valuation inputs</w:t>
            </w:r>
          </w:p>
        </w:tc>
      </w:tr>
      <w:tr>
        <w:trPr>
          <w:trHeight w:val="216"/>
        </w:trPr>
        <w:tc>
          <w:tcPr>
            <w:tcW w:w="4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$372 and $3,833 at June 30, 2024 and 2023,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4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225 individual (not in thousands) OnkosXcel RSUs to certain employees. 125 of the OnkosXcel RSUs vest upon the earlier to occur of (a) 180 days after an initial public offering of OnkosXcel, or (b) a change in control of OnkosXcel. The remaining OnkosXcel RSUs vest 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 awards expected to vest was approximately $312 and $1,648 as of June 30, 2024 and 2023, respectively.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June 30, 2024 is presented below.</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0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8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80" w:type="dxa"/>
            <w:vAlign w:val="bottom"/>
            <w:tcBorders>
              <w:bottom w:val="single" w:sz="8" w:color="CCEEFF"/>
            </w:tcBorders>
          </w:tcPr>
          <w:p>
            <w:pPr>
              <w:spacing w:after="0"/>
              <w:rPr>
                <w:sz w:val="21"/>
                <w:szCs w:val="21"/>
                <w:color w:val="auto"/>
              </w:rPr>
            </w:pPr>
          </w:p>
        </w:tc>
      </w:tr>
      <w:tr>
        <w:trPr>
          <w:trHeight w:val="196"/>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June 30,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80" w:type="dxa"/>
            <w:vAlign w:val="bottom"/>
          </w:tcPr>
          <w:p>
            <w:pPr>
              <w:spacing w:after="0"/>
              <w:rPr>
                <w:sz w:val="20"/>
                <w:szCs w:val="20"/>
                <w:color w:val="auto"/>
              </w:rPr>
            </w:pPr>
          </w:p>
        </w:tc>
      </w:tr>
    </w:tbl>
    <w:p>
      <w:pPr>
        <w:spacing w:after="0" w:line="17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 intrinsic value of options outstanding was $1,078. The intrinsic value for stock options is calculated based on the difference between the exercise prices of the underlying awards and the quoted stock price of the Company’s common stock as of the reporting date.</w:t>
      </w:r>
    </w:p>
    <w:p>
      <w:pPr>
        <w:spacing w:after="0" w:line="14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No stock options were exercised for the three and six months ended June 30, 2024. The total intrinsic value of stock options exercised for the three and six months ended June 30, 2023 was $2,352 and $5,928. As of June 30, 2024 and 2023, the total intrinsic value of stock options exercisable was $1,078 and $7,903,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June 30, 2024 was $13.52.</w:t>
      </w:r>
    </w:p>
    <w:p>
      <w:pPr>
        <w:spacing w:after="0" w:line="185"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5.3 years for options exercisable as of June 30, 2024. The weighted average remaining contractual life was 5.9 years for options outstanding as of June 30,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BTI stock option awards as of June 30, 2024 was $4,363 and will be recognized over the remaining vesting periods of the underlying awards. The weighted-average period over which such compensation is expected to be recognized is 1.5 years.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BTI stock options granted during the three months ended June 30, 2024 and 2023 was estimated using the Black-Scholes pricing model with the following assumptions: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r>
      <w:tr>
        <w:trPr>
          <w:trHeight w:val="173"/>
        </w:trPr>
        <w:tc>
          <w:tcPr>
            <w:tcW w:w="40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500" w:type="dxa"/>
            <w:vAlign w:val="bottom"/>
            <w:tcBorders>
              <w:bottom w:val="single" w:sz="8" w:color="auto"/>
            </w:tcBorders>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6.1 years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0"/>
                <w:szCs w:val="20"/>
                <w:color w:val="auto"/>
              </w:rPr>
            </w:pPr>
          </w:p>
        </w:tc>
        <w:tc>
          <w:tcPr>
            <w:tcW w:w="102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color w:val="auto"/>
              </w:rPr>
              <w:t>0.0 %</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$1,057 and $6,124 for the three months ended June 30, 2024 and 2023, respectively, and $4,490 and $11,001 for the six months ended June 30, 2024 and 2023, respectively, which were comprised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1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8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09"/>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299 shares and 281 shares on January 1, 2024 and 2023, respectively. To date, no shares have been sold under the ESPP. There were 1,204 shares available for issuance as of June 30, 2024.</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June 30, 2024, are as follows:</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6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6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0"/>
        </w:trPr>
        <w:tc>
          <w:tcPr>
            <w:tcW w:w="6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$361 as of June 30, 2024, is included in Other current liabilities on the Condensed Consolidated Balance Sheets.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was $99 and $198 for the three and six months ended June 30, 2024 and 2023, respectively.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89" w:lineRule="exact"/>
        <w:rPr>
          <w:sz w:val="20"/>
          <w:szCs w:val="20"/>
          <w:color w:val="auto"/>
        </w:rPr>
      </w:pPr>
    </w:p>
    <w:p>
      <w:pPr>
        <w:jc w:val="both"/>
        <w:ind w:left="60" w:right="179" w:firstLine="401"/>
        <w:spacing w:after="0" w:line="266"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 on the accounting policies related to fair value.</w:t>
      </w:r>
    </w:p>
    <w:p>
      <w:pPr>
        <w:spacing w:after="0" w:line="135" w:lineRule="exact"/>
        <w:rPr>
          <w:sz w:val="20"/>
          <w:szCs w:val="20"/>
          <w:color w:val="auto"/>
        </w:rPr>
      </w:pPr>
    </w:p>
    <w:p>
      <w:pPr>
        <w:ind w:left="60" w:right="219" w:firstLine="401"/>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June 30, 2024 and December 31, 2023, the Company had $52,061 and $64,860, respectively, primarily in money market funds that hold U.S. government cash equivalent instruments (included in cash and cash equivalents) which were valued based on Level 1 inputs. There were no transfers between levels within the hierarchy during the three and six months ended June 30, 2024 and the year ended December 31, 2023.</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Equity Investment Right</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401"/>
        <w:spacing w:after="0" w:line="261"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Equity Investment Right held by the Lenders, and BTI Warrants. The fair value of the derivative liabilities was determined using Monte Carlo simulation models for the Equity Investment Right, Binomial Option Pricing and Distribution models for the OnkosXcel Warrants, and using a Black Scholes model for the BTI Warrants.</w:t>
      </w:r>
    </w:p>
    <w:p>
      <w:pPr>
        <w:spacing w:after="0" w:line="139" w:lineRule="exact"/>
        <w:rPr>
          <w:sz w:val="20"/>
          <w:szCs w:val="20"/>
          <w:color w:val="auto"/>
        </w:rPr>
      </w:pPr>
    </w:p>
    <w:p>
      <w:pPr>
        <w:ind w:left="60" w:right="219" w:firstLine="401"/>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and six months ended June 30, 2024. Both observable and unobservable inputs were used to determine the fair value of positions that the Company has classified within the Level 3 category.</w:t>
      </w:r>
    </w:p>
    <w:p>
      <w:pPr>
        <w:spacing w:after="0" w:line="14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2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June 30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9" w:firstLine="401"/>
        <w:spacing w:after="0" w:line="282" w:lineRule="auto"/>
        <w:rPr>
          <w:sz w:val="20"/>
          <w:szCs w:val="20"/>
          <w:color w:val="auto"/>
        </w:rPr>
      </w:pPr>
      <w:r>
        <w:rPr>
          <w:rFonts w:ascii="Times New Roman" w:cs="Times New Roman" w:eastAsia="Times New Roman" w:hAnsi="Times New Roman"/>
          <w:sz w:val="18"/>
          <w:szCs w:val="18"/>
          <w:color w:val="auto"/>
        </w:rPr>
        <w:t>The change in fair value of the derivative liabilities was reported in the Condensed Consolidated Statements of Operations as Other (income) expense, net, for the three and six months ended June 30, 2024.</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Inputs used to calculate the estimated fair value of the Equity Investment Right at June 30, 2024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9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Equity Investment Right</w:t>
            </w:r>
          </w:p>
        </w:tc>
      </w:tr>
      <w:tr>
        <w:trPr>
          <w:trHeight w:val="196"/>
        </w:trPr>
        <w:tc>
          <w:tcPr>
            <w:tcW w:w="6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relative to volume weighted 30-day average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exercise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period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premium to 30-day average</w:t>
            </w:r>
          </w:p>
        </w:tc>
        <w:tc>
          <w:tcPr>
            <w:tcW w:w="19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26.0 %</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110% based on the historical volatility of the Company’s stock), and the timing and probability of the relevant capital transactions occurring.</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 of the Credit Agreement as of June 30, 2024 and December 31, 2023 was $87,503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$88,210, respectively. Both observable and unobservable inputs were used to determine the fair value of long-term debt,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was classified within the Level 3 category.</w:t>
      </w:r>
    </w:p>
    <w:p>
      <w:pPr>
        <w:spacing w:after="0" w:line="180" w:lineRule="exact"/>
        <w:rPr>
          <w:sz w:val="20"/>
          <w:szCs w:val="20"/>
          <w:color w:val="auto"/>
        </w:rPr>
      </w:pPr>
    </w:p>
    <w:p>
      <w:pPr>
        <w:jc w:val="both"/>
        <w:ind w:left="60" w:right="339" w:firstLine="401"/>
        <w:spacing w:after="0" w:line="281" w:lineRule="auto"/>
        <w:rPr>
          <w:sz w:val="20"/>
          <w:szCs w:val="20"/>
          <w:color w:val="auto"/>
        </w:rPr>
      </w:pPr>
      <w:r>
        <w:rPr>
          <w:rFonts w:ascii="Times New Roman" w:cs="Times New Roman" w:eastAsia="Times New Roman" w:hAnsi="Times New Roman"/>
          <w:sz w:val="17"/>
          <w:szCs w:val="17"/>
          <w:color w:val="auto"/>
        </w:rPr>
        <w:t>The fair value of the 2024 Warrants, which is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were a strike price of $3.0723, the Company’s stock price of $2.78, volatility of 112.2%, term of 5.1 years and risk-free rate of 4.25%.</w:t>
      </w:r>
    </w:p>
    <w:p>
      <w:pPr>
        <w:spacing w:after="0" w:line="162" w:lineRule="exact"/>
        <w:rPr>
          <w:sz w:val="20"/>
          <w:szCs w:val="20"/>
          <w:color w:val="auto"/>
        </w:rPr>
      </w:pPr>
    </w:p>
    <w:p>
      <w:pPr>
        <w:ind w:left="60" w:right="279" w:firstLine="401"/>
        <w:spacing w:after="0" w:line="256" w:lineRule="auto"/>
        <w:rPr>
          <w:sz w:val="20"/>
          <w:szCs w:val="20"/>
          <w:color w:val="auto"/>
        </w:rPr>
      </w:pPr>
      <w:r>
        <w:rPr>
          <w:rFonts w:ascii="Times New Roman" w:cs="Times New Roman" w:eastAsia="Times New Roman" w:hAnsi="Times New Roman"/>
          <w:sz w:val="18"/>
          <w:szCs w:val="18"/>
          <w:color w:val="auto"/>
        </w:rPr>
        <w:t>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$3.6452, the Company’s stock price of $3.71, volatility of 99%, term of 5.4 years and risk-free rate of 4.14%.</w:t>
      </w:r>
    </w:p>
    <w:p>
      <w:pPr>
        <w:spacing w:after="0" w:line="187"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Original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$20.04, the Company’s stock price of $14.93, volatility of 95%, term of 7 years and risk-free rate of 2.95%.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in connection with the closing of the Second Amendment of the Credit Agreement, on the Second Amendment Effective Date, the Company amended and restated the Original Warrants granted to the Lenders to have an exercise price of $3.6452 per share.</w:t>
      </w:r>
    </w:p>
    <w:p>
      <w:pPr>
        <w:spacing w:after="0" w:line="192" w:lineRule="exact"/>
        <w:rPr>
          <w:sz w:val="20"/>
          <w:szCs w:val="20"/>
          <w:color w:val="auto"/>
        </w:rPr>
      </w:pPr>
    </w:p>
    <w:p>
      <w:pPr>
        <w:ind w:left="60" w:right="179" w:firstLine="401"/>
        <w:spacing w:after="0" w:line="254"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the fair value of $19,347 was recorded as a derivative liability with the offset recorded as a component of stockholders’ equity in Additional-paid-in-capital in the Condensed Consolidated Balance Sheets. This fair value measurement is classified as Level 2. The valuation inputs used were a strike price of $3.20, the Company’s stock price of $2.81, volatility of 112.2%, a term of 5 years and a risk-free rate of 4.2%. We remeasured the fair value at June 30, 2024 of $7,626 and recorded an unrealized gain of $11,779 and $11,721 for the three and six months ended June 30, 2024, respectively within Other (income) expense, net in the Company’s Condensed Consolidated Statements of Operations. The valuation inputs used as of June 30, 2024 were a strike price of $3.20, the Company’s stock price of $1.28, volatility of 112.3%, term of 4.7 years and risk-free rate of 4.3%.</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(8,299)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(106,311)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5,565 Pre-Funded warrants to purchase common shares issued in connection with the registered direct offering completed in March 2024 are included in the calculation of basic and diluted net loss per share as the exercise price of $0.001 per share is non-substantive and virtually assured. As of June 30, 2024, 1,705 Pre-Funded Warrants remain unexercised were included in the calculation of basic and diluted net loss per share.</w:t>
      </w:r>
    </w:p>
    <w:p>
      <w:pPr>
        <w:spacing w:after="0" w:line="180"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performance units and BTI Warrants (excluding the Prefunded Warrants). The Company had common stock equivalents outstanding as of June 30, 2024 and 2023 of 14,458 and 5,801 shares,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3:23-cv-00915 (D. Conn).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The amended complaint alleges that defendants made false or misleading statements regarding the TRANQUILITY II trial and the development of BXCL501 for an expanded indication related to the treatment of certain Alzheimer’s-related agitation. On July 11, 2024, the Court dismissed the amended complaint without prejudice and, on August 1, 2024, co-Lead Plaintiffs filed a second amended complaint. The Company expects to move to dismiss the second amended complaint. The motion to dismiss is due September 6, 2024.</w:t>
      </w:r>
    </w:p>
    <w:p>
      <w:pPr>
        <w:spacing w:after="0" w:line="154"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6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1:24-cv-00041 (D. Del.). The consolidated action is currently stayed.</w:t>
      </w:r>
    </w:p>
    <w:p>
      <w:pPr>
        <w:spacing w:after="0" w:line="151"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9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reduces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in the third quarter of 2024 for full settlement for amounts due prior to the July 11, 2024 amendment.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On July 22, 2024, the Company granted 1,388 BTI Performance Units, vesting over 1 year, subject to various Company performance goals, 20 BTI RSUs to employees, and 538 BTI stock options. The Performance Units are eligible to vest after one year, subject to the achievement of various Company performance goals. The BTI stock options have a term of ten years, an exercise price per share of $1.20, which is equal to the closing price of the Company’s common stock on the grant date, and vest in substantially equal installments on each of first and second anniversaries of the grant date. The BTI RSUs vest in full on the first anniversary of the grant date.</w:t>
      </w:r>
    </w:p>
    <w:p>
      <w:pPr>
        <w:spacing w:after="0" w:line="187"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As discussed in Note 11, Common Stock Financings Activities, the Company has previously entered into an Open Market Sale Agreement (the “Sale Agreement”) with Jefferies LLC (“Jefferies”), as amended, pursuant to which the Company could offer and sell shares of its common stock, having an aggregate offering price of up to $150,000, from time to time, through an “at the market offering” program under which Jefferies will act as sale agent. From July 1, 2024 through July 19, 2024, the Company sold 361 shares under the Sale Agreement for gross proceeds of $467 and received proceeds of $453, net of issuance costs of $14.</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2023.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61"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United States (“U.S.”) Food and Drug Administration (“FDA”) as IGALMI™,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being developed by OnkosXcel Therapeutics as a potential therapy for the treatment of aggressive forms of prostate cancer, pancreatic cancer, and other solid and liquid tumors.</w:t>
      </w:r>
    </w:p>
    <w:p>
      <w:pPr>
        <w:spacing w:after="0" w:line="179" w:lineRule="exact"/>
        <w:rPr>
          <w:sz w:val="20"/>
          <w:szCs w:val="20"/>
          <w:color w:val="auto"/>
        </w:rPr>
      </w:pPr>
    </w:p>
    <w:p>
      <w:pPr>
        <w:ind w:left="60" w:right="19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commercially available in doses of 120 and 180 microgram (“mcg”).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develop BXCL501 for the potential acute treatment of agitation (non-daily) associated with dementia due to probable Alzheimer’s disease in care and at-home settings and for the potential acute treatment of agitation associated with bipolar disorders or schizophrenia in the at-home setting. As described further below, we have recently deprioritized the development of BXCL501 for certain indications, including development of BXCL501 as a potential adjunctive treatment for major depressive disorder (“MDD”), as well as our BXCL701 program except as noted under “Immuno-Oncology” below.</w:t>
      </w:r>
    </w:p>
    <w:p>
      <w:pPr>
        <w:spacing w:after="0" w:line="18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For our TRANQUILITY program, we have conducted clinical studies evaluating BXCL501 for the potential acute treatment of agitation associated with mild to moderate dementia in patients with probable Alzheimer’s disease, who reside in assisted living facilities (“ALFs”) and residential care settings and who required minimal assistance with activities of daily living. On June 29, 2023, we announced positive topline data from our TRANQUILITY II trial, as well as information regarding certain investigator misconduct and noncompliance at a clinical trial site.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8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had previously been conducting the TRANQUILITY III clinical trial, which was designed to evaluate the potential for BXCL501 to treat acute agitation in patients with moderate to severe dementia associated with probable Alzheimer’s disease living in nursing homes and who require moderate to full assistance with activities of daily living. We paused enrollment in TRANQUILITY III due to the much higher-than-expected background frequency of episodes of agitation experienced by the first several patients enrolled in the study.</w:t>
      </w:r>
    </w:p>
    <w:p>
      <w:pPr>
        <w:spacing w:after="0" w:line="183"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held Type B/Breakthrough Therapy Designation meetings with the FDA on October 11, 2023 and on February 20, 2024 to obtain additional feedback on our plans for further development of BXCL501 for the treatment of agitation associated with dementia in patients with probable Alzheimer’s disease.</w:t>
      </w:r>
    </w:p>
    <w:p>
      <w:pPr>
        <w:spacing w:after="0" w:line="176"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On April 10, 2024, we announced details regarding our planned design of our upcoming TRANQUILITY In-Care Phase 3 trial to evaluate BXCL501 in the care setting. The plan to conduct this trial is based on feedback received from the FDA following the receipt of minutes from the Type B/Breakthrough Therapy designation meeting held with the agency on February 20, 2024.</w:t>
      </w:r>
    </w:p>
    <w:p>
      <w:pPr>
        <w:spacing w:after="0" w:line="18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Subject to further funding, we plan to conduct the TRANQUILITY In-Care trial, which is designed as a double blind, placebo-controlled study to evaluate the efficacy and safety of a 60 mcg dose of BXCL501 over a 12-week period. The trial is expected to enroll a total of approximately 150 patients 55 years and older across the spectrum of Alzheimer’s disease severity with mild, moderate, and severe dementia with mini-mental state examination (MMSE) scores of 0 to 25 who reside in skilled nursing facilities, memory care units, or assisted living facilities.</w:t>
      </w:r>
    </w:p>
    <w:p>
      <w:pPr>
        <w:spacing w:after="0" w:line="18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trial is expected to enroll patients with episodic agitation, with patients self-administering 60 mcg of BXCL501 or placebo when agitation episodes occur over the trial period. The primary endpoint is expected to be a change from baseline in the Positive and Negative Syndrome Scale-Excitatory Component (PEC) total score at two hours post-first dose. This is the same endpoint used in previous TRANQUILITY trials and in studies that supported the FDA approval of IGALMI™ (dexmedetomidine) sublingual film. Continued efficacy evaluations are expected to be conducted through performing additional PEC and complementary efficacy measures, including the global impression of change in agitation. As part of the TRANQUILITY In-Care trial, we plan to include a feasibility cohort of 20 patients that would be evaluated in the home setting. We expect to generate additional Phase 3 efficacy and safety data in the TRANQUILITY In-Care trial to expand the database beyond the 70 patients who have already been treated with 60 mcg of BXCL501 in TRANQUILITY I and II trials to date. We also plan to discuss the details of the requirement for long-term safety data at a future meeting with the FDA.</w:t>
      </w:r>
    </w:p>
    <w:p>
      <w:pPr>
        <w:spacing w:after="0" w:line="192"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our SERENITY program, we are evaluating BXCL501 for use in the at-home setting for agitation associated with bipolar disorders or schizophrenia. We completed Part 1 of the SERENITY III trial and announced topline results on May 25,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reviewed our SERENITY III program with the FDA in Type C meetings on November 8, 2023 and March 6, 2024. Based on the feedback received from the FDA to date, we plan to move forward to evaluate at-home use of the 120 mcg dose of BXCL501, with safety as the primary objective and efficacy measures as exploratory endpoints to support continued efficacy in the at-home setting as recommended by the FDA in the November 8, 2023 meeting, for the acute treatment of agitation in bipolar disorders or schizophrenia.</w:t>
      </w:r>
    </w:p>
    <w:p>
      <w:pPr>
        <w:spacing w:after="0" w:line="18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April 22, 2024, we announced our plans to amend Part 2 of the SERENITY III trial, which we now refer to as the SERENITY At-Home trial. The SERENITY At-Home trial is designed as a double blind, placebo-controlled study to evaluate the safety and efficacy of a 120 mcg dose of BXCL501 over a 12-week period. The outpatient trial is expected to enroll a total of approximately 200 patients with agitation associated with bipolar disorder or schizophrenia. Patients will self-administer 120 mcg of BXCL501 or placebo when agitation episodes occur over the trial period. The primary objective is safety with efficacy measures as exploratory endpoints to evaluate use in the outpatient setting. We also plan to conduct a clinical study designed to enroll approximately 30 patients to evaluate the correlation between patient-reported or informant-reported efficacy with trained rater-reported efficacy using PEC measurements, as previously recommended by the FDA. Progression of the SERENITY At-Home trial is subject to our ability to raise further funding.</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Strategic Reprioritization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determined to take actions to reduce certain operational and workforce expenses no longer deemed core to ongoing operations to extend our cash runway and drive innovation and growth in high-potential clinical development and value-creating opportunities. These actions included a shift in commercial strategy for IGALMI™ in the institutional setting, a reduction of in-hospital commercialization expenses, a de-prioritization of programs no longer determined to be core to ongoing operations, and a prioritization on opportunities for BXCL501 in treating agitation associated with Alzheimer’s dementia (AAD) and in the acute treatment of agitation associated with bipolar disorders and schizophrenia in the at-home setting. As part of this strategy, our Board of Directors approved a reduction of approximately 60% of our workforce. Annualized operating expenses are expected to be reduced by approximately $80,000. As of December 31, 2023, the Reprioritization was substantially completed.</w:t>
      </w:r>
    </w:p>
    <w:p>
      <w:pPr>
        <w:spacing w:after="0" w:line="194"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in the year ended December 31, 2023. These costs consisted of severance and benefit costs of $4,063 and contract termination costs of $100. The Company paid $3,998 of severance and benefit costs and $100 of contract termination costs during the year ended December 31, 2023. All remaining costs of $24 were paid during the first quarter of 2024.</w:t>
      </w:r>
    </w:p>
    <w:p>
      <w:pPr>
        <w:spacing w:after="0" w:line="178" w:lineRule="exact"/>
        <w:rPr>
          <w:sz w:val="20"/>
          <w:szCs w:val="20"/>
          <w:color w:val="auto"/>
        </w:rPr>
      </w:pPr>
    </w:p>
    <w:p>
      <w:pPr>
        <w:ind w:left="60" w:right="2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Revised Commercialization Strategy</w:t>
      </w:r>
    </w:p>
    <w:p>
      <w:pPr>
        <w:spacing w:after="0" w:line="137" w:lineRule="exact"/>
        <w:rPr>
          <w:sz w:val="20"/>
          <w:szCs w:val="20"/>
          <w:color w:val="auto"/>
        </w:rPr>
      </w:pPr>
    </w:p>
    <w:p>
      <w:pPr>
        <w:ind w:left="60" w:right="379" w:firstLine="324"/>
        <w:spacing w:after="0" w:line="235" w:lineRule="auto"/>
        <w:rPr>
          <w:sz w:val="20"/>
          <w:szCs w:val="20"/>
          <w:color w:val="auto"/>
        </w:rPr>
      </w:pPr>
      <w:r>
        <w:rPr>
          <w:rFonts w:ascii="Times New Roman" w:cs="Times New Roman" w:eastAsia="Times New Roman" w:hAnsi="Times New Roman"/>
          <w:sz w:val="18"/>
          <w:szCs w:val="18"/>
          <w:color w:val="auto"/>
        </w:rPr>
        <w:t>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w:t>
      </w:r>
    </w:p>
    <w:p>
      <w:pPr>
        <w:spacing w:after="0" w:line="193" w:lineRule="exact"/>
        <w:rPr>
          <w:sz w:val="20"/>
          <w:szCs w:val="20"/>
          <w:color w:val="auto"/>
        </w:rPr>
      </w:pPr>
    </w:p>
    <w:p>
      <w:pPr>
        <w:ind w:left="60" w:right="279" w:firstLine="324"/>
        <w:spacing w:after="0" w:line="232" w:lineRule="auto"/>
        <w:rPr>
          <w:sz w:val="20"/>
          <w:szCs w:val="20"/>
          <w:color w:val="auto"/>
        </w:rPr>
      </w:pPr>
      <w:r>
        <w:rPr>
          <w:rFonts w:ascii="Times New Roman" w:cs="Times New Roman" w:eastAsia="Times New Roman" w:hAnsi="Times New Roman"/>
          <w:sz w:val="18"/>
          <w:szCs w:val="18"/>
          <w:color w:val="auto"/>
        </w:rPr>
        <w:t>Commercial efforts for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were impacted significantly in the six months ended December 31, 2023, due to the reduction in force, which included the elimination of sales, marketing, and commercial operations staff. The realigned CAD team generated $1,104 in net revenue for the three month period ended June 30, 2024, up from $582 in net revenue for the three-month period ended March 31, 2024 and $376 for the three-month period ended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December 31, 2023, through legacy sales and volume-based contracts. Net revenue increased 90% in the second quarter of 2024 compared to the first quarter of 2024, primarily driven by multiple new volume contracts and an increase in non-contracted business. The increase in new customer acquisitions and increased sales activity reflects rising utilization, while hospitals and IDNs appear to be embracing the permanent J-Code implemented in January 2024, discussed below. Net revenue has risen for the past three sequential quarters. Net revenue in the second quarter of 2024 increased 141% compared to the same period in 2023.</w:t>
      </w:r>
    </w:p>
    <w:p>
      <w:pPr>
        <w:spacing w:after="0" w:line="187" w:lineRule="exact"/>
        <w:rPr>
          <w:sz w:val="20"/>
          <w:szCs w:val="20"/>
          <w:color w:val="auto"/>
        </w:rPr>
      </w:pPr>
    </w:p>
    <w:p>
      <w:pPr>
        <w:ind w:left="60" w:right="219" w:firstLine="324"/>
        <w:spacing w:after="0" w:line="216" w:lineRule="auto"/>
        <w:rPr>
          <w:sz w:val="20"/>
          <w:szCs w:val="20"/>
          <w:color w:val="auto"/>
        </w:rPr>
      </w:pPr>
      <w:r>
        <w:rPr>
          <w:rFonts w:ascii="Times New Roman" w:cs="Times New Roman" w:eastAsia="Times New Roman" w:hAnsi="Times New Roman"/>
          <w:sz w:val="18"/>
          <w:szCs w:val="18"/>
          <w:color w:val="auto"/>
        </w:rPr>
        <w:t>On October 30, 2023, we announced that the Centers for Medicare &amp; Medicaid Services (“CMS”) assigned a new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(J1105), which became effective on January 1, 2024. J-Codes are permanent codes used by healthcare providers, commercial insurance plans, and government payers to help standardize the reimbursement process. A J-Code can help simplify claims submission as compared to use of a miscellaneous or unlisted code, which in turn can streamline the billing and reimbursement process. The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has been published online in the CMS HCPCS Application Summaries and Coding Recommendations, Third Quarter, 2023 HCPCS Coding Cycle. We believe this J-Code will facilitate expanded access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patients with agitation associated with bipolar disorder or schizophrenia.</w:t>
      </w:r>
    </w:p>
    <w:p>
      <w:pPr>
        <w:spacing w:after="0" w:line="17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If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outside the U.S., we would consider launching the product through collaborations with third parties.</w:t>
      </w:r>
    </w:p>
    <w:p>
      <w:pPr>
        <w:spacing w:after="0" w:line="15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Our continued commercialization efforts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designed to build the foundation to launch additional potential follow-on indications, if any, paving the way for our expanding neuroscience business.</w:t>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as of the date of this Quarterly Report on Form 10-Q. We have also slowed the clinical development process of our lead BXCL501 product candidates as further described below, and progression of our lead BXCL501 clinical programs is subject to applicable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-10795</wp:posOffset>
            </wp:positionV>
            <wp:extent cx="5503545" cy="2743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35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Development</w:t>
      </w:r>
    </w:p>
    <w:p>
      <w:pPr>
        <w:spacing w:after="0" w:line="194" w:lineRule="exact"/>
        <w:rPr>
          <w:sz w:val="20"/>
          <w:szCs w:val="20"/>
          <w:color w:val="auto"/>
        </w:rPr>
      </w:pPr>
    </w:p>
    <w:p>
      <w:pPr>
        <w:ind w:left="60" w:right="579" w:firstLine="324"/>
        <w:spacing w:after="0" w:line="227" w:lineRule="auto"/>
        <w:rPr>
          <w:sz w:val="20"/>
          <w:szCs w:val="20"/>
          <w:color w:val="auto"/>
        </w:rPr>
      </w:pPr>
      <w:r>
        <w:rPr>
          <w:rFonts w:ascii="Times New Roman" w:cs="Times New Roman" w:eastAsia="Times New Roman" w:hAnsi="Times New Roman"/>
          <w:sz w:val="17"/>
          <w:szCs w:val="17"/>
          <w:color w:val="auto"/>
        </w:rPr>
        <w:t>In indications other than those approved by the FDA as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BXCL501 remains an investigational, proprietary, orally dissolving film formulation of Dex, a selective alpha-2 receptor agonist, targeting symptoms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stress-related behaviors such as agitation. BXCL501 is our most advanced neuroscience clinical program, being evaluated for the at-home acute treatment of agitation related to bipolar disorders or schizophrenia and for the acute treatment of agitation (non-daily) in patients with dementia due to probable Alzheimer’s disease in care facilities and at-home settings.</w:t>
      </w:r>
    </w:p>
    <w:p>
      <w:pPr>
        <w:spacing w:after="0" w:line="13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compared to medications that may take days or weeks,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4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also believe that BXCL501, if approved for the respective indications, has the potential to become the standard of care for the acute treatment of agitation arising from diseases such as schizophrenia and bipolar disorder and Alzheimer’s disease.</w:t>
      </w:r>
    </w:p>
    <w:p>
      <w:pPr>
        <w:spacing w:after="0" w:line="13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differentiated design of BXCL501 and its potential mechanism of action, we believe BXCL501 has the potential to address several diseases or conditions for which agitation is a symptom of the condition or underlying disease, including opioid withdrawal and post-traumatic stress disorder (“PTSD”), which are being evaluated in clinical trials run by third parties.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Clinical Trials</w:t>
      </w:r>
    </w:p>
    <w:p>
      <w:pPr>
        <w:spacing w:after="0" w:line="185"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1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announced positive topline results from TRANQUILITY II, a randomized, double-blind, placebo-controlled, parallel group trial that evaluated the safety and efficacy of BXCL501 for the acute treatment of Alzheimer’s-related agitation in adults 65 years and older with mild to moderate dementia in assisted living facilities (“ALFs”) and residential care settings who required minimal assistance with activities of daily living. The trial dosed 149 patients. Randomized patients self-administered 40 mcg or 60 mcg of BXCL501 or placebo for agitation episodes that occurred over a 12-week period. The primary endpoint was the change from pre-dose in PEC total score at 2 hours post-dose for the first treated episode of agitation. The key secondary efficacy endpoints were PEC change from pre-dose at 1-hour post-dose of study treatment for the first treated episode of agitation, and PEC change from pre-dose at 30 minutes post-dose of study treatment for the first treated episode of agitation.</w:t>
      </w:r>
    </w:p>
    <w:p>
      <w:pPr>
        <w:spacing w:after="0" w:line="161"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The Phase 3 trial met its primary efficacy endpoint with the 60 mcg dose; a statistically significant and clinically meaningful 7.5 point reduction from baseline in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4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Efficacy for this dose was supported by several secondary measures, including CGI-Improvement and Agitation-Calmness Evaluation Scale.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3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TRANQUILITY III trial was designed to evaluate the safety and efficacy of BXCL501 in patients residing predominantly in nursing homes with moderate to severe dementia due to Alzheimer’s disease who require moderate or greater assistance with activities of daily living. We halted additional enrollment in this Phase 3 after initial enrolled patients were observed to have more frequent episodes of agitation than originally anticipated, suggesting that agitation may present chronically in this population. Due to the chronic nature of agitation episodes observed in this population thus far, we believe that continued evaluation of BXCL501 in this population would require a different development program targeting more frequent or chronic use. We have chosen to focus our development efforts on the urgent need for episodic treatment in the care facility and at-home setting.</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 Type B/Breakthrough Therapy designation meeting with the FDA on October 11, 2023, we reviewed our TRANQUILITY clinical trial program and discussed the data package required to support submission of an sNDA for the potential approval of BXCL501 for the acute treatment of agitation in patients with mild to moderate dementia due to probable Alzheimer’s disease in the ALF and at-home settings. Specifically, we sought feedback from the FDA as to whether our data package consisting of TRANQUILITY I and II, along with the clinical pharmacology and toxicology programs previously discussed with the FDA, would be sufficient to support an sNDA submission for the potential use of BXCL501 to treat agitation in patients with mild to moderate dementia due to probable Alzheimer’s disease in either the at-home or ALF setting, or, if not, what additional data would be required. Based on the FDA’s feedback in this meeting, we understand that the FDA will require additional efficacy data, including repeat efficacy data, and that it requested long-term safety data. We therefore requested another meeting with the FDA to further discuss the additional data that would be required to support an sNDA submission.</w:t>
      </w:r>
    </w:p>
    <w:p>
      <w:pPr>
        <w:spacing w:after="0" w:line="192"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TRANQUILITY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and subject to funding, we are re-evaluating the timing for initiating TRANQUILITY At Home.</w:t>
      </w:r>
    </w:p>
    <w:p>
      <w:pPr>
        <w:spacing w:after="0" w:line="377" w:lineRule="exact"/>
        <w:rPr>
          <w:sz w:val="20"/>
          <w:szCs w:val="20"/>
          <w:color w:val="auto"/>
        </w:rPr>
      </w:pPr>
    </w:p>
    <w:p>
      <w:pPr>
        <w:ind w:left="60" w:right="6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SERENITY Program: Agitation Associated with Bipolar Disorders I and II and Schizophrenia (at-home setting)</w:t>
      </w:r>
    </w:p>
    <w:p>
      <w:pPr>
        <w:spacing w:after="0" w:line="118" w:lineRule="exact"/>
        <w:rPr>
          <w:sz w:val="20"/>
          <w:szCs w:val="20"/>
          <w:color w:val="auto"/>
        </w:rPr>
      </w:pPr>
    </w:p>
    <w:p>
      <w:pPr>
        <w:ind w:left="60" w:right="319" w:firstLine="324"/>
        <w:spacing w:after="0" w:line="277" w:lineRule="auto"/>
        <w:rPr>
          <w:sz w:val="20"/>
          <w:szCs w:val="20"/>
          <w:color w:val="auto"/>
        </w:rPr>
      </w:pPr>
      <w:r>
        <w:rPr>
          <w:rFonts w:ascii="Times New Roman" w:cs="Times New Roman" w:eastAsia="Times New Roman" w:hAnsi="Times New Roman"/>
          <w:sz w:val="17"/>
          <w:szCs w:val="17"/>
          <w:color w:val="auto"/>
        </w:rPr>
        <w:t>We initiated the clinical study of BXCL501 in patients with agitation associated with bipolar disorders or schizophrenia in SERENITY III, which consists of two parts. The first part was comparable to our pivotal SERENITY I and II studies. Using similar inclusion and exclusion criterion under a well-controlled in-patient setting, acutely agitated patients with schizophrenia or bipolar disorders were randomized to self-administer either 60 mcg of BXCL501 or placebo in a double-blind placebo-controlled trial. The primary endpoint of Part I was efficacy, as measured by the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change in PEC score change from baseline at two hours post-dose. The secondary objectives of Part I were safety and tolerability.</w:t>
      </w:r>
    </w:p>
    <w:p>
      <w:pPr>
        <w:spacing w:after="0" w:line="135"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On May 25, 2023, we reported topline results from Part I of the study. Although the trial did not meet its primary efficacy endpoint, we believe the efficacy results, observed with the 60 mcg dose, representing half of the lowest approved dose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in-patient use (120 mcg), were promising. Specifically, greater than 50% of individuals were responders, defined as those patients who achieved a 40% or greater reduction in PEC score. Furthermore, this population responder rate was consistent and dose-proportionate to the same response rates observed in the larger SERENITY I and II trials. Although the primary efficacy endpoint as a group mean change in PEC score from baseline at 2 hours was not statistically significant at the primary endpoint at 2 hours (p=0.077), BXCL501 statistically separated from placebo at 4 hours (p=0.049).</w:t>
      </w:r>
    </w:p>
    <w:p>
      <w:pPr>
        <w:spacing w:after="0" w:line="163" w:lineRule="exact"/>
        <w:rPr>
          <w:sz w:val="20"/>
          <w:szCs w:val="20"/>
          <w:color w:val="auto"/>
        </w:rPr>
      </w:pPr>
    </w:p>
    <w:p>
      <w:pPr>
        <w:ind w:left="60" w:right="279" w:firstLine="324"/>
        <w:spacing w:after="0" w:line="243" w:lineRule="auto"/>
        <w:rPr>
          <w:sz w:val="20"/>
          <w:szCs w:val="20"/>
          <w:color w:val="auto"/>
        </w:rPr>
      </w:pPr>
      <w:r>
        <w:rPr>
          <w:rFonts w:ascii="Times New Roman" w:cs="Times New Roman" w:eastAsia="Times New Roman" w:hAnsi="Times New Roman"/>
          <w:sz w:val="18"/>
          <w:szCs w:val="18"/>
          <w:color w:val="auto"/>
        </w:rPr>
        <w:t>Part II of the SERENITY III study was designed to evaluate the same dose tested in Part I, 60 mcg (with an optional additional 60 mcg dose), but in the at-home setting and focusing on safety only. However, because the trial did not meet its primary efficacy endpoint using this 60 mcg dose in Part I, we paused continuation of Part II of the study pending feedback from the FDA. We held a Type C meeting on November 8, 2023 with the FDA to discuss changes to Part II of our SERENITY III study. We proposed the evaluation of an 80 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made the decision to evaluate a 120 mcg dose in the at-home setting. The 120 mcg dose has already demonstrated efficacy based on the approved conditions of use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(when administered under the supervision of a healthcare provider, for a single agitation episode), so we sought further feedback from the FDA regarding the proposed design of this study amendment in a request for a follow-up meeting with the FDA, which was held on March 6, 2024.</w:t>
      </w:r>
    </w:p>
    <w:p>
      <w:pPr>
        <w:spacing w:after="0" w:line="16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Based on the FDA’s feedback in advance of and during the March 6, 2024 meeting, we plan to move forward to evaluate at-home use of the 120 mcg dose of BXCL501 by amending Part 2 of the SERENITY III study, which we now refer to as the SERENITY At-Home trial, with safety as the primary objective and efficacy measures as exploratory endpoints to support continued efficacy in the at-home setting as recommended by the FDA in the November 8, 2023 meeting, for the acute treatment of agitation in bipolar disorders or schizophrenia. We also plan to conduct a clinical study designed to enroll approximately 30 patients to evaluate the correlation between patient-reported or informant-reported efficacy with trained rater-reported efficacy using PEC measurements, as previously recommended by the FDA.</w:t>
      </w:r>
    </w:p>
    <w:p>
      <w:pPr>
        <w:spacing w:after="0" w:line="154" w:lineRule="exact"/>
        <w:rPr>
          <w:sz w:val="20"/>
          <w:szCs w:val="20"/>
          <w:color w:val="auto"/>
        </w:rPr>
      </w:pPr>
    </w:p>
    <w:p>
      <w:pPr>
        <w:ind w:left="60" w:right="179" w:firstLine="324"/>
        <w:spacing w:after="0" w:line="221"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FDA feedback, we believe that our ability to seek labeling without the current LOU will depend, in part, on the number of agitation episodes we observe during our planned study period. On April 22, 2024, we announced our plans, subject to funding, to advance the SERENITY At-Home trial.</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Adjunctive Treatment in Major Depressive Disorder (“MDD”)</w:t>
      </w:r>
    </w:p>
    <w:p>
      <w:pPr>
        <w:spacing w:after="0" w:line="189"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49"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As part of the Reprioritization announced on August 14, 2023, we have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202"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63% of the 150 total subjects have been enrolled in the U.S. and 90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Reprioritization.</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Post-Marketing Study Update</w:t>
      </w:r>
    </w:p>
    <w:p>
      <w:pPr>
        <w:spacing w:after="0" w:line="189" w:lineRule="exact"/>
        <w:rPr>
          <w:sz w:val="20"/>
          <w:szCs w:val="20"/>
          <w:color w:val="auto"/>
        </w:rPr>
      </w:pPr>
    </w:p>
    <w:p>
      <w:pPr>
        <w:ind w:left="60" w:right="339" w:firstLine="324"/>
        <w:spacing w:after="0" w:line="236" w:lineRule="auto"/>
        <w:rPr>
          <w:sz w:val="20"/>
          <w:szCs w:val="20"/>
          <w:color w:val="auto"/>
        </w:rPr>
      </w:pPr>
      <w:r>
        <w:rPr>
          <w:rFonts w:ascii="Times New Roman" w:cs="Times New Roman" w:eastAsia="Times New Roman" w:hAnsi="Times New Roman"/>
          <w:sz w:val="18"/>
          <w:szCs w:val="18"/>
          <w:color w:val="auto"/>
        </w:rPr>
        <w:t>On June 25, 2024, we announced positive topline results from our post-marketing requirement study evaluating whether tolerance, tachyphylaxis, or withdrawal occur following repeat dosing of the 180mg (highest approved dose)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This study was a single-arm, open-label study of 28 inpatient adults with frequent episodes of agitation associated with bipolar disorders or schizophrenia self-administered 180 mcg dose of IGALMI™ as needed over seven days. A total of 83 episodes were treated. The study achieved its objective and demonstrated no evidence of tachyphylaxis, tolerance, or withdrawal, and IGALMI was generally well tolerated during the study.</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202"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Investigator-Initiated Trial Programs</w:t>
      </w:r>
    </w:p>
    <w:p>
      <w:pPr>
        <w:spacing w:after="0" w:line="229"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color w:val="auto"/>
        </w:rPr>
        <w:t>The Company has been awarded key opportunities for the development of BXCL501 in post-traumatic stress disorder (“PTSD”), alcohol use disorder (“AUD”), and opioid use disorder (“OUD”). These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NIDA. The Company has retained all rights to commercialization of BXCL501 in all potential indications evaluated in clinical trials supported by the U.S. government.</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Program</w:t>
      </w:r>
    </w:p>
    <w:p>
      <w:pPr>
        <w:spacing w:after="0" w:line="229" w:lineRule="exact"/>
        <w:rPr>
          <w:sz w:val="20"/>
          <w:szCs w:val="20"/>
          <w:color w:val="auto"/>
        </w:rPr>
      </w:pPr>
    </w:p>
    <w:p>
      <w:pPr>
        <w:ind w:left="60" w:right="239"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previously announced, NIDA awarded a grant to Columbia University to fund clinical testing of BXCL501 as a potential treatment for opioid withdrawal in patients diagnosed with OUD. The original 160-patient, three-site, four-arm </w:t>
      </w:r>
      <w:r>
        <w:rPr>
          <w:rFonts w:ascii="Times New Roman" w:cs="Times New Roman" w:eastAsia="Times New Roman" w:hAnsi="Times New Roman"/>
          <w:sz w:val="18"/>
          <w:szCs w:val="18"/>
          <w:color w:val="212121"/>
        </w:rPr>
        <w:t>study is a randomized, double-blind, double-dummy inpatient study comparing BXCL501 (180 mcg and 240 mcg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To date, a</w:t>
      </w:r>
      <w:r>
        <w:rPr>
          <w:rFonts w:ascii="Times New Roman" w:cs="Times New Roman" w:eastAsia="Times New Roman" w:hAnsi="Times New Roman"/>
          <w:sz w:val="18"/>
          <w:szCs w:val="18"/>
          <w:color w:val="000000"/>
        </w:rPr>
        <w:t>ll three initial sites have recruited,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enrolled, and dosed patients diagnosed with OUD who are physically dependent on opioids, including prescription opioids. The Company is supplying the drug product for the conduct of this study, which is sponsored by Columbia University</w:t>
      </w:r>
      <w:r>
        <w:rPr>
          <w:rFonts w:ascii="Times New Roman" w:cs="Times New Roman" w:eastAsia="Times New Roman" w:hAnsi="Times New Roman"/>
          <w:sz w:val="18"/>
          <w:szCs w:val="18"/>
          <w:color w:val="212121"/>
        </w:rPr>
        <w:t>. We expect that the results from current study will be used to select a recommended dose of BXCL501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compare to placebo in a later outpatient Phase 3 study sponsored by </w:t>
      </w:r>
      <w:r>
        <w:rPr>
          <w:rFonts w:ascii="Times New Roman" w:cs="Times New Roman" w:eastAsia="Times New Roman" w:hAnsi="Times New Roman"/>
          <w:sz w:val="18"/>
          <w:szCs w:val="18"/>
          <w:color w:val="000000"/>
        </w:rPr>
        <w:t>NIDA.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On November 6, 2023, we announced that NIDA has requested Columbia University, the trial coordinator, to add a fourth site to target trial completion in 2024. The patient screening and enrollment process for the fourth site commenced in March 2024, and completion of the trial is anticipated in the first half of 2025, with a potential mid-study readout anticipated in the fourth quarter of 2024. Subject to favorable results, we plan to seek FDA feedback on potential registrational paths.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with Comorbid Post-traumatic Stress Disorder Program</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Yale is currently seeking approval from its IRB and allowance from the FDA to proceed with a trial evaluating the effects of up to 80 mcg BID of BXCL501 per day for 28 days on alcohol consumption, PTSD symptoms, cognitive function, memory, sleep, and mood in patients diagnosed with mild, moderate, or severe AUD and who meet Criterion A for comorbid PTSD. The new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is expected to start in the third quarter of 2024. We believe the results from this study will be used to inform a Phase 3 study intended to commence with support by the alliance.</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 Development</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is designed to affect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are currently under way with BXCL502.</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 Leveraging the AI Platform</w:t>
      </w:r>
    </w:p>
    <w:p>
      <w:pPr>
        <w:spacing w:after="0" w:line="189" w:lineRule="exact"/>
        <w:rPr>
          <w:sz w:val="20"/>
          <w:szCs w:val="20"/>
          <w:color w:val="auto"/>
        </w:rPr>
      </w:pPr>
    </w:p>
    <w:p>
      <w:pPr>
        <w:ind w:left="60" w:right="379" w:firstLine="324"/>
        <w:spacing w:after="0" w:line="281" w:lineRule="auto"/>
        <w:rPr>
          <w:sz w:val="20"/>
          <w:szCs w:val="20"/>
          <w:color w:val="auto"/>
        </w:rPr>
      </w:pPr>
      <w:r>
        <w:rPr>
          <w:rFonts w:ascii="Times New Roman" w:cs="Times New Roman" w:eastAsia="Times New Roman" w:hAnsi="Times New Roman"/>
          <w:sz w:val="17"/>
          <w:szCs w:val="17"/>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 and to re-innovate late-stage drug candidates, such as BXCL503, targeting apathy in dementia, and BXCL504, targeting aggression in dementia.</w:t>
      </w:r>
    </w:p>
    <w:p>
      <w:pPr>
        <w:spacing w:after="0" w:line="13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novel therapeutics and novel formulations of existing therapeutics across multiple therapeutic areas. We also plan to rely on data exclusivity, market exclusivity, and patent term extensions when available.</w:t>
      </w:r>
    </w:p>
    <w:p>
      <w:pPr>
        <w:spacing w:after="0" w:line="135" w:lineRule="exact"/>
        <w:rPr>
          <w:sz w:val="20"/>
          <w:szCs w:val="20"/>
          <w:color w:val="auto"/>
        </w:rPr>
      </w:pPr>
    </w:p>
    <w:p>
      <w:pPr>
        <w:ind w:left="60" w:right="219" w:firstLine="324"/>
        <w:spacing w:after="0" w:line="264"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July 19, 2024, our neuroscience patent portfolio included four Patent Cooperation Treaty (“PCT”) applications not yet in national phase, 19 U.S. utility applications, one U.S. provisional applications, one allowed US application, 13 issued U.S. utility patents, 112 pending non-U.S. utility applications, 23 allowed or granted non-U.S. patents (including four in Japan), one pending U.S. design patent application, and 39 allowed or registered design patents (including two in Japan). Ten U.S. utility patents, directed to our proprietary sublingual film formulation of Dex and methods of treating agitation, are listed in the FDA’s Approved Drug Products with Therapeutic Equivalence Evaluations (commonly known as the “Orange Book”) for IGALMI™ with expiration dates between 2039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We also have four PCT applications directed to treating mania, depression, stress and agitation. If patents are issued from those cases, we expect them to expire in 2043 or 2044.</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2024, the Company received:</w:t>
      </w:r>
    </w:p>
    <w:p>
      <w:pPr>
        <w:spacing w:after="0" w:line="212" w:lineRule="exact"/>
        <w:rPr>
          <w:sz w:val="20"/>
          <w:szCs w:val="20"/>
          <w:color w:val="auto"/>
        </w:rPr>
      </w:pPr>
    </w:p>
    <w:p>
      <w:pPr>
        <w:ind w:left="720" w:right="159" w:hanging="319"/>
        <w:spacing w:after="0" w:line="27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Allowance from the U.S. Patent and Trademark Office (“USPTO”) for U.S. Patent Application No. 18/443,689 (the “’689 Application”). The ’689 Application claims method of treating agitation using an oromucosal formulation of dexmedetomidine. This patent, when issued, is expected to have an expiration date of July 17, 2040; and</w:t>
      </w:r>
    </w:p>
    <w:p>
      <w:pPr>
        <w:spacing w:after="0" w:line="145" w:lineRule="exact"/>
        <w:rPr>
          <w:rFonts w:ascii="Times New Roman" w:cs="Times New Roman" w:eastAsia="Times New Roman" w:hAnsi="Times New Roman"/>
          <w:sz w:val="18"/>
          <w:szCs w:val="18"/>
          <w:color w:val="auto"/>
        </w:rPr>
      </w:pPr>
    </w:p>
    <w:p>
      <w:pPr>
        <w:ind w:left="720" w:right="239" w:hanging="319"/>
        <w:spacing w:after="0" w:line="27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Communication about the intention to grant a European patent from the European Patent Office for Patent Application No. 19826778.3 (the “19826778.3 Application”). The 19826778.3 Application claims a self-supporting, dissolvable, oromucosal film of dexmedetomidine for oral administration. This patent, when issued, is expected to expire no earlier than June 26, 2039.</w:t>
      </w:r>
    </w:p>
    <w:p>
      <w:pPr>
        <w:spacing w:after="0" w:line="145" w:lineRule="exact"/>
        <w:rPr>
          <w:sz w:val="20"/>
          <w:szCs w:val="20"/>
          <w:color w:val="auto"/>
        </w:rPr>
      </w:pPr>
    </w:p>
    <w:p>
      <w:pPr>
        <w:ind w:left="60" w:right="499" w:firstLine="324"/>
        <w:spacing w:after="0" w:line="274" w:lineRule="auto"/>
        <w:rPr>
          <w:sz w:val="20"/>
          <w:szCs w:val="20"/>
          <w:color w:val="auto"/>
        </w:rPr>
      </w:pPr>
      <w:r>
        <w:rPr>
          <w:rFonts w:ascii="Times New Roman" w:cs="Times New Roman" w:eastAsia="Times New Roman" w:hAnsi="Times New Roman"/>
          <w:sz w:val="18"/>
          <w:szCs w:val="18"/>
          <w:color w:val="auto"/>
        </w:rPr>
        <w:t>In May 2024, the Company also received Japanese Patent No. 7488201 (the “’201 Patent”). The ‘201 Patent is directed to compositions and dissolvable, mucoadhesive films that contain dexmedetomidine. This patent is expected expire no earlier than June 26, 2039.</w:t>
      </w:r>
    </w:p>
    <w:p>
      <w:pPr>
        <w:spacing w:after="0" w:line="155" w:lineRule="exact"/>
        <w:rPr>
          <w:sz w:val="20"/>
          <w:szCs w:val="20"/>
          <w:color w:val="auto"/>
        </w:rPr>
      </w:pPr>
    </w:p>
    <w:p>
      <w:pPr>
        <w:ind w:left="60" w:right="379" w:firstLine="324"/>
        <w:spacing w:after="0" w:line="274" w:lineRule="auto"/>
        <w:rPr>
          <w:sz w:val="20"/>
          <w:szCs w:val="20"/>
          <w:color w:val="auto"/>
        </w:rPr>
      </w:pPr>
      <w:r>
        <w:rPr>
          <w:rFonts w:ascii="Times New Roman" w:cs="Times New Roman" w:eastAsia="Times New Roman" w:hAnsi="Times New Roman"/>
          <w:sz w:val="18"/>
          <w:szCs w:val="18"/>
          <w:color w:val="auto"/>
        </w:rPr>
        <w:t>In June 2024, the Company received U.S. Pat. No. 11,998,528, which is directed to methods of treating acute agitation associated with schizophrenia or bipolar disorder. The patent is expected to expire no earlier than January 12, 2043.</w:t>
      </w:r>
    </w:p>
    <w:p>
      <w:pPr>
        <w:spacing w:after="0" w:line="142" w:lineRule="exact"/>
        <w:rPr>
          <w:sz w:val="20"/>
          <w:szCs w:val="20"/>
          <w:color w:val="auto"/>
        </w:rPr>
      </w:pPr>
    </w:p>
    <w:p>
      <w:pPr>
        <w:ind w:left="60" w:right="259" w:firstLine="324"/>
        <w:spacing w:after="0" w:line="329" w:lineRule="auto"/>
        <w:rPr>
          <w:sz w:val="20"/>
          <w:szCs w:val="20"/>
          <w:color w:val="auto"/>
        </w:rPr>
      </w:pPr>
      <w:r>
        <w:rPr>
          <w:rFonts w:ascii="Times New Roman" w:cs="Times New Roman" w:eastAsia="Times New Roman" w:hAnsi="Times New Roman"/>
          <w:sz w:val="17"/>
          <w:szCs w:val="17"/>
          <w:color w:val="auto"/>
        </w:rPr>
        <w:t>In June 2024, the Company also received U.S. Pat. No 11,998,529, which is directed to methods of treating agitation using an oromucosal formulation of dexmedetomidine. The patent is expected to expire no earlier than July 17, 2040.</w:t>
      </w:r>
    </w:p>
    <w:p>
      <w:pPr>
        <w:spacing w:after="0" w:line="99" w:lineRule="exact"/>
        <w:rPr>
          <w:sz w:val="20"/>
          <w:szCs w:val="20"/>
          <w:color w:val="auto"/>
        </w:rPr>
      </w:pPr>
    </w:p>
    <w:p>
      <w:pPr>
        <w:ind w:left="60" w:right="319" w:firstLine="324"/>
        <w:spacing w:after="0" w:line="292" w:lineRule="auto"/>
        <w:rPr>
          <w:sz w:val="20"/>
          <w:szCs w:val="20"/>
          <w:color w:val="auto"/>
        </w:rPr>
      </w:pPr>
      <w:r>
        <w:rPr>
          <w:rFonts w:ascii="Times New Roman" w:cs="Times New Roman" w:eastAsia="Times New Roman" w:hAnsi="Times New Roman"/>
          <w:sz w:val="17"/>
          <w:szCs w:val="17"/>
          <w:color w:val="auto"/>
        </w:rPr>
        <w:t>In July 2024, the Company received a Notice of Allowance from the U.S. Patent and Trademark Office (“USPTO”) for U.S. Patent Application No. 18/526,686 (the “’686 Application”). The ’686 Application claims methods of treating mild or moderate agitation associated with schizophrenia or bipolar I or II disorder in a human subject having severe hepatic impairment. This patent, when issued, is expected to have an expiration date of January 12, 2043.</w:t>
      </w:r>
    </w:p>
    <w:p>
      <w:pPr>
        <w:spacing w:after="0" w:line="14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to develop potentially transformative medicines in oncology. OnkosXcel uses proprietary AI capabilities to drive the capital-efficient development of innovative anti-cancer therapeutics. On March 14, 2023, we announced that OnkosXcel had 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have generally been paused, except as noted below.</w:t>
      </w:r>
    </w:p>
    <w:p>
      <w:pPr>
        <w:spacing w:after="0" w:line="14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complemented by EvolverAI, utilized in the successful development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has designated as a Fast Track development program the investigation of BXCL701 in combination with a checkpoint inhibitor for the treatment of patients with metastatic SCNC with progression on chemotherapy and no evidence of microsatellite instability. We intend to finalize a potential registrational trial design in mCRPC patients with SCNC phenotype following planned meetings with the FDA in the first half of 2024. However, the start of any such trial is paused following our Reprioritization.</w:t>
      </w:r>
    </w:p>
    <w:p>
      <w:pPr>
        <w:spacing w:after="0" w:line="163"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CPIs therapeutic utility. We believe BXCL701 can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potentially provide significant benefits for the approximately 20% of the estimated 299,010 men who will be diagnosed with prostate cancer in the U.S. in 2024 and are expected to progress to the more aggressive mCRPC form of the disease, including approximately 20%, or 11,960, of those patients who will develop the SCNC phenotype, for which there are currently limited treatment options. 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 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170"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45" w:lineRule="exact"/>
        <w:rPr>
          <w:sz w:val="20"/>
          <w:szCs w:val="20"/>
          <w:color w:val="auto"/>
        </w:rPr>
      </w:pPr>
    </w:p>
    <w:p>
      <w:pPr>
        <w:ind w:left="720" w:right="25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31"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47"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20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 We are working to develop our second AI-driven product candidate, BXCL702, by leveraging our innate immunity modulation program via re-innovation or in-licensing and we intend to nominate a candidate by 2025.</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w:t>
      </w:r>
    </w:p>
    <w:p>
      <w:pPr>
        <w:spacing w:after="0" w:line="202"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With our Strategic Reprioritization announcement on August 14, 2023, further work on our immuno-oncology program has been paused, other than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102235</wp:posOffset>
            </wp:positionV>
            <wp:extent cx="5503545" cy="2400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35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complemented by EvolverAI,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1b/2a clinical proof-of-concept trial as a potential treatment for mCRPC with either SCNC or adenocarcinoma phenotype. Fundamental to the innate immune modulation program is BXCL701’s potential to:</w:t>
      </w:r>
    </w:p>
    <w:p>
      <w:pPr>
        <w:spacing w:after="0" w:line="161"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Innate Immune Activator</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BXCL701 is an oral small molecule inhibitor of a class of enzymes called DPPs, specifically DPP8/9 and DPP4. Inhibition of DPP8/9 initiates activation of the inflammasome and ultimately activation of the innate immune system. Key characteristics of BXCL701 include:</w:t>
      </w:r>
    </w:p>
    <w:p>
      <w:pPr>
        <w:spacing w:after="0" w:line="135" w:lineRule="exact"/>
        <w:rPr>
          <w:sz w:val="20"/>
          <w:szCs w:val="20"/>
          <w:color w:val="auto"/>
        </w:rPr>
      </w:pPr>
    </w:p>
    <w:p>
      <w:pPr>
        <w:ind w:left="720" w:right="41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bioavailable, potentially sole inhibitor of both DPP8/9 and DPP4, key regulators of the inflammasome directed innate immune response, currently in clinical development for cancer.</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proposed mechanism of action may complement CPIs activity, enabling therapeutic access to immunologically cold tumors as well as other difficult-to-treat cancers, including relapsed or refractory tumor types.</w:t>
      </w:r>
    </w:p>
    <w:p>
      <w:pPr>
        <w:spacing w:after="0" w:line="148"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proof-of-concept achieved in treating mCRPC patients with either adenocarcinoma or SCNC phenotype.</w:t>
      </w:r>
    </w:p>
    <w:p>
      <w:pPr>
        <w:spacing w:after="0" w:line="121"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initial focus on mCRPC with SCNC phenotype is designed to provide for a more efficient clinical development pathway than current industry standards.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202"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3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BXCL701 is being evaluated in a Phase 1b/2a clinical proof-of-concept trial that we are sponsoring to investigate its potential efficacy when used in combination with pembrolizumab. Enrollment in this trial is complete.</w:t>
      </w:r>
    </w:p>
    <w:p>
      <w:pPr>
        <w:spacing w:after="0" w:line="121"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received feedback regarding dose-optimization for use in future studies. However, the start of any such additional trial is paused following the Company’s Reprioritization. The Phase 1b portion of our Phase 1b/2 clinical trial was a dose escalation safety lead-in which employed a standard 3 x 3 trial design to determine the recommended Phase 2 dose (“RP2D”). During each 21-day treatment cycle, 200 mg of pembrolizumab were administered intravenously on day one, with BXCL701 taken twice daily on days one through 14, for a minimum of two cycles. The results of this Phase 1b trial, which were presented at The Society for Immunotherapy of Cancer’s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Annual Meeting, allowed us to identify 0.3 mg, taken twice daily, as the RP2D.</w:t>
      </w:r>
    </w:p>
    <w:p>
      <w:pPr>
        <w:spacing w:after="0" w:line="20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6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the cutoff date of December 19, 2022, AEs consistent with cytokine activation, including fever, nausea, chills, fatigue, headache, and dizziness were observed during the trial and were generally mild to moderate. SAEs experienced by six trial participants - one patient hospitalized with Grade 1 orthostatic hypotension, one patient hospitalized with Grade 3 hypotension and acute kidney injury (“AKI”), which resolved, one patient with Grade 3 hypothyroidism which resolved, one patient with Grade 3 colitis, one patient with Grade 3 generalized oedema, and one patient hospitalized with Grade 4/5 tumor lysis syndrome/AKI, which resulted in fatality after the patient voluntarily discontinued dialysis - were reported as related or possibly related to BXCL701 or pembrolizumab, though there was no evidence that BXCL701 potentiated immune-related AEs associated with CPIs.</w:t>
      </w:r>
    </w:p>
    <w:p>
      <w:pPr>
        <w:spacing w:after="0" w:line="165"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On October 10, 2023, we reported positive overall survival (OS) results from the Phase 2a portion of the trial in SCNC patients. BXCL701 in combination with pembrolizumab demonstrated a compelling median OS and 12-month survival rate. As of a data cutoff of September 6, 2023, evaluable patients with SCNC (n = 28) showed a median OS of 13.6 months (95% CI 10.9–NR), and a 12-month survival rate of 56.5%.</w:t>
      </w:r>
    </w:p>
    <w:p>
      <w:pPr>
        <w:spacing w:after="0" w:line="139"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On February 12, 2024 the Company announced that the FDA designated as a Fast Track development program the investigation of BXCL701 in combination with a checkpoint inhibitor for treatment of patients with metastatic SCNC with progression on chemotherapy and no evidence of microsatellite instability.</w:t>
      </w:r>
    </w:p>
    <w:p>
      <w:pPr>
        <w:spacing w:after="0" w:line="1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Updated results for this trial cohort were also presented at PCF 2023. BXCL701 in combination with pembrolizumab demonstrated a 21% (six out of 29 evaluable patients) composite response rate in mCRPC patients with adenocarcinoma phenotype, for whom there are limited treatment options. As of a cutoff date of September 6, 2023, five of these composite responders were RECIST 1.1 responders (four confirmed responses and one unconfirmed response) with decreases in tumor size ranging from -30% to -99% and a median duration of response to 19 months.</w:t>
      </w:r>
    </w:p>
    <w:p>
      <w:pPr>
        <w:spacing w:after="0" w:line="18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As of the cutoff date of December 19, 2022, the majority of AEs experienced by patients in the adenocarcinoma cohort were low grade. AEs consistent with cytokine activation were observed, including fever, myalgia, nausea, chills, fatigue, dyspnea, headache and dizziness. SAEs experienced by five patients (12%) were reported as possibly related to BXCL701 or pembrolizumab: two reports of hypotension; one report of dizziness; one report of peripheral edema; one report of pyrexia; one report of Myasthenia Gravis; and one report of Cytokine Release Syndrome. Two patients (5%) discontinued therapy due to AEs. There was no evidence that BXCL701 potentiated immune-related AEs related to CPIs. The table below summarizes treatment-related AEs observed in the adenocarcinoma cohort.</w:t>
      </w:r>
    </w:p>
    <w:p>
      <w:pPr>
        <w:spacing w:after="0" w:line="18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November 8, 2023, we reported positive OS results from the Phase 2a portion of the trial in patients with adenocarcinoma. As of a data cutoff of September 6, 2023, among evaluable patients with adenocarcinoma (n = 29) BXCL701 in combination with pembrolizumab demonstrated a median OS of 15.5 months (95% CI 9.6–NR), and a 12-month survival rate of 59.3%.</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202"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American Cancer Society estimates that in 2024, about 35,187 cases of SCLC will be diagnosed in the U.S. Approximately 60-70% of these patients present with extensive disease, and first-line therapy for a majority of these patients involves the combination of a CPI with platinum-based chemotherapy or etoposide.</w:t>
      </w:r>
    </w:p>
    <w:p>
      <w:pPr>
        <w:spacing w:after="0" w:line="13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ongoing SCNC clinical trial. We are considering conducting a potential Phase 1b/2 dose-escalation safety lead-in study in effort to establish a RP2D with atezolizumab. However, the start of any pre-clinical work supporting such trial is paused following the Reprioritization.</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202" w:lineRule="exact"/>
        <w:rPr>
          <w:sz w:val="20"/>
          <w:szCs w:val="20"/>
          <w:color w:val="auto"/>
        </w:rPr>
      </w:pPr>
    </w:p>
    <w:p>
      <w:pPr>
        <w:ind w:left="60" w:right="459" w:firstLine="324"/>
        <w:spacing w:after="0" w:line="289" w:lineRule="auto"/>
        <w:rPr>
          <w:sz w:val="20"/>
          <w:szCs w:val="20"/>
          <w:color w:val="auto"/>
        </w:rPr>
      </w:pPr>
      <w:r>
        <w:rPr>
          <w:rFonts w:ascii="Times New Roman" w:cs="Times New Roman" w:eastAsia="Times New Roman" w:hAnsi="Times New Roman"/>
          <w:sz w:val="17"/>
          <w:szCs w:val="17"/>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The American Cancer Society estimates that in 2024, approximately 66,440 cases of pancreatic cancer will be diagnosed in the U.S. We are supporting a Phase 2 investigator-sponsored trial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started in the first half of 2024. On April 24, 2024, we announced that the late breaking abstract entitled “Phase II trial of BXCL701 and pembrolizumab in patients with metastatic pancreatic ductal adenocarcinoma (EXPEL-PANC): Preliminary findings,” was selected for presentation at the poster session at the 2024 American Society of Clinical Oncology (ASCO) Annual Meeting that took place in Chicago, Illinois from May 31 to June 4, 2024. Investigators reported that, as of the applicable cutoff date, one patient was progression-free at 18 weeks, three patients showed substantial reductions in serum CA19-9, a tumor marker that may correlate with increased T-cell infiltration, and one patient showed a best response of partial responses, out of six patients that had been treated with the combination.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20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estimates that in 2024, approximately 20,800 new cases of AML will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This trial started in the first quarter of 2023.</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Subject to successful completion of this Phase 1b trial, we anticipate that Dana-Farber will conduct further studies to determine BXCL701's objective response rate in AML in combination with the standard of care.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7"/>
          <w:szCs w:val="17"/>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that were either refractory to CPI therapy or had relapsed while on CPI therapy, meaning that no further response to CPI treatment is anticipated among patients in the second cohort. Trial participants received 200 mg of pembrolizumab on day 1 of a 21-day cycle, with 0.2 mg of BXCL701 administered twice-daily (“BID”) on days 1 through 7 during the first cycle, the dose increasing to 0.3 mg BID on Days 8 through 14 during the first and the subsequent cycles. Evaluable trial participants were required to receive a minimum of two treatment cycles. A preliminary assessment of BXCL701 dosed in combination with a CPI, as of completion of the first stage, noted responses in one patient in each of the CPI naïve and CPI refractory/relapsed cohorts, including a partial response in CPI-naïve, microsatellite stable endometrial carcinoma, PD-L1 negative (CPS &lt;1) and a partial response in CPI-refractory uveal melanoma. These preliminary results were presented at the 2021 American Society of Clinical Oncology annual meeting (ASCO 2021). Patient enrollment in this trial was completed in the third quarter of 2022.</w:t>
      </w:r>
    </w:p>
    <w:p>
      <w:pPr>
        <w:spacing w:after="0" w:line="141"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4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189"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At the Society for Immunotherapy of Cancer’s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(SITC 2023), we presented data from the Phase 2a trial in SCNC patients, which indicated DPP9 overexpression is a potential response-predictive biomarker of BXCL701 and pembrolizumab combination treatment in mCRPC patients with SCNC phenotype.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202"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As of July 19, 2024,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2039.</w:t>
      </w:r>
    </w:p>
    <w:p>
      <w:pPr>
        <w:spacing w:after="0" w:line="151"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Additional applications are directed to administering BXCL701 in combination with various other molecules, biomarkers, and dosing regimens. We also have four PCT applications directed to novel formulations of BXCL701, various dosing regimens, methods of use, combination therapies, and to methods of treating small cell lung cancer. We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also have a provisional application directed to biomarkers. We expect that any patents issuing from the PCT and provisional applications will expire no earlier than 2043 to 2044.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jc w:val="both"/>
        <w:ind w:left="60" w:right="279" w:firstLine="324"/>
        <w:spacing w:after="0" w:line="226" w:lineRule="auto"/>
        <w:rPr>
          <w:sz w:val="20"/>
          <w:szCs w:val="20"/>
          <w:color w:val="auto"/>
        </w:rPr>
      </w:pPr>
      <w:r>
        <w:rPr>
          <w:rFonts w:ascii="Times New Roman" w:cs="Times New Roman" w:eastAsia="Times New Roman" w:hAnsi="Times New Roman"/>
          <w:sz w:val="18"/>
          <w:szCs w:val="18"/>
          <w:color w:val="auto"/>
        </w:rPr>
        <w:t>Revenues relate to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and six months ended June 30, 2024 and 2023 were as follows: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7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6"/>
        </w:trPr>
        <w:tc>
          <w:tcPr>
            <w:tcW w:w="4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 We may also incur costs to comply with corporate governance, internal controls, investor relations and disclosures and similar requirements applicable to public companies.</w:t>
      </w:r>
    </w:p>
    <w:p>
      <w:pPr>
        <w:spacing w:after="0" w:line="143"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With our Reprioritization substantially completed as of December 31, 2023, we expect that our selling, general and administrative expenses will decline due to the restructured commercialization plan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0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August 8, 2023, our Board of Directors approved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 in the institutional setting, a reduction of in-hospital commercialization expenses, a suspension of programs no longer determined to be core to ongoing operations, and a prioritization of at-home treatment setting opportunities for BXCL501.</w:t>
      </w:r>
    </w:p>
    <w:p>
      <w:pPr>
        <w:spacing w:after="0" w:line="14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Annual operating expenses are expected to be reduced by approximately $80,000.</w:t>
      </w:r>
    </w:p>
    <w:p>
      <w:pPr>
        <w:spacing w:after="0" w:line="13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for the year ended December 31, 2023. These costs consisted of severance and benefit payments of $4,063 and contract termination costs of $100, which were paid in cash. The Company paid $3,998 of severance and benefit costs and $100 of contract termination costs during the year ended December 31, 2023. As of December 31, 2023, the Reprioritization was substantially completed and the remaining costs were paid during the three months ended March 31, 2024.</w:t>
      </w:r>
    </w:p>
    <w:p>
      <w:pPr>
        <w:spacing w:after="0" w:line="156" w:lineRule="exact"/>
        <w:rPr>
          <w:sz w:val="20"/>
          <w:szCs w:val="20"/>
          <w:color w:val="auto"/>
        </w:rPr>
      </w:pPr>
    </w:p>
    <w:p>
      <w:pPr>
        <w:ind w:left="60" w:right="359"/>
        <w:spacing w:after="0" w:line="254" w:lineRule="auto"/>
        <w:rPr>
          <w:sz w:val="20"/>
          <w:szCs w:val="20"/>
          <w:color w:val="auto"/>
        </w:rPr>
      </w:pPr>
      <w:r>
        <w:rPr>
          <w:rFonts w:ascii="Times New Roman" w:cs="Times New Roman" w:eastAsia="Times New Roman" w:hAnsi="Times New Roman"/>
          <w:sz w:val="18"/>
          <w:szCs w:val="18"/>
          <w:color w:val="auto"/>
        </w:rPr>
        <w:t>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 Management believes that, after giving effect to the Reprioritization and additional restructuring activities completed, the Company’s cash and cash equivalents of $56,271 as of June 30, 2024 will allow the Company to fund its operations and meet its liquidity requirements through the end of 2024.</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as our loans provided under the Credit Agreement are subject to floating interest rates following our December 2023 amendment to the Credit Agreement and, if we meet required milestones, we may draw down additional funds under the Credit Agreement.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 on Form 10-Q.</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380" w:right="3699"/>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Months Ended June 30, 2024 and 2023 </w:t>
      </w:r>
      <w:r>
        <w:rPr>
          <w:rFonts w:ascii="Times New Roman" w:cs="Times New Roman" w:eastAsia="Times New Roman" w:hAnsi="Times New Roman"/>
          <w:sz w:val="18"/>
          <w:szCs w:val="18"/>
          <w:b w:val="1"/>
          <w:bCs w:val="1"/>
          <w:i w:val="1"/>
          <w:iCs w:val="1"/>
          <w:color w:val="auto"/>
        </w:rPr>
        <w:t>Product Revenue, Net</w:t>
      </w:r>
    </w:p>
    <w:p>
      <w:pPr>
        <w:ind w:left="380"/>
        <w:spacing w:after="0" w:line="196"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launched in July 2022. As part of the Company’s Reprioritization, the IGALMI</w:t>
      </w:r>
      <w:r>
        <w:rPr>
          <w:rFonts w:ascii="Times New Roman" w:cs="Times New Roman" w:eastAsia="Times New Roman" w:hAnsi="Times New Roman"/>
          <w:sz w:val="26"/>
          <w:szCs w:val="26"/>
          <w:color w:val="auto"/>
          <w:vertAlign w:val="superscript"/>
        </w:rPr>
        <w:t>TM</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commercial team shifted focus to a hospital/contracting strategy with a CAD team. The goal of the realigned CAD team is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work with large IDNs and drive sales utilizing a top-down approach, allowing the Company to continue to make</w:t>
      </w:r>
    </w:p>
    <w:p>
      <w:pPr>
        <w:ind w:left="60"/>
        <w:spacing w:after="0" w:line="181" w:lineRule="auto"/>
        <w:rPr>
          <w:sz w:val="20"/>
          <w:szCs w:val="20"/>
          <w:color w:val="auto"/>
        </w:rPr>
      </w:pPr>
      <w:r>
        <w:rPr>
          <w:rFonts w:ascii="Times New Roman" w:cs="Times New Roman" w:eastAsia="Times New Roman" w:hAnsi="Times New Roman"/>
          <w:sz w:val="18"/>
          <w:szCs w:val="18"/>
          <w:color w:val="auto"/>
        </w:rPr>
        <w:t>inroads into the institutional market in a more cost-efficient manner.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revenue, net was $1,104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$457 in the three months ended June 30, 2024 and 2023, respectively. The increase in sales was primarily due to increased</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penetration, resulting from the implementation of our new sales strategy.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59" w:firstLine="324"/>
        <w:spacing w:after="0" w:line="227" w:lineRule="auto"/>
        <w:rPr>
          <w:sz w:val="20"/>
          <w:szCs w:val="20"/>
          <w:color w:val="auto"/>
        </w:rPr>
      </w:pPr>
      <w:r>
        <w:rPr>
          <w:rFonts w:ascii="Times New Roman" w:cs="Times New Roman" w:eastAsia="Times New Roman" w:hAnsi="Times New Roman"/>
          <w:sz w:val="18"/>
          <w:szCs w:val="18"/>
          <w:color w:val="auto"/>
        </w:rPr>
        <w:t>Cost of goods sold for the three months ended June 30, 2024 and 2023, were $62 and $26, respectively. Cost of goods sold is primarily related to the costs to produce, package and deliver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increase in Cost of goods sold for the three months ended June 30, 2024 is the result of the increase in the units sold compared to the same prior year period. There were no charges for reserves for excess or obsolete inventory in the three months ended June 30, 2024 and 2023.</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June 30,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(8,869)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$18,941 for the three months ended June 30, 2024 relative to the same period in 2023 was primarily attributable to:</w:t>
      </w:r>
    </w:p>
    <w:p>
      <w:pPr>
        <w:spacing w:after="0" w:line="135" w:lineRule="exact"/>
        <w:rPr>
          <w:sz w:val="20"/>
          <w:szCs w:val="20"/>
          <w:color w:val="auto"/>
        </w:rPr>
      </w:pPr>
    </w:p>
    <w:p>
      <w:pPr>
        <w:ind w:left="720" w:right="31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trials expense as a result of reduced costs associated with the wind down of the SERENITY III study evaluating BXCL501 for at-home use for the acute treatment of agitation related to schizophrenia and bipolar disorders, as well as the TRANQUILITY II and III study of BXCL501 for the potential treatment of agitation in patients with Alzheimer’s disease.</w:t>
      </w:r>
    </w:p>
    <w:p>
      <w:pPr>
        <w:spacing w:after="0" w:line="139"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2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Reprioritization and further reduction in force in May 2024.</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 associated with producing materials for our clinical trials of BXCL501 and BXCL701 for the treatment of prostate and lung cancers due to decreased clinical trial activities.</w:t>
      </w:r>
    </w:p>
    <w:p>
      <w:pPr>
        <w:spacing w:after="0" w:line="141"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2024 and 2023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$16,422 for the three months ended June 30, 2024, relative to the same period in 2023 was primarily attributable to:</w:t>
      </w:r>
    </w:p>
    <w:p>
      <w:pPr>
        <w:spacing w:after="0" w:line="121"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Reprioritization.</w:t>
      </w:r>
    </w:p>
    <w:p>
      <w:pPr>
        <w:spacing w:after="0" w:line="198" w:lineRule="exact"/>
        <w:rPr>
          <w:rFonts w:ascii="Times New Roman" w:cs="Times New Roman" w:eastAsia="Times New Roman" w:hAnsi="Times New Roman"/>
          <w:sz w:val="18"/>
          <w:szCs w:val="18"/>
          <w:color w:val="auto"/>
        </w:rPr>
      </w:pPr>
    </w:p>
    <w:p>
      <w:pPr>
        <w:ind w:left="720" w:right="299" w:hanging="319"/>
        <w:spacing w:after="0" w:line="285"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 as result of higher spending in 2023 related to media, marketing and data and business analytics costs associated with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travel and other costs as a result of the commercial launch activities that occurred in 2023 and the Reprioritization impact on 2024.</w:t>
      </w:r>
    </w:p>
    <w:p>
      <w:pPr>
        <w:spacing w:after="0" w:line="121"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 and other restructuring actions.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Restructuring costs charged in the three months ended June 30, 2024 was $856 related to the reduction in force that occurred in May 2024. No restructuring costs were charged in the three months ended June 30, 2023.</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$3,700 for the three months ended June 30, 2024 from $3,259 in the same period in 2023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$671 for the three months ended June 30, 2024 compared to $1,621 for three months ended June 30, 2023, due to lower average cash balances during the year. Other (income) expense, net is primarily associated with changes in fair value of derivative financial instruments for the period, which relate to instruments associated with the Credit Agreement and the March 2024 registered direct equity offering.</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ind w:left="60" w:right="199" w:firstLine="324"/>
        <w:spacing w:after="0" w:line="226"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revenue, net was $1,686 and $663 in the six months ended June 30, 2024 and 2023, respectively. The increase in sales was primarily due to increased market penetration, resulting from the implementation of our new sales strategy.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219" w:firstLine="324"/>
        <w:spacing w:after="0" w:line="236" w:lineRule="auto"/>
        <w:rPr>
          <w:sz w:val="20"/>
          <w:szCs w:val="20"/>
          <w:color w:val="auto"/>
        </w:rPr>
      </w:pPr>
      <w:r>
        <w:rPr>
          <w:rFonts w:ascii="Times New Roman" w:cs="Times New Roman" w:eastAsia="Times New Roman" w:hAnsi="Times New Roman"/>
          <w:sz w:val="18"/>
          <w:szCs w:val="18"/>
          <w:color w:val="auto"/>
        </w:rPr>
        <w:t>Cost of goods sold for the six months ended June 30, 2024 and 2023, were $141 and $34, respectively. Cost of goods sold is primarily related to the costs to produce, package and deliver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customers, as well as costs related to excess or obsolete inventory. The increase in Cost of goods sold for the six months ended June 30, 2024 was the result of the increase in the units sold compared to the same prior year period and the increase in the reserve for excess and obsolete inventory. There were no charges for reserves for excess or obsolete inventory in the six months ended June 30, 2023.</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six months ended June 30, 2024 and 2023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$35,340 for the six months ended June 30, 2024 relative to the same period in 2023 was primarily attributable to:</w:t>
      </w:r>
    </w:p>
    <w:p>
      <w:pPr>
        <w:spacing w:after="0" w:line="121" w:lineRule="exact"/>
        <w:rPr>
          <w:sz w:val="20"/>
          <w:szCs w:val="20"/>
          <w:color w:val="auto"/>
        </w:rPr>
      </w:pPr>
    </w:p>
    <w:p>
      <w:pPr>
        <w:ind w:left="720" w:right="19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trials expense as a result of reduced costs associated with the wind down of the SERENITY III study evaluating BXCL501 for at-home use for the acute treatment of agitation related to schizophrenia and bipolar disorders, as well as the TRANQUILITY II study of BXCL501 for the potential treatment of agitation in patients with Alzheimer’s disease.</w:t>
      </w:r>
    </w:p>
    <w:p>
      <w:pPr>
        <w:spacing w:after="0" w:line="139"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Reprioritization and further reduction in force in May 2024.</w:t>
      </w:r>
    </w:p>
    <w:p>
      <w:pPr>
        <w:spacing w:after="0" w:line="134"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 associated with producing materials for our clinical trials of BXCL501 and BXCL701 for the treatment of prostate and lung cancers due to decreased clinical trial activities.</w:t>
      </w:r>
    </w:p>
    <w:p>
      <w:pPr>
        <w:spacing w:after="0" w:line="13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 and other restructuring actions.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(12,332)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$26,752 for the six months ended June 30, 2024, relative to the same period in 2023 was primarily attributable to:</w:t>
      </w:r>
    </w:p>
    <w:p>
      <w:pPr>
        <w:spacing w:after="0" w:line="121"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Reprioritization.</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professional fees, primarily related to higher legal costs related to our corporate operating support levels, primarily offset by reductions in consulting fees.</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 as result of higher spending in 2023 related to media, marketing and data and business analytics costs associated with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travel and other costs as a result of the commercial launch activities that occurred in 2023 and the Reprioritization impact on 2024.</w:t>
      </w:r>
    </w:p>
    <w:p>
      <w:pPr>
        <w:spacing w:after="0" w:line="134"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 and other restructuring actions.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Restructuring costs charged in the six months ended June 30, 2024 was $856 related to the reduction in force that occurred in May 2024. No restructuring costs were charged in the six months ended June 30, 2023.</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$7,307 for the six months ended June 30, 2024 from $6,627 in the same period in 2023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$1,618 for the six months ended June 30, 2024 compared to $3,636 for six months ended June 30, 2023, due to lower average cash balances during the year. Other (income) expense, net is primarily associated with changes in fair value of derivative financial instruments for the period, which relate to instruments associated with the Credit Agreement and the March 2024 registered direct equity offering.</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Healthcare reform measures could hinder or prevent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 commercial success.</w:t>
      </w:r>
      <w:r>
        <w:rPr>
          <w:rFonts w:ascii="Times New Roman" w:cs="Times New Roman" w:eastAsia="Times New Roman" w:hAnsi="Times New Roman"/>
          <w:sz w:val="18"/>
          <w:szCs w:val="18"/>
          <w:color w:val="auto"/>
        </w:rPr>
        <w:t>” in Part II, Item 1A, “Risk Factors” elsewhere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219" w:firstLine="324"/>
        <w:spacing w:after="0" w:line="272" w:lineRule="auto"/>
        <w:rPr>
          <w:sz w:val="20"/>
          <w:szCs w:val="20"/>
          <w:color w:val="auto"/>
        </w:rPr>
      </w:pPr>
      <w:r>
        <w:rPr>
          <w:rFonts w:ascii="Times New Roman" w:cs="Times New Roman" w:eastAsia="Times New Roman" w:hAnsi="Times New Roman"/>
          <w:sz w:val="17"/>
          <w:szCs w:val="17"/>
          <w:color w:val="auto"/>
        </w:rPr>
        <w:t>As of June 30, 2024, we had cash and cash equivalents of $56,271, working capital of $36,893 and stockholders’ deficit of $74,301. Net cash used in operating activities was $40,880 and $90,559 for the six months ended June 30, 2024 and 2023, respectively. We incurred losses of approximately $35,090 and $106,311 for the six months ended June 30,</w:t>
      </w:r>
    </w:p>
    <w:p>
      <w:pPr>
        <w:spacing w:after="0" w:line="2"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2024 and 2023,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53"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56" w:lineRule="exact"/>
        <w:rPr>
          <w:sz w:val="20"/>
          <w:szCs w:val="20"/>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compelled to pursue alternative options, including, without limitation, implementing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further workforce reductions, reducing or ceasing product development programs and advancement of our clinical trials and product candidates, selling our assets or seeking other strategic alternatives. See “Risks Related to Financial Position and Need for Additional Capital — We will need substantial additional funding, and if we are unable to raise capital when needed, we could be forced to delay, reduce or eliminate our product development programs or commercialization efforts or otherwise seek strategic alternatives.” in Part II. Item 1A., “Risk Factors” elsewhere in this Quarterly Report on Form 10-Q. Further, if we are unable to raise additional capital or successfully consummate a strategic transaction, we may trigger an event of default under our Credit Agreement. See “Risks Related to Financial Position and Need for Additional Capital — We have identified conditions and events that raise substantial doubt regarding our ability to continue as a going concern.” in Part II. Item 1A., “Risk Factors” elsewhere in this Quarterly Report on Form 10-Q.</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 borrowings under strategic financing arrangements (as described below). We have not yet established an ongoing source of revenue sufficient to cover our operating costs and will need to do so in future periods.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02" w:lineRule="exact"/>
        <w:rPr>
          <w:sz w:val="20"/>
          <w:szCs w:val="20"/>
          <w:color w:val="auto"/>
        </w:rPr>
      </w:pPr>
    </w:p>
    <w:p>
      <w:pPr>
        <w:ind w:left="60" w:right="219" w:firstLine="324"/>
        <w:spacing w:after="0" w:line="241" w:lineRule="auto"/>
        <w:rPr>
          <w:sz w:val="20"/>
          <w:szCs w:val="20"/>
          <w:color w:val="auto"/>
        </w:rPr>
      </w:pPr>
      <w:r>
        <w:rPr>
          <w:rFonts w:ascii="Times New Roman" w:cs="Times New Roman" w:eastAsia="Times New Roman" w:hAnsi="Times New Roman"/>
          <w:sz w:val="18"/>
          <w:szCs w:val="18"/>
          <w:color w:val="auto"/>
        </w:rPr>
        <w:t>In April 2022, we entered into two financing agreements: the Credit Agreement and the RIFA. Pursuant to the Credit Agreement, the Lenders originally agreed to provide us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 (i) warrants to purchase up to 278 shares of our common stock (the “Original Warrants”), (ii) rights to purchase up to $5,000 of our common stock and (iii) warrants to purchase up to 175 individual ownership units (i.e., not in thousands) in OnkosXcel (the “OnkosXcel Warrants”).</w:t>
      </w:r>
    </w:p>
    <w:p>
      <w:pPr>
        <w:spacing w:after="0" w:line="15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November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are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1"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In December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60" w:lineRule="exact"/>
        <w:rPr>
          <w:sz w:val="20"/>
          <w:szCs w:val="20"/>
          <w:color w:val="auto"/>
        </w:rPr>
      </w:pPr>
    </w:p>
    <w:p>
      <w:pPr>
        <w:ind w:left="1040" w:right="45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59"/>
        <w:spacing w:after="0" w:line="261" w:lineRule="auto"/>
        <w:rPr>
          <w:sz w:val="20"/>
          <w:szCs w:val="20"/>
          <w:color w:val="auto"/>
        </w:rPr>
      </w:pPr>
      <w:r>
        <w:rPr>
          <w:rFonts w:ascii="Times New Roman" w:cs="Times New Roman" w:eastAsia="Times New Roman" w:hAnsi="Times New Roman"/>
          <w:sz w:val="18"/>
          <w:szCs w:val="18"/>
          <w:color w:val="auto"/>
        </w:rPr>
        <w:t>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53" w:lineRule="exact"/>
        <w:rPr>
          <w:sz w:val="20"/>
          <w:szCs w:val="20"/>
          <w:color w:val="auto"/>
        </w:rPr>
      </w:pPr>
    </w:p>
    <w:p>
      <w:pPr>
        <w:ind w:left="1040" w:right="299" w:hanging="315"/>
        <w:spacing w:after="0" w:line="254"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51" w:lineRule="exact"/>
        <w:rPr>
          <w:rFonts w:ascii="Times New Roman" w:cs="Times New Roman" w:eastAsia="Times New Roman" w:hAnsi="Times New Roman"/>
          <w:sz w:val="18"/>
          <w:szCs w:val="18"/>
          <w:color w:val="auto"/>
        </w:rPr>
      </w:pPr>
    </w:p>
    <w:p>
      <w:pPr>
        <w:ind w:left="1040" w:right="259" w:hanging="315"/>
        <w:spacing w:after="0" w:line="258"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43"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the Second Amendment, the Lenders agreed to permit the Company to invest up to a maximum of $30,865 at any time outstanding in OnkosXcel, increased from $30,000. The Second Amendment also modified the interest rate of the loans provided under the Credit Agreement to be a floating rate per annum equal to the secured overnight financing rate (“SOFR”) (subject to a SOFR floor of 2.5% and a cap of 5.5%) plus 7.5%.</w:t>
      </w:r>
    </w:p>
    <w:p>
      <w:pPr>
        <w:spacing w:after="0" w:line="15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Following the Second Amendment, we must also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 to meet the minimum revenue requirement. The Revenue Covenant applies beginning with the six-month period ending on December 31, 2024. If we fail to meet the minimum Revenue Covenant for the preceding six-month periods ending on December 31, 2024, March 31, 2025, June 30, 2025 and September 30, 2025, we could be required to make revenue cure payments of up to $4,500, $6,200, $8,500, and $8,500, respectively, plus aggregate prepayment fees of $1,900.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 default on the Credit Agreement if we are unable to satisfy the minimum revenue requirement for any subsequent fiscal quarter. As of June 30, 2024, we had aggregate principal indebtedness of $105,173 outstanding under the Credit Agreement.</w:t>
      </w:r>
    </w:p>
    <w:p>
      <w:pPr>
        <w:spacing w:after="0" w:line="15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Original Warrants granted to the Lenders on April 19, 2022 to purchase up to 278 shares of the Company’s common stock at an exercise price of $20.04 per share. Pursuant to the amendment and restatement of the Original Warrants, dated December 5, 2023 (the “Amended and Restated Original Warrants”), the exercise price of the Original Warrants has been reduced to $3.6452 per share, which represents the arithmetic average of the volume-weighted average price of the Company’s common stock on the Nasdaq Capital Market during the 30 trading days preceding the Second Amendment Effective Date. In addition, the Company granted new warrants to the Lenders to purchase up to 70 shares of the Company’s common stock (the “2023 Warrant Shares”) at an exercise price of $3.6452 per share (the “2023 Warrants”). The Original Warrants and the 2023 Warrants will expire on April 19, 2029 and may be net exercised at the holder’s election.</w:t>
      </w:r>
    </w:p>
    <w:p>
      <w:pPr>
        <w:spacing w:after="0" w:line="148"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On March 20, 2024 (the “Effective Date”), we entered into the Fourth Amendment to the Credit Agreement (“the Fourth Amendment”), pursuant to which the Lenders waived the covenant that we not receive a report and opinion from our independent registered public accounting firm that contains a “going concern” or similar qualification with respect to our financial statements for the year ended December 31, 2023. Accordingly, while our independent registered public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accounting firm’s report contained in our Annual Report on Form 10-K for the year ended December 31, 2023 contains a “going concern” explanatory paragraph, it does not constitute an event of default under the Credit Agreement.</w:t>
      </w:r>
    </w:p>
    <w:p>
      <w:pPr>
        <w:spacing w:after="0" w:line="13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covenants that we will receive, (i) after the Effective Date and on or before April 15, 2024, at least $25,000 in gross proceeds from the issuance of our common stock, warrants and/or pre-funded warrants, and/or in non-refundable cash consideration from partnering transactions entered into after the Effective Date (so long as such partnering transactions would not require us or any of our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47"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the Fourth Amendment provides that if we have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we are required to maintain at all times will increase to $25,000 from $15,000, unless and until we have received, after the Effective Date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As of the date of this filing, we still need to raise (i) approximately an additional $10,000 in gross proceeds from the issuance of our common stock, warrants and/or pre-funded warrants and/or in cash and/or non-cash consideration (measured at fair market value, as determined by the Administrative Agent in its sole discretion) from partnering transactions by September 30, 2024 in order to prevent such an increase in the Minimum Liquidity Amount that we are required to maintain under our Credit Agreement and (ii) approximately an additional $20,000 in gross proceeds from the issuance of our common stock, warrants and/or pre-funded warrants and/or in cash and/or non-cash consideration (measured at fair market value, as determined by the Administrative Agent in its sole discretion) from partnering transactions by November 30, 2024 in order to prevent triggering an event of default under our Credit Agreement. Even if we raise the foregoing amounts within these timeframes, we may need to raise additional capital to continue as a going concern, and failure to continue as a going concern in connection with our Annual Report on Form 10-K for the fiscal year ended December 31, 2024 could trigger an event of default under our Credit Agreement, and the lenders could exercise their rights and remedies under the Credit Agreement. As of June 30, 2024, the Company had satisfied $30,476 of the $40,000 required to maintain the Minimum Liquidity Amount and the $50,000 gross proceeds requirement.</w:t>
      </w:r>
    </w:p>
    <w:p>
      <w:pPr>
        <w:spacing w:after="0" w:line="16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Fourth Amendment, on the Effective Date, we granted new warrants to the Lenders to purchase up to 100 shares of our common stock (the “2024 Warrant Shares”) at an exercise price of $3.0723 per share (the “2024 Warrants”), which represents a 10% premium over the arithmetic average of the volume-weighted average price of our common stock on the Nasdaq Capital Market during the 30 trading days preceding the Effective Date. The 2024 Warrants will expire on April 19, 2029 and may be net exercised at the holder’s election.</w:t>
      </w:r>
    </w:p>
    <w:p>
      <w:pPr>
        <w:spacing w:after="0" w:line="15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addition, pursuant to the Credit Agreement, the Lenders have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Original Warrants, 2023 Warrants and, if issued, the shares related to the Equity Investment Right, for resale. The maximum shares of our common stock issuable under the Original Warrants, the 2023 Warrants and the Lenders’ Equity Investment Right is 5,852. On the Effective Date, we further amended and restated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on Form 10-Q for additional information relating to the Credit Agreement and RIFA, including applicable interest rates, payment obligations and certain restrictive and financial covenants thereunder. As of June 30, 2024, we were in compliance with all restrictive and financial covenants under the Credit Agreement.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having an aggregate offering price of up to $100,000, from time to time, through an “at the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offering” program under which Jefferies will act as sale agent. On November 1, 2023, we entered into an amendment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Sale Agreement with Jefferies to increase the size of the “at the market offering” program; pursuant to the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as amended, we can offer and sell shares of our common stock having an aggregate offering price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$150,000 (excluding any shares of common stock already sold in the “at the market offering” program prior to the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amendment), from time to time, through an “at the market offering” program under which Jefferies will act as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agent. During the year ended December 31, 2023, we sold 1,408 shares under the Sale Agreement for net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$26,221. For the three months ended June 30, 2024, we sold 2,839 shares under the Sale Agreement for gross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$5,472 and received proceeds of $5,308, net of issuance costs of $164. For the six months ended June 30, 2024, we sold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3,486 shares under the Sale Agreement for gross proceeds of $7,215 and received proceeds of $6,999, net of issuance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of $216.</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 Activities</w:t>
      </w:r>
    </w:p>
    <w:p>
      <w:pPr>
        <w:spacing w:after="0" w:line="187" w:lineRule="exact"/>
        <w:rPr>
          <w:sz w:val="20"/>
          <w:szCs w:val="20"/>
          <w:color w:val="auto"/>
        </w:rPr>
      </w:pPr>
    </w:p>
    <w:p>
      <w:pPr>
        <w:ind w:left="60" w:right="139" w:firstLine="405"/>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included elsewhere in this Quarterly Report on Form 10-Q, 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3,055 shares (the “Shares”) of common stock, par value $0.001 per share, and accompanying warrants (the “Accompanying Warrants”) to purchase up to 3,055 shares of common stock at an offering price of $2.901 per Share and Accompanying Warrant and pre-funded warrants (the “Pre-Funded Warrants”) to purchase up to 5,565 shares of common stock and Accompanying Warrants to purchase up to 5,565 shares of common stock, at an offering price of $2.900 per share underlying each Pre-Funded Warrant and Accompanying Warrant, which equals the offering price per Share and Accompanying Warrant less the $0.001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During the second quarter of 2024, the Company received $5,476 of gross proceeds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issuance of the Company’s common stock. The Company intends to use the proceeds from these financings, together with its existing cash and cash equivalents, to fund planned clinical trials of BXCL501, commercialization activities for IGALMI™ and for working capital and other general corporate purposes.</w:t>
      </w:r>
    </w:p>
    <w:p>
      <w:pPr>
        <w:spacing w:after="0" w:line="176" w:lineRule="exact"/>
        <w:rPr>
          <w:sz w:val="20"/>
          <w:szCs w:val="20"/>
          <w:color w:val="auto"/>
        </w:rPr>
      </w:pPr>
    </w:p>
    <w:p>
      <w:pPr>
        <w:ind w:left="60" w:right="219" w:firstLine="405"/>
        <w:spacing w:after="0" w:line="256"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For the three and six months ended June 30, 2024, we received $4 for the exercise of 3,860 Pre-funded Warrants.</w:t>
      </w:r>
    </w:p>
    <w:p>
      <w:pPr>
        <w:spacing w:after="0" w:line="187" w:lineRule="exact"/>
        <w:rPr>
          <w:sz w:val="20"/>
          <w:szCs w:val="20"/>
          <w:color w:val="auto"/>
        </w:rPr>
      </w:pPr>
    </w:p>
    <w:p>
      <w:pPr>
        <w:ind w:left="60" w:right="279" w:firstLine="405"/>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$3.20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failed to meet the requirements to be indexed to equity and equity classified, and meet the definition of a derivative instrument. Therefore, these instruments are recorded as Derivative liabilities in the Condensed Consolidated Balance Sheet as of June 30, 2024.</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(40,880)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(90,559)</w:t>
            </w: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24,399</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$40,880 and was primarily attributable to our net loss of $35,090, a $689 increase in Inventory, a $741 increase in Accounts receivable and a $657 reduction in Accrued interest, in part offset by $4,490 of non-cash stock-based compensation, $2,493 of payable-in-kind interest, a $664 increase in accounts payable, accrued expenses due to related parties, and other current liabilities, and a $442 decrease in prepaid expenses, other current assets and other assets. The decrease in cash used in operating activities compared to the prior year reflects our actions taken under the Reprioritization.</w:t>
      </w:r>
    </w:p>
    <w:p>
      <w:pPr>
        <w:spacing w:after="0" w:line="147"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$90,559 and was primarily attributable to our net loss of $106,311, which was due to our being in the early stages of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continued product development efforts, in part offset by $11,001 of non-cash stock-based compensation, a $1,843 increase in accounts payable, accrued expenses due to related parties, and other current liabilities, and a $2,234 increase in accrued interest.</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and 2023 was $0 and $20, respectively.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$31,930 and was attributable to $25,000 in proceeds received from the March 2024 registered direct offering and net proceeds received from the sale of common stock under the Sale Agreement with Jefferies of $6,999.</w:t>
      </w:r>
    </w:p>
    <w:p>
      <w:pPr>
        <w:spacing w:after="0" w:line="135"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$24,399 and was primarily attributable to net proceeds received from the sale of common stock under the Sale Agreement with Jefferies of $23,918 and the exercise of stock options.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02"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We expect to continue to incur significant operating losses at least for the next several years as we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61"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June 30, 2024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In particular, after giving effect to the Reprioritization and other restructuring actions, we believe that our cash and cash equivalents of $56,271 as of June 30, 2024 will allow us to fund our operations and meet our liquidity requirements to the end of 2024. We expect that we will need to obtain substantial additional funding to fund our ongoing operations and planned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three years of the agreement that in aggregate total $10,000 for the three-year period, of which $5,000 was originally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in year ended 2024. On July 11, 2024, the Company entered into an amendment to the commercial supply 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“Product Supply Agreement Amendment”) that reduces the specified minimum annual payment payable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over the next three years starting in 2024 and, thereafter, for a specified interval, provides for minimum annual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to the extent that the Company receives approval of a supplemental new drug application (“sNDA”) or a new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drug application (“NDA”) from the FDA for enumerated indications. The Company’s renegotiated agreement reduces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commitment for 2024 to $1,000 and thereafter for the term of the agreement in annual amounts ranging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$2,000 to $5,000 subject, in certain instances, to the extent that the Company receives approval of an sNDA or NDA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FDA for enumerated indications. In accordance with the Product Supply Agreement Amendment,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were reduced to $1,000, $2,000 and $2,000 in the years 2024, 2025, and 2026. In addition,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agreed to make a reconciliation payment of $1,200 in the third quarter of 2024 for full settlement for amounts due prior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11, 2024 amendment.</w:t>
      </w:r>
    </w:p>
    <w:p>
      <w:pPr>
        <w:spacing w:after="0" w:line="16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53"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$647 of payments remaining under the HQ Lease. For additional details, see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Notes to Condensed Consolidated Financial Statements included in this Quarterly Report on Form 10-Q for additional information relating to the Company’s leases.</w:t>
      </w:r>
    </w:p>
    <w:p>
      <w:pPr>
        <w:spacing w:after="0" w:line="1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respectively, as well as potential Revenue Covenant cure payments under the Credit Agreement. For additional details, see Note 9, </w:t>
      </w:r>
      <w:r>
        <w:rPr>
          <w:rFonts w:ascii="Times New Roman" w:cs="Times New Roman" w:eastAsia="Times New Roman" w:hAnsi="Times New Roman"/>
          <w:sz w:val="18"/>
          <w:szCs w:val="18"/>
          <w:i w:val="1"/>
          <w:iCs w:val="1"/>
          <w:color w:val="auto"/>
        </w:rPr>
        <w:t>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Notes to Condensed Consolidated Financial Statements included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 for additional information relating to the Company’s debt payment obligations. See also “— Sources of Liquidity” for additional information regarding anticipated amendments to the Company’s debt payment obligations.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2023. We have reviewed and determined that those critical accounting policies and estimates remain our critical accounting policies and estimates as of and for the six months ended June 30, 2024.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75"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we had $56,271 of cash and cash equivalents. Our cash and cash equivalents are primarily held in money market funds that hold U.S. government cash equivalent instruments. We do not participate in any foreign currency hedging activities and have limited exposure to other derivative financial instruments, primarily resulting from the terms and conditions of the Credit Agreement. We did not recognize any significant exchange rate losses during the three months ended June 30, 2024 and 2023.</w:t>
      </w:r>
    </w:p>
    <w:p>
      <w:pPr>
        <w:spacing w:after="0" w:line="1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loans under the Credit Agreement bear interest at a variable annual rate of the Secured Overnight Financing Rate (“Term SOFR”) (but not less than 2.5% or more than 5.5%) plus 7.5% payable quarterly. Consequently, we have material interest rate exposure due to our indebtedness, however this risk is hedged in part by the floor and ceiling on Term SOFR rates.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Capital Market Risk</w:t>
      </w:r>
    </w:p>
    <w:p>
      <w:pPr>
        <w:spacing w:after="0" w:line="17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June 30, 2024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information regarding material legal proceedings.</w:t>
      </w:r>
    </w:p>
    <w:p>
      <w:pPr>
        <w:spacing w:after="0" w:line="13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2023.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9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4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8" w:lineRule="exact"/>
        <w:rPr>
          <w:sz w:val="20"/>
          <w:szCs w:val="20"/>
          <w:color w:val="auto"/>
        </w:rPr>
      </w:pPr>
    </w:p>
    <w:p>
      <w:pPr>
        <w:ind w:left="60" w:right="159" w:firstLine="324"/>
        <w:spacing w:after="0" w:line="23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$35.1 million and $106.3 million for the six months ended June 30, 2024 and 2023, respectively. As of June 30, 2024, we had a stockholders’ deficit of approximately $625.7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will be able to sustain it. The net losses we incur may fluctuate significantly from quarter to quarter and year to year.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may increase in the long term as we:</w:t>
      </w:r>
    </w:p>
    <w:p>
      <w:pPr>
        <w:spacing w:after="0" w:line="180"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20" w:right="399" w:hanging="319"/>
        <w:spacing w:after="0" w:line="217"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85"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related reduction in force may not achieve our intended outcome.</w:t>
      </w:r>
    </w:p>
    <w:p>
      <w:pPr>
        <w:spacing w:after="0" w:line="229"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prioritization on at-home treatment setting opportunities for BXCL501. As part of this strategy, we reduced our workforce by approximately 60%. As of December 31, 2023, the Reprioritization was substantially completed.</w:t>
      </w:r>
    </w:p>
    <w:p>
      <w:pPr>
        <w:spacing w:after="0" w:line="16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2"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May 2024, we initiated a further workforce reduction,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w:t>
      </w:r>
    </w:p>
    <w:p>
      <w:pPr>
        <w:spacing w:after="0" w:line="176"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have been and may continue to be required to expend significant funds to continue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54"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Management believes that, after giving effect to the Reprioritization and other restructuring actions, the Company’s cash and cash equivalents of $56.3 million as of June 30, 2024 will allow the Company to fund its operations and meet its liquidity requirements into the end of 2024. However, the ultimate expected cost benefit resulting from the Reprioritization cannot be assured, and there can be no assurance that we will be able to extend our cash runway by meeting the conditions for additional funding under the terms of our Credit Agreement (defined below) or otherwise. In addition, the failure to raise additional financing in accordance with the minimum capital raising requirements of our Credit Agreement would trigger an event of default thereunder. The Fourth Amendment to our Credit Agreement includes covenants that we will receive, (i) after March 20, 2024, which is the effective date of the Fourth Amendment, and on or before April 15, 2024, at least $25.0 million in gross proceeds from the issuance of our common stock, warrants and/or pre-funded warrants, and/or in non-refundable cash consideration from partnering transactions entered into after March 20, 2024 (so long as such partnering transactions would not require us or any of our subsidiaries to make any cash investments in connection with the partnering transactions and no such cash investments are made), and (ii) after March 20, 2024 and on or before November 30, 2024, at least $50.0 million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from partnering transactions entered into after March 20, 2024.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4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56" w:lineRule="exact"/>
        <w:rPr>
          <w:sz w:val="20"/>
          <w:szCs w:val="20"/>
          <w:color w:val="auto"/>
        </w:rPr>
      </w:pPr>
    </w:p>
    <w:p>
      <w:pPr>
        <w:ind w:left="720" w:right="4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pacing w:after="0" w:line="121"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90"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current and future product candidates;</w:t>
      </w:r>
    </w:p>
    <w:p>
      <w:pPr>
        <w:spacing w:after="0" w:line="10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8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56" w:lineRule="exact"/>
        <w:rPr>
          <w:sz w:val="20"/>
          <w:szCs w:val="20"/>
          <w:color w:val="auto"/>
        </w:rPr>
      </w:pPr>
    </w:p>
    <w:p>
      <w:pPr>
        <w:ind w:left="6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we had aggregate principal indebtedness of $105.2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a minimum cash liquidity amount of $15 million (or higher upon certain events, including as described in the Fourth Amendment to the Credit Agreement described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condensed consolidated financial statements included elsewhere in this Quarterly Report on Form 10-Q) and a minimum revenue requirement measured on a quarterly basis based on the revenue attributable to BXCL501 for the six consecutive month period ending on the last day of the relevant quarter, subject to cure payments of not less than $1.0 million if we fail to meet the minimum revenue requirement.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minimum revenue requirement applies beginning with the preceding six-month period ending on December 31, 2024, and ranges from approximately $4.5 million for the fourth quarter of 2024 to approximately $47.9 million for the first quarter of 2027. If we fail to meet the minimum revenue requirements for the preceding six-month periods ending on December 31, 2024, March 31, 2025, June 30, 2025 and September 30, 2025, we could be required to make revenue cure payments for the revenue shortfalls of up to $4.5 million, $6.2 million, $8.5 million, and $8.5 million, respectively, plus aggregate prepayment fees of $1.9 million.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 default on the Credit Agreement if we are unable to satisfy the minimum revenue requirement for any subsequent fiscal quarter. In addition, certain events, including certain regulatory events and any “going concern” or similar qualification in a report of the Company’s independent registered public accountants relating to the Company’s annual financial statements, constitute an event of default under the Credit Agreement. The report of our independent registered public accounting firm included in the Annual Report on Form 10-K for the year ended December 31, 2023 contains a “going concern” explanatory paragraph. In March 2024 we entered into a Fourth Amendment to the Credit Agreement, pursuant to which the Lenders waived compliance with this covenant with respect to the report contained in the Annual Report on Form 10-K for the year ended December 31, 2023. The Fourth Amendment to the Credit Agreement also includes other covenants relating to minimum cash liquidity covenants and minimum capital raising requirements and failure to comply with such obligations, or other obligations required under the Credit Agreement, could trigger an event of default. Certain change of control events can also trigger an event of default under the Credit Agreement, including control by any entity or group of entities, other than BioXcel LLC and its affiliates, that acquires 35% or more of our voting capital stock. In addition, the Fourth Amendment to the Credit Agreement provides that if the Company has not, after the Effective Date and on or before September 30, 2024, received at least $40.0 million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we are required to maintain at all times will increase to $25.0 million from $15.0 million, unless and until we have received, after the Effective Date and on or before November 30, 2024, at least $50.0 million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In connection with the closing of the Fourth Amendment discussed below, we granted new warrants to the Lenders to purchase up to 100 shares of its common stock (the “2024 Warrant Shares”) at an exercise price of $3.0723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As of the date of this filing, we still need to raise (i) approximately an additional $10.0 million in gross proceeds from the issuance of our common stock, warrants and/or pre-funded warrants and/or in cash and/or non-cash consideration (measured at fair market value, as determined by the Administrative Agent in its sole discretion) from partnering transactions by September 30, 2024 in order to prevent such an increase in the Minimum Liquidity Amount that we are required to maintain under our Credit Agreement and (ii) approximately an additional $20.0 million in gross proceeds from the issuance of our common stock, warrants and/or pre-funded warrants and/or in cash and/or non-cash consideration (measured at fair market value, as determined by the Administrative Agent in its sole discretion) from partnering transactions by November 30, 2024 in order to prevent triggering an event of default under our Credit Agreement. Even if we raise the foregoing amounts within these timeframes, we may need to raise additional capital to continue as a going concern, and failure to continue as a going concern in connection with our Annual Report on Form 10-K for the fiscal year ended December 31, 2024 could trigger an event of default under our Credit Agreement, and the lenders could exercise their rights and remedies under the Credit Agreement.</w:t>
      </w:r>
    </w:p>
    <w:p>
      <w:pPr>
        <w:spacing w:after="0" w:line="194" w:lineRule="exact"/>
        <w:rPr>
          <w:sz w:val="20"/>
          <w:szCs w:val="20"/>
          <w:color w:val="auto"/>
        </w:rPr>
      </w:pPr>
    </w:p>
    <w:p>
      <w:pPr>
        <w:ind w:left="60" w:right="319" w:firstLine="324"/>
        <w:spacing w:after="0" w:line="236"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June 30, 2024, we had $56.3 million in cash and cash equivalents.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Quarterly Report on Form 10-Q. This condition raises substantial doubt about our ability to continue as a going concern for at least one year from the date that our financial statements for the six months ended June 30, 2024 are issued. In order to mitigate the current and potential future liquidity issues, we have undertaken the Reprioritization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 xml:space="preserve">“We will need substantial additional funding, and if we are unable to raise capital when needed, we could be forced to delay, reduce or eliminate our product development programs or commercialization efforts or otherwise seek strategic alternatives.” </w:t>
      </w:r>
      <w:r>
        <w:rPr>
          <w:rFonts w:ascii="Times New Roman" w:cs="Times New Roman" w:eastAsia="Times New Roman" w:hAnsi="Times New Roman"/>
          <w:sz w:val="18"/>
          <w:szCs w:val="18"/>
          <w:color w:val="auto"/>
        </w:rPr>
        <w:t>Further, if we are unable to raise additional capital or successfully consummate a strategic transaction,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trigger an event of default under our Credit Agreement.</w:t>
      </w:r>
    </w:p>
    <w:p>
      <w:pPr>
        <w:spacing w:after="0" w:line="362" w:lineRule="exact"/>
        <w:rPr>
          <w:sz w:val="20"/>
          <w:szCs w:val="20"/>
          <w:color w:val="auto"/>
        </w:rPr>
      </w:pPr>
    </w:p>
    <w:p>
      <w:pPr>
        <w:ind w:left="60" w:right="3479"/>
        <w:spacing w:after="0" w:line="491" w:lineRule="auto"/>
        <w:rPr>
          <w:sz w:val="20"/>
          <w:szCs w:val="20"/>
          <w:color w:val="auto"/>
        </w:rPr>
      </w:pPr>
      <w:r>
        <w:rPr>
          <w:rFonts w:ascii="Times New Roman" w:cs="Times New Roman" w:eastAsia="Times New Roman" w:hAnsi="Times New Roman"/>
          <w:sz w:val="17"/>
          <w:szCs w:val="17"/>
          <w:b w:val="1"/>
          <w:bCs w:val="1"/>
          <w:color w:val="auto"/>
        </w:rPr>
        <w:t xml:space="preserve">Risks Related to the Discovery and Development of Product Candidates </w:t>
      </w:r>
      <w:r>
        <w:rPr>
          <w:rFonts w:ascii="Times New Roman" w:cs="Times New Roman" w:eastAsia="Times New Roman" w:hAnsi="Times New Roman"/>
          <w:sz w:val="17"/>
          <w:szCs w:val="17"/>
          <w:b w:val="1"/>
          <w:bCs w:val="1"/>
          <w:i w:val="1"/>
          <w:iCs w:val="1"/>
          <w:color w:val="auto"/>
        </w:rPr>
        <w:t>We have limited experience in drug discovery and drug development.</w:t>
      </w:r>
    </w:p>
    <w:p>
      <w:pPr>
        <w:spacing w:after="0" w:line="1"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6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48"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7"/>
          <w:szCs w:val="17"/>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 However, the FDA may not accept or agree with our conclusions or analyses or may interpret or weigh their importance differently. Further, if we or the FDA determine that there are issues with data integrity and/or compliance with good clinical practice (“GCP”) requirements at the trial site, we may be unable to use some or all of the subject data generated at this clinical site to support a marketing application. Any issues identified at this trial site may also be identified at other trial sites. If all of the data from this clinical trial site were discarded, the TRANQUILITY</w:t>
      </w:r>
    </w:p>
    <w:p>
      <w:pPr>
        <w:ind w:left="60" w:right="199" w:hanging="10"/>
        <w:spacing w:after="0" w:line="253" w:lineRule="auto"/>
        <w:tabs>
          <w:tab w:leader="none" w:pos="2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would no longer be adequately powered for statistical significance or would not be considered adequately well-controlled by the FDA, and in either case, we would need to conduct a new comparable clinical trial before we are able to seek any approval of BXCL501 for use in patients with acute agitation (non-daily) due to dementia in probable Alzheimer’s disease. If a substantial portion of the data were discarded, similar outcomes may also occur.</w:t>
      </w:r>
    </w:p>
    <w:p>
      <w:pPr>
        <w:spacing w:after="0" w:line="148"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consistency in the measurement of PEC scores and/or may require that we generate additional data to support the reliability of PEC score measurements in our TRANQUILITY II trial. There can be no assurances that any information or and data we provide to FDA will sufficiently demonstrate the consistency and reliability of the PEC-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score data from our TRANQUILITY II trial, or that our PEC-score data will not represent a potential review issue in connection with any application we may submit to FDA.</w:t>
      </w:r>
    </w:p>
    <w:p>
      <w:pPr>
        <w:spacing w:after="0" w:line="135"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a strategic reprioritization of our commercialization and development efforts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we have limited data supporting BXCL501’s potential use in the at-home setting. In particular, we have not conducted a clinical trial evaluating the at-home use of BXCL501 in the acute treatment of agitation in patients with dementia due to probable Alzheimer’s disease.</w:t>
      </w:r>
    </w:p>
    <w:p>
      <w:pPr>
        <w:spacing w:after="0" w:line="165"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Although we may seek additional feedback from the FDA regarding the potential of our ongoing, planned or completed clinical trials to support submission of one or more sNDAs and to support a label for use in the home, it is possible that the FDA may not consider the data from such studies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we should, among other things, conduct a further clinical trial to evaluate safety and collect efficacy data of BXCL501 before we are able to submit an sNDA seeking approval of BXCL501 for use in such populations.</w:t>
      </w:r>
    </w:p>
    <w:p>
      <w:pPr>
        <w:spacing w:after="0" w:line="135"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147"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including by conducting our planned TRANQUILITY In-Care trial, but even if our planned clinical efforts are successful and even if we are able to obtain approval of BXCL501 for use in patients with dementia due to probable Alzheimer's disease in the care setting, we cannot provide assurance that we will be able to seek or obtain approval of BXCL501 for the treatment of agitation in patients with dementia due to probable Alzheimer’s disease in the at-home setting based on these data and we expect that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 Risks Related to the Discovery and Development of Product Candidates—</w:t>
      </w:r>
      <w:r>
        <w:rPr>
          <w:rFonts w:ascii="Times New Roman" w:cs="Times New Roman" w:eastAsia="Times New Roman" w:hAnsi="Times New Roman"/>
          <w:sz w:val="18"/>
          <w:szCs w:val="18"/>
          <w:i w:val="1"/>
          <w:iCs w:val="1"/>
          <w:color w:val="auto"/>
        </w:rPr>
        <w:t>Developments relating to its TRANQUILITY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 TRANQUILITY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63"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53" w:lineRule="exact"/>
        <w:rPr>
          <w:sz w:val="20"/>
          <w:szCs w:val="20"/>
          <w:color w:val="auto"/>
        </w:rPr>
      </w:pPr>
    </w:p>
    <w:p>
      <w:pPr>
        <w:ind w:left="60" w:right="159" w:firstLine="324"/>
        <w:spacing w:after="0" w:line="221"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current FDA feedback, we plan to amend the Part 2 of the SERENITY III protocol to evaluate the safety and efficacy of the 120 mg dose in the at-home setting, and now refer to this revised trial as the SERENITY At-Home trial. We believe that our ability to seek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3" w:lineRule="auto"/>
        <w:rPr>
          <w:sz w:val="20"/>
          <w:szCs w:val="20"/>
          <w:color w:val="auto"/>
        </w:rPr>
      </w:pPr>
      <w:r>
        <w:rPr>
          <w:rFonts w:ascii="Times New Roman" w:cs="Times New Roman" w:eastAsia="Times New Roman" w:hAnsi="Times New Roman"/>
          <w:sz w:val="17"/>
          <w:szCs w:val="17"/>
          <w:color w:val="auto"/>
        </w:rPr>
        <w:t>labeling without the current LOU will depend, in part, on the number of agitation episodes we observe during our planned study period. Even if our planned SERENITY At-home trial is successful in demonstrating safety in the at-home setting, and even if the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120 mcg label is expanded to allow outpatient use, there is no guarantee that we will observe and/or treat a sufficient number of agitation episodes during the study period to support removal of the current LOU.</w:t>
      </w:r>
    </w:p>
    <w:p>
      <w:pPr>
        <w:spacing w:after="0" w:line="168"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35"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159" w:firstLine="324"/>
        <w:spacing w:after="0" w:line="225"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 We have also slowed the clinical development process of our lead product candidates, and progression of our lead clinical programs is subject to applicable funding. See Part I, Item 2. “Management’s Discussion and Analysis of Financial Condition and Results of Operations — Overview.”</w:t>
      </w:r>
    </w:p>
    <w:p>
      <w:pPr>
        <w:spacing w:after="0" w:line="165"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5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98"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21"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85"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69"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5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56"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3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5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35" w:lineRule="exact"/>
        <w:rPr>
          <w:sz w:val="20"/>
          <w:szCs w:val="20"/>
          <w:color w:val="auto"/>
        </w:rPr>
      </w:pPr>
    </w:p>
    <w:p>
      <w:pPr>
        <w:ind w:left="720" w:right="3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34"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34"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2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failing to obtain regulatory approval to market our product candidates, which would significantly harm our business, results of operations and prospects.</w:t>
      </w:r>
    </w:p>
    <w:p>
      <w:pPr>
        <w:spacing w:after="0" w:line="135"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47" w:lineRule="exact"/>
        <w:rPr>
          <w:sz w:val="20"/>
          <w:szCs w:val="20"/>
          <w:color w:val="auto"/>
        </w:rPr>
      </w:pPr>
    </w:p>
    <w:p>
      <w:pPr>
        <w:ind w:left="60" w:right="259" w:firstLine="324"/>
        <w:spacing w:after="0" w:line="244"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such other product candidates, if approved.</w:t>
      </w:r>
    </w:p>
    <w:p>
      <w:pPr>
        <w:spacing w:after="0" w:line="4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6"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5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3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5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initiate or continue clinical trials;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98"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35"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4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3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61"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62" w:lineRule="exact"/>
        <w:rPr>
          <w:sz w:val="20"/>
          <w:szCs w:val="20"/>
          <w:color w:val="auto"/>
        </w:rPr>
      </w:pPr>
    </w:p>
    <w:p>
      <w:pPr>
        <w:jc w:val="both"/>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2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359" w:hanging="319"/>
        <w:spacing w:after="0" w:line="312" w:lineRule="auto"/>
        <w:tabs>
          <w:tab w:leader="none" w:pos="7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17"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34" w:lineRule="exact"/>
        <w:rPr>
          <w:sz w:val="20"/>
          <w:szCs w:val="20"/>
          <w:color w:val="auto"/>
        </w:rPr>
      </w:pPr>
    </w:p>
    <w:p>
      <w:pPr>
        <w:ind w:left="60" w:right="15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1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339" w:hanging="319"/>
        <w:spacing w:after="0" w:line="258"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56"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8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34"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52"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4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designated as Breakthrough Therapies by the FDA also receive the benefits associated with Fast Track designation, including the potential for rolling review of an NDA.</w:t>
      </w:r>
    </w:p>
    <w:p>
      <w:pPr>
        <w:spacing w:after="0" w:line="135"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144"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66"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5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60"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3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6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23" w:lineRule="exact"/>
        <w:rPr>
          <w:sz w:val="20"/>
          <w:szCs w:val="20"/>
          <w:color w:val="auto"/>
        </w:rPr>
      </w:pPr>
    </w:p>
    <w:p>
      <w:pPr>
        <w:ind w:left="60" w:right="539"/>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39" w:lineRule="exact"/>
        <w:rPr>
          <w:sz w:val="20"/>
          <w:szCs w:val="20"/>
          <w:color w:val="auto"/>
        </w:rPr>
      </w:pPr>
    </w:p>
    <w:p>
      <w:pPr>
        <w:ind w:left="60" w:right="299" w:firstLine="324"/>
        <w:spacing w:after="0" w:line="222"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49" w:lineRule="exact"/>
        <w:rPr>
          <w:sz w:val="20"/>
          <w:szCs w:val="20"/>
          <w:color w:val="auto"/>
        </w:rPr>
      </w:pPr>
    </w:p>
    <w:p>
      <w:pPr>
        <w:ind w:left="60" w:right="519" w:firstLine="324"/>
        <w:spacing w:after="0" w:line="242" w:lineRule="auto"/>
        <w:rPr>
          <w:sz w:val="20"/>
          <w:szCs w:val="20"/>
          <w:color w:val="auto"/>
        </w:rPr>
      </w:pPr>
      <w:r>
        <w:rPr>
          <w:rFonts w:ascii="Times New Roman" w:cs="Times New Roman" w:eastAsia="Times New Roman" w:hAnsi="Times New Roman"/>
          <w:sz w:val="18"/>
          <w:szCs w:val="18"/>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56"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2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30" w:lineRule="auto"/>
        <w:rPr>
          <w:sz w:val="20"/>
          <w:szCs w:val="20"/>
          <w:color w:val="auto"/>
        </w:rPr>
      </w:pPr>
      <w:r>
        <w:rPr>
          <w:rFonts w:ascii="Times New Roman" w:cs="Times New Roman" w:eastAsia="Times New Roman" w:hAnsi="Times New Roman"/>
          <w:sz w:val="18"/>
          <w:szCs w:val="18"/>
          <w:color w:val="auto"/>
        </w:rPr>
        <w:t>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71" w:lineRule="exact"/>
        <w:rPr>
          <w:sz w:val="20"/>
          <w:szCs w:val="20"/>
          <w:color w:val="auto"/>
        </w:rPr>
      </w:pPr>
    </w:p>
    <w:p>
      <w:pPr>
        <w:ind w:left="60" w:right="379" w:firstLine="324"/>
        <w:spacing w:after="0" w:line="242"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for these uses.</w:t>
      </w:r>
    </w:p>
    <w:p>
      <w:pPr>
        <w:spacing w:after="0" w:line="48"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4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8" w:lineRule="exact"/>
        <w:rPr>
          <w:sz w:val="20"/>
          <w:szCs w:val="20"/>
          <w:color w:val="auto"/>
        </w:rPr>
      </w:pPr>
    </w:p>
    <w:p>
      <w:pPr>
        <w:ind w:left="60" w:right="759" w:firstLine="324"/>
        <w:spacing w:after="0" w:line="312" w:lineRule="auto"/>
        <w:rPr>
          <w:sz w:val="20"/>
          <w:szCs w:val="20"/>
          <w:color w:val="auto"/>
        </w:rPr>
      </w:pPr>
      <w:r>
        <w:rPr>
          <w:rFonts w:ascii="Times New Roman" w:cs="Times New Roman" w:eastAsia="Times New Roman" w:hAnsi="Times New Roman"/>
          <w:sz w:val="17"/>
          <w:szCs w:val="17"/>
          <w:color w:val="auto"/>
        </w:rPr>
        <w:t>We may choose to conduct one or more of our clinical trials or a portion of our clinical trials for our product candidates outside the U.S. The acceptance of study data from clinical trials conducted outside the U.S. or another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6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pacing w:after="0" w:line="16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51"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53" w:lineRule="exact"/>
        <w:rPr>
          <w:sz w:val="20"/>
          <w:szCs w:val="20"/>
          <w:color w:val="auto"/>
        </w:rPr>
      </w:pPr>
    </w:p>
    <w:p>
      <w:pPr>
        <w:ind w:left="720" w:right="219" w:hanging="319"/>
        <w:spacing w:after="0" w:line="25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5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60"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9"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2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35"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8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98"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21"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159" w:firstLine="324"/>
        <w:spacing w:after="0" w:line="221" w:lineRule="auto"/>
        <w:rPr>
          <w:sz w:val="20"/>
          <w:szCs w:val="20"/>
          <w:color w:val="auto"/>
        </w:rPr>
      </w:pPr>
      <w:r>
        <w:rPr>
          <w:rFonts w:ascii="Times New Roman" w:cs="Times New Roman" w:eastAsia="Times New Roman" w:hAnsi="Times New Roman"/>
          <w:sz w:val="18"/>
          <w:szCs w:val="18"/>
          <w:color w:val="auto"/>
        </w:rPr>
        <w:t xml:space="preserve">We plan to continue to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Revenues for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year ended December 31, 2023 and six months ended June 30, 3024 were $1.4 million and $1.7 million, respectively.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 We may experience concentration of a limited number of customers for sales of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For example, we sold $735,000 to a single customer during the second quarter of 2024. If any such customers change their business requirements or purchasing behavior our business, financial condition, and results of operations may be adversely affected. Furthermore, sales to customers may fluctuate significantly, and sales from one period may not be indicative of future results.</w:t>
      </w:r>
    </w:p>
    <w:p>
      <w:pPr>
        <w:spacing w:after="0" w:line="180" w:lineRule="exact"/>
        <w:rPr>
          <w:sz w:val="20"/>
          <w:szCs w:val="20"/>
          <w:color w:val="auto"/>
        </w:rPr>
      </w:pPr>
    </w:p>
    <w:p>
      <w:pPr>
        <w:ind w:left="60" w:right="239" w:firstLine="324"/>
        <w:spacing w:after="0" w:line="209"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33" w:lineRule="auto"/>
        <w:rPr>
          <w:sz w:val="20"/>
          <w:szCs w:val="20"/>
          <w:color w:val="auto"/>
        </w:rPr>
      </w:pPr>
      <w:r>
        <w:rPr>
          <w:rFonts w:ascii="Times New Roman" w:cs="Times New Roman" w:eastAsia="Times New Roman" w:hAnsi="Times New Roman"/>
          <w:sz w:val="18"/>
          <w:szCs w:val="18"/>
          <w:color w:val="auto"/>
        </w:rPr>
        <w:t>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results of operations.</w:t>
      </w:r>
    </w:p>
    <w:p>
      <w:pPr>
        <w:spacing w:after="0" w:line="175"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203"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5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6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51"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58"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4"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4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11"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5" w:lineRule="auto"/>
        <w:rPr>
          <w:sz w:val="20"/>
          <w:szCs w:val="20"/>
          <w:color w:val="auto"/>
        </w:rPr>
      </w:pPr>
      <w:r>
        <w:rPr>
          <w:rFonts w:ascii="Times New Roman" w:cs="Times New Roman" w:eastAsia="Times New Roman" w:hAnsi="Times New Roman"/>
          <w:sz w:val="18"/>
          <w:szCs w:val="18"/>
          <w:color w:val="auto"/>
        </w:rPr>
        <w:t>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drugs we develop depends on a number of factors, including:</w:t>
      </w:r>
    </w:p>
    <w:p>
      <w:pPr>
        <w:spacing w:after="0" w:line="20"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98"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13" w:lineRule="exact"/>
        <w:rPr>
          <w:sz w:val="20"/>
          <w:szCs w:val="20"/>
          <w:color w:val="auto"/>
        </w:rPr>
      </w:pPr>
    </w:p>
    <w:p>
      <w:pPr>
        <w:ind w:left="60" w:right="13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189"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4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5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3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6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5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7"/>
          <w:szCs w:val="17"/>
          <w:color w:val="auto"/>
        </w:rPr>
        <w:t>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46"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providing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We participate in the Medicaid Drug Rebate Program (“MDRP”) and other federal and state government pricing programs in the U.S., and we may participate in additional government pricing programs in the future. These programs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4" w:lineRule="auto"/>
        <w:rPr>
          <w:sz w:val="20"/>
          <w:szCs w:val="20"/>
          <w:color w:val="auto"/>
        </w:rPr>
      </w:pPr>
      <w:r>
        <w:rPr>
          <w:rFonts w:ascii="Times New Roman" w:cs="Times New Roman" w:eastAsia="Times New Roman" w:hAnsi="Times New Roman"/>
          <w:sz w:val="18"/>
          <w:szCs w:val="18"/>
          <w:color w:val="auto"/>
        </w:rPr>
        <w:t>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7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we are found to have violated state law requirements, we may become subject to penalties or other enforcement mechanisms, which could have a material adverse effect on our business.</w:t>
      </w:r>
    </w:p>
    <w:p>
      <w:pPr>
        <w:spacing w:after="0" w:line="135"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7"/>
          <w:szCs w:val="17"/>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3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BioXcel LLC owned approximately 19%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“The management of and 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44"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4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14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65"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4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32"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June 30, 2024, Dr. Mehta, through his beneficial ownership of BioXcel LLC,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beneficially owned approximately 21.3%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8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on acceptable terms, or at all. Any of these factors would significantly impact our ability to develop, obtain regulatory approval for or market our product candidates and adversely affect our business.</w:t>
      </w:r>
    </w:p>
    <w:p>
      <w:pPr>
        <w:spacing w:after="0" w:line="13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4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61"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18"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able to develop, significantly increase our capital requirements and place additional strain on our internal resources. Our failure to enter into collaborations could materially harm our business, financial condition and results of operations.</w:t>
      </w:r>
    </w:p>
    <w:p>
      <w:pPr>
        <w:spacing w:after="0" w:line="11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4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4"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6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51"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41"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outbreaks of an infectious disease, such as COVID-19, may materially and adversely impact our business, including our preclinical studies and clinical trials.</w:t>
      </w:r>
    </w:p>
    <w:p>
      <w:pPr>
        <w:spacing w:after="0" w:line="118"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As a result of outbreaks from variants of COVID-19, or other pandemics, epidemics or outbreaks of infectious disease, we may experience disruptions that could severely impact our business, preclinical studies and clinical trials, including:</w:t>
      </w:r>
    </w:p>
    <w:p>
      <w:pPr>
        <w:spacing w:after="0" w:line="149"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operating and completing our clinical trials;</w:t>
      </w:r>
    </w:p>
    <w:p>
      <w:pPr>
        <w:spacing w:after="0" w:line="184"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3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34"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interruptions or delays to our sourced discovery and clinical activities.</w:t>
      </w:r>
    </w:p>
    <w:p>
      <w:pPr>
        <w:spacing w:after="0" w:line="18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If we or any of the third parties with whom we engage were to experience shutdowns or other business disruptions from COVID-19 or other pandemics, epidemics or outbreaks of infectious disease, our ability to conduct our business in the manner and on the timelines presently planned could be materially and negatively impacted.</w:t>
      </w:r>
    </w:p>
    <w:p>
      <w:pPr>
        <w:spacing w:after="0" w:line="145" w:lineRule="exact"/>
        <w:rPr>
          <w:sz w:val="20"/>
          <w:szCs w:val="20"/>
          <w:color w:val="auto"/>
        </w:rPr>
      </w:pPr>
    </w:p>
    <w:p>
      <w:pPr>
        <w:ind w:left="6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world, and their impact on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could disrupt or otherwise adversely impact our operations and those of third parties upon which we rely. Related sanctions,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4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15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1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4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6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39"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799" w:firstLine="324"/>
        <w:spacing w:after="0" w:line="312" w:lineRule="auto"/>
        <w:rPr>
          <w:sz w:val="20"/>
          <w:szCs w:val="20"/>
          <w:color w:val="auto"/>
        </w:rPr>
      </w:pPr>
      <w:r>
        <w:rPr>
          <w:rFonts w:ascii="Times New Roman" w:cs="Times New Roman" w:eastAsia="Times New Roman" w:hAnsi="Times New Roman"/>
          <w:sz w:val="17"/>
          <w:szCs w:val="17"/>
          <w:color w:val="auto"/>
        </w:rPr>
        <w:t>In addition, a significant portion of the purchase price of companies we acquire may be allocated to acquired goodwill and other intangible assets, which must be assessed for impairment at least annually. In the future, if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acquisitions do not yield expected returns, we may be required to take charges to our operating results based on this impairment assessment process, which could adversely affect our results of operations.</w:t>
      </w:r>
    </w:p>
    <w:p>
      <w:pPr>
        <w:spacing w:after="0" w:line="135"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31"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5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39"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72"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48"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pacing w:after="0" w:line="157"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9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 New laws regulating AI are at an advanced stage of the legislative process in the EU, and it is possible that new laws and regulations will be adopted in the United States and in other non-U.S. jurisdictions, or that existing laws and regulations may be interpreted in ways that would affect the operation of our learning platforms, online testing business and data analytics and the way in which we use AI and machine learning technology.</w:t>
      </w:r>
    </w:p>
    <w:p>
      <w:pPr>
        <w:spacing w:after="0" w:line="151"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Europe, on December 8, 2023, the European Union legislators reached a political agreement on the EU Artificial Intelligence Act (“EU AI Act”) which establishes a comprehensive, risk-based governance framework for AI in the EU market. The EU AI Act is expected to enter into force in 2024, and the majority of the substantive requirements will apply two years later. The EU AI Act will apply to companies that develop, use and/ or provide AI in the EU and includes requirements around transparency, conformity assessments and monitoring, risk assessments, human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oversight, security, accuracy, general purpose AI and foundation models, and proposes fines for breach of up to 7% of worldwide annual turnover. In addition, on September 28, 2022, the European Commission proposed two Directives seeking to establish a harmonized civil liability regime for AI in the EU. Once fully applicable, this regulatory framework is expected to have a material impact on the way AI is regulated in the EU, and together with developing guidance and/ or decisions in this area, may affect our use of AI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0"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4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3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5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32" w:lineRule="exact"/>
        <w:rPr>
          <w:sz w:val="20"/>
          <w:szCs w:val="20"/>
          <w:color w:val="auto"/>
        </w:rPr>
      </w:pPr>
    </w:p>
    <w:p>
      <w:pPr>
        <w:ind w:left="60" w:right="439" w:firstLine="324"/>
        <w:spacing w:after="0" w:line="270" w:lineRule="auto"/>
        <w:rPr>
          <w:sz w:val="20"/>
          <w:szCs w:val="20"/>
          <w:color w:val="auto"/>
        </w:rPr>
      </w:pPr>
      <w:r>
        <w:rPr>
          <w:rFonts w:ascii="Times New Roman" w:cs="Times New Roman" w:eastAsia="Times New Roman" w:hAnsi="Times New Roman"/>
          <w:sz w:val="17"/>
          <w:szCs w:val="17"/>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we may fail to realize the anticipated benefits of such efforts. We may not be able to acquire the rights to additional product candidates on terms that we find acceptable, or at all.</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98"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(“NOLs”) of approximately $351.3 million and state NOLs of approximately $360.1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2023, we also had approximately $14.3 million of federal orphan drug credits and research and development credits and $1.2 million of state research and development credits, which will begin to expire in 2037 if not utilized. The utilization of such NOLs and tax credits and realization of tax benefits in future years depends upon our having taxable income and income tax liabilities.</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3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53"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13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4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3" w:lineRule="exact"/>
        <w:rPr>
          <w:sz w:val="20"/>
          <w:szCs w:val="20"/>
          <w:color w:val="auto"/>
        </w:rPr>
      </w:pPr>
    </w:p>
    <w:p>
      <w:pPr>
        <w:ind w:left="720" w:right="29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98"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3"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98"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70" w:lineRule="exact"/>
        <w:rPr>
          <w:sz w:val="20"/>
          <w:szCs w:val="20"/>
          <w:color w:val="auto"/>
        </w:rPr>
      </w:pPr>
    </w:p>
    <w:p>
      <w:pPr>
        <w:ind w:left="60" w:right="299" w:firstLine="324"/>
        <w:spacing w:after="0" w:line="253"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6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5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57" w:lineRule="exact"/>
        <w:rPr>
          <w:sz w:val="20"/>
          <w:szCs w:val="20"/>
          <w:color w:val="auto"/>
        </w:rPr>
      </w:pPr>
    </w:p>
    <w:p>
      <w:pPr>
        <w:ind w:left="60" w:right="259" w:firstLine="32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62"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5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53"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36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5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substantial monetary damages, encounter significant delays in bringing our product candidates to market and be precluded from manufacturing or selling our product candidates.</w:t>
      </w:r>
    </w:p>
    <w:p>
      <w:pPr>
        <w:spacing w:after="0" w:line="135"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4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9" w:lineRule="exact"/>
        <w:rPr>
          <w:sz w:val="20"/>
          <w:szCs w:val="20"/>
          <w:color w:val="auto"/>
        </w:rPr>
      </w:pPr>
    </w:p>
    <w:p>
      <w:pPr>
        <w:ind w:left="60" w:right="319"/>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or our product candidates, our business may be materially harmed.</w:t>
      </w:r>
    </w:p>
    <w:p>
      <w:pPr>
        <w:spacing w:after="0" w:line="151" w:lineRule="exact"/>
        <w:rPr>
          <w:sz w:val="20"/>
          <w:szCs w:val="20"/>
          <w:color w:val="auto"/>
        </w:rPr>
      </w:pPr>
    </w:p>
    <w:p>
      <w:pPr>
        <w:ind w:left="60" w:right="199" w:firstLine="324"/>
        <w:spacing w:after="0" w:line="242" w:lineRule="auto"/>
        <w:rPr>
          <w:sz w:val="20"/>
          <w:szCs w:val="20"/>
          <w:color w:val="auto"/>
        </w:rPr>
      </w:pPr>
      <w:r>
        <w:rPr>
          <w:rFonts w:ascii="Times New Roman" w:cs="Times New Roman" w:eastAsia="Times New Roman" w:hAnsi="Times New Roman"/>
          <w:sz w:val="18"/>
          <w:szCs w:val="18"/>
          <w:color w:val="auto"/>
        </w:rPr>
        <w:t>Following the approval by the FDA for our NDA to market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our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0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5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1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77"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50"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3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35"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99" w:hanging="319"/>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4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39"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9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34"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84"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our preclinical and clinical trials;</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98"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9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2024, we issued and sold in a registered direct offering 3,054,609 shares of our common stock, accompanying warrants to purchase up to 8,619,636 shares of our common stock and pre-funded warrants to purchase up to 5,565,027 shares of our common stock (see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 this Quarterly Report on Form 10-Q for additional information). The number of shares of common stock underlying our outstanding warrants is significant in relation to our outstanding common stock (30.4% as of May 6, 2024),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157"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18"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our directors, executive officers and BioXcel LLC, and their respective affiliates, beneficially owned approximately 24.6%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87" w:lineRule="exact"/>
        <w:rPr>
          <w:sz w:val="20"/>
          <w:szCs w:val="20"/>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corporate control;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81"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4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34" w:lineRule="exact"/>
        <w:rPr>
          <w:sz w:val="20"/>
          <w:szCs w:val="20"/>
          <w:color w:val="auto"/>
        </w:rPr>
      </w:pPr>
    </w:p>
    <w:p>
      <w:pPr>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4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6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3:23-cv-00915 (D. Conn). On October 4, 2023, pursuant to the Private Securities Litigation Reform Act, the court appointed two co-Lead Plaintiffs. The co-Lead Plaintiffs filed an amended complaint on December 5, 2023, alleging violations of Sections 10(b) and 20A of the Exchange Act and SEC Rule 10b-5 promulgated thereunder. The amended complaint alleges that defendants made false or misleading statements regarding the TRANQUILITY II trial and the development of BXCL501 for an expanded indication related to the treatment of certain Alzheimer’s-related agitation. On July 11, 2024, the Court dismissed the amended complaint without prejudice and, on August 1, 2024, co-Lead Plaintiffs filed a second amended complaint. The Company expects to move to dismiss the second amended complaint. The motion to dismiss is due September 6, 2024.</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Litigation, </w:t>
      </w:r>
      <w:r>
        <w:rPr>
          <w:rFonts w:ascii="Times New Roman" w:cs="Times New Roman" w:eastAsia="Times New Roman" w:hAnsi="Times New Roman"/>
          <w:sz w:val="18"/>
          <w:szCs w:val="18"/>
          <w:color w:val="auto"/>
        </w:rPr>
        <w:t>1:24-cv-00041 (D. Del.). The consolidated action is currently stayed.</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 including about product sales and the receipt of a Form 483 by an investigator at one of the Company’s clinical trial sites in the TRANQUILITY II study, 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51"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56" w:lineRule="exact"/>
        <w:rPr>
          <w:sz w:val="20"/>
          <w:szCs w:val="20"/>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8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and Issuer Purchases of Equity Securities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20" w:hanging="246"/>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620" w:hanging="246"/>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jc w:val="both"/>
        <w:ind w:left="60" w:right="259" w:firstLine="314"/>
        <w:spacing w:after="0" w:line="266" w:lineRule="auto"/>
        <w:tabs>
          <w:tab w:leader="none" w:pos="6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none of our directors or “officers” (as defined under as defined in Rule 16a-1(f) under the Exchange Act)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gridSpan w:val="20"/>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80" w:type="dxa"/>
            <w:vAlign w:val="bottom"/>
            <w:gridSpan w:val="20"/>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37"/>
        </w:trPr>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0"/>
                <w:szCs w:val="20"/>
                <w:color w:val="auto"/>
              </w:rPr>
            </w:pPr>
          </w:p>
        </w:tc>
        <w:tc>
          <w:tcPr>
            <w:tcW w:w="39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Amended and Restated Certificate of Incorporation, as</w:t>
              </w:r>
            </w:hyperlink>
          </w:p>
        </w:tc>
        <w:tc>
          <w:tcPr>
            <w:tcW w:w="380" w:type="dxa"/>
            <w:vAlign w:val="bottom"/>
            <w:tcBorders>
              <w:top w:val="single" w:sz="8" w:color="auto"/>
            </w:tcBorders>
            <w:gridSpan w:val="9"/>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8/10/2021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2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amended.</w:t>
              </w:r>
            </w:hyperlink>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2"/>
                <w:szCs w:val="22"/>
                <w:color w:val="auto"/>
              </w:rPr>
            </w:pPr>
          </w:p>
        </w:tc>
        <w:tc>
          <w:tcPr>
            <w:tcW w:w="3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Certificate of Amendment to Amended and Restated</w:t>
              </w:r>
            </w:hyperlink>
          </w:p>
        </w:tc>
        <w:tc>
          <w:tcPr>
            <w:tcW w:w="520" w:type="dxa"/>
            <w:vAlign w:val="bottom"/>
            <w:gridSpan w:val="11"/>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6/11/2024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22"/>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Certificate of Incorporation of BioXcel Therapeutics, Inc.,</w:t>
              </w:r>
            </w:hyperlink>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as amended, dated June 10, 2024.</w:t>
              </w:r>
            </w:hyperlink>
          </w:p>
        </w:tc>
        <w:tc>
          <w:tcPr>
            <w:tcW w:w="12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2"/>
                <w:szCs w:val="22"/>
                <w:color w:val="auto"/>
              </w:rPr>
            </w:pPr>
          </w:p>
        </w:tc>
        <w:tc>
          <w:tcPr>
            <w:tcW w:w="24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and Restated Bylaws.</w:t>
              </w:r>
            </w:hyperlink>
          </w:p>
        </w:tc>
        <w:tc>
          <w:tcPr>
            <w:tcW w:w="1900" w:type="dxa"/>
            <w:vAlign w:val="bottom"/>
            <w:gridSpan w:val="16"/>
          </w:tcPr>
          <w:p>
            <w:pPr>
              <w:spacing w:after="0"/>
              <w:rPr>
                <w:sz w:val="22"/>
                <w:szCs w:val="22"/>
                <w:color w:val="auto"/>
              </w:rPr>
            </w:pPr>
          </w:p>
        </w:tc>
        <w:tc>
          <w:tcPr>
            <w:tcW w:w="14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8-K   001-38410</w:t>
            </w:r>
          </w:p>
        </w:tc>
        <w:tc>
          <w:tcPr>
            <w:tcW w:w="6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3/13/2018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2"/>
                <w:szCs w:val="22"/>
                <w:color w:val="auto"/>
              </w:rPr>
            </w:pPr>
          </w:p>
        </w:tc>
        <w:tc>
          <w:tcPr>
            <w:tcW w:w="4320" w:type="dxa"/>
            <w:vAlign w:val="bottom"/>
            <w:gridSpan w:val="22"/>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Warrant Agreement, dated March 20, 2024</w:t>
              </w:r>
            </w:hyperlink>
          </w:p>
        </w:tc>
        <w:tc>
          <w:tcPr>
            <w:tcW w:w="14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10-K  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5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3/22/2024</w:t>
            </w:r>
          </w:p>
        </w:tc>
        <w:tc>
          <w:tcPr>
            <w:tcW w:w="0" w:type="dxa"/>
            <w:vAlign w:val="bottom"/>
          </w:tcPr>
          <w:p>
            <w:pPr>
              <w:spacing w:after="0"/>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2"/>
                <w:szCs w:val="22"/>
                <w:color w:val="auto"/>
              </w:rPr>
            </w:pPr>
          </w:p>
        </w:tc>
        <w:tc>
          <w:tcPr>
            <w:tcW w:w="37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Second Amended and Restated Registration Rights</w:t>
              </w:r>
            </w:hyperlink>
          </w:p>
        </w:tc>
        <w:tc>
          <w:tcPr>
            <w:tcW w:w="20" w:type="dxa"/>
            <w:vAlign w:val="bottom"/>
            <w:tcBorders>
              <w:top w:val="single" w:sz="8" w:color="0000EE"/>
            </w:tcBorders>
          </w:tcPr>
          <w:p>
            <w:pPr>
              <w:spacing w:after="0"/>
              <w:rPr>
                <w:sz w:val="22"/>
                <w:szCs w:val="22"/>
                <w:color w:val="auto"/>
              </w:rPr>
            </w:pPr>
          </w:p>
        </w:tc>
        <w:tc>
          <w:tcPr>
            <w:tcW w:w="600" w:type="dxa"/>
            <w:vAlign w:val="bottom"/>
            <w:gridSpan w:val="1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5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3/22/2024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22"/>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Agreement, between the Company and the parties thereto,</w:t>
              </w:r>
            </w:hyperlink>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dated March 20, 2024.</w:t>
              </w:r>
            </w:hyperlink>
          </w:p>
        </w:tc>
        <w:tc>
          <w:tcPr>
            <w:tcW w:w="2540" w:type="dxa"/>
            <w:vAlign w:val="bottom"/>
            <w:tcBorders>
              <w:top w:val="single" w:sz="8" w:color="0000EE"/>
            </w:tcBorders>
            <w:gridSpan w:val="16"/>
          </w:tcPr>
          <w:p>
            <w:pPr>
              <w:spacing w:after="0"/>
              <w:rPr>
                <w:sz w:val="17"/>
                <w:szCs w:val="17"/>
                <w:color w:val="auto"/>
              </w:rPr>
            </w:pPr>
          </w:p>
        </w:tc>
        <w:tc>
          <w:tcPr>
            <w:tcW w:w="1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2"/>
                <w:szCs w:val="22"/>
                <w:color w:val="auto"/>
              </w:rPr>
            </w:pPr>
          </w:p>
        </w:tc>
        <w:tc>
          <w:tcPr>
            <w:tcW w:w="21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Form of Pre-Funded Warrant</w:t>
              </w:r>
            </w:hyperlink>
          </w:p>
        </w:tc>
        <w:tc>
          <w:tcPr>
            <w:tcW w:w="2220" w:type="dxa"/>
            <w:vAlign w:val="bottom"/>
            <w:gridSpan w:val="19"/>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2"/>
                <w:szCs w:val="22"/>
                <w:color w:val="auto"/>
              </w:rPr>
            </w:pPr>
          </w:p>
        </w:tc>
        <w:tc>
          <w:tcPr>
            <w:tcW w:w="23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Form of Accompanying Warrant</w:t>
              </w:r>
            </w:hyperlink>
          </w:p>
        </w:tc>
        <w:tc>
          <w:tcPr>
            <w:tcW w:w="1960" w:type="dxa"/>
            <w:vAlign w:val="bottom"/>
            <w:gridSpan w:val="17"/>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2"/>
                <w:szCs w:val="22"/>
                <w:color w:val="auto"/>
              </w:rPr>
            </w:pPr>
          </w:p>
        </w:tc>
        <w:tc>
          <w:tcPr>
            <w:tcW w:w="4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Amendment No. 1, dated July 11, 2024, to Commercial</w:t>
            </w:r>
          </w:p>
        </w:tc>
        <w:tc>
          <w:tcPr>
            <w:tcW w:w="300" w:type="dxa"/>
            <w:vAlign w:val="bottom"/>
            <w:gridSpan w:val="7"/>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Supply Agreement, between ARx, LLC and BioXcel</w:t>
            </w:r>
          </w:p>
        </w:tc>
        <w:tc>
          <w:tcPr>
            <w:tcW w:w="50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Therapeutics, Inc., dated April 1, 2022</w:t>
            </w:r>
          </w:p>
        </w:tc>
        <w:tc>
          <w:tcPr>
            <w:tcW w:w="152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w:t>
            </w:r>
          </w:p>
        </w:tc>
        <w:tc>
          <w:tcPr>
            <w:tcW w:w="32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under the Securities</w:t>
            </w:r>
          </w:p>
        </w:tc>
        <w:tc>
          <w:tcPr>
            <w:tcW w:w="62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2"/>
                <w:szCs w:val="22"/>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w:t>
            </w: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under the Securities</w:t>
            </w:r>
          </w:p>
        </w:tc>
        <w:tc>
          <w:tcPr>
            <w:tcW w:w="240" w:type="dxa"/>
            <w:vAlign w:val="bottom"/>
            <w:tcBorders>
              <w:top w:val="single" w:sz="8" w:color="0000EE"/>
            </w:tcBorders>
            <w:gridSpan w:val="4"/>
          </w:tcPr>
          <w:p>
            <w:pPr>
              <w:spacing w:after="0"/>
              <w:rPr>
                <w:sz w:val="17"/>
                <w:szCs w:val="17"/>
                <w:color w:val="auto"/>
              </w:rPr>
            </w:pPr>
          </w:p>
        </w:tc>
        <w:tc>
          <w:tcPr>
            <w:tcW w:w="38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2"/>
                <w:szCs w:val="22"/>
                <w:color w:val="auto"/>
              </w:rPr>
            </w:pPr>
          </w:p>
        </w:tc>
        <w:tc>
          <w:tcPr>
            <w:tcW w:w="42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w:t>
            </w:r>
          </w:p>
        </w:tc>
        <w:tc>
          <w:tcPr>
            <w:tcW w:w="10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8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2"/>
                <w:szCs w:val="22"/>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w:t>
            </w: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w:t>
            </w:r>
          </w:p>
        </w:tc>
        <w:tc>
          <w:tcPr>
            <w:tcW w:w="16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8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101.INS</w:t>
            </w:r>
          </w:p>
        </w:tc>
        <w:tc>
          <w:tcPr>
            <w:tcW w:w="25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6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jc w:val="center"/>
              <w:ind w:left="75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jc w:val="both"/>
        <w:ind w:left="920" w:right="3919" w:firstLine="8"/>
        <w:spacing w:after="0" w:line="255" w:lineRule="auto"/>
        <w:tabs>
          <w:tab w:leader="none" w:pos="10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101.DEF</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1780" w:type="dxa"/>
            <w:vAlign w:val="bottom"/>
          </w:tcPr>
          <w:p>
            <w:pPr>
              <w:spacing w:after="0"/>
              <w:rPr>
                <w:sz w:val="20"/>
                <w:szCs w:val="20"/>
                <w:color w:val="auto"/>
              </w:rPr>
            </w:pPr>
          </w:p>
        </w:tc>
      </w:tr>
      <w:tr>
        <w:trPr>
          <w:trHeight w:val="265"/>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8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763270</wp:posOffset>
            </wp:positionV>
            <wp:extent cx="1405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hanging="330"/>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7" w:lineRule="exact"/>
        <w:rPr>
          <w:sz w:val="20"/>
          <w:szCs w:val="20"/>
          <w:color w:val="auto"/>
        </w:rPr>
      </w:pPr>
    </w:p>
    <w:p>
      <w:pPr>
        <w:ind w:left="4340" w:right="1919" w:hanging="4290"/>
        <w:spacing w:after="0" w:line="761" w:lineRule="auto"/>
        <w:tabs>
          <w:tab w:leader="none" w:pos="3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064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2024</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2024</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878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26" w:lineRule="exact"/>
        <w:rPr>
          <w:sz w:val="20"/>
          <w:szCs w:val="20"/>
          <w:color w:val="auto"/>
        </w:rPr>
      </w:pPr>
    </w:p>
    <w:p>
      <w:pPr>
        <w:jc w:val="cente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Certain information marked as [***] has been excluded from this exhibit because it is both (i) not material and (ii) of the type that the registrant customarily and actually treats as confidential.</w:t>
      </w:r>
    </w:p>
    <w:p>
      <w:pPr>
        <w:spacing w:after="0" w:line="1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Commercial Supply Agreement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This Amendment No. 1 to the Commercial Supply Agreement, dated as of July 11, 2024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by and between BioXcel Therapeutics, Inc., a Delaware corporation, with an address at 555</w:t>
      </w:r>
    </w:p>
    <w:p>
      <w:pPr>
        <w:spacing w:after="0" w:line="230" w:lineRule="auto"/>
        <w:rPr>
          <w:sz w:val="20"/>
          <w:szCs w:val="20"/>
          <w:color w:val="auto"/>
        </w:rPr>
      </w:pPr>
      <w:r>
        <w:rPr>
          <w:rFonts w:ascii="Times New Roman" w:cs="Times New Roman" w:eastAsia="Times New Roman" w:hAnsi="Times New Roman"/>
          <w:sz w:val="22"/>
          <w:szCs w:val="22"/>
          <w:color w:val="auto"/>
        </w:rPr>
        <w:t>Long Wharf Drive, 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 New Haven, CT 06511 (“</w:t>
      </w:r>
      <w:r>
        <w:rPr>
          <w:rFonts w:ascii="Times New Roman" w:cs="Times New Roman" w:eastAsia="Times New Roman" w:hAnsi="Times New Roman"/>
          <w:sz w:val="22"/>
          <w:szCs w:val="22"/>
          <w:b w:val="1"/>
          <w:bCs w:val="1"/>
          <w:color w:val="auto"/>
        </w:rPr>
        <w:t>BioXcel</w:t>
      </w:r>
      <w:r>
        <w:rPr>
          <w:rFonts w:ascii="Times New Roman" w:cs="Times New Roman" w:eastAsia="Times New Roman" w:hAnsi="Times New Roman"/>
          <w:sz w:val="22"/>
          <w:szCs w:val="22"/>
          <w:color w:val="auto"/>
        </w:rPr>
        <w:t>”), and ARx, LLC, a Pennsylvania limited</w:t>
      </w:r>
    </w:p>
    <w:p>
      <w:pPr>
        <w:spacing w:after="0" w:line="231" w:lineRule="auto"/>
        <w:rPr>
          <w:sz w:val="20"/>
          <w:szCs w:val="20"/>
          <w:color w:val="auto"/>
        </w:rPr>
      </w:pPr>
      <w:r>
        <w:rPr>
          <w:rFonts w:ascii="Times New Roman" w:cs="Times New Roman" w:eastAsia="Times New Roman" w:hAnsi="Times New Roman"/>
          <w:sz w:val="22"/>
          <w:szCs w:val="22"/>
          <w:color w:val="auto"/>
        </w:rPr>
        <w:t>liability company, with an address at 400 Seaks Run Road, Glen Rock, PA 17327 (“</w:t>
      </w:r>
      <w:r>
        <w:rPr>
          <w:rFonts w:ascii="Times New Roman" w:cs="Times New Roman" w:eastAsia="Times New Roman" w:hAnsi="Times New Roman"/>
          <w:sz w:val="22"/>
          <w:szCs w:val="22"/>
          <w:b w:val="1"/>
          <w:bCs w:val="1"/>
          <w:color w:val="auto"/>
        </w:rPr>
        <w:t>ARx</w:t>
      </w:r>
      <w:r>
        <w:rPr>
          <w:rFonts w:ascii="Times New Roman" w:cs="Times New Roman" w:eastAsia="Times New Roman" w:hAnsi="Times New Roman"/>
          <w:sz w:val="22"/>
          <w:szCs w:val="22"/>
          <w:color w:val="auto"/>
        </w:rPr>
        <w:t>,” and together with</w:t>
      </w:r>
    </w:p>
    <w:p>
      <w:pPr>
        <w:spacing w:after="0"/>
        <w:rPr>
          <w:sz w:val="20"/>
          <w:szCs w:val="20"/>
          <w:color w:val="auto"/>
        </w:rPr>
      </w:pPr>
      <w:r>
        <w:rPr>
          <w:rFonts w:ascii="Times New Roman" w:cs="Times New Roman" w:eastAsia="Times New Roman" w:hAnsi="Times New Roman"/>
          <w:sz w:val="22"/>
          <w:szCs w:val="22"/>
          <w:color w:val="auto"/>
        </w:rPr>
        <w:t>BioXcel,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have entered into a Commercial Supply Agreement, dated as of April 1, 2022 (the “</w:t>
      </w:r>
      <w:r>
        <w:rPr>
          <w:rFonts w:ascii="Times New Roman" w:cs="Times New Roman" w:eastAsia="Times New Roman" w:hAnsi="Times New Roman"/>
          <w:sz w:val="22"/>
          <w:szCs w:val="22"/>
          <w:b w:val="1"/>
          <w:bCs w:val="1"/>
          <w:color w:val="auto"/>
        </w:rPr>
        <w:t>Existing Agreement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22"/>
          <w:szCs w:val="22"/>
          <w:color w:val="auto"/>
        </w:rPr>
        <w:t xml:space="preserve">WHEREAS, the Parties desire to,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amend the Existing Agreement to revise the required minimum payment amounts and schedule therefore under the Existing Agreement, on the terms and subject to the conditions set forth herein; and</w:t>
      </w:r>
    </w:p>
    <w:p>
      <w:pPr>
        <w:spacing w:after="0" w:line="18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WHEREAS, pursuant to Section 16.10 (Entire Agreement/Amendments; Conflicts) of the Existing Agreement, the amendment contemplated by the Parties must be contained in a statement in writing to that effect signed by duly authorized representatives of BioXcel and ARx.</w:t>
      </w:r>
    </w:p>
    <w:p>
      <w:pPr>
        <w:spacing w:after="0" w:line="18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agree as follows:</w:t>
      </w:r>
    </w:p>
    <w:p>
      <w:pPr>
        <w:spacing w:after="0" w:line="158" w:lineRule="exact"/>
        <w:rPr>
          <w:sz w:val="20"/>
          <w:szCs w:val="20"/>
          <w:color w:val="auto"/>
        </w:rPr>
      </w:pPr>
    </w:p>
    <w:p>
      <w:pPr>
        <w:ind w:right="180" w:firstLine="644"/>
        <w:spacing w:after="0" w:line="258" w:lineRule="auto"/>
        <w:tabs>
          <w:tab w:leader="none" w:pos="12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defined in this Amendment shall have the respective meanings assigned to them in the Existing Agreement.</w:t>
      </w:r>
    </w:p>
    <w:p>
      <w:pPr>
        <w:spacing w:after="0" w:line="171" w:lineRule="exact"/>
        <w:rPr>
          <w:rFonts w:ascii="Times New Roman" w:cs="Times New Roman" w:eastAsia="Times New Roman" w:hAnsi="Times New Roman"/>
          <w:sz w:val="22"/>
          <w:szCs w:val="22"/>
          <w:color w:val="auto"/>
        </w:rPr>
      </w:pPr>
    </w:p>
    <w:p>
      <w:pPr>
        <w:ind w:right="100" w:firstLine="644"/>
        <w:spacing w:after="0" w:line="258" w:lineRule="auto"/>
        <w:tabs>
          <w:tab w:leader="none" w:pos="12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the Existing Agreement</w:t>
      </w:r>
      <w:r>
        <w:rPr>
          <w:rFonts w:ascii="Times New Roman" w:cs="Times New Roman" w:eastAsia="Times New Roman" w:hAnsi="Times New Roman"/>
          <w:sz w:val="22"/>
          <w:szCs w:val="22"/>
          <w:color w:val="auto"/>
        </w:rPr>
        <w:t>. As of the Effective Date (as defined below), the Existing Agreement is hereby amended or modified as follows:</w:t>
      </w:r>
    </w:p>
    <w:p>
      <w:pPr>
        <w:spacing w:after="0" w:line="171"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of the Existing Agreement is hereby amended and replaced to be “Product Supply</w:t>
      </w:r>
    </w:p>
    <w:p>
      <w:pPr>
        <w:spacing w:after="0" w:line="2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1"/>
          <w:szCs w:val="21"/>
          <w:color w:val="auto"/>
        </w:rPr>
      </w:pPr>
    </w:p>
    <w:p>
      <w:pPr>
        <w:ind w:left="640" w:right="20" w:firstLine="652"/>
        <w:spacing w:after="0" w:line="258" w:lineRule="auto"/>
        <w:tabs>
          <w:tab w:leader="none" w:pos="193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(Supply Price) of the Existing Agreement is hereby deleted in its entirety and replaced with the </w:t>
      </w:r>
      <w:r>
        <w:rPr>
          <w:rFonts w:ascii="Times New Roman" w:cs="Times New Roman" w:eastAsia="Times New Roman" w:hAnsi="Times New Roman"/>
          <w:sz w:val="22"/>
          <w:szCs w:val="22"/>
          <w:u w:val="single" w:color="auto"/>
          <w:color w:val="auto"/>
        </w:rPr>
        <w:t>Revised Schedule 5.1</w:t>
      </w:r>
      <w:r>
        <w:rPr>
          <w:rFonts w:ascii="Times New Roman" w:cs="Times New Roman" w:eastAsia="Times New Roman" w:hAnsi="Times New Roman"/>
          <w:sz w:val="22"/>
          <w:szCs w:val="22"/>
          <w:color w:val="auto"/>
        </w:rPr>
        <w:t xml:space="preserve"> (Supply Price) annexed to this Amendment.</w:t>
      </w:r>
    </w:p>
    <w:p>
      <w:pPr>
        <w:spacing w:after="0" w:line="171"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Reconciliation Payment and Agreement</w:t>
      </w:r>
      <w:r>
        <w:rPr>
          <w:rFonts w:ascii="Times New Roman" w:cs="Times New Roman" w:eastAsia="Times New Roman" w:hAnsi="Times New Roman"/>
          <w:sz w:val="22"/>
          <w:szCs w:val="22"/>
          <w:color w:val="auto"/>
        </w:rPr>
        <w:t>.</w:t>
      </w:r>
    </w:p>
    <w:p>
      <w:pPr>
        <w:spacing w:after="0" w:line="26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BioXcel agrees to pay ARx the amount of $1,180,478.95 (the “</w:t>
      </w:r>
      <w:r>
        <w:rPr>
          <w:rFonts w:ascii="Times New Roman" w:cs="Times New Roman" w:eastAsia="Times New Roman" w:hAnsi="Times New Roman"/>
          <w:sz w:val="22"/>
          <w:szCs w:val="22"/>
          <w:b w:val="1"/>
          <w:bCs w:val="1"/>
          <w:color w:val="auto"/>
        </w:rPr>
        <w:t>Reconciliation</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which shall be payable in two installments. The first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14" w:right="999" w:bottom="1440" w:gutter="0" w:footer="0" w:header="0"/>
        </w:sectPr>
      </w:pPr>
    </w:p>
    <w:bookmarkStart w:id="136" w:name="page137"/>
    <w:bookmarkEnd w:id="136"/>
    <w:p>
      <w:pPr>
        <w:ind w:left="640" w:right="160"/>
        <w:spacing w:after="0" w:line="258" w:lineRule="auto"/>
        <w:rPr>
          <w:sz w:val="20"/>
          <w:szCs w:val="20"/>
          <w:color w:val="auto"/>
        </w:rPr>
      </w:pPr>
      <w:r>
        <w:rPr>
          <w:rFonts w:ascii="Times New Roman" w:cs="Times New Roman" w:eastAsia="Times New Roman" w:hAnsi="Times New Roman"/>
          <w:sz w:val="22"/>
          <w:szCs w:val="22"/>
          <w:color w:val="auto"/>
        </w:rPr>
        <w:t xml:space="preserve">installment of $[***] will be remitted to ARx within [***] business days </w:t>
      </w:r>
      <w:r>
        <w:rPr>
          <w:rFonts w:ascii="Times New Roman" w:cs="Times New Roman" w:eastAsia="Times New Roman" w:hAnsi="Times New Roman"/>
          <w:sz w:val="19"/>
          <w:szCs w:val="19"/>
          <w:color w:val="auto"/>
        </w:rPr>
        <w:t>following the complete execution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delivery of this Amendment, and the second installment of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will be remitted to ARx by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40" w:right="60" w:firstLine="652"/>
        <w:spacing w:after="0" w:line="238" w:lineRule="auto"/>
        <w:tabs>
          <w:tab w:leader="none" w:pos="193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the Reconciliation Payment shall fully and completely satisfy BioXcel’s Required Annual Payment (as defined in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Supply Price) for Calendar Year 2 (2023) and that, as of the Effective Date, there are no further payments or amounts owed by BioXcel or due to ARx under the Existing Agreement for Calendar Year 2 (2023) or any period of time before then.</w:t>
      </w:r>
    </w:p>
    <w:p>
      <w:pPr>
        <w:spacing w:after="0" w:line="176" w:lineRule="exact"/>
        <w:rPr>
          <w:rFonts w:ascii="Times New Roman" w:cs="Times New Roman" w:eastAsia="Times New Roman" w:hAnsi="Times New Roman"/>
          <w:sz w:val="22"/>
          <w:szCs w:val="22"/>
          <w:color w:val="auto"/>
        </w:rPr>
      </w:pPr>
    </w:p>
    <w:p>
      <w:pPr>
        <w:ind w:left="640" w:right="80" w:firstLine="652"/>
        <w:spacing w:after="0" w:line="235" w:lineRule="auto"/>
        <w:tabs>
          <w:tab w:leader="none" w:pos="193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ARx hereby further covenants and agrees that it shall maintain and make available to BioXcel, during the remaining Term of the Existing Agreement, existing manufacturing capacity and capabilities for producing, testing and releasing the Product for commercial and clinical supplies, and for developmental work in support of registrational programs. For the avoidance of doubt, capacity and capabilities shall refer to currently existing physical infrastructure, manufacturing line and controls, documentation, quality systems, and qualified and trained personnel in manufacturing and laboratory in accordance with cGMP requirements.</w:t>
      </w:r>
    </w:p>
    <w:p>
      <w:pPr>
        <w:spacing w:after="0" w:line="196" w:lineRule="exact"/>
        <w:rPr>
          <w:rFonts w:ascii="Times New Roman" w:cs="Times New Roman" w:eastAsia="Times New Roman" w:hAnsi="Times New Roman"/>
          <w:sz w:val="22"/>
          <w:szCs w:val="22"/>
          <w:color w:val="auto"/>
        </w:rPr>
      </w:pPr>
    </w:p>
    <w:p>
      <w:pPr>
        <w:ind w:right="40" w:firstLine="644"/>
        <w:spacing w:after="0" w:line="233" w:lineRule="auto"/>
        <w:tabs>
          <w:tab w:leader="none" w:pos="12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Effectiveness; Limited Effect</w:t>
      </w:r>
      <w:r>
        <w:rPr>
          <w:rFonts w:ascii="Times New Roman" w:cs="Times New Roman" w:eastAsia="Times New Roman" w:hAnsi="Times New Roman"/>
          <w:sz w:val="22"/>
          <w:szCs w:val="22"/>
          <w:color w:val="auto"/>
        </w:rPr>
        <w:t>. This Amendment will be deemed effective as of the date first written above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provided, however, that this Amendment is expressly contingent upon BioXcel’s satisfaction of the Reconciliation Payment. In the event BioXcel fails to make payment of the Reconciliation Payment as provided herein, ARx may, upon written notice to BioXcel, terminate this Amendment and pursue all rights and remedies under the Existing Agreement and at law or equity.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Effective Date, each reference in the Existing Agreement to “this Agreement,” “the Agreement,” “hereunder,” “hereof,” “herein,” or words of like import, and each reference to the Existing Agreement in any other agreements, documents, or instruments executed and delivered pursuant to, or in connection with, the Existing Agreement will mean and be a reference to the Existing Agreement as amended by this Amendment.</w:t>
      </w:r>
    </w:p>
    <w:p>
      <w:pPr>
        <w:spacing w:after="0" w:line="193"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40" w:right="160" w:firstLine="652"/>
        <w:spacing w:after="0" w:line="258" w:lineRule="auto"/>
        <w:tabs>
          <w:tab w:leader="none" w:pos="193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construed and governed under and in accordance with the laws of the State of Delaware, without giving effect to the principle of conflict of laws thereof.</w:t>
      </w:r>
    </w:p>
    <w:p>
      <w:pPr>
        <w:spacing w:after="0" w:line="158" w:lineRule="exact"/>
        <w:rPr>
          <w:rFonts w:ascii="Times New Roman" w:cs="Times New Roman" w:eastAsia="Times New Roman" w:hAnsi="Times New Roman"/>
          <w:sz w:val="22"/>
          <w:szCs w:val="22"/>
          <w:color w:val="auto"/>
        </w:rPr>
      </w:pPr>
    </w:p>
    <w:p>
      <w:pPr>
        <w:ind w:left="640" w:right="140" w:firstLine="652"/>
        <w:spacing w:after="0" w:line="258" w:lineRule="auto"/>
        <w:tabs>
          <w:tab w:leader="none" w:pos="193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inure to the benefit of and be binding upon each of the Parties and each of their respective permitted successors and permitted assigns.</w:t>
      </w:r>
    </w:p>
    <w:p>
      <w:pPr>
        <w:spacing w:after="0" w:line="171" w:lineRule="exact"/>
        <w:rPr>
          <w:rFonts w:ascii="Times New Roman" w:cs="Times New Roman" w:eastAsia="Times New Roman" w:hAnsi="Times New Roman"/>
          <w:sz w:val="22"/>
          <w:szCs w:val="22"/>
          <w:color w:val="auto"/>
        </w:rPr>
      </w:pPr>
    </w:p>
    <w:p>
      <w:pPr>
        <w:jc w:val="both"/>
        <w:ind w:left="640" w:firstLine="651"/>
        <w:spacing w:after="0" w:line="244" w:lineRule="auto"/>
        <w:tabs>
          <w:tab w:leader="none" w:pos="193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two (2) or more counterparts, each of which shall for all purposes be deemed an original and all of which together shall constitute one and the same instrument. In addition, delivery of an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111" w:right="999" w:bottom="1440" w:gutter="0" w:footer="0" w:header="0"/>
        </w:sectPr>
      </w:pPr>
    </w:p>
    <w:bookmarkStart w:id="137" w:name="page138"/>
    <w:bookmarkEnd w:id="137"/>
    <w:p>
      <w:pPr>
        <w:ind w:left="300"/>
        <w:spacing w:after="0" w:line="258" w:lineRule="auto"/>
        <w:rPr>
          <w:sz w:val="20"/>
          <w:szCs w:val="20"/>
          <w:color w:val="auto"/>
        </w:rPr>
      </w:pPr>
      <w:r>
        <w:rPr>
          <w:rFonts w:ascii="Times New Roman" w:cs="Times New Roman" w:eastAsia="Times New Roman" w:hAnsi="Times New Roman"/>
          <w:sz w:val="22"/>
          <w:szCs w:val="22"/>
          <w:color w:val="auto"/>
        </w:rPr>
        <w:t>of this Amendment electronically shall be effective as delivery of an original executed counterpart of this Amendment.</w:t>
      </w:r>
    </w:p>
    <w:p>
      <w:pPr>
        <w:spacing w:after="0" w:line="16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00"/>
          </w:cols>
          <w:pgMar w:left="1440" w:top="111" w:right="1059" w:bottom="1440" w:gutter="0" w:footer="0" w:header="0"/>
        </w:sectPr>
      </w:pPr>
    </w:p>
    <w:bookmarkStart w:id="138" w:name="page139"/>
    <w:bookmarkEnd w:id="138"/>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hereto has caused this Amendment to be duly executed and delivered in its name and on its behalf, all as of the day and year first above written.</w:t>
      </w:r>
    </w:p>
    <w:p>
      <w:pPr>
        <w:spacing w:after="0" w:line="1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237" w:lineRule="exact"/>
        <w:rPr>
          <w:sz w:val="20"/>
          <w:szCs w:val="20"/>
          <w:color w:val="auto"/>
        </w:rPr>
      </w:pPr>
    </w:p>
    <w:tbl>
      <w:tblPr>
        <w:tblLayout w:type="fixed"/>
        <w:tblInd w:w="4860" w:type="dxa"/>
        <w:tblCellMar>
          <w:top w:w="0" w:type="dxa"/>
          <w:left w:w="0" w:type="dxa"/>
          <w:bottom w:w="0" w:type="dxa"/>
          <w:right w:w="0" w:type="dxa"/>
        </w:tblCellMar>
      </w:tblP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Vimal Mehta</w:t>
            </w:r>
          </w:p>
        </w:tc>
      </w:tr>
      <w:tr>
        <w:trPr>
          <w:trHeight w:val="209"/>
        </w:trPr>
        <w:tc>
          <w:tcPr>
            <w:tcW w:w="6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3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Vimal Mehta</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486"/>
        </w:trPr>
        <w:tc>
          <w:tcPr>
            <w:tcW w:w="4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ARx, LLC:</w:t>
            </w:r>
          </w:p>
        </w:tc>
      </w:tr>
      <w:tr>
        <w:trPr>
          <w:trHeight w:val="474"/>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Francisco Bustamante</w:t>
            </w:r>
          </w:p>
        </w:tc>
      </w:tr>
      <w:tr>
        <w:trPr>
          <w:trHeight w:val="209"/>
        </w:trPr>
        <w:tc>
          <w:tcPr>
            <w:tcW w:w="6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3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Francisco Bustamante</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353695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111" w:right="99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Revised Schedule 5.1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Supply Price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[Omitted Pursuant to Item 601(a)(5) of Regulation S-K]</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0" w:name="page141"/>
    <w:bookmarkEnd w:id="14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599" w:hanging="331"/>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5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1" w:name="page142"/>
    <w:bookmarkEnd w:id="14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599" w:hanging="331"/>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5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3"/>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42" w:name="page143"/>
    <w:bookmarkEnd w:id="14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June 30,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57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3" w:name="page144"/>
    <w:bookmarkEnd w:id="14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June 30,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56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lowerRoman"/>
      <w:start w:val="1"/>
    </w:lvl>
  </w:abstractNum>
  <w:abstractNum w:abstractNumId="10">
    <w:nsid w:val="3855585C"/>
    <w:multiLevelType w:val="hybridMultilevel"/>
    <w:lvl w:ilvl="0">
      <w:lvlJc w:val="left"/>
      <w:lvlText w:val="(%1)"/>
      <w:numFmt w:val="lowerRoman"/>
      <w:start w:val="2"/>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upperLetter"/>
      <w:start w:val="35"/>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lvl w:ilvl="1">
      <w:lvlJc w:val="left"/>
      <w:lvlText w:val="(%2)"/>
      <w:numFmt w:val="lowerLetter"/>
      <w:start w:val="1"/>
    </w:lvl>
  </w:abstractNum>
  <w:abstractNum w:abstractNumId="66">
    <w:nsid w:val="15014ACB"/>
    <w:multiLevelType w:val="hybridMultilevel"/>
    <w:lvl w:ilvl="0">
      <w:lvlJc w:val="left"/>
      <w:lvlText w:val="%1"/>
      <w:numFmt w:val="decimal"/>
      <w:start w:val="1"/>
    </w:lvl>
    <w:lvl w:ilvl="1">
      <w:lvlJc w:val="left"/>
      <w:lvlText w:val="(%2)"/>
      <w:numFmt w:val="lowerLetter"/>
      <w:start w:val="2"/>
    </w:lvl>
  </w:abstractNum>
  <w:abstractNum w:abstractNumId="67">
    <w:nsid w:val="5F5E7FD0"/>
    <w:multiLevelType w:val="hybridMultilevel"/>
    <w:lvl w:ilvl="0">
      <w:lvlJc w:val="left"/>
      <w:lvlText w:val="%1."/>
      <w:numFmt w:val="decimal"/>
      <w:start w:val="4"/>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49" Type="http://schemas.openxmlformats.org/officeDocument/2006/relationships/hyperlink" Target="https://www.sec.gov/Archives/edgar/data/1720893/000155837021011074/btai-20210630xex3d1.htm" TargetMode="External"/><Relationship Id="rId150" Type="http://schemas.openxmlformats.org/officeDocument/2006/relationships/hyperlink" Target="https://www.sec.gov/Archives/edgar/data/1720893/000110465924070503/tm249625d6_ex3-1.htm" TargetMode="External"/><Relationship Id="rId151" Type="http://schemas.openxmlformats.org/officeDocument/2006/relationships/hyperlink" Target="https://www.sec.gov/Archives/edgar/data/1720893/000110465918016770/a18-8090_1ex3d2.htm#Exhibit3_2_110959" TargetMode="External"/><Relationship Id="rId152" Type="http://schemas.openxmlformats.org/officeDocument/2006/relationships/hyperlink" Target="https://www.sec.gov/Archives/edgar/data/1720893/000155837024003784/btai-20231231xex4d5.htm" TargetMode="External"/><Relationship Id="rId153" Type="http://schemas.openxmlformats.org/officeDocument/2006/relationships/hyperlink" Target="https://www.sec.gov/Archives/edgar/data/1720893/000155837024003784/btai-20231231xex4d6.htm" TargetMode="External"/><Relationship Id="rId154" Type="http://schemas.openxmlformats.org/officeDocument/2006/relationships/hyperlink" Target="https://www.sec.gov/Archives/edgar/data/1720893/000110465924038441/tm249625d2_ex4-1.htm" TargetMode="External"/><Relationship Id="rId155" Type="http://schemas.openxmlformats.org/officeDocument/2006/relationships/hyperlink" Target="https://www.sec.gov/Archives/edgar/data/1720893/000110465924038441/tm249625d2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2024-08-06T08:17:31Z</dcterms:created>
  <dcterms:modified xsi:type="dcterms:W3CDTF">2024-08-06T08:17:31Z</dcterms:modified>
</cp:coreProperties>
</file>