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760730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122" w:lineRule="exact"/>
        <w:rPr>
          <w:sz w:val="24"/>
          <w:szCs w:val="24"/>
          <w:color w:val="auto"/>
        </w:rPr>
      </w:pPr>
    </w:p>
    <w:p>
      <w:pPr>
        <w:ind w:left="60"/>
        <w:spacing w:after="0"/>
        <w:rPr>
          <w:sz w:val="20"/>
          <w:szCs w:val="20"/>
          <w:color w:val="auto"/>
        </w:rPr>
      </w:pPr>
      <w:r>
        <w:rPr>
          <w:rFonts w:ascii="Arial" w:cs="Arial" w:eastAsia="Arial" w:hAnsi="Arial"/>
          <w:sz w:val="11"/>
          <w:szCs w:val="11"/>
          <w:b w:val="1"/>
          <w:bCs w:val="1"/>
          <w:color w:val="auto"/>
        </w:rPr>
        <w:t>(Mark one)</w:t>
      </w:r>
    </w:p>
    <w:p>
      <w:pPr>
        <w:spacing w:after="0" w:line="2" w:lineRule="exact"/>
        <w:rPr>
          <w:sz w:val="24"/>
          <w:szCs w:val="24"/>
          <w:color w:val="auto"/>
        </w:rPr>
      </w:pPr>
    </w:p>
    <w:p>
      <w:pPr>
        <w:jc w:val="right"/>
        <w:ind w:left="3320" w:right="3339" w:hanging="3190"/>
        <w:spacing w:after="0" w:line="260" w:lineRule="auto"/>
        <w:tabs>
          <w:tab w:leader="none" w:pos="375"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Annual Report Pursuant to Section 13 or 15(d) of the Securities Exchange Act of 1934 For the year ended December 31, 2020</w:t>
      </w:r>
    </w:p>
    <w:p>
      <w:pPr>
        <w:ind w:left="4440"/>
        <w:spacing w:after="0" w:line="221" w:lineRule="auto"/>
        <w:rPr>
          <w:rFonts w:ascii="Arial" w:cs="Arial" w:eastAsia="Arial" w:hAnsi="Arial"/>
          <w:sz w:val="12"/>
          <w:szCs w:val="12"/>
          <w:color w:val="auto"/>
        </w:rPr>
      </w:pPr>
      <w:r>
        <w:rPr>
          <w:rFonts w:ascii="Arial" w:cs="Arial" w:eastAsia="Arial" w:hAnsi="Arial"/>
          <w:sz w:val="14"/>
          <w:szCs w:val="14"/>
          <w:b w:val="1"/>
          <w:bCs w:val="1"/>
          <w:color w:val="auto"/>
        </w:rPr>
        <w:t>or</w:t>
      </w:r>
    </w:p>
    <w:p>
      <w:pPr>
        <w:ind w:left="380" w:hanging="230"/>
        <w:spacing w:after="0" w:line="218" w:lineRule="auto"/>
        <w:tabs>
          <w:tab w:leader="none" w:pos="38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9019"/>
          </w:cols>
          <w:pgMar w:left="1440" w:top="665" w:right="1440" w:bottom="1440" w:gutter="0" w:footer="0" w:header="0"/>
        </w:sectPr>
      </w:pPr>
    </w:p>
    <w:p>
      <w:pPr>
        <w:spacing w:after="0" w:line="15" w:lineRule="exact"/>
        <w:rPr>
          <w:sz w:val="24"/>
          <w:szCs w:val="24"/>
          <w:color w:val="auto"/>
        </w:rPr>
      </w:pPr>
    </w:p>
    <w:p>
      <w:pPr>
        <w:ind w:left="3020"/>
        <w:spacing w:after="0"/>
        <w:tabs>
          <w:tab w:leader="none" w:pos="53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w:t>
      </w:r>
    </w:p>
    <w:p>
      <w:pPr>
        <w:spacing w:after="0" w:line="43" w:lineRule="exact"/>
        <w:rPr>
          <w:sz w:val="24"/>
          <w:szCs w:val="24"/>
          <w:color w:val="auto"/>
        </w:rPr>
      </w:pPr>
    </w:p>
    <w:p>
      <w:pPr>
        <w:sectPr>
          <w:pgSz w:w="11900" w:h="16838" w:orient="portrait"/>
          <w:cols w:equalWidth="0" w:num="2">
            <w:col w:w="5500" w:space="460"/>
            <w:col w:w="3059"/>
          </w:cols>
          <w:pgMar w:left="1440" w:top="665" w:right="1440"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Commission file number 001-38410</w:t>
      </w:r>
    </w:p>
    <w:p>
      <w:pPr>
        <w:sectPr>
          <w:pgSz w:w="11900" w:h="16838" w:orient="portrait"/>
          <w:cols w:equalWidth="0" w:num="1">
            <w:col w:w="9019"/>
          </w:cols>
          <w:pgMar w:left="1440" w:top="665" w:right="1440" w:bottom="1440" w:gutter="0" w:footer="0" w:header="0"/>
          <w:type w:val="continuous"/>
        </w:sectPr>
      </w:pPr>
    </w:p>
    <w:p>
      <w:pPr>
        <w:spacing w:after="0" w:line="10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BioXcel Therapeutics, Inc.</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72" w:lineRule="exact"/>
        <w:rPr>
          <w:sz w:val="24"/>
          <w:szCs w:val="24"/>
          <w:color w:val="auto"/>
        </w:rPr>
      </w:pPr>
    </w:p>
    <w:tbl>
      <w:tblPr>
        <w:tblLayout w:type="fixed"/>
        <w:tblInd w:w="1340" w:type="dxa"/>
        <w:tblCellMar>
          <w:top w:w="0" w:type="dxa"/>
          <w:left w:w="0" w:type="dxa"/>
          <w:bottom w:w="0" w:type="dxa"/>
          <w:right w:w="0" w:type="dxa"/>
        </w:tblCellMar>
      </w:tblPr>
      <w:tr>
        <w:trPr>
          <w:trHeight w:val="149"/>
        </w:trPr>
        <w:tc>
          <w:tcPr>
            <w:tcW w:w="3460" w:type="dxa"/>
            <w:vAlign w:val="bottom"/>
          </w:tcPr>
          <w:p>
            <w:pPr>
              <w:jc w:val="center"/>
              <w:ind w:right="1517"/>
              <w:spacing w:after="0"/>
              <w:rPr>
                <w:sz w:val="20"/>
                <w:szCs w:val="20"/>
                <w:color w:val="auto"/>
              </w:rPr>
            </w:pPr>
            <w:r>
              <w:rPr>
                <w:rFonts w:ascii="Arial" w:cs="Arial" w:eastAsia="Arial" w:hAnsi="Arial"/>
                <w:sz w:val="13"/>
                <w:szCs w:val="13"/>
                <w:b w:val="1"/>
                <w:bCs w:val="1"/>
                <w:color w:val="auto"/>
                <w:w w:val="91"/>
              </w:rPr>
              <w:t>Delaware</w:t>
            </w:r>
          </w:p>
        </w:tc>
        <w:tc>
          <w:tcPr>
            <w:tcW w:w="2400" w:type="dxa"/>
            <w:vAlign w:val="bottom"/>
          </w:tcPr>
          <w:p>
            <w:pPr>
              <w:jc w:val="right"/>
              <w:ind w:right="97"/>
              <w:spacing w:after="0"/>
              <w:rPr>
                <w:sz w:val="20"/>
                <w:szCs w:val="20"/>
                <w:color w:val="auto"/>
              </w:rPr>
            </w:pPr>
            <w:r>
              <w:rPr>
                <w:rFonts w:ascii="Arial" w:cs="Arial" w:eastAsia="Arial" w:hAnsi="Arial"/>
                <w:sz w:val="13"/>
                <w:szCs w:val="13"/>
                <w:b w:val="1"/>
                <w:bCs w:val="1"/>
                <w:color w:val="auto"/>
              </w:rPr>
              <w:t>82-1386754</w:t>
            </w:r>
          </w:p>
        </w:tc>
      </w:tr>
      <w:tr>
        <w:trPr>
          <w:trHeight w:val="135"/>
        </w:trPr>
        <w:tc>
          <w:tcPr>
            <w:tcW w:w="3460" w:type="dxa"/>
            <w:vAlign w:val="bottom"/>
          </w:tcPr>
          <w:p>
            <w:pPr>
              <w:jc w:val="center"/>
              <w:ind w:right="1377"/>
              <w:spacing w:after="0" w:line="135" w:lineRule="exact"/>
              <w:rPr>
                <w:sz w:val="20"/>
                <w:szCs w:val="20"/>
                <w:color w:val="auto"/>
              </w:rPr>
            </w:pPr>
            <w:r>
              <w:rPr>
                <w:rFonts w:ascii="Arial" w:cs="Arial" w:eastAsia="Arial" w:hAnsi="Arial"/>
                <w:sz w:val="13"/>
                <w:szCs w:val="13"/>
                <w:color w:val="auto"/>
                <w:w w:val="89"/>
              </w:rPr>
              <w:t>(State or other jurisdiction of</w:t>
            </w:r>
          </w:p>
        </w:tc>
        <w:tc>
          <w:tcPr>
            <w:tcW w:w="2400" w:type="dxa"/>
            <w:vAlign w:val="bottom"/>
          </w:tcPr>
          <w:p>
            <w:pPr>
              <w:jc w:val="center"/>
              <w:ind w:left="1397"/>
              <w:spacing w:after="0" w:line="135" w:lineRule="exact"/>
              <w:rPr>
                <w:sz w:val="20"/>
                <w:szCs w:val="20"/>
                <w:color w:val="auto"/>
              </w:rPr>
            </w:pPr>
            <w:r>
              <w:rPr>
                <w:rFonts w:ascii="Arial" w:cs="Arial" w:eastAsia="Arial" w:hAnsi="Arial"/>
                <w:sz w:val="13"/>
                <w:szCs w:val="13"/>
                <w:color w:val="auto"/>
                <w:w w:val="90"/>
              </w:rPr>
              <w:t>(I.R.S. Employer</w:t>
            </w:r>
          </w:p>
        </w:tc>
      </w:tr>
      <w:tr>
        <w:trPr>
          <w:trHeight w:val="131"/>
        </w:trPr>
        <w:tc>
          <w:tcPr>
            <w:tcW w:w="3460" w:type="dxa"/>
            <w:vAlign w:val="bottom"/>
          </w:tcPr>
          <w:p>
            <w:pPr>
              <w:jc w:val="center"/>
              <w:ind w:right="1377"/>
              <w:spacing w:after="0" w:line="131" w:lineRule="exact"/>
              <w:rPr>
                <w:sz w:val="20"/>
                <w:szCs w:val="20"/>
                <w:color w:val="auto"/>
              </w:rPr>
            </w:pPr>
            <w:r>
              <w:rPr>
                <w:rFonts w:ascii="Arial" w:cs="Arial" w:eastAsia="Arial" w:hAnsi="Arial"/>
                <w:sz w:val="13"/>
                <w:szCs w:val="13"/>
                <w:color w:val="auto"/>
                <w:w w:val="88"/>
              </w:rPr>
              <w:t>incorporation or organization)</w:t>
            </w:r>
          </w:p>
        </w:tc>
        <w:tc>
          <w:tcPr>
            <w:tcW w:w="2400" w:type="dxa"/>
            <w:vAlign w:val="bottom"/>
          </w:tcPr>
          <w:p>
            <w:pPr>
              <w:jc w:val="center"/>
              <w:ind w:left="1397"/>
              <w:spacing w:after="0" w:line="131" w:lineRule="exact"/>
              <w:rPr>
                <w:sz w:val="20"/>
                <w:szCs w:val="20"/>
                <w:color w:val="auto"/>
              </w:rPr>
            </w:pPr>
            <w:r>
              <w:rPr>
                <w:rFonts w:ascii="Arial" w:cs="Arial" w:eastAsia="Arial" w:hAnsi="Arial"/>
                <w:sz w:val="13"/>
                <w:szCs w:val="13"/>
                <w:color w:val="auto"/>
                <w:w w:val="92"/>
              </w:rPr>
              <w:t>Identification No.)</w:t>
            </w:r>
          </w:p>
        </w:tc>
      </w:tr>
      <w:tr>
        <w:trPr>
          <w:trHeight w:val="135"/>
        </w:trPr>
        <w:tc>
          <w:tcPr>
            <w:tcW w:w="3460" w:type="dxa"/>
            <w:vAlign w:val="bottom"/>
          </w:tcPr>
          <w:p>
            <w:pPr>
              <w:jc w:val="center"/>
              <w:ind w:right="1497"/>
              <w:spacing w:after="0" w:line="135" w:lineRule="exact"/>
              <w:rPr>
                <w:sz w:val="20"/>
                <w:szCs w:val="20"/>
                <w:color w:val="auto"/>
              </w:rPr>
            </w:pPr>
            <w:r>
              <w:rPr>
                <w:rFonts w:ascii="Arial" w:cs="Arial" w:eastAsia="Arial" w:hAnsi="Arial"/>
                <w:sz w:val="13"/>
                <w:szCs w:val="13"/>
                <w:b w:val="1"/>
                <w:bCs w:val="1"/>
                <w:color w:val="auto"/>
                <w:w w:val="91"/>
              </w:rPr>
              <w:t>555 Long Wharf Drive</w:t>
            </w:r>
          </w:p>
        </w:tc>
        <w:tc>
          <w:tcPr>
            <w:tcW w:w="240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06511</w:t>
            </w:r>
          </w:p>
        </w:tc>
      </w:tr>
      <w:tr>
        <w:trPr>
          <w:trHeight w:val="139"/>
        </w:trPr>
        <w:tc>
          <w:tcPr>
            <w:tcW w:w="3460" w:type="dxa"/>
            <w:vAlign w:val="bottom"/>
          </w:tcPr>
          <w:p>
            <w:pPr>
              <w:jc w:val="center"/>
              <w:ind w:right="1497"/>
              <w:spacing w:after="0" w:line="139" w:lineRule="exact"/>
              <w:rPr>
                <w:sz w:val="20"/>
                <w:szCs w:val="20"/>
                <w:color w:val="auto"/>
              </w:rPr>
            </w:pPr>
            <w:r>
              <w:rPr>
                <w:rFonts w:ascii="Arial" w:cs="Arial" w:eastAsia="Arial" w:hAnsi="Arial"/>
                <w:sz w:val="13"/>
                <w:szCs w:val="13"/>
                <w:b w:val="1"/>
                <w:bCs w:val="1"/>
                <w:color w:val="auto"/>
                <w:w w:val="90"/>
              </w:rPr>
              <w:t>New Haven CT</w:t>
            </w:r>
          </w:p>
        </w:tc>
        <w:tc>
          <w:tcPr>
            <w:tcW w:w="2400" w:type="dxa"/>
            <w:vAlign w:val="bottom"/>
          </w:tcPr>
          <w:p>
            <w:pPr>
              <w:jc w:val="center"/>
              <w:ind w:left="1397"/>
              <w:spacing w:after="0" w:line="139" w:lineRule="exact"/>
              <w:rPr>
                <w:sz w:val="20"/>
                <w:szCs w:val="20"/>
                <w:color w:val="auto"/>
              </w:rPr>
            </w:pPr>
            <w:r>
              <w:rPr>
                <w:rFonts w:ascii="Arial" w:cs="Arial" w:eastAsia="Arial" w:hAnsi="Arial"/>
                <w:sz w:val="13"/>
                <w:szCs w:val="13"/>
                <w:color w:val="auto"/>
                <w:w w:val="87"/>
              </w:rPr>
              <w:t>(Zip Code)</w:t>
            </w:r>
          </w:p>
        </w:tc>
      </w:tr>
      <w:tr>
        <w:trPr>
          <w:trHeight w:val="160"/>
        </w:trPr>
        <w:tc>
          <w:tcPr>
            <w:tcW w:w="3460" w:type="dxa"/>
            <w:vAlign w:val="bottom"/>
          </w:tcPr>
          <w:p>
            <w:pPr>
              <w:jc w:val="center"/>
              <w:ind w:right="1397"/>
              <w:spacing w:after="0"/>
              <w:rPr>
                <w:sz w:val="20"/>
                <w:szCs w:val="20"/>
                <w:color w:val="auto"/>
              </w:rPr>
            </w:pPr>
            <w:r>
              <w:rPr>
                <w:rFonts w:ascii="Arial" w:cs="Arial" w:eastAsia="Arial" w:hAnsi="Arial"/>
                <w:sz w:val="13"/>
                <w:szCs w:val="13"/>
                <w:color w:val="auto"/>
                <w:w w:val="89"/>
              </w:rPr>
              <w:t>(Address of principal executive offices)</w:t>
            </w:r>
          </w:p>
        </w:tc>
        <w:tc>
          <w:tcPr>
            <w:tcW w:w="2400" w:type="dxa"/>
            <w:vAlign w:val="bottom"/>
          </w:tcPr>
          <w:p>
            <w:pPr>
              <w:spacing w:after="0"/>
              <w:rPr>
                <w:sz w:val="13"/>
                <w:szCs w:val="13"/>
                <w:color w:val="auto"/>
              </w:rPr>
            </w:pP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(475) 238-6837</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86" w:lineRule="exact"/>
        <w:rPr>
          <w:sz w:val="24"/>
          <w:szCs w:val="24"/>
          <w:color w:val="auto"/>
        </w:rPr>
      </w:pPr>
    </w:p>
    <w:tbl>
      <w:tblPr>
        <w:tblLayout w:type="fixed"/>
        <w:tblInd w:w="920" w:type="dxa"/>
        <w:tblCellMar>
          <w:top w:w="0" w:type="dxa"/>
          <w:left w:w="0" w:type="dxa"/>
          <w:bottom w:w="0" w:type="dxa"/>
          <w:right w:w="0" w:type="dxa"/>
        </w:tblCellMar>
      </w:tblPr>
      <w:tr>
        <w:trPr>
          <w:trHeight w:val="149"/>
        </w:trPr>
        <w:tc>
          <w:tcPr>
            <w:tcW w:w="2760" w:type="dxa"/>
            <w:vAlign w:val="bottom"/>
            <w:gridSpan w:val="3"/>
          </w:tcPr>
          <w:p>
            <w:pPr>
              <w:jc w:val="center"/>
              <w:ind w:right="460"/>
              <w:spacing w:after="0"/>
              <w:rPr>
                <w:sz w:val="20"/>
                <w:szCs w:val="20"/>
                <w:color w:val="auto"/>
              </w:rPr>
            </w:pPr>
            <w:r>
              <w:rPr>
                <w:rFonts w:ascii="Arial" w:cs="Arial" w:eastAsia="Arial" w:hAnsi="Arial"/>
                <w:sz w:val="13"/>
                <w:szCs w:val="13"/>
                <w:color w:val="auto"/>
                <w:w w:val="86"/>
              </w:rPr>
              <w:t>Title of each class</w:t>
            </w:r>
          </w:p>
        </w:tc>
        <w:tc>
          <w:tcPr>
            <w:tcW w:w="2360" w:type="dxa"/>
            <w:vAlign w:val="bottom"/>
          </w:tcPr>
          <w:p>
            <w:pPr>
              <w:jc w:val="center"/>
              <w:ind w:right="497"/>
              <w:spacing w:after="0"/>
              <w:rPr>
                <w:sz w:val="20"/>
                <w:szCs w:val="20"/>
                <w:color w:val="auto"/>
              </w:rPr>
            </w:pPr>
            <w:r>
              <w:rPr>
                <w:rFonts w:ascii="Arial" w:cs="Arial" w:eastAsia="Arial" w:hAnsi="Arial"/>
                <w:sz w:val="13"/>
                <w:szCs w:val="13"/>
                <w:color w:val="auto"/>
                <w:w w:val="90"/>
              </w:rPr>
              <w:t>Trading Symbol(s)</w:t>
            </w:r>
          </w:p>
        </w:tc>
        <w:tc>
          <w:tcPr>
            <w:tcW w:w="1960" w:type="dxa"/>
            <w:vAlign w:val="bottom"/>
          </w:tcPr>
          <w:p>
            <w:pPr>
              <w:spacing w:after="0"/>
              <w:rPr>
                <w:sz w:val="20"/>
                <w:szCs w:val="20"/>
                <w:color w:val="auto"/>
              </w:rPr>
            </w:pPr>
            <w:r>
              <w:rPr>
                <w:rFonts w:ascii="Arial" w:cs="Arial" w:eastAsia="Arial" w:hAnsi="Arial"/>
                <w:sz w:val="13"/>
                <w:szCs w:val="13"/>
                <w:color w:val="auto"/>
                <w:w w:val="86"/>
              </w:rPr>
              <w:t>Name of exchange on which registered</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vMerge w:val="restart"/>
          </w:tcPr>
          <w:p>
            <w:pPr>
              <w:jc w:val="center"/>
              <w:ind w:right="477"/>
              <w:spacing w:after="0"/>
              <w:rPr>
                <w:sz w:val="20"/>
                <w:szCs w:val="20"/>
                <w:color w:val="auto"/>
              </w:rPr>
            </w:pPr>
            <w:r>
              <w:rPr>
                <w:rFonts w:ascii="Arial" w:cs="Arial" w:eastAsia="Arial" w:hAnsi="Arial"/>
                <w:sz w:val="13"/>
                <w:szCs w:val="13"/>
                <w:b w:val="1"/>
                <w:bCs w:val="1"/>
                <w:color w:val="auto"/>
                <w:w w:val="98"/>
              </w:rPr>
              <w:t>BTAI</w:t>
            </w:r>
          </w:p>
        </w:tc>
        <w:tc>
          <w:tcPr>
            <w:tcW w:w="1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760" w:type="dxa"/>
            <w:vAlign w:val="bottom"/>
            <w:gridSpan w:val="3"/>
            <w:vMerge w:val="restart"/>
          </w:tcPr>
          <w:p>
            <w:pPr>
              <w:jc w:val="center"/>
              <w:ind w:right="440"/>
              <w:spacing w:after="0"/>
              <w:rPr>
                <w:sz w:val="20"/>
                <w:szCs w:val="20"/>
                <w:color w:val="auto"/>
              </w:rPr>
            </w:pPr>
            <w:r>
              <w:rPr>
                <w:rFonts w:ascii="Arial" w:cs="Arial" w:eastAsia="Arial" w:hAnsi="Arial"/>
                <w:sz w:val="13"/>
                <w:szCs w:val="13"/>
                <w:b w:val="1"/>
                <w:bCs w:val="1"/>
                <w:color w:val="auto"/>
                <w:w w:val="87"/>
              </w:rPr>
              <w:t>Common Stock, par value $0.001 per share</w:t>
            </w:r>
          </w:p>
        </w:tc>
        <w:tc>
          <w:tcPr>
            <w:tcW w:w="2360" w:type="dxa"/>
            <w:vAlign w:val="bottom"/>
            <w:vMerge w:val="continue"/>
          </w:tcPr>
          <w:p>
            <w:pPr>
              <w:spacing w:after="0"/>
              <w:rPr>
                <w:sz w:val="12"/>
                <w:szCs w:val="12"/>
                <w:color w:val="auto"/>
              </w:rPr>
            </w:pPr>
          </w:p>
        </w:tc>
        <w:tc>
          <w:tcPr>
            <w:tcW w:w="196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Nasdaq Capital Market</w:t>
            </w:r>
          </w:p>
        </w:tc>
        <w:tc>
          <w:tcPr>
            <w:tcW w:w="0" w:type="dxa"/>
            <w:vAlign w:val="bottom"/>
          </w:tcPr>
          <w:p>
            <w:pPr>
              <w:spacing w:after="0"/>
              <w:rPr>
                <w:sz w:val="1"/>
                <w:szCs w:val="1"/>
                <w:color w:val="auto"/>
              </w:rPr>
            </w:pPr>
          </w:p>
        </w:tc>
      </w:tr>
      <w:tr>
        <w:trPr>
          <w:trHeight w:val="76"/>
        </w:trPr>
        <w:tc>
          <w:tcPr>
            <w:tcW w:w="2760" w:type="dxa"/>
            <w:vAlign w:val="bottom"/>
            <w:gridSpan w:val="3"/>
            <w:vMerge w:val="continue"/>
          </w:tcPr>
          <w:p>
            <w:pPr>
              <w:spacing w:after="0"/>
              <w:rPr>
                <w:sz w:val="6"/>
                <w:szCs w:val="6"/>
                <w:color w:val="auto"/>
              </w:rPr>
            </w:pPr>
          </w:p>
        </w:tc>
        <w:tc>
          <w:tcPr>
            <w:tcW w:w="2360" w:type="dxa"/>
            <w:vAlign w:val="bottom"/>
          </w:tcPr>
          <w:p>
            <w:pPr>
              <w:spacing w:after="0"/>
              <w:rPr>
                <w:sz w:val="6"/>
                <w:szCs w:val="6"/>
                <w:color w:val="auto"/>
              </w:rPr>
            </w:pPr>
          </w:p>
        </w:tc>
        <w:tc>
          <w:tcPr>
            <w:tcW w:w="1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59" w:lineRule="exact"/>
        <w:rPr>
          <w:sz w:val="24"/>
          <w:szCs w:val="24"/>
          <w:color w:val="auto"/>
        </w:rPr>
      </w:pPr>
    </w:p>
    <w:p>
      <w:pPr>
        <w:jc w:val="center"/>
        <w:spacing w:after="0" w:line="18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82" w:lineRule="exact"/>
        <w:rPr>
          <w:sz w:val="24"/>
          <w:szCs w:val="24"/>
          <w:color w:val="auto"/>
        </w:rPr>
      </w:pPr>
    </w:p>
    <w:p>
      <w:pPr>
        <w:ind w:left="700"/>
        <w:spacing w:after="0" w:line="188"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96" w:lineRule="exact"/>
        <w:rPr>
          <w:sz w:val="24"/>
          <w:szCs w:val="24"/>
          <w:color w:val="auto"/>
        </w:rPr>
      </w:pPr>
    </w:p>
    <w:p>
      <w:pPr>
        <w:jc w:val="both"/>
        <w:ind w:left="60" w:right="259" w:firstLine="648"/>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46" w:lineRule="exact"/>
        <w:rPr>
          <w:sz w:val="24"/>
          <w:szCs w:val="24"/>
          <w:color w:val="auto"/>
        </w:rPr>
      </w:pPr>
    </w:p>
    <w:p>
      <w:pPr>
        <w:ind w:left="60" w:right="339" w:firstLine="648"/>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0" w:lineRule="exact"/>
        <w:rPr>
          <w:sz w:val="24"/>
          <w:szCs w:val="24"/>
          <w:color w:val="auto"/>
        </w:rPr>
      </w:pPr>
    </w:p>
    <w:p>
      <w:pPr>
        <w:ind w:left="60" w:right="59" w:firstLine="64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type w:val="continuous"/>
        </w:sectPr>
      </w:pPr>
    </w:p>
    <w:p>
      <w:pPr>
        <w:spacing w:after="0" w:line="54" w:lineRule="exact"/>
        <w:rPr>
          <w:sz w:val="24"/>
          <w:szCs w:val="24"/>
          <w:color w:val="auto"/>
        </w:rPr>
      </w:pPr>
    </w:p>
    <w:p>
      <w:pPr>
        <w:ind w:left="60"/>
        <w:spacing w:after="0" w:line="134" w:lineRule="exact"/>
        <w:rPr>
          <w:sz w:val="20"/>
          <w:szCs w:val="20"/>
          <w:color w:val="auto"/>
        </w:rPr>
      </w:pPr>
      <w:r>
        <w:rPr>
          <w:rFonts w:ascii="Arial" w:cs="Arial" w:eastAsia="Arial" w:hAnsi="Arial"/>
          <w:sz w:val="10"/>
          <w:szCs w:val="10"/>
          <w:color w:val="auto"/>
        </w:rPr>
        <w:t xml:space="preserve">Large accelerated filer </w:t>
      </w:r>
      <w:r>
        <w:rPr>
          <w:rFonts w:ascii="Arial Unicode MS" w:cs="Arial Unicode MS" w:eastAsia="Arial Unicode MS" w:hAnsi="Arial Unicode MS"/>
          <w:sz w:val="10"/>
          <w:szCs w:val="10"/>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Arial" w:cs="Arial" w:eastAsia="Arial" w:hAnsi="Arial"/>
          <w:sz w:val="12"/>
          <w:szCs w:val="12"/>
          <w:color w:val="auto"/>
        </w:rPr>
        <w:t xml:space="preserve">Accelerated filer </w:t>
      </w:r>
      <w:r>
        <w:rPr>
          <w:rFonts w:ascii="Arial Unicode MS" w:cs="Arial Unicode MS" w:eastAsia="Arial Unicode MS" w:hAnsi="Arial Unicode MS"/>
          <w:sz w:val="12"/>
          <w:szCs w:val="12"/>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34" w:lineRule="exact"/>
        <w:rPr>
          <w:sz w:val="20"/>
          <w:szCs w:val="20"/>
          <w:color w:val="auto"/>
        </w:rPr>
      </w:pPr>
      <w:r>
        <w:rPr>
          <w:rFonts w:ascii="Arial" w:cs="Arial" w:eastAsia="Arial" w:hAnsi="Arial"/>
          <w:sz w:val="10"/>
          <w:szCs w:val="10"/>
          <w:color w:val="auto"/>
        </w:rPr>
        <w:t xml:space="preserve">Non-accelerated filer </w:t>
      </w:r>
      <w:r>
        <w:rPr>
          <w:rFonts w:ascii="Arial Unicode MS" w:cs="Arial Unicode MS" w:eastAsia="Arial Unicode MS" w:hAnsi="Arial Unicode MS"/>
          <w:sz w:val="10"/>
          <w:szCs w:val="10"/>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jc w:val="both"/>
        <w:ind w:right="59" w:hanging="1"/>
        <w:spacing w:after="0" w:line="174" w:lineRule="exact"/>
        <w:rPr>
          <w:sz w:val="20"/>
          <w:szCs w:val="20"/>
          <w:color w:val="auto"/>
        </w:rPr>
      </w:pPr>
      <w:r>
        <w:rPr>
          <w:rFonts w:ascii="Arial" w:cs="Arial" w:eastAsia="Arial" w:hAnsi="Arial"/>
          <w:sz w:val="10"/>
          <w:szCs w:val="10"/>
          <w:color w:val="auto"/>
        </w:rPr>
        <w:t xml:space="preserve">Smaller reporting company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Emerging growth company </w:t>
      </w:r>
      <w:r>
        <w:rPr>
          <w:rFonts w:ascii="Arial Unicode MS" w:cs="Arial Unicode MS" w:eastAsia="Arial Unicode MS" w:hAnsi="Arial Unicode MS"/>
          <w:sz w:val="10"/>
          <w:szCs w:val="10"/>
          <w:color w:val="auto"/>
        </w:rPr>
        <w:t>⌧</w:t>
      </w:r>
    </w:p>
    <w:p>
      <w:pPr>
        <w:spacing w:after="0" w:line="37" w:lineRule="exact"/>
        <w:rPr>
          <w:sz w:val="24"/>
          <w:szCs w:val="24"/>
          <w:color w:val="auto"/>
        </w:rPr>
      </w:pPr>
    </w:p>
    <w:p>
      <w:pPr>
        <w:sectPr>
          <w:pgSz w:w="11900" w:h="16838" w:orient="portrait"/>
          <w:cols w:equalWidth="0" w:num="4">
            <w:col w:w="2120" w:space="720"/>
            <w:col w:w="1200" w:space="720"/>
            <w:col w:w="1920" w:space="720"/>
            <w:col w:w="1619"/>
          </w:cols>
          <w:pgMar w:left="1440" w:top="665" w:right="1440" w:bottom="1440" w:gutter="0" w:footer="0" w:header="0"/>
          <w:type w:val="continuous"/>
        </w:sectPr>
      </w:pPr>
    </w:p>
    <w:p>
      <w:pPr>
        <w:ind w:left="60" w:right="279" w:firstLine="648"/>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5" w:lineRule="exact"/>
        <w:rPr>
          <w:sz w:val="24"/>
          <w:szCs w:val="24"/>
          <w:color w:val="auto"/>
        </w:rPr>
      </w:pPr>
    </w:p>
    <w:p>
      <w:pPr>
        <w:ind w:left="60" w:right="99" w:firstLine="648"/>
        <w:spacing w:after="0" w:line="17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46" w:lineRule="exact"/>
        <w:rPr>
          <w:sz w:val="24"/>
          <w:szCs w:val="24"/>
          <w:color w:val="auto"/>
        </w:rPr>
      </w:pPr>
    </w:p>
    <w:p>
      <w:pPr>
        <w:ind w:left="700"/>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96" w:lineRule="exact"/>
        <w:rPr>
          <w:sz w:val="24"/>
          <w:szCs w:val="24"/>
          <w:color w:val="auto"/>
        </w:rPr>
      </w:pPr>
    </w:p>
    <w:p>
      <w:pPr>
        <w:ind w:left="60" w:right="59"/>
        <w:spacing w:after="0" w:line="233" w:lineRule="auto"/>
        <w:rPr>
          <w:sz w:val="20"/>
          <w:szCs w:val="20"/>
          <w:color w:val="auto"/>
        </w:rPr>
      </w:pPr>
      <w:r>
        <w:rPr>
          <w:rFonts w:ascii="Arial" w:cs="Arial" w:eastAsia="Arial" w:hAnsi="Arial"/>
          <w:sz w:val="14"/>
          <w:szCs w:val="14"/>
          <w:color w:val="auto"/>
        </w:rPr>
        <w:t>As of June 30, 2020, the last business day of the registrant's most recently completed second fiscal quarter, the aggregate market value of the registrant’s common stock held by non-affiliates of the registrant was approximately $564,815,666 (based upon the closing sale price of the registrant’s common stock reported on the Nasdaq Capital Market on that date). This calculation excludes shares held by the registrant’s current directors and executive officers and stockholders that the registrant has concluded are affiliates of the registrant.</w:t>
      </w:r>
    </w:p>
    <w:p>
      <w:pPr>
        <w:spacing w:after="0" w:line="90" w:lineRule="exact"/>
        <w:rPr>
          <w:sz w:val="24"/>
          <w:szCs w:val="24"/>
          <w:color w:val="auto"/>
        </w:rPr>
      </w:pPr>
    </w:p>
    <w:p>
      <w:pPr>
        <w:ind w:left="700"/>
        <w:spacing w:after="0"/>
        <w:rPr>
          <w:sz w:val="20"/>
          <w:szCs w:val="20"/>
          <w:color w:val="auto"/>
        </w:rPr>
      </w:pPr>
      <w:r>
        <w:rPr>
          <w:rFonts w:ascii="Arial" w:cs="Arial" w:eastAsia="Arial" w:hAnsi="Arial"/>
          <w:sz w:val="14"/>
          <w:szCs w:val="14"/>
          <w:color w:val="auto"/>
        </w:rPr>
        <w:t>There were 24,572,962 shares of our common stock outstanding at March 1, 2021.</w:t>
      </w:r>
    </w:p>
    <w:p>
      <w:pPr>
        <w:spacing w:after="0" w:line="65"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left="60" w:right="139" w:firstLine="648"/>
        <w:spacing w:after="0" w:line="238" w:lineRule="auto"/>
        <w:rPr>
          <w:sz w:val="20"/>
          <w:szCs w:val="20"/>
          <w:color w:val="auto"/>
        </w:rPr>
      </w:pPr>
      <w:r>
        <w:rPr>
          <w:rFonts w:ascii="Arial" w:cs="Arial" w:eastAsia="Arial" w:hAnsi="Arial"/>
          <w:sz w:val="14"/>
          <w:szCs w:val="14"/>
          <w:color w:val="auto"/>
        </w:rPr>
        <w:t>Portions of the registrant’s definitive proxy statement for its 2021 annual meeting of stockholders, which the registrant intends to file pursuant to Regulation 14A with the Securities and Exchange Commission not later than 120 days after the registrant’s fiscal year ended December 31, 2020,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616585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161925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40" w:type="dxa"/>
            <w:vAlign w:val="bottom"/>
            <w:gridSpan w:val="2"/>
          </w:tcPr>
          <w:p>
            <w:pPr>
              <w:ind w:left="2020"/>
              <w:spacing w:after="0"/>
              <w:rPr>
                <w:sz w:val="20"/>
                <w:szCs w:val="20"/>
                <w:color w:val="auto"/>
              </w:rPr>
            </w:pPr>
            <w:r>
              <w:rPr>
                <w:rFonts w:ascii="Arial" w:cs="Arial" w:eastAsia="Arial" w:hAnsi="Arial"/>
                <w:sz w:val="20"/>
                <w:szCs w:val="20"/>
                <w:b w:val="1"/>
                <w:bCs w:val="1"/>
                <w:color w:val="auto"/>
              </w:rPr>
              <w:t>TABLE OF CONTENTS</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9"/>
        </w:trPr>
        <w:tc>
          <w:tcPr>
            <w:tcW w:w="680" w:type="dxa"/>
            <w:vAlign w:val="bottom"/>
          </w:tcPr>
          <w:p>
            <w:pPr>
              <w:spacing w:after="0"/>
              <w:rPr>
                <w:sz w:val="24"/>
                <w:szCs w:val="24"/>
                <w:color w:val="auto"/>
              </w:rPr>
            </w:pPr>
          </w:p>
        </w:tc>
        <w:tc>
          <w:tcPr>
            <w:tcW w:w="7340" w:type="dxa"/>
            <w:vAlign w:val="bottom"/>
            <w:gridSpan w:val="3"/>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Forward Looking Statements</w:t>
              </w:r>
            </w:hyperlink>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7340" w:type="dxa"/>
            <w:vAlign w:val="bottom"/>
            <w:gridSpan w:val="3"/>
            <w:vMerge w:val="continue"/>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80" w:type="dxa"/>
            <w:vAlign w:val="bottom"/>
            <w:vMerge w:val="restart"/>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w:t>
              </w:r>
            </w:hyperlink>
          </w:p>
        </w:tc>
        <w:tc>
          <w:tcPr>
            <w:tcW w:w="734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Summary 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6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w:t>
              </w:r>
            </w:hyperlink>
          </w:p>
        </w:tc>
        <w:tc>
          <w:tcPr>
            <w:tcW w:w="734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020" w:type="dxa"/>
            <w:vAlign w:val="bottom"/>
            <w:gridSpan w:val="4"/>
          </w:tcPr>
          <w:p>
            <w:pPr>
              <w:ind w:left="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1A. 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020" w:type="dxa"/>
            <w:vAlign w:val="bottom"/>
            <w:gridSpan w:val="4"/>
          </w:tcPr>
          <w:p>
            <w:pPr>
              <w:ind w:left="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1B. Unresolved Staff Comments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2.</w:t>
              </w:r>
            </w:hyperlink>
          </w:p>
        </w:tc>
        <w:tc>
          <w:tcPr>
            <w:tcW w:w="7340" w:type="dxa"/>
            <w:vAlign w:val="bottom"/>
            <w:gridSpan w:val="3"/>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Properties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3.</w:t>
              </w:r>
            </w:hyperlink>
          </w:p>
        </w:tc>
        <w:tc>
          <w:tcPr>
            <w:tcW w:w="7340" w:type="dxa"/>
            <w:vAlign w:val="bottom"/>
            <w:gridSpan w:val="3"/>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680" w:type="dxa"/>
            <w:vAlign w:val="bottom"/>
          </w:tcPr>
          <w:p>
            <w:pPr>
              <w:ind w:left="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4.</w:t>
              </w:r>
            </w:hyperlink>
          </w:p>
        </w:tc>
        <w:tc>
          <w:tcPr>
            <w:tcW w:w="7340" w:type="dxa"/>
            <w:vAlign w:val="bottom"/>
            <w:gridSpan w:val="3"/>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Mine Safety Disclosures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418"/>
        </w:trPr>
        <w:tc>
          <w:tcPr>
            <w:tcW w:w="680" w:type="dxa"/>
            <w:vAlign w:val="bottom"/>
          </w:tcPr>
          <w:p>
            <w:pPr>
              <w:ind w:left="2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Part II.</w:t>
              </w:r>
            </w:hyperlink>
          </w:p>
        </w:tc>
        <w:tc>
          <w:tcPr>
            <w:tcW w:w="7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20"/>
              <w:spacing w:after="0" w:line="190" w:lineRule="exact"/>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5.</w:t>
              </w:r>
            </w:hyperlink>
          </w:p>
        </w:tc>
        <w:tc>
          <w:tcPr>
            <w:tcW w:w="7320" w:type="dxa"/>
            <w:vAlign w:val="bottom"/>
            <w:tcBorders>
              <w:bottom w:val="single" w:sz="8" w:color="0000EE"/>
            </w:tcBorders>
            <w:gridSpan w:val="2"/>
          </w:tcPr>
          <w:p>
            <w:pPr>
              <w:spacing w:after="0" w:line="190"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Market for Registrant’s Common Equity, Related Stockholder Matters and Issuer Purchases of Equity</w:t>
              </w:r>
            </w:hyperlink>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7340" w:type="dxa"/>
            <w:vAlign w:val="bottom"/>
            <w:gridSpan w:val="3"/>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Securities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2"/>
        </w:trPr>
        <w:tc>
          <w:tcPr>
            <w:tcW w:w="680" w:type="dxa"/>
            <w:vAlign w:val="bottom"/>
          </w:tcPr>
          <w:p>
            <w:pPr>
              <w:ind w:left="2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6.</w:t>
              </w:r>
            </w:hyperlink>
          </w:p>
        </w:tc>
        <w:tc>
          <w:tcPr>
            <w:tcW w:w="700" w:type="dxa"/>
            <w:vAlign w:val="bottom"/>
            <w:tcBorders>
              <w:top w:val="single" w:sz="8" w:color="0000EE"/>
            </w:tcBorders>
          </w:tcPr>
          <w:p>
            <w:pPr>
              <w:spacing w:after="0"/>
              <w:rPr>
                <w:rFonts w:ascii="Arial" w:cs="Arial" w:eastAsia="Arial" w:hAnsi="Arial"/>
                <w:sz w:val="18"/>
                <w:szCs w:val="18"/>
                <w:u w:val="single" w:color="auto"/>
                <w:color w:val="0000EE"/>
                <w:w w:val="88"/>
              </w:rPr>
            </w:pPr>
            <w:hyperlink w:anchor="page86">
              <w:r>
                <w:rPr>
                  <w:rFonts w:ascii="Arial" w:cs="Arial" w:eastAsia="Arial" w:hAnsi="Arial"/>
                  <w:sz w:val="18"/>
                  <w:szCs w:val="18"/>
                  <w:u w:val="single" w:color="auto"/>
                  <w:color w:val="0000EE"/>
                  <w:w w:val="88"/>
                </w:rPr>
                <w:t>Reserved</w:t>
              </w:r>
            </w:hyperlink>
          </w:p>
        </w:tc>
        <w:tc>
          <w:tcPr>
            <w:tcW w:w="6640" w:type="dxa"/>
            <w:vAlign w:val="bottom"/>
            <w:gridSpan w:val="2"/>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Item 7.</w:t>
              </w:r>
            </w:hyperlink>
          </w:p>
        </w:tc>
        <w:tc>
          <w:tcPr>
            <w:tcW w:w="7340" w:type="dxa"/>
            <w:vAlign w:val="bottom"/>
            <w:gridSpan w:val="3"/>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8020" w:type="dxa"/>
            <w:vAlign w:val="bottom"/>
            <w:gridSpan w:val="4"/>
          </w:tcPr>
          <w:p>
            <w:pPr>
              <w:ind w:left="2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Item 7A. 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Item 8.</w:t>
              </w:r>
            </w:hyperlink>
          </w:p>
        </w:tc>
        <w:tc>
          <w:tcPr>
            <w:tcW w:w="7340" w:type="dxa"/>
            <w:vAlign w:val="bottom"/>
            <w:gridSpan w:val="3"/>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Financial Statements and Supplementary Data</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Item 9.</w:t>
              </w:r>
            </w:hyperlink>
          </w:p>
        </w:tc>
        <w:tc>
          <w:tcPr>
            <w:tcW w:w="7340" w:type="dxa"/>
            <w:vAlign w:val="bottom"/>
            <w:gridSpan w:val="3"/>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Changes in and Disagreements with Accountants on Accounting and Financial Disclosure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8020" w:type="dxa"/>
            <w:vAlign w:val="bottom"/>
            <w:gridSpan w:val="4"/>
          </w:tcPr>
          <w:p>
            <w:pPr>
              <w:ind w:left="2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Item 9A. 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680" w:type="dxa"/>
            <w:vAlign w:val="bottom"/>
          </w:tcPr>
          <w:p>
            <w:pPr>
              <w:ind w:left="2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Item 9B</w:t>
              </w:r>
            </w:hyperlink>
          </w:p>
        </w:tc>
        <w:tc>
          <w:tcPr>
            <w:tcW w:w="7340" w:type="dxa"/>
            <w:vAlign w:val="bottom"/>
            <w:gridSpan w:val="3"/>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418"/>
        </w:trPr>
        <w:tc>
          <w:tcPr>
            <w:tcW w:w="680" w:type="dxa"/>
            <w:vAlign w:val="bottom"/>
          </w:tcPr>
          <w:p>
            <w:pPr>
              <w:ind w:left="2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Part III.</w:t>
              </w:r>
            </w:hyperlink>
          </w:p>
        </w:tc>
        <w:tc>
          <w:tcPr>
            <w:tcW w:w="7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rFonts w:ascii="Arial" w:cs="Arial" w:eastAsia="Arial" w:hAnsi="Arial"/>
                <w:sz w:val="18"/>
                <w:szCs w:val="18"/>
                <w:u w:val="single" w:color="auto"/>
                <w:color w:val="0000EE"/>
                <w:w w:val="98"/>
              </w:rPr>
            </w:pPr>
            <w:hyperlink w:anchor="page100">
              <w:r>
                <w:rPr>
                  <w:rFonts w:ascii="Arial" w:cs="Arial" w:eastAsia="Arial" w:hAnsi="Arial"/>
                  <w:sz w:val="18"/>
                  <w:szCs w:val="18"/>
                  <w:u w:val="single" w:color="auto"/>
                  <w:color w:val="0000EE"/>
                  <w:w w:val="98"/>
                </w:rPr>
                <w:t>Item 10.</w:t>
              </w:r>
            </w:hyperlink>
          </w:p>
        </w:tc>
        <w:tc>
          <w:tcPr>
            <w:tcW w:w="7340" w:type="dxa"/>
            <w:vAlign w:val="bottom"/>
            <w:gridSpan w:val="3"/>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Directors, Executive Officers and Corporate Governance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020" w:type="dxa"/>
            <w:vAlign w:val="bottom"/>
            <w:gridSpan w:val="4"/>
          </w:tcPr>
          <w:p>
            <w:pPr>
              <w:ind w:left="20"/>
              <w:spacing w:after="0"/>
              <w:rPr>
                <w:rFonts w:ascii="Arial" w:cs="Arial" w:eastAsia="Arial" w:hAnsi="Arial"/>
                <w:sz w:val="18"/>
                <w:szCs w:val="18"/>
                <w:color w:val="0000EE"/>
              </w:rPr>
            </w:pPr>
            <w:hyperlink w:anchor="page100">
              <w:r>
                <w:rPr>
                  <w:rFonts w:ascii="Arial" w:cs="Arial" w:eastAsia="Arial" w:hAnsi="Arial"/>
                  <w:sz w:val="18"/>
                  <w:szCs w:val="18"/>
                  <w:u w:val="single" w:color="auto"/>
                  <w:color w:val="0000EE"/>
                </w:rPr>
                <w:t>Item 11</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Executive Compensation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rFonts w:ascii="Arial" w:cs="Arial" w:eastAsia="Arial" w:hAnsi="Arial"/>
                <w:sz w:val="18"/>
                <w:szCs w:val="18"/>
                <w:u w:val="single" w:color="auto"/>
                <w:color w:val="0000EE"/>
                <w:w w:val="98"/>
              </w:rPr>
            </w:pPr>
            <w:hyperlink w:anchor="page100">
              <w:r>
                <w:rPr>
                  <w:rFonts w:ascii="Arial" w:cs="Arial" w:eastAsia="Arial" w:hAnsi="Arial"/>
                  <w:sz w:val="18"/>
                  <w:szCs w:val="18"/>
                  <w:u w:val="single" w:color="auto"/>
                  <w:color w:val="0000EE"/>
                  <w:w w:val="98"/>
                </w:rPr>
                <w:t>Item 12.</w:t>
              </w:r>
            </w:hyperlink>
          </w:p>
        </w:tc>
        <w:tc>
          <w:tcPr>
            <w:tcW w:w="7340" w:type="dxa"/>
            <w:vAlign w:val="bottom"/>
            <w:gridSpan w:val="3"/>
          </w:tcPr>
          <w:p>
            <w:pPr>
              <w:spacing w:after="0"/>
              <w:rPr>
                <w:rFonts w:ascii="Arial" w:cs="Arial" w:eastAsia="Arial" w:hAnsi="Arial"/>
                <w:sz w:val="18"/>
                <w:szCs w:val="18"/>
                <w:u w:val="single" w:color="auto"/>
                <w:color w:val="0000EE"/>
                <w:w w:val="91"/>
              </w:rPr>
            </w:pPr>
            <w:hyperlink w:anchor="page100">
              <w:r>
                <w:rPr>
                  <w:rFonts w:ascii="Arial" w:cs="Arial" w:eastAsia="Arial" w:hAnsi="Arial"/>
                  <w:sz w:val="18"/>
                  <w:szCs w:val="18"/>
                  <w:u w:val="single" w:color="auto"/>
                  <w:color w:val="0000EE"/>
                  <w:w w:val="91"/>
                </w:rPr>
                <w:t>Security Ownership of Certain Beneficial Owners and Management and Related Stockholder Matters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rFonts w:ascii="Arial" w:cs="Arial" w:eastAsia="Arial" w:hAnsi="Arial"/>
                <w:sz w:val="18"/>
                <w:szCs w:val="18"/>
                <w:u w:val="single" w:color="auto"/>
                <w:color w:val="0000EE"/>
                <w:w w:val="98"/>
              </w:rPr>
            </w:pPr>
            <w:hyperlink w:anchor="page100">
              <w:r>
                <w:rPr>
                  <w:rFonts w:ascii="Arial" w:cs="Arial" w:eastAsia="Arial" w:hAnsi="Arial"/>
                  <w:sz w:val="18"/>
                  <w:szCs w:val="18"/>
                  <w:u w:val="single" w:color="auto"/>
                  <w:color w:val="0000EE"/>
                  <w:w w:val="98"/>
                </w:rPr>
                <w:t>Item 13.</w:t>
              </w:r>
            </w:hyperlink>
          </w:p>
        </w:tc>
        <w:tc>
          <w:tcPr>
            <w:tcW w:w="7340" w:type="dxa"/>
            <w:vAlign w:val="bottom"/>
            <w:gridSpan w:val="3"/>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Certain Relationships and Related Transactions, and Director Independence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80" w:type="dxa"/>
            <w:vAlign w:val="bottom"/>
          </w:tcPr>
          <w:p>
            <w:pPr>
              <w:ind w:left="20"/>
              <w:spacing w:after="0"/>
              <w:rPr>
                <w:rFonts w:ascii="Arial" w:cs="Arial" w:eastAsia="Arial" w:hAnsi="Arial"/>
                <w:sz w:val="18"/>
                <w:szCs w:val="18"/>
                <w:u w:val="single" w:color="auto"/>
                <w:color w:val="0000EE"/>
                <w:w w:val="98"/>
              </w:rPr>
            </w:pPr>
            <w:hyperlink w:anchor="page100">
              <w:r>
                <w:rPr>
                  <w:rFonts w:ascii="Arial" w:cs="Arial" w:eastAsia="Arial" w:hAnsi="Arial"/>
                  <w:sz w:val="18"/>
                  <w:szCs w:val="18"/>
                  <w:u w:val="single" w:color="auto"/>
                  <w:color w:val="0000EE"/>
                  <w:w w:val="98"/>
                </w:rPr>
                <w:t>Item 14.</w:t>
              </w:r>
            </w:hyperlink>
          </w:p>
        </w:tc>
        <w:tc>
          <w:tcPr>
            <w:tcW w:w="7340" w:type="dxa"/>
            <w:vAlign w:val="bottom"/>
            <w:gridSpan w:val="3"/>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Principal Accounting Fees and Services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18"/>
        </w:trPr>
        <w:tc>
          <w:tcPr>
            <w:tcW w:w="680" w:type="dxa"/>
            <w:vAlign w:val="bottom"/>
          </w:tcPr>
          <w:p>
            <w:pPr>
              <w:ind w:left="2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Part IV.</w:t>
              </w:r>
            </w:hyperlink>
          </w:p>
        </w:tc>
        <w:tc>
          <w:tcPr>
            <w:tcW w:w="7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rFonts w:ascii="Arial" w:cs="Arial" w:eastAsia="Arial" w:hAnsi="Arial"/>
                <w:sz w:val="18"/>
                <w:szCs w:val="18"/>
                <w:u w:val="single" w:color="auto"/>
                <w:color w:val="0000EE"/>
                <w:w w:val="98"/>
              </w:rPr>
            </w:pPr>
            <w:hyperlink w:anchor="page101">
              <w:r>
                <w:rPr>
                  <w:rFonts w:ascii="Arial" w:cs="Arial" w:eastAsia="Arial" w:hAnsi="Arial"/>
                  <w:sz w:val="18"/>
                  <w:szCs w:val="18"/>
                  <w:u w:val="single" w:color="auto"/>
                  <w:color w:val="0000EE"/>
                  <w:w w:val="98"/>
                </w:rPr>
                <w:t>Item 15.</w:t>
              </w:r>
            </w:hyperlink>
          </w:p>
        </w:tc>
        <w:tc>
          <w:tcPr>
            <w:tcW w:w="7340" w:type="dxa"/>
            <w:vAlign w:val="bottom"/>
            <w:gridSpan w:val="3"/>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Exhibits and Financial Statement Schedules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rFonts w:ascii="Arial" w:cs="Arial" w:eastAsia="Arial" w:hAnsi="Arial"/>
                <w:sz w:val="18"/>
                <w:szCs w:val="18"/>
                <w:u w:val="single" w:color="auto"/>
                <w:color w:val="0000EE"/>
                <w:w w:val="98"/>
              </w:rPr>
            </w:pPr>
            <w:hyperlink w:anchor="page104">
              <w:r>
                <w:rPr>
                  <w:rFonts w:ascii="Arial" w:cs="Arial" w:eastAsia="Arial" w:hAnsi="Arial"/>
                  <w:sz w:val="18"/>
                  <w:szCs w:val="18"/>
                  <w:u w:val="single" w:color="auto"/>
                  <w:color w:val="0000EE"/>
                  <w:w w:val="98"/>
                </w:rPr>
                <w:t>Item 16.</w:t>
              </w:r>
            </w:hyperlink>
          </w:p>
        </w:tc>
        <w:tc>
          <w:tcPr>
            <w:tcW w:w="7340" w:type="dxa"/>
            <w:vAlign w:val="bottom"/>
            <w:gridSpan w:val="3"/>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Form 10-K Summary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7340" w:type="dxa"/>
            <w:vAlign w:val="bottom"/>
            <w:gridSpan w:val="3"/>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993"/>
        </w:trPr>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left="60" w:right="159" w:firstLine="324"/>
        <w:spacing w:after="0" w:line="272" w:lineRule="auto"/>
        <w:rPr>
          <w:sz w:val="20"/>
          <w:szCs w:val="20"/>
          <w:color w:val="auto"/>
        </w:rPr>
      </w:pPr>
      <w:r>
        <w:rPr>
          <w:rFonts w:ascii="Arial" w:cs="Arial" w:eastAsia="Arial" w:hAnsi="Arial"/>
          <w:sz w:val="17"/>
          <w:szCs w:val="17"/>
          <w:color w:val="auto"/>
        </w:rPr>
        <w:t>This Annual Report on Form 10-K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on Form 10-K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164" w:lineRule="exact"/>
        <w:rPr>
          <w:sz w:val="20"/>
          <w:szCs w:val="20"/>
          <w:color w:val="auto"/>
        </w:rPr>
      </w:pPr>
    </w:p>
    <w:p>
      <w:pPr>
        <w:ind w:left="1020" w:hanging="3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clinical trials for BXCL501, BXCL701 and our other product candidates;</w:t>
      </w:r>
    </w:p>
    <w:p>
      <w:pPr>
        <w:spacing w:after="0" w:line="23" w:lineRule="exact"/>
        <w:rPr>
          <w:rFonts w:ascii="Arial" w:cs="Arial" w:eastAsia="Arial" w:hAnsi="Arial"/>
          <w:sz w:val="18"/>
          <w:szCs w:val="18"/>
          <w:color w:val="auto"/>
        </w:rPr>
      </w:pPr>
    </w:p>
    <w:p>
      <w:pPr>
        <w:ind w:left="1020" w:hanging="3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505(b)(2) regulatory path approval;</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spacing w:after="0" w:line="9" w:lineRule="exact"/>
        <w:rPr>
          <w:rFonts w:ascii="Arial" w:cs="Arial" w:eastAsia="Arial" w:hAnsi="Arial"/>
          <w:sz w:val="18"/>
          <w:szCs w:val="18"/>
          <w:color w:val="auto"/>
        </w:rPr>
      </w:pPr>
    </w:p>
    <w:p>
      <w:pPr>
        <w:ind w:left="1020" w:right="299" w:hanging="322"/>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ind w:left="1020" w:hanging="3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9" w:lineRule="exact"/>
        <w:rPr>
          <w:rFonts w:ascii="Arial" w:cs="Arial" w:eastAsia="Arial" w:hAnsi="Arial"/>
          <w:sz w:val="18"/>
          <w:szCs w:val="18"/>
          <w:color w:val="auto"/>
        </w:rPr>
      </w:pPr>
    </w:p>
    <w:p>
      <w:pPr>
        <w:ind w:left="1020" w:right="199" w:hanging="322"/>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ind w:left="1020" w:hanging="3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 for additional financing;</w:t>
      </w:r>
    </w:p>
    <w:p>
      <w:pPr>
        <w:spacing w:after="0" w:line="20" w:lineRule="exact"/>
        <w:rPr>
          <w:rFonts w:ascii="Arial" w:cs="Arial" w:eastAsia="Arial" w:hAnsi="Arial"/>
          <w:sz w:val="17"/>
          <w:szCs w:val="17"/>
          <w:color w:val="auto"/>
        </w:rPr>
      </w:pPr>
    </w:p>
    <w:p>
      <w:pPr>
        <w:ind w:left="1020" w:hanging="3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 with BioXcel LLC.</w:t>
      </w:r>
    </w:p>
    <w:p>
      <w:pPr>
        <w:spacing w:after="0" w:line="184"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among other things, those listed under Part I, Item 1A. “Risk Factors,” Part II, Item 7. “Management’s Discussion and Analysis of Financial Condition and Results of Operations” and elsewhere in this Annual Report on Form 10-K.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spacing w:after="0" w:line="153"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78"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As used in this Annual Report on Form 10-K, unless otherwise specified or the context otherwise requires, the terms “we,” “our,” “us,” the “Company” or “BTI” refer to BioXcel Therapeutics, Inc. and its subsidiaries, and “BioXcel” or “Parent” refer to BioXcel LLC, the Company’s parent. All brand names or trademarks appearing in this Annual Report on Form 10-K are the property of their respective owners.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left="60" w:right="239" w:firstLine="324"/>
        <w:spacing w:after="0" w:line="286" w:lineRule="auto"/>
        <w:rPr>
          <w:sz w:val="20"/>
          <w:szCs w:val="20"/>
          <w:color w:val="auto"/>
        </w:rPr>
      </w:pPr>
      <w:r>
        <w:rPr>
          <w:rFonts w:ascii="Arial" w:cs="Arial" w:eastAsia="Arial" w:hAnsi="Arial"/>
          <w:sz w:val="17"/>
          <w:szCs w:val="17"/>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165" w:lineRule="exact"/>
        <w:rPr>
          <w:sz w:val="20"/>
          <w:szCs w:val="20"/>
          <w:color w:val="auto"/>
        </w:rPr>
      </w:pPr>
    </w:p>
    <w:p>
      <w:pPr>
        <w:ind w:left="700" w:right="19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and have never generated any product revenues, which may make it difficult to evaluate the success of our business to date and to assess our future viability.</w:t>
      </w:r>
    </w:p>
    <w:p>
      <w:pPr>
        <w:spacing w:after="0" w:line="170" w:lineRule="exact"/>
        <w:rPr>
          <w:rFonts w:ascii="Arial" w:cs="Arial" w:eastAsia="Arial" w:hAnsi="Arial"/>
          <w:sz w:val="18"/>
          <w:szCs w:val="18"/>
          <w:color w:val="auto"/>
        </w:rPr>
      </w:pPr>
    </w:p>
    <w:p>
      <w:pPr>
        <w:ind w:left="700" w:right="719" w:hanging="32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incurred significant operating losses since inception and anticipate that we will continue to incur substantial operating losses for the foreseeable future and may never achieve or maintain profitability.</w:t>
      </w:r>
    </w:p>
    <w:p>
      <w:pPr>
        <w:spacing w:after="0" w:line="123" w:lineRule="exact"/>
        <w:rPr>
          <w:rFonts w:ascii="Arial" w:cs="Arial" w:eastAsia="Arial" w:hAnsi="Arial"/>
          <w:sz w:val="16"/>
          <w:szCs w:val="16"/>
          <w:color w:val="auto"/>
        </w:rPr>
      </w:pPr>
    </w:p>
    <w:p>
      <w:pPr>
        <w:ind w:left="700" w:right="99" w:hanging="326"/>
        <w:spacing w:after="0" w:line="308" w:lineRule="auto"/>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will need substantial additional funding, and if we are unable to raise capital when needed, we could be forced to delay, reduce or eliminate our product development programs or commercialization efforts.</w:t>
      </w:r>
    </w:p>
    <w:p>
      <w:pPr>
        <w:spacing w:after="0" w:line="146" w:lineRule="exact"/>
        <w:rPr>
          <w:rFonts w:ascii="Arial" w:cs="Arial" w:eastAsia="Arial" w:hAnsi="Arial"/>
          <w:sz w:val="17"/>
          <w:szCs w:val="17"/>
          <w:color w:val="auto"/>
        </w:rPr>
      </w:pPr>
    </w:p>
    <w:p>
      <w:pPr>
        <w:ind w:left="700" w:hanging="326"/>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limited experience in drug discovery and drug development, and we have never had a drug approved.</w:t>
      </w:r>
    </w:p>
    <w:p>
      <w:pPr>
        <w:spacing w:after="0" w:line="248" w:lineRule="exact"/>
        <w:rPr>
          <w:rFonts w:ascii="Arial" w:cs="Arial" w:eastAsia="Arial" w:hAnsi="Arial"/>
          <w:sz w:val="16"/>
          <w:szCs w:val="16"/>
          <w:color w:val="auto"/>
        </w:rPr>
      </w:pPr>
    </w:p>
    <w:p>
      <w:pPr>
        <w:ind w:left="700" w:right="219" w:hanging="326"/>
        <w:spacing w:after="0" w:line="259"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near term, we are dependent on the success of BXCL501 and BXCL701. If we are unable to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spacing w:after="0" w:line="186" w:lineRule="exact"/>
        <w:rPr>
          <w:rFonts w:ascii="Arial" w:cs="Arial" w:eastAsia="Arial" w:hAnsi="Arial"/>
          <w:sz w:val="18"/>
          <w:szCs w:val="18"/>
          <w:color w:val="auto"/>
        </w:rPr>
      </w:pPr>
    </w:p>
    <w:p>
      <w:pPr>
        <w:jc w:val="both"/>
        <w:ind w:left="700" w:right="9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3" w:lineRule="exact"/>
        <w:rPr>
          <w:rFonts w:ascii="Arial" w:cs="Arial" w:eastAsia="Arial" w:hAnsi="Arial"/>
          <w:sz w:val="18"/>
          <w:szCs w:val="18"/>
          <w:color w:val="auto"/>
        </w:rPr>
      </w:pPr>
    </w:p>
    <w:p>
      <w:pPr>
        <w:ind w:left="700" w:right="29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3" w:lineRule="exact"/>
        <w:rPr>
          <w:rFonts w:ascii="Arial" w:cs="Arial" w:eastAsia="Arial" w:hAnsi="Arial"/>
          <w:sz w:val="18"/>
          <w:szCs w:val="18"/>
          <w:color w:val="auto"/>
        </w:rPr>
      </w:pPr>
    </w:p>
    <w:p>
      <w:pPr>
        <w:ind w:left="700" w:right="43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trials are expensive, time-consuming and difficult to design and implement, and involve an uncertain outcome.</w:t>
      </w:r>
    </w:p>
    <w:p>
      <w:pPr>
        <w:spacing w:after="0" w:line="170" w:lineRule="exact"/>
        <w:rPr>
          <w:rFonts w:ascii="Arial" w:cs="Arial" w:eastAsia="Arial" w:hAnsi="Arial"/>
          <w:sz w:val="18"/>
          <w:szCs w:val="18"/>
          <w:color w:val="auto"/>
        </w:rPr>
      </w:pPr>
    </w:p>
    <w:p>
      <w:pPr>
        <w:ind w:left="700" w:right="37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3" w:lineRule="exact"/>
        <w:rPr>
          <w:rFonts w:ascii="Arial" w:cs="Arial" w:eastAsia="Arial" w:hAnsi="Arial"/>
          <w:sz w:val="18"/>
          <w:szCs w:val="18"/>
          <w:color w:val="auto"/>
        </w:rPr>
      </w:pPr>
    </w:p>
    <w:p>
      <w:pPr>
        <w:ind w:left="700" w:right="439" w:hanging="32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BioXcel’s approach to the discovery and development of product candidates based on EvolverAI is novel and unproven, and we do not know whether we will be able to develop any products of commercial value.</w:t>
      </w:r>
    </w:p>
    <w:p>
      <w:pPr>
        <w:spacing w:after="0" w:line="123" w:lineRule="exact"/>
        <w:rPr>
          <w:rFonts w:ascii="Arial" w:cs="Arial" w:eastAsia="Arial" w:hAnsi="Arial"/>
          <w:sz w:val="16"/>
          <w:szCs w:val="16"/>
          <w:color w:val="auto"/>
        </w:rPr>
      </w:pPr>
    </w:p>
    <w:p>
      <w:pPr>
        <w:ind w:left="700" w:right="79" w:hanging="326"/>
        <w:spacing w:after="0" w:line="25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FDA approval (or clearance, or certification) of a companion diagnostic device, we will not be able to commercialize the product candidate and our ability to generate revenue will be materially impaired.</w:t>
      </w:r>
    </w:p>
    <w:p>
      <w:pPr>
        <w:spacing w:after="0" w:line="187" w:lineRule="exact"/>
        <w:rPr>
          <w:rFonts w:ascii="Arial" w:cs="Arial" w:eastAsia="Arial" w:hAnsi="Arial"/>
          <w:sz w:val="18"/>
          <w:szCs w:val="18"/>
          <w:color w:val="auto"/>
        </w:rPr>
      </w:pPr>
    </w:p>
    <w:p>
      <w:pPr>
        <w:ind w:left="700" w:right="11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we obtain regulatory approval for BXCL501, BXCL701 or any product candidate, we will still face extensive and ongoing regulatory requirements and obligations and any product candidates, if approved, may face future development and regulatory difficulties.</w:t>
      </w:r>
    </w:p>
    <w:p>
      <w:pPr>
        <w:spacing w:after="0" w:line="183" w:lineRule="exact"/>
        <w:rPr>
          <w:rFonts w:ascii="Arial" w:cs="Arial" w:eastAsia="Arial" w:hAnsi="Arial"/>
          <w:sz w:val="18"/>
          <w:szCs w:val="18"/>
          <w:color w:val="auto"/>
        </w:rPr>
      </w:pPr>
    </w:p>
    <w:p>
      <w:pPr>
        <w:ind w:left="700" w:right="51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products do not gain market acceptance, our business will suffer because we might not be able to fund future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59" w:hanging="326"/>
        <w:spacing w:after="0" w:line="342"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Even if we obtain regulatory approvals to commercialize BXCL501, BXCL701 or our other product candidates, our product candidates may not be accepted by physicians or the medical community in general.</w:t>
      </w:r>
    </w:p>
    <w:p>
      <w:pPr>
        <w:spacing w:after="0" w:line="123" w:lineRule="exact"/>
        <w:rPr>
          <w:rFonts w:ascii="Arial" w:cs="Arial" w:eastAsia="Arial" w:hAnsi="Arial"/>
          <w:sz w:val="16"/>
          <w:szCs w:val="16"/>
          <w:color w:val="auto"/>
        </w:rPr>
      </w:pPr>
    </w:p>
    <w:p>
      <w:pPr>
        <w:ind w:left="700" w:hanging="32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continue to depend on BioXcel to provide us with certain services for our business.</w:t>
      </w:r>
    </w:p>
    <w:p>
      <w:pPr>
        <w:spacing w:after="0" w:line="225" w:lineRule="exact"/>
        <w:rPr>
          <w:rFonts w:ascii="Arial" w:cs="Arial" w:eastAsia="Arial" w:hAnsi="Arial"/>
          <w:sz w:val="18"/>
          <w:szCs w:val="18"/>
          <w:color w:val="auto"/>
        </w:rPr>
      </w:pPr>
    </w:p>
    <w:p>
      <w:pPr>
        <w:ind w:left="700" w:right="99" w:hanging="326"/>
        <w:spacing w:after="0" w:line="255"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92" w:lineRule="exact"/>
        <w:rPr>
          <w:rFonts w:ascii="Arial" w:cs="Arial" w:eastAsia="Arial" w:hAnsi="Arial"/>
          <w:sz w:val="18"/>
          <w:szCs w:val="18"/>
          <w:color w:val="auto"/>
        </w:rPr>
      </w:pPr>
    </w:p>
    <w:p>
      <w:pPr>
        <w:ind w:left="700" w:right="139" w:hanging="32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find third party collaborators to assist or share in the costs of product development could materially harm our business, financial condition and results of operations.</w:t>
      </w:r>
    </w:p>
    <w:p>
      <w:pPr>
        <w:spacing w:after="0" w:line="170" w:lineRule="exact"/>
        <w:rPr>
          <w:rFonts w:ascii="Arial" w:cs="Arial" w:eastAsia="Arial" w:hAnsi="Arial"/>
          <w:sz w:val="18"/>
          <w:szCs w:val="18"/>
          <w:color w:val="auto"/>
        </w:rPr>
      </w:pPr>
    </w:p>
    <w:p>
      <w:pPr>
        <w:ind w:left="700" w:right="119" w:hanging="326"/>
        <w:spacing w:after="0" w:line="263"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239" w:firstLine="324"/>
        <w:spacing w:after="0" w:line="275" w:lineRule="auto"/>
        <w:rPr>
          <w:sz w:val="20"/>
          <w:szCs w:val="20"/>
          <w:color w:val="auto"/>
        </w:rPr>
      </w:pPr>
      <w:r>
        <w:rPr>
          <w:rFonts w:ascii="Arial" w:cs="Arial" w:eastAsia="Arial" w:hAnsi="Arial"/>
          <w:sz w:val="17"/>
          <w:szCs w:val="17"/>
          <w:color w:val="auto"/>
        </w:rPr>
        <w:t>We are a clinical stage biopharmaceutical company utilizing artificial intelligence approaches to develop transformative medicines in neuroscience and immuno-oncology. Our drug re-innovation approach leverages existing approved drugs and/or clinically validated product candidates together with big data and proprietary machine learning algorithms to identify new therapeutic indices. We believe that this differentiated approach has the potential to reduce the cost and time of drug development in diseases with a substantial unmet medical need.</w:t>
      </w:r>
    </w:p>
    <w:p>
      <w:pPr>
        <w:spacing w:after="0" w:line="176"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Our two most advanced clinical development programs are BXCL501, an investigational, proprietary, orally dissolving, sublingual thin film formulation of the adrenergic receptor agonist dexmedetomidine, or Dex, for the treatment of agitation resulting from neuropsychiatric disorders, and BXCL701, an investigational orally administered systemic innate immune activator for the treatment of a rare form of prostate cancer and advanced solid tumors that are refractory or treatment naïve to checkpoint inhibitors.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 Pandemic</w:t>
      </w:r>
    </w:p>
    <w:p>
      <w:pPr>
        <w:spacing w:after="0" w:line="229" w:lineRule="exact"/>
        <w:rPr>
          <w:sz w:val="20"/>
          <w:szCs w:val="20"/>
          <w:color w:val="auto"/>
        </w:rPr>
      </w:pPr>
    </w:p>
    <w:p>
      <w:pPr>
        <w:ind w:left="60" w:right="79" w:firstLine="369"/>
        <w:spacing w:after="0" w:line="293" w:lineRule="auto"/>
        <w:rPr>
          <w:sz w:val="20"/>
          <w:szCs w:val="20"/>
          <w:color w:val="auto"/>
        </w:rPr>
      </w:pPr>
      <w:r>
        <w:rPr>
          <w:rFonts w:ascii="Arial" w:cs="Arial" w:eastAsia="Arial" w:hAnsi="Arial"/>
          <w:sz w:val="16"/>
          <w:szCs w:val="16"/>
          <w:color w:val="auto"/>
        </w:rPr>
        <w:t>During the first quarter ended March 31, 2020, and continuing through December 31, 2020, the novel coronavirus disease, or COVID-19, was declared a pandemic and spread to multiple regions across the globe, including the United States and Europe. The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w:t>
      </w:r>
    </w:p>
    <w:p>
      <w:pPr>
        <w:spacing w:after="0" w:line="16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Throughout 2020, we took steps in line with guidance from the U.S. Centers for Disease Control and Prevention, or CDC and the State of Connecticut to protect the health and safety of our employees and the community. In particular, we implemented a work-from-home policy for all employees and have restricted on-site activities to certain chemical, manufacturing and control, or CMC, and clinical trial activities. We continue to assess the impact of the COVID-19 pandemic to best mitigate risk and continue the operations of our business. Beginning late in the second quarter of 2020, we began to slowly bring our staff, in very limited numbers, back to our office. Our office is currently open to employees on a voluntary basis with a maximum number of 25% of employees present at any given time, which is aligned to state guidelines. We have also implemented protocols as required under the State of Connecticut’s Reopen program and have limited travel. We have taken steps to protect our workforce and have instituted strict work rules to protect our employees. To date, our remote working arrangements have not significantly affected our ability to maintain critical business operations.</w:t>
      </w:r>
    </w:p>
    <w:p>
      <w:pPr>
        <w:spacing w:after="0" w:line="182" w:lineRule="exact"/>
        <w:rPr>
          <w:sz w:val="20"/>
          <w:szCs w:val="20"/>
          <w:color w:val="auto"/>
        </w:rPr>
      </w:pPr>
    </w:p>
    <w:p>
      <w:pPr>
        <w:ind w:left="60" w:right="239" w:firstLine="324"/>
        <w:spacing w:after="0" w:line="259" w:lineRule="auto"/>
        <w:rPr>
          <w:sz w:val="20"/>
          <w:szCs w:val="20"/>
          <w:color w:val="auto"/>
        </w:rPr>
      </w:pPr>
      <w:r>
        <w:rPr>
          <w:rFonts w:ascii="Arial" w:cs="Arial" w:eastAsia="Arial" w:hAnsi="Arial"/>
          <w:sz w:val="18"/>
          <w:szCs w:val="18"/>
          <w:color w:val="auto"/>
        </w:rPr>
        <w:t>We continue to work closely with our clinical sites to monitor the potential impact of the evolving COVID-19 pandemic. We remain committed to our clinical programs and development plans. Through December 31, 2020, we have not experienced any significant delays to our ongoing or planned clinical trials, except for challenges in accessing elderly care facilities; however, this could rapidly change.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Clinical Programs</w:t>
      </w:r>
    </w:p>
    <w:p>
      <w:pPr>
        <w:spacing w:after="0" w:line="229"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is a summary of the status of our clinical development programs as of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117475</wp:posOffset>
            </wp:positionV>
            <wp:extent cx="5554980" cy="2529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498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w:t>
      </w:r>
    </w:p>
    <w:p>
      <w:pPr>
        <w:spacing w:after="0" w:line="27" w:lineRule="exact"/>
        <w:rPr>
          <w:sz w:val="20"/>
          <w:szCs w:val="20"/>
          <w:color w:val="auto"/>
        </w:rPr>
      </w:pPr>
    </w:p>
    <w:p>
      <w:pPr>
        <w:ind w:left="60" w:right="179" w:firstLine="324"/>
        <w:spacing w:after="0" w:line="260" w:lineRule="auto"/>
        <w:rPr>
          <w:sz w:val="20"/>
          <w:szCs w:val="20"/>
          <w:color w:val="auto"/>
        </w:rPr>
      </w:pPr>
      <w:r>
        <w:rPr>
          <w:rFonts w:ascii="Arial" w:cs="Arial" w:eastAsia="Arial" w:hAnsi="Arial"/>
          <w:sz w:val="18"/>
          <w:szCs w:val="18"/>
          <w:color w:val="auto"/>
        </w:rPr>
        <w:t>Our goal is to become a leader in the field of neuroscience and immuno-oncology. The key elements to achieving this goal are to:</w:t>
      </w:r>
    </w:p>
    <w:p>
      <w:pPr>
        <w:spacing w:after="0" w:line="127" w:lineRule="exact"/>
        <w:rPr>
          <w:sz w:val="20"/>
          <w:szCs w:val="20"/>
          <w:color w:val="auto"/>
        </w:rPr>
      </w:pPr>
    </w:p>
    <w:p>
      <w:pPr>
        <w:ind w:left="700" w:right="159" w:hanging="326"/>
        <w:spacing w:after="0" w:line="233"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Advance BXCL501, a proprietary, orally dissolving thin film formulation of dexmedetomidine, or Dex, a selective α</w:t>
      </w:r>
      <w:r>
        <w:rPr>
          <w:rFonts w:ascii="Arial" w:cs="Arial" w:eastAsia="Arial" w:hAnsi="Arial"/>
          <w:sz w:val="26"/>
          <w:szCs w:val="26"/>
          <w:b w:val="1"/>
          <w:bCs w:val="1"/>
          <w:color w:val="auto"/>
          <w:vertAlign w:val="subscript"/>
        </w:rPr>
        <w:t>2a</w:t>
      </w:r>
      <w:r>
        <w:rPr>
          <w:rFonts w:ascii="Arial" w:cs="Arial" w:eastAsia="Arial" w:hAnsi="Arial"/>
          <w:sz w:val="18"/>
          <w:szCs w:val="18"/>
          <w:b w:val="1"/>
          <w:bCs w:val="1"/>
          <w:color w:val="auto"/>
        </w:rPr>
        <w:t xml:space="preserve"> adrenergic receptor agonist, designed for acute treatment of agitation, and opioid withdrawal symptoms towards approval through the Section 505(b)(2) pathway. The Company believes that BXCL501 may directly target a causal agitation mechanism.</w:t>
      </w:r>
    </w:p>
    <w:p>
      <w:pPr>
        <w:spacing w:after="0" w:line="146" w:lineRule="exact"/>
        <w:rPr>
          <w:sz w:val="20"/>
          <w:szCs w:val="20"/>
          <w:color w:val="auto"/>
        </w:rPr>
      </w:pPr>
    </w:p>
    <w:p>
      <w:pPr>
        <w:ind w:left="1340" w:right="259" w:hanging="318"/>
        <w:spacing w:after="0" w:line="347" w:lineRule="auto"/>
        <w:tabs>
          <w:tab w:leader="none" w:pos="13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Neurological and Psychiatric Disorders. </w:t>
      </w:r>
      <w:r>
        <w:rPr>
          <w:rFonts w:ascii="Arial" w:cs="Arial" w:eastAsia="Arial" w:hAnsi="Arial"/>
          <w:sz w:val="16"/>
          <w:szCs w:val="16"/>
          <w:color w:val="auto"/>
        </w:rPr>
        <w:t>We believe that BXCL501, if approved, has the potential to</w:t>
      </w:r>
      <w:r>
        <w:rPr>
          <w:rFonts w:ascii="Arial" w:cs="Arial" w:eastAsia="Arial" w:hAnsi="Arial"/>
          <w:sz w:val="16"/>
          <w:szCs w:val="16"/>
          <w:b w:val="1"/>
          <w:bCs w:val="1"/>
          <w:color w:val="auto"/>
        </w:rPr>
        <w:t xml:space="preserve"> </w:t>
      </w:r>
      <w:r>
        <w:rPr>
          <w:rFonts w:ascii="Arial" w:cs="Arial" w:eastAsia="Arial" w:hAnsi="Arial"/>
          <w:sz w:val="16"/>
          <w:szCs w:val="16"/>
          <w:color w:val="auto"/>
        </w:rPr>
        <w:t>become the standard of care for the acute treatment of agitation arising from diseases such as:</w:t>
      </w:r>
    </w:p>
    <w:p>
      <w:pPr>
        <w:spacing w:after="0" w:line="3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Schizophrenia and bipolar disorder (SERENITY TRIAL);</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Dementia (TRANQUILITY TRIAL);</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Opioid withdrawal (RELEASE TRIAL);</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Delirium (PLACIDITY TRIAL);</w:t>
      </w:r>
    </w:p>
    <w:p>
      <w:pPr>
        <w:spacing w:after="0" w:line="194"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Post-traumatic stress disorder in collaboration with the VA Connecticut Healthcare System and</w:t>
      </w:r>
    </w:p>
    <w:p>
      <w:pPr>
        <w:ind w:left="1680"/>
        <w:spacing w:after="0"/>
        <w:rPr>
          <w:sz w:val="20"/>
          <w:szCs w:val="20"/>
          <w:color w:val="auto"/>
        </w:rPr>
      </w:pPr>
      <w:r>
        <w:rPr>
          <w:rFonts w:ascii="Arial" w:cs="Arial" w:eastAsia="Arial" w:hAnsi="Arial"/>
          <w:sz w:val="18"/>
          <w:szCs w:val="18"/>
          <w:color w:val="auto"/>
        </w:rPr>
        <w:t>the Yale University Medical School; and</w:t>
      </w:r>
    </w:p>
    <w:p>
      <w:pPr>
        <w:spacing w:after="0" w:line="180"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other neuropsychiatric indications.</w:t>
      </w:r>
    </w:p>
    <w:p>
      <w:pPr>
        <w:spacing w:after="0" w:line="198" w:lineRule="exact"/>
        <w:rPr>
          <w:sz w:val="20"/>
          <w:szCs w:val="20"/>
          <w:color w:val="auto"/>
        </w:rPr>
      </w:pPr>
    </w:p>
    <w:p>
      <w:pPr>
        <w:jc w:val="both"/>
        <w:ind w:left="1340" w:right="79" w:hanging="318"/>
        <w:spacing w:after="0" w:line="314" w:lineRule="auto"/>
        <w:tabs>
          <w:tab w:leader="none" w:pos="13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Additional Indications. </w:t>
      </w:r>
      <w:r>
        <w:rPr>
          <w:rFonts w:ascii="Arial" w:cs="Arial" w:eastAsia="Arial" w:hAnsi="Arial"/>
          <w:sz w:val="16"/>
          <w:szCs w:val="16"/>
          <w:color w:val="auto"/>
        </w:rPr>
        <w:t>We also plan to evaluate BXCL501 for several additional indications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neuro psychiatric and neuro degenerative disorders. In addition, we plan to evaluate BXCL501 in chronic agitation in dementia either as a single agent or a combination product with another agent.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40" w:right="239" w:hanging="318"/>
        <w:spacing w:after="0" w:line="298" w:lineRule="auto"/>
        <w:tabs>
          <w:tab w:leader="none" w:pos="1340" w:val="left"/>
        </w:tabs>
        <w:numPr>
          <w:ilvl w:val="1"/>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Agitation Franchise Expansion. </w:t>
      </w:r>
      <w:r>
        <w:rPr>
          <w:rFonts w:ascii="Arial" w:cs="Arial" w:eastAsia="Arial" w:hAnsi="Arial"/>
          <w:sz w:val="16"/>
          <w:szCs w:val="16"/>
          <w:color w:val="auto"/>
        </w:rPr>
        <w:t>We are also investigating potential treatments for the entire spectrum</w:t>
      </w:r>
      <w:r>
        <w:rPr>
          <w:rFonts w:ascii="Arial" w:cs="Arial" w:eastAsia="Arial" w:hAnsi="Arial"/>
          <w:sz w:val="16"/>
          <w:szCs w:val="16"/>
          <w:b w:val="1"/>
          <w:bCs w:val="1"/>
          <w:color w:val="auto"/>
        </w:rPr>
        <w:t xml:space="preserve"> </w:t>
      </w:r>
      <w:r>
        <w:rPr>
          <w:rFonts w:ascii="Arial" w:cs="Arial" w:eastAsia="Arial" w:hAnsi="Arial"/>
          <w:sz w:val="16"/>
          <w:szCs w:val="16"/>
          <w:color w:val="auto"/>
        </w:rPr>
        <w:t>of agitation from pre-agitation to severe agitation. We are exploring the use of wearable digital device technology, such as the Apple watch, with the goal of the prevention and treatment of agitation, including, if approved, the administration of BXCL501 prior to the onset of agitation. For severe agitation, a single use intramuscular, or IM, injection called KalmPen™ is under development.</w:t>
      </w:r>
    </w:p>
    <w:p>
      <w:pPr>
        <w:spacing w:after="0" w:line="99" w:lineRule="exact"/>
        <w:rPr>
          <w:rFonts w:ascii="Arial" w:cs="Arial" w:eastAsia="Arial" w:hAnsi="Arial"/>
          <w:sz w:val="16"/>
          <w:szCs w:val="16"/>
          <w:color w:val="auto"/>
        </w:rPr>
      </w:pPr>
    </w:p>
    <w:p>
      <w:pPr>
        <w:ind w:left="700" w:right="399" w:hanging="326"/>
        <w:spacing w:after="0" w:line="282"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Complete BXCL701 Phase 2 trials to evaluate its potential for the treatment of castrate resistant cancer (CRPC), including the neuroendocrine (NEPC) variety.</w:t>
      </w:r>
    </w:p>
    <w:p>
      <w:pPr>
        <w:spacing w:after="0" w:line="107" w:lineRule="exact"/>
        <w:rPr>
          <w:rFonts w:ascii="Arial" w:cs="Arial" w:eastAsia="Arial" w:hAnsi="Arial"/>
          <w:sz w:val="18"/>
          <w:szCs w:val="18"/>
          <w:color w:val="auto"/>
        </w:rPr>
      </w:pPr>
    </w:p>
    <w:p>
      <w:pPr>
        <w:ind w:left="1340" w:right="299" w:hanging="318"/>
        <w:spacing w:after="0" w:line="272" w:lineRule="auto"/>
        <w:tabs>
          <w:tab w:leader="none" w:pos="1340" w:val="left"/>
        </w:tabs>
        <w:numPr>
          <w:ilvl w:val="1"/>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NEPC (Orphan Segment of Prostate Cancer and Castrate Resistant Prostate Cancer). </w:t>
      </w:r>
      <w:r>
        <w:rPr>
          <w:rFonts w:ascii="Arial" w:cs="Arial" w:eastAsia="Arial" w:hAnsi="Arial"/>
          <w:sz w:val="17"/>
          <w:szCs w:val="17"/>
          <w:color w:val="auto"/>
        </w:rPr>
        <w:t>BXCL701</w:t>
      </w:r>
      <w:r>
        <w:rPr>
          <w:rFonts w:ascii="Arial" w:cs="Arial" w:eastAsia="Arial" w:hAnsi="Arial"/>
          <w:sz w:val="17"/>
          <w:szCs w:val="17"/>
          <w:b w:val="1"/>
          <w:bCs w:val="1"/>
          <w:color w:val="auto"/>
        </w:rPr>
        <w:t xml:space="preserve"> </w:t>
      </w:r>
      <w:r>
        <w:rPr>
          <w:rFonts w:ascii="Arial" w:cs="Arial" w:eastAsia="Arial" w:hAnsi="Arial"/>
          <w:sz w:val="17"/>
          <w:szCs w:val="17"/>
          <w:color w:val="auto"/>
        </w:rPr>
        <w:t>was previously studied in multiple clinical trials and demonstrated single agent anti-tumor activity in melanoma, an immune-sensitive tumor. In April 2020, we announced the initiation of the Phase 2 efficacy portion of the Phase 1b/2 trial evaluating BXCL701 in combination with KEYTRUDA® (pembrolizumab, a PD-1 inhibitor) for NEPC. In addition to the efficacy cohort in NEPC patients, in August 2020, we opened a separate cohort for CRPC patients who have failed taxane-based chemotherapy and up to two lines of second-generation androgen pathway blockers. Top line results from this trial are expected in mid-2021.</w:t>
      </w:r>
    </w:p>
    <w:p>
      <w:pPr>
        <w:spacing w:after="0" w:line="117" w:lineRule="exact"/>
        <w:rPr>
          <w:rFonts w:ascii="Arial" w:cs="Arial" w:eastAsia="Arial" w:hAnsi="Arial"/>
          <w:sz w:val="17"/>
          <w:szCs w:val="17"/>
          <w:color w:val="auto"/>
        </w:rPr>
      </w:pPr>
    </w:p>
    <w:p>
      <w:pPr>
        <w:ind w:left="1340" w:right="99" w:hanging="318"/>
        <w:spacing w:after="0" w:line="277" w:lineRule="auto"/>
        <w:tabs>
          <w:tab w:leader="none" w:pos="1340" w:val="left"/>
        </w:tabs>
        <w:numPr>
          <w:ilvl w:val="1"/>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Basket Trial. </w:t>
      </w:r>
      <w:r>
        <w:rPr>
          <w:rFonts w:ascii="Arial" w:cs="Arial" w:eastAsia="Arial" w:hAnsi="Arial"/>
          <w:sz w:val="17"/>
          <w:szCs w:val="17"/>
          <w:color w:val="auto"/>
        </w:rPr>
        <w:t>BXCL701 is being evaluated in an open-label phase 2 basket trial led by MD Anderson.</w:t>
      </w:r>
      <w:r>
        <w:rPr>
          <w:rFonts w:ascii="Arial" w:cs="Arial" w:eastAsia="Arial" w:hAnsi="Arial"/>
          <w:sz w:val="17"/>
          <w:szCs w:val="17"/>
          <w:b w:val="1"/>
          <w:bCs w:val="1"/>
          <w:color w:val="auto"/>
        </w:rPr>
        <w:t xml:space="preserve"> </w:t>
      </w:r>
      <w:r>
        <w:rPr>
          <w:rFonts w:ascii="Arial" w:cs="Arial" w:eastAsia="Arial" w:hAnsi="Arial"/>
          <w:sz w:val="17"/>
          <w:szCs w:val="17"/>
          <w:color w:val="auto"/>
        </w:rPr>
        <w:t>The investigator led study is designed to evaluate the response rate of orally administered BXCL701, combined with Pembrolizumab (KEYTRUDA®) in patients with advanced solid cancers. The study will evaluate both patients who are naïve to checkpoint therapy and those who are refractory to checkpoint therapy. Top line results from the basket trial are also expected in mid-2021.</w:t>
      </w:r>
    </w:p>
    <w:p>
      <w:pPr>
        <w:spacing w:after="0" w:line="113" w:lineRule="exact"/>
        <w:rPr>
          <w:rFonts w:ascii="Arial" w:cs="Arial" w:eastAsia="Arial" w:hAnsi="Arial"/>
          <w:sz w:val="17"/>
          <w:szCs w:val="17"/>
          <w:color w:val="auto"/>
        </w:rPr>
      </w:pPr>
    </w:p>
    <w:p>
      <w:pPr>
        <w:ind w:left="1340" w:right="479" w:hanging="318"/>
        <w:spacing w:after="0" w:line="282"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Soft Tissue Sarcoma. </w:t>
      </w:r>
      <w:r>
        <w:rPr>
          <w:rFonts w:ascii="Arial" w:cs="Arial" w:eastAsia="Arial" w:hAnsi="Arial"/>
          <w:sz w:val="18"/>
          <w:szCs w:val="18"/>
          <w:color w:val="auto"/>
        </w:rPr>
        <w:t>On January 26, 2021, the FDA granted BXCL701 orphan designation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soft tissue sarcoma</w:t>
      </w:r>
      <w:r>
        <w:rPr>
          <w:rFonts w:ascii="Arial" w:cs="Arial" w:eastAsia="Arial" w:hAnsi="Arial"/>
          <w:sz w:val="18"/>
          <w:szCs w:val="18"/>
          <w:b w:val="1"/>
          <w:bCs w:val="1"/>
          <w:color w:val="auto"/>
        </w:rPr>
        <w:t>.</w:t>
      </w:r>
    </w:p>
    <w:p>
      <w:pPr>
        <w:spacing w:after="0" w:line="107" w:lineRule="exact"/>
        <w:rPr>
          <w:rFonts w:ascii="Arial" w:cs="Arial" w:eastAsia="Arial" w:hAnsi="Arial"/>
          <w:sz w:val="18"/>
          <w:szCs w:val="18"/>
          <w:color w:val="auto"/>
        </w:rPr>
      </w:pPr>
    </w:p>
    <w:p>
      <w:pPr>
        <w:ind w:left="1340" w:right="179" w:hanging="318"/>
        <w:spacing w:after="0" w:line="282"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Topline Results</w:t>
      </w:r>
      <w:r>
        <w:rPr>
          <w:rFonts w:ascii="Arial" w:cs="Arial" w:eastAsia="Arial" w:hAnsi="Arial"/>
          <w:sz w:val="18"/>
          <w:szCs w:val="18"/>
          <w:color w:val="auto"/>
        </w:rPr>
        <w:t>. Topline results from two ongoing trials with BXCL701 in aggressive forms of prostate</w:t>
      </w:r>
      <w:r>
        <w:rPr>
          <w:rFonts w:ascii="Arial" w:cs="Arial" w:eastAsia="Arial" w:hAnsi="Arial"/>
          <w:sz w:val="18"/>
          <w:szCs w:val="18"/>
          <w:b w:val="1"/>
          <w:bCs w:val="1"/>
          <w:color w:val="auto"/>
        </w:rPr>
        <w:t xml:space="preserve"> </w:t>
      </w:r>
      <w:r>
        <w:rPr>
          <w:rFonts w:ascii="Arial" w:cs="Arial" w:eastAsia="Arial" w:hAnsi="Arial"/>
          <w:sz w:val="18"/>
          <w:szCs w:val="18"/>
          <w:color w:val="auto"/>
        </w:rPr>
        <w:t>cancer and advanced solid tumors are expected in mid-2021.</w:t>
      </w:r>
    </w:p>
    <w:p>
      <w:pPr>
        <w:spacing w:after="0" w:line="107" w:lineRule="exact"/>
        <w:rPr>
          <w:rFonts w:ascii="Arial" w:cs="Arial" w:eastAsia="Arial" w:hAnsi="Arial"/>
          <w:sz w:val="18"/>
          <w:szCs w:val="18"/>
          <w:color w:val="auto"/>
        </w:rPr>
      </w:pPr>
    </w:p>
    <w:p>
      <w:pPr>
        <w:jc w:val="both"/>
        <w:ind w:left="1340" w:right="159" w:hanging="318"/>
        <w:spacing w:after="0" w:line="266"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Potential for Expedited Review Programs. </w:t>
      </w:r>
      <w:r>
        <w:rPr>
          <w:rFonts w:ascii="Arial" w:cs="Arial" w:eastAsia="Arial" w:hAnsi="Arial"/>
          <w:sz w:val="18"/>
          <w:szCs w:val="18"/>
          <w:color w:val="auto"/>
        </w:rPr>
        <w:t>Given that these indications represent high unmet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needs with few treatment options, we intend to pursue breakthrough therapy designation and accelerated approval for NEPC.</w:t>
      </w:r>
    </w:p>
    <w:p>
      <w:pPr>
        <w:spacing w:after="0" w:line="121" w:lineRule="exact"/>
        <w:rPr>
          <w:rFonts w:ascii="Arial" w:cs="Arial" w:eastAsia="Arial" w:hAnsi="Arial"/>
          <w:sz w:val="18"/>
          <w:szCs w:val="18"/>
          <w:color w:val="auto"/>
        </w:rPr>
      </w:pPr>
    </w:p>
    <w:p>
      <w:pPr>
        <w:ind w:left="1340" w:right="99" w:hanging="318"/>
        <w:spacing w:after="0" w:line="253"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Additional Indications. </w:t>
      </w:r>
      <w:r>
        <w:rPr>
          <w:rFonts w:ascii="Arial" w:cs="Arial" w:eastAsia="Arial" w:hAnsi="Arial"/>
          <w:sz w:val="18"/>
          <w:szCs w:val="18"/>
          <w:color w:val="auto"/>
        </w:rPr>
        <w:t>We believe BXCL701 may be active at multiple stages of the cancer immunity</w:t>
      </w:r>
      <w:r>
        <w:rPr>
          <w:rFonts w:ascii="Arial" w:cs="Arial" w:eastAsia="Arial" w:hAnsi="Arial"/>
          <w:sz w:val="18"/>
          <w:szCs w:val="18"/>
          <w:b w:val="1"/>
          <w:bCs w:val="1"/>
          <w:color w:val="auto"/>
        </w:rPr>
        <w:t xml:space="preserve"> </w:t>
      </w:r>
      <w:r>
        <w:rPr>
          <w:rFonts w:ascii="Arial" w:cs="Arial" w:eastAsia="Arial" w:hAnsi="Arial"/>
          <w:sz w:val="18"/>
          <w:szCs w:val="18"/>
          <w:color w:val="auto"/>
        </w:rPr>
        <w:t>cycle and therefore, we believe BXCL701 offers a “pipeline in a product” platform given its potential for evaluation across other cancers. BXCL701 was granted an orphan drug designation for the treatment of acute myeloid leukemia in September 2019, its fourth orphan drug designation in addition to pancreatic cancer, melanoma, and soft tissue sarcoma. We believe existing preclinical evidence supports the combination of BXCL701 with checkpoint inhibitors and/or agents that act on “co-stimulatory” pathways within immune effector cells. Moreover, we believe agents that stimulate antibody-dependent cell mediated cytotoxicity, or ADCC, or cell-based therapies such as chimeric antigen receptor T cell, or CAR T, therapy, oncolytic viruses or therapeutic vaccines all represent potential combination with BXCL701.</w:t>
      </w:r>
    </w:p>
    <w:p>
      <w:pPr>
        <w:spacing w:after="0" w:line="140" w:lineRule="exact"/>
        <w:rPr>
          <w:rFonts w:ascii="Arial" w:cs="Arial" w:eastAsia="Arial" w:hAnsi="Arial"/>
          <w:sz w:val="18"/>
          <w:szCs w:val="18"/>
          <w:color w:val="auto"/>
        </w:rPr>
      </w:pPr>
    </w:p>
    <w:p>
      <w:pPr>
        <w:ind w:left="780" w:right="99" w:hanging="406"/>
        <w:spacing w:after="0" w:line="291" w:lineRule="auto"/>
        <w:tabs>
          <w:tab w:leader="none" w:pos="762"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Identify biomarkers to select patients who we believe have the highest likelihood to respond to our product candidates. Predicting optimal drug responses in patients requires the identification and validation of predictive biomarkers. We believe that our ability to identify patient subsets most likely to respond to our product candidates will increase the </w:t>
      </w:r>
      <w:r>
        <w:rPr>
          <w:rFonts w:ascii="Arial" w:cs="Arial" w:eastAsia="Arial" w:hAnsi="Arial"/>
          <w:sz w:val="16"/>
          <w:szCs w:val="16"/>
          <w:color w:val="auto"/>
        </w:rPr>
        <w:t>clinical benefit to patients and improve the probability of success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 trials. The indications for our lead product candidate BXCL701 were chosen in part because they are known to overexpress dipeptidyl peptidase, or DPP 8/9, and fibroblast activation protein, or FAP. Our planned proof-of-concept clinical trial of BXCL701 will retrospectively examine biomarkers related to its molecular and cellular targets to identify those that may correlate with clinical efficacy and increase our likelihood of success.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80" w:right="159" w:hanging="406"/>
        <w:spacing w:after="0" w:line="273" w:lineRule="auto"/>
        <w:tabs>
          <w:tab w:leader="none" w:pos="762"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Enhance our R&amp;D pipeline by leveraging our therapeutic area expertise with EvolverAI to identify, develop and commercialize new product candidates in neuroscience and immuno-oncology. </w:t>
      </w:r>
      <w:r>
        <w:rPr>
          <w:rFonts w:ascii="Arial" w:cs="Arial" w:eastAsia="Arial" w:hAnsi="Arial"/>
          <w:sz w:val="17"/>
          <w:szCs w:val="17"/>
          <w:color w:val="auto"/>
        </w:rPr>
        <w:t>In addition to</w:t>
      </w:r>
      <w:r>
        <w:rPr>
          <w:rFonts w:ascii="Arial" w:cs="Arial" w:eastAsia="Arial" w:hAnsi="Arial"/>
          <w:sz w:val="17"/>
          <w:szCs w:val="17"/>
          <w:b w:val="1"/>
          <w:bCs w:val="1"/>
          <w:color w:val="auto"/>
        </w:rPr>
        <w:t xml:space="preserve"> </w:t>
      </w:r>
      <w:r>
        <w:rPr>
          <w:rFonts w:ascii="Arial" w:cs="Arial" w:eastAsia="Arial" w:hAnsi="Arial"/>
          <w:sz w:val="17"/>
          <w:szCs w:val="17"/>
          <w:color w:val="auto"/>
        </w:rPr>
        <w:t>our leading clinical programs and our emerging and future pipeline, we have identified several potential product candidates and intend to select our next clinical program from among such candidates. We have established translational and development expertise, which we believe will help us advance the present and future product candidates in these fields. We may also opportunistically in-license additional product candidates identified through our AI platform approach within our core areas of expertise.</w:t>
      </w:r>
    </w:p>
    <w:p>
      <w:pPr>
        <w:spacing w:after="0" w:line="117" w:lineRule="exact"/>
        <w:rPr>
          <w:rFonts w:ascii="Arial" w:cs="Arial" w:eastAsia="Arial" w:hAnsi="Arial"/>
          <w:sz w:val="17"/>
          <w:szCs w:val="17"/>
          <w:color w:val="auto"/>
        </w:rPr>
      </w:pPr>
    </w:p>
    <w:p>
      <w:pPr>
        <w:ind w:left="780" w:right="139" w:hanging="406"/>
        <w:spacing w:after="0" w:line="255" w:lineRule="auto"/>
        <w:tabs>
          <w:tab w:leader="none" w:pos="766"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Maximize the commercial potential of our product candidates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worldwide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rights to BXCL501 and BXCL701. If BXCL501 and BXCL701 are approved in the United States, we would consider building a specialty sales force in the United States and/or collaborate with third parties to maximize the potential of our product candidates. We are currently taking the early steps towards developing a specialty sales force for BXCL501 in anticipation of potential commercialization. Furthermore, we intend to commercialize BXCL501 and BXCL701, if approved, outside the United States through collaborations with third parties.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Novel Drug Re-Innovation Approach</w:t>
      </w:r>
    </w:p>
    <w:p>
      <w:pPr>
        <w:spacing w:after="0" w:line="229" w:lineRule="exact"/>
        <w:rPr>
          <w:sz w:val="20"/>
          <w:szCs w:val="20"/>
          <w:color w:val="auto"/>
        </w:rPr>
      </w:pPr>
    </w:p>
    <w:p>
      <w:pPr>
        <w:ind w:left="60" w:right="119" w:firstLine="324"/>
        <w:spacing w:after="0" w:line="288" w:lineRule="auto"/>
        <w:rPr>
          <w:sz w:val="20"/>
          <w:szCs w:val="20"/>
          <w:color w:val="auto"/>
        </w:rPr>
      </w:pPr>
      <w:r>
        <w:rPr>
          <w:rFonts w:ascii="Arial" w:cs="Arial" w:eastAsia="Arial" w:hAnsi="Arial"/>
          <w:sz w:val="16"/>
          <w:szCs w:val="16"/>
          <w:color w:val="auto"/>
        </w:rPr>
        <w:t>We intend to develop first-in-class, high value therapeutics by leveraging EvolverAI, a research and development engine created and owned by our parent, BioXcel. We believe the combination of our therapeutic area expertise and our ability to generate product candidates through our exclusive collaborative relationship with our parent company, BioXcel Corporation in the areas of neuroscience and immune-oncology gives us a significant competitive advantage. EvolverAI was developed over the last decade and integrates millions of fragmented data points using artificial intelligence, or AI and proprietary machine learning algorithms. After evaluating multiple product candidates using EvolverAI, we selected our lead programs because our analysis indicated these drugs may have utility in new therapeutic indices where there is substantial unmet medical needs and limited competition. By focusing on clinical candidates with relevant human data, we believe our approach will help us design more efficient clinical trials, thereby accelerating our product candidates’ time to market. We retain global development and commercialization rights to these two programs.</w:t>
      </w:r>
    </w:p>
    <w:p>
      <w:pPr>
        <w:spacing w:after="0" w:line="168"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Our AI-based discovery and development process is the foundation of our drug re-innovation model for identifying the next wave of medicines. Our therapeutic area experts have over 150 years of combined experience across the drug discovery and development value chain. We believe EvolverAI is a novel method of finding potential product candidates because it combines the comprehensiveness and efficiency of machine learning and big data analytics with the expertise and intuition of human experience in drug development. We believe the combination of our therapeutic area expertise and our ability to generate therapeutic candidates in neuroscience and immuno-oncology through our exclusive collaborative relationship in those areas with BioXcel gives us a significant competitive advantage.</w:t>
      </w:r>
    </w:p>
    <w:p>
      <w:pPr>
        <w:spacing w:after="0" w:line="166"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The pharmacological space spans more than 27,000 active pharmaceutical agents, and only approximately 4,000 are approved and marketed drugs benefiting patients. These marketed drugs may be applied to other indications, including rare diseases, and represent an untapped potential for meeting significant unmet medical need and recoupment of research and development investments. A large number of the remaining agents are clinical candidates that are active, shelved, or have failed for reasons other than toxicity and can potentially be re-engineered for different indications or patient segments. They potentially represent an unrealized investment of billions of research and development dollars by the private and public sectors, resulting in an immeasurable amount of patient suffering and sacrificing during clinical development.</w:t>
      </w:r>
    </w:p>
    <w:p>
      <w:pPr>
        <w:spacing w:after="0" w:line="166" w:lineRule="exact"/>
        <w:rPr>
          <w:sz w:val="20"/>
          <w:szCs w:val="20"/>
          <w:color w:val="auto"/>
        </w:rPr>
      </w:pPr>
    </w:p>
    <w:p>
      <w:pPr>
        <w:ind w:left="60" w:right="219" w:firstLine="324"/>
        <w:spacing w:after="0" w:line="290" w:lineRule="auto"/>
        <w:rPr>
          <w:sz w:val="20"/>
          <w:szCs w:val="20"/>
          <w:color w:val="auto"/>
        </w:rPr>
      </w:pPr>
      <w:r>
        <w:rPr>
          <w:rFonts w:ascii="Arial" w:cs="Arial" w:eastAsia="Arial" w:hAnsi="Arial"/>
          <w:sz w:val="16"/>
          <w:szCs w:val="16"/>
          <w:color w:val="auto"/>
        </w:rPr>
        <w:t>Traditional drug development is plagued with low success rates (13.8%, according to an MIT study of 186,000 trials from January 2000 to October 2015), long drug development cycles (10-15 years, according to PhRMA Key Facts 2016), and exorbitant development costs ($2.6 billion per drug, according to PhRMA Key Facts). Furthermore, many serious diseases continue to go unaddressed due to limitations of the current drug discovery paradigm. The recent advent of numerous ‘omics’ technologies (genomics, proteomics) and rapid advances in science and medicine are generating terabytes of valuable unexploited knowledge that is widely distributed in multiple big data lakes with several orders of complexity and variety. Much of this data is not being systematically applied to the development of next generation therapeutics, thus preventing the optimization of drug development utilizing the understanding of technology, science,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medicine, markets, and commercial opportunities. The efficient and intuitive use of big data remains a bottleneck and a challenge to the pharmaceutical industry. Taken together, these factors underscore the need for fundamental new approaches to drug discovery and development. The market opportunity to identify new uses for existing pharmacological agents remains substantial due to the lack of technology driven insights. Our parent, BioXcel, has created a proprietary R&amp;D engine, EvolverAI, for drug re-innovation that provides a proprietary systems-based approach designed to unlock the hidden value in drugs. The combination of our therapeutic area expertise and our exclusive collaborative relationship with BioXcel enables us to screen, analyze, and identify the product candidates that we believe have a high likelihood of benefiting patients. The compounds in our pipeline have been identified using this proprietary platform.</w:t>
      </w:r>
    </w:p>
    <w:p>
      <w:pPr>
        <w:spacing w:after="0" w:line="165" w:lineRule="exact"/>
        <w:rPr>
          <w:sz w:val="20"/>
          <w:szCs w:val="20"/>
          <w:color w:val="auto"/>
        </w:rPr>
      </w:pPr>
    </w:p>
    <w:p>
      <w:pPr>
        <w:jc w:val="both"/>
        <w:ind w:left="60" w:right="459" w:firstLine="324"/>
        <w:spacing w:after="0" w:line="296" w:lineRule="auto"/>
        <w:rPr>
          <w:sz w:val="20"/>
          <w:szCs w:val="20"/>
          <w:color w:val="auto"/>
        </w:rPr>
      </w:pPr>
      <w:r>
        <w:rPr>
          <w:rFonts w:ascii="Arial" w:cs="Arial" w:eastAsia="Arial" w:hAnsi="Arial"/>
          <w:sz w:val="16"/>
          <w:szCs w:val="16"/>
          <w:color w:val="auto"/>
        </w:rPr>
        <w:t>EvolverAI is designed to eliminate human bias by scanning millions of data points from disparate data sources to create network maps. The nodes and connections in the network map are weighted and ranked based on the validity of supporting evidence using disease specific algorithms. They are then further analyzed using artificial intelligence and machine learning approaches supplemented by human domain-based expertise to uncover novel connections between disease parameters, molecular targets, mechanisms of actions and product candidates.</w:t>
      </w:r>
    </w:p>
    <w:p>
      <w:pPr>
        <w:spacing w:after="0" w:line="161"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This drug re-innovation model has been exemplified by the successful development and commercialization of drugs such as Tecfidera (Biogen, Inc.), Thalomid (Celgene Corporation) and Viagra (Pfizer, Inc., or Pfizer). All of these drugs were identified by insights in biology and disease pathophysiology. The successful business models of biotech companies like Axsome-Therapeutics, Inc. and Karuna Therapeutics, Inc. are based on the re-innovation and combination of existing clinical candidates or marketed drugs to provide novel solutions for patients. Unfortunately, such discoveries have been severely limited in scope due to the lack of a genuinely integrated big data analytics-based approach.</w:t>
      </w:r>
    </w:p>
    <w:p>
      <w:pPr>
        <w:spacing w:after="0" w:line="164" w:lineRule="exact"/>
        <w:rPr>
          <w:sz w:val="20"/>
          <w:szCs w:val="20"/>
          <w:color w:val="auto"/>
        </w:rPr>
      </w:pPr>
    </w:p>
    <w:p>
      <w:pPr>
        <w:ind w:left="60" w:right="79" w:firstLine="369"/>
        <w:spacing w:after="0" w:line="255" w:lineRule="auto"/>
        <w:rPr>
          <w:sz w:val="20"/>
          <w:szCs w:val="20"/>
          <w:color w:val="auto"/>
        </w:rPr>
      </w:pPr>
      <w:r>
        <w:rPr>
          <w:rFonts w:ascii="Arial" w:cs="Arial" w:eastAsia="Arial" w:hAnsi="Arial"/>
          <w:sz w:val="18"/>
          <w:szCs w:val="18"/>
          <w:color w:val="auto"/>
        </w:rPr>
        <w:t>We believe that only EvolverAI allows a comprehensive and unbiased evaluation of the complete pharmacological space. We believe our drug re-innovation model and exclusive collaborative relationship with BioXcel has the potential to reduce the cost and time of drug development, help us design more efficient trials, and accelerate our product candidates’ time to market. This assumption is based on capitalizing product candidates with substantial clinical data and mitigated risk due to well-defined safety profiles, known PK/PD properties, and an established manufacturing and regulatory path. Our approach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131445</wp:posOffset>
            </wp:positionV>
            <wp:extent cx="4414520" cy="256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1452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10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0" w:right="99" w:firstLine="243"/>
        <w:spacing w:after="0" w:line="257" w:lineRule="auto"/>
        <w:rPr>
          <w:sz w:val="20"/>
          <w:szCs w:val="20"/>
          <w:color w:val="auto"/>
        </w:rPr>
      </w:pPr>
      <w:r>
        <w:rPr>
          <w:rFonts w:ascii="Arial" w:cs="Arial" w:eastAsia="Arial" w:hAnsi="Arial"/>
          <w:sz w:val="18"/>
          <w:szCs w:val="18"/>
          <w:color w:val="auto"/>
        </w:rPr>
        <w:t>We continue to integrate and evolve our neuroscience AI machine learning and drug development platform, focusing on symptoms resulting from stress-related behaviors. The combination of Evolver AI and this platform has led to the identification and rapid development of BXCL501 as well as advancing other potential indications leading to the submission of our first NDA. We are continuing to leverage our platform to identify and develop new neuroscience programs.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BXCL501 Neuroscience Program</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00" w:right="79" w:firstLine="324"/>
        <w:spacing w:after="0" w:line="268" w:lineRule="auto"/>
        <w:rPr>
          <w:sz w:val="20"/>
          <w:szCs w:val="20"/>
          <w:color w:val="auto"/>
        </w:rPr>
      </w:pPr>
      <w:r>
        <w:rPr>
          <w:rFonts w:ascii="Arial" w:cs="Arial" w:eastAsia="Arial" w:hAnsi="Arial"/>
          <w:sz w:val="17"/>
          <w:szCs w:val="17"/>
          <w:color w:val="auto"/>
        </w:rPr>
        <w:t>BXCL501 is an investigational, proprietary, orally dissolving, thin film formulation of dexmedetomidine (Dex), a selective alpha-2a receptor agonist, targeting symptoms from stress-related behaviors such as agitation and opioid withdrawal symptoms. BXCL501 is our most advanced neuroscience clinical program, currently being developed for the acute treatment of agitation related to schizophrenia, bipolar disorders, dementia, delirium, and opioid withdrawal symptoms. As a selective adrenergic agent with a sublingual or buccal route of administration, BXCL501 is designed to be easy to administer and has shown a rapid onset of action in multiple clinical trials, including clinical trials studying patients with schizophrenia, bipolar disorders, and dementia. We believe the results from these studies suggest that BXCL501 has the potential to generate a calming effect without producing excessive sedation. We believe that BXCL501 is highly differentiated from antipsychotics currently used as a standard of care for the treatment of agitation, which often produce unwanted side effects such as excessive sedation and extra-pyramidal motor effects. Managing patient agitation in neuropsychiatric and neurodegenerative disorders represents a significant challenge for physicians and caregivers. We believe that BXCL501 has the potential to address these challenges while providing an efficient treatment regimen for patients.</w:t>
      </w:r>
    </w:p>
    <w:p>
      <w:pPr>
        <w:spacing w:after="0" w:line="18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Agitation Overview and Market Opportunity</w:t>
      </w:r>
    </w:p>
    <w:p>
      <w:pPr>
        <w:spacing w:after="0" w:line="225" w:lineRule="exact"/>
        <w:rPr>
          <w:sz w:val="20"/>
          <w:szCs w:val="20"/>
          <w:color w:val="auto"/>
        </w:rPr>
      </w:pPr>
    </w:p>
    <w:p>
      <w:pPr>
        <w:ind w:left="100" w:right="79" w:firstLine="324"/>
        <w:spacing w:after="0" w:line="254" w:lineRule="auto"/>
        <w:rPr>
          <w:sz w:val="20"/>
          <w:szCs w:val="20"/>
          <w:color w:val="auto"/>
        </w:rPr>
      </w:pPr>
      <w:r>
        <w:rPr>
          <w:rFonts w:ascii="Arial" w:cs="Arial" w:eastAsia="Arial" w:hAnsi="Arial"/>
          <w:sz w:val="18"/>
          <w:szCs w:val="18"/>
          <w:color w:val="auto"/>
        </w:rPr>
        <w:t>Agitation in patients with neuropsychiatric diseases (psychomotor agitation) is a serious medical condition. Agitation is characterized by feelings of unease, excessive talking and/or unintentional and purposeless motions, such as wringing of the hands or pacing. People experiencing agitation may also express excitement, hostility, poor impulse control, tension, uncooperativeness, and sometimes disruptive behavior, which could lead to aggression and violence. In many cases, people develop agitation when treatment for their underlying disorder is not working well. Stressful situations or traumatic events can also trigger agitation. Agitation can occur suddenly or slowly and vary in length, lasting for a few minutes or for an extended period of time.</w:t>
      </w:r>
    </w:p>
    <w:p>
      <w:pPr>
        <w:spacing w:after="0" w:line="195" w:lineRule="exact"/>
        <w:rPr>
          <w:sz w:val="20"/>
          <w:szCs w:val="20"/>
          <w:color w:val="auto"/>
        </w:rPr>
      </w:pPr>
    </w:p>
    <w:p>
      <w:pPr>
        <w:ind w:left="100" w:right="319" w:firstLine="324"/>
        <w:spacing w:after="0" w:line="275" w:lineRule="auto"/>
        <w:rPr>
          <w:sz w:val="20"/>
          <w:szCs w:val="20"/>
          <w:color w:val="auto"/>
        </w:rPr>
      </w:pPr>
      <w:r>
        <w:rPr>
          <w:rFonts w:ascii="Arial" w:cs="Arial" w:eastAsia="Arial" w:hAnsi="Arial"/>
          <w:sz w:val="17"/>
          <w:szCs w:val="17"/>
          <w:color w:val="auto"/>
        </w:rPr>
        <w:t>With the agitation issues associated with schizophrenia and bipolar disease coupled with a fast-growing elderly population, the difficulties and expenses of acute treatment of agitation are expected to grow significantly. Based on our market research, we estimate that in 2016 the total direct financial cost of all aspects of care for agitation in Alzheimer’s Disease, or AD, was approximately $40 billion. Below are estimated statistics associated with BTI’s initial indications targeting agitation in Schizophrenia, Bipolar Disease and Dementia.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266700</wp:posOffset>
            </wp:positionV>
            <wp:extent cx="5657850" cy="1474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U.S. Market for Treating Agitation</w:t>
      </w: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3100" w:type="dxa"/>
            <w:vAlign w:val="bottom"/>
            <w:tcBorders>
              <w:top w:val="single" w:sz="8" w:color="auto"/>
              <w:right w:val="single" w:sz="8" w:color="auto"/>
            </w:tcBorders>
          </w:tcPr>
          <w:p>
            <w:pPr>
              <w:spacing w:after="0"/>
              <w:rPr>
                <w:sz w:val="24"/>
                <w:szCs w:val="24"/>
                <w:color w:val="auto"/>
              </w:rPr>
            </w:pPr>
          </w:p>
        </w:tc>
        <w:tc>
          <w:tcPr>
            <w:tcW w:w="290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Schizophrenia &amp; Bipolar Disorder</w:t>
            </w:r>
          </w:p>
        </w:tc>
        <w:tc>
          <w:tcPr>
            <w:tcW w:w="292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rPr>
              <w:t>Dementia</w:t>
            </w:r>
          </w:p>
        </w:tc>
      </w:tr>
      <w:tr>
        <w:trPr>
          <w:trHeight w:val="54"/>
        </w:trPr>
        <w:tc>
          <w:tcPr>
            <w:tcW w:w="3100" w:type="dxa"/>
            <w:vAlign w:val="bottom"/>
            <w:tcBorders>
              <w:bottom w:val="single" w:sz="8" w:color="auto"/>
              <w:right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r>
      <w:tr>
        <w:trPr>
          <w:trHeight w:val="318"/>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Disease Prevalence</w:t>
            </w:r>
          </w:p>
        </w:tc>
        <w:tc>
          <w:tcPr>
            <w:tcW w:w="2900" w:type="dxa"/>
            <w:vAlign w:val="bottom"/>
            <w:tcBorders>
              <w:bottom w:val="single" w:sz="8" w:color="auto"/>
              <w:right w:val="single" w:sz="8" w:color="auto"/>
            </w:tcBorders>
          </w:tcPr>
          <w:p>
            <w:pPr>
              <w:jc w:val="center"/>
              <w:ind w:right="950"/>
              <w:spacing w:after="0"/>
              <w:rPr>
                <w:sz w:val="20"/>
                <w:szCs w:val="20"/>
                <w:color w:val="auto"/>
              </w:rPr>
            </w:pPr>
            <w:r>
              <w:rPr>
                <w:rFonts w:ascii="Arial" w:cs="Arial" w:eastAsia="Arial" w:hAnsi="Arial"/>
                <w:sz w:val="18"/>
                <w:szCs w:val="18"/>
                <w:color w:val="auto"/>
              </w:rPr>
              <w:t>9,000,000</w:t>
            </w:r>
            <w:r>
              <w:rPr>
                <w:rFonts w:ascii="Arial" w:cs="Arial" w:eastAsia="Arial" w:hAnsi="Arial"/>
                <w:sz w:val="26"/>
                <w:szCs w:val="26"/>
                <w:color w:val="auto"/>
                <w:vertAlign w:val="superscript"/>
              </w:rPr>
              <w:t>1</w:t>
            </w:r>
          </w:p>
        </w:tc>
        <w:tc>
          <w:tcPr>
            <w:tcW w:w="2920" w:type="dxa"/>
            <w:vAlign w:val="bottom"/>
            <w:tcBorders>
              <w:bottom w:val="single" w:sz="8" w:color="auto"/>
            </w:tcBorders>
          </w:tcPr>
          <w:p>
            <w:pPr>
              <w:jc w:val="center"/>
              <w:ind w:right="970"/>
              <w:spacing w:after="0"/>
              <w:rPr>
                <w:sz w:val="20"/>
                <w:szCs w:val="20"/>
                <w:color w:val="auto"/>
              </w:rPr>
            </w:pPr>
            <w:r>
              <w:rPr>
                <w:rFonts w:ascii="Arial" w:cs="Arial" w:eastAsia="Arial" w:hAnsi="Arial"/>
                <w:sz w:val="18"/>
                <w:szCs w:val="18"/>
                <w:color w:val="auto"/>
              </w:rPr>
              <w:t>5,800,000</w:t>
            </w:r>
            <w:r>
              <w:rPr>
                <w:rFonts w:ascii="Arial" w:cs="Arial" w:eastAsia="Arial" w:hAnsi="Arial"/>
                <w:sz w:val="26"/>
                <w:szCs w:val="26"/>
                <w:color w:val="auto"/>
                <w:vertAlign w:val="superscript"/>
              </w:rPr>
              <w:t>2</w:t>
            </w:r>
          </w:p>
        </w:tc>
      </w:tr>
      <w:tr>
        <w:trPr>
          <w:trHeight w:val="318"/>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Patients Experiencing Agitation</w:t>
            </w:r>
          </w:p>
        </w:tc>
        <w:tc>
          <w:tcPr>
            <w:tcW w:w="2900" w:type="dxa"/>
            <w:vAlign w:val="bottom"/>
            <w:tcBorders>
              <w:bottom w:val="single" w:sz="8" w:color="auto"/>
              <w:right w:val="single" w:sz="8" w:color="auto"/>
            </w:tcBorders>
          </w:tcPr>
          <w:p>
            <w:pPr>
              <w:jc w:val="center"/>
              <w:ind w:right="910"/>
              <w:spacing w:after="0"/>
              <w:rPr>
                <w:sz w:val="20"/>
                <w:szCs w:val="20"/>
                <w:color w:val="auto"/>
              </w:rPr>
            </w:pPr>
            <w:r>
              <w:rPr>
                <w:rFonts w:ascii="Arial" w:cs="Arial" w:eastAsia="Arial" w:hAnsi="Arial"/>
                <w:sz w:val="18"/>
                <w:szCs w:val="18"/>
                <w:color w:val="auto"/>
              </w:rPr>
              <w:t>~3,000,000</w:t>
            </w:r>
            <w:r>
              <w:rPr>
                <w:rFonts w:ascii="Arial" w:cs="Arial" w:eastAsia="Arial" w:hAnsi="Arial"/>
                <w:sz w:val="26"/>
                <w:szCs w:val="26"/>
                <w:color w:val="auto"/>
                <w:vertAlign w:val="superscript"/>
              </w:rPr>
              <w:t>*</w:t>
            </w:r>
          </w:p>
        </w:tc>
        <w:tc>
          <w:tcPr>
            <w:tcW w:w="2920" w:type="dxa"/>
            <w:vAlign w:val="bottom"/>
            <w:tcBorders>
              <w:bottom w:val="single" w:sz="8" w:color="auto"/>
            </w:tcBorders>
          </w:tcPr>
          <w:p>
            <w:pPr>
              <w:jc w:val="center"/>
              <w:ind w:right="910"/>
              <w:spacing w:after="0"/>
              <w:rPr>
                <w:sz w:val="20"/>
                <w:szCs w:val="20"/>
                <w:color w:val="auto"/>
              </w:rPr>
            </w:pPr>
            <w:r>
              <w:rPr>
                <w:rFonts w:ascii="Arial" w:cs="Arial" w:eastAsia="Arial" w:hAnsi="Arial"/>
                <w:sz w:val="18"/>
                <w:szCs w:val="18"/>
                <w:color w:val="auto"/>
              </w:rPr>
              <w:t>~4,000,000</w:t>
            </w:r>
            <w:r>
              <w:rPr>
                <w:rFonts w:ascii="Arial" w:cs="Arial" w:eastAsia="Arial" w:hAnsi="Arial"/>
                <w:sz w:val="26"/>
                <w:szCs w:val="26"/>
                <w:color w:val="auto"/>
                <w:vertAlign w:val="superscript"/>
              </w:rPr>
              <w:t>*</w:t>
            </w:r>
          </w:p>
        </w:tc>
      </w:tr>
    </w:tbl>
    <w:p>
      <w:pPr>
        <w:ind w:left="200"/>
        <w:spacing w:after="0" w:line="181"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7"/>
          <w:szCs w:val="17"/>
          <w:color w:val="auto"/>
        </w:rPr>
        <w:t>Schizophrenia: Wu et al., 2006; Bipolar Disorder: Merikangas et al., 2007</w:t>
      </w:r>
    </w:p>
    <w:p>
      <w:pPr>
        <w:ind w:left="200"/>
        <w:spacing w:after="0" w:line="180"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17"/>
          <w:szCs w:val="17"/>
          <w:color w:val="auto"/>
        </w:rPr>
        <w:t>Herbert et al., 2013</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6"/>
          <w:szCs w:val="26"/>
          <w:color w:val="auto"/>
          <w:vertAlign w:val="superscript"/>
        </w:rPr>
        <w:t>*</w:t>
      </w:r>
      <w:r>
        <w:rPr>
          <w:rFonts w:ascii="Arial" w:cs="Arial" w:eastAsia="Arial" w:hAnsi="Arial"/>
          <w:sz w:val="18"/>
          <w:szCs w:val="18"/>
          <w:color w:val="auto"/>
        </w:rPr>
        <w:t xml:space="preserve"> - current internal Company estimates</w:t>
      </w:r>
    </w:p>
    <w:p>
      <w:pPr>
        <w:sectPr>
          <w:pgSz w:w="11900" w:h="16838" w:orient="portrait"/>
          <w:cols w:equalWidth="0" w:num="1">
            <w:col w:w="9059"/>
          </w:cols>
          <w:pgMar w:left="1400" w:top="517" w:right="1440" w:bottom="1440" w:gutter="0" w:footer="0" w:header="0"/>
        </w:sectPr>
      </w:pP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59"/>
          </w:cols>
          <w:pgMar w:left="140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Treatments for Agitation</w:t>
      </w:r>
    </w:p>
    <w:p>
      <w:pPr>
        <w:spacing w:after="0" w:line="229" w:lineRule="exact"/>
        <w:rPr>
          <w:sz w:val="20"/>
          <w:szCs w:val="20"/>
          <w:color w:val="auto"/>
        </w:rPr>
      </w:pPr>
    </w:p>
    <w:p>
      <w:pPr>
        <w:ind w:left="60" w:right="199" w:firstLine="324"/>
        <w:spacing w:after="0" w:line="291" w:lineRule="auto"/>
        <w:rPr>
          <w:sz w:val="20"/>
          <w:szCs w:val="20"/>
          <w:color w:val="auto"/>
        </w:rPr>
      </w:pPr>
      <w:r>
        <w:rPr>
          <w:rFonts w:ascii="Arial" w:cs="Arial" w:eastAsia="Arial" w:hAnsi="Arial"/>
          <w:sz w:val="16"/>
          <w:szCs w:val="16"/>
          <w:color w:val="auto"/>
        </w:rPr>
        <w:t>Antipsychotics, the current standard of care for acute treatment of agitation in schizophrenia and bipolar disorder, are also used off-label to treat agitation in dementia as well as delirium. Side effects of these medications include movement disorders, including akathisia and extrapyramidal symptoms. One of the serious limitations of these drugs is that they can sedate the patient and do not permit verbal interaction with the hospital staff to continue. Intramuscular (“IM”) delivered antipsychotics, such as haloperidol andolanzapine, are used extensively in this setting but are invasive and often require patient restraint. This type of treatment dehumanizes patients and can cause trauma that could have long-term impact on the individual. Furthermore, these treatments include a black box warning for use in elderly patients.</w:t>
      </w:r>
    </w:p>
    <w:p>
      <w:pPr>
        <w:spacing w:after="0" w:line="166"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While sublingual tablet formulations utilizing antipsychotics have been developed, these sublingual formulations have long half-lives (21-24 hours) and significant side effects when given either acutely or chronically. Oral agents such as benzodiazepines are also used but have a slow onset of action and are consequently not effective in the acute treatment of agitation. Side effects of these agents include sedation, amnesia, confusion, and a paradoxical response. They can intensify cognitive slowing, cause dependence, and can contribute to an increased risk of falls and fractures. In addition, long-term use of benzodiazepines has been found to be habit-forming and can cause addiction. Non-adherence with oral agents can also be problematic as patients may attempt to spit out these medications. We believe that based on the current method of administration of oral medicine for agitation, the orally-dissolving, mucoadhesive thin film offers compliance advantages as it will prevent patients from avoiding treatment.</w:t>
      </w:r>
    </w:p>
    <w:p>
      <w:pPr>
        <w:spacing w:after="0" w:line="181"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There is precedent for FDA approval of a non-invasive therapy for the acute treatment of agitation. In 2012, Adasuve, an inhaled version of the antipsychotic loxapine, became the first approved non-invasive acute treatment for agitation in patients with schizophrenia and bipolar 1 disorder. The use of Adasuve has been limited due to a risk management program and the risk of bronchospasm. Adasuve also has a high incidence of side effects. Upon launch, Adasuve was priced at $145 per dose.</w:t>
      </w:r>
    </w:p>
    <w:p>
      <w:pPr>
        <w:spacing w:after="0" w:line="188" w:lineRule="exact"/>
        <w:rPr>
          <w:sz w:val="20"/>
          <w:szCs w:val="20"/>
          <w:color w:val="auto"/>
        </w:rPr>
      </w:pPr>
    </w:p>
    <w:p>
      <w:pPr>
        <w:ind w:left="60" w:right="159" w:firstLine="324"/>
        <w:spacing w:after="0" w:line="291" w:lineRule="auto"/>
        <w:rPr>
          <w:sz w:val="20"/>
          <w:szCs w:val="20"/>
          <w:color w:val="auto"/>
        </w:rPr>
      </w:pPr>
      <w:r>
        <w:rPr>
          <w:rFonts w:ascii="Arial" w:cs="Arial" w:eastAsia="Arial" w:hAnsi="Arial"/>
          <w:sz w:val="16"/>
          <w:szCs w:val="16"/>
          <w:color w:val="auto"/>
        </w:rPr>
        <w:t>The sublingual or buccal route of administration is an accepted alternative to oral administration of drug delivery to the central nervous system, or CNS, when rapid onset or more controlled delivery is required. Currently, there are six products that are approved for thin-film administration. For example, BioDelivery Sciences International, Inc., a commercial-stage specialty pharmaceutical company dedicated to patients living with chronic conditions, has developed a buccal film formulation of buprenorphine for chronic pain management and buprenorphine and naloxone for opioid dependence. We have developed BXCL501 as a differentiated sublingual thin film dosage form of Dex, which we believe, if approved, may offer benefits such as ease of use and quick absorption for rapid therapeutic effects.</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Mechanism of Action: α</w:t>
      </w:r>
      <w:r>
        <w:rPr>
          <w:rFonts w:ascii="Arial" w:cs="Arial" w:eastAsia="Arial" w:hAnsi="Arial"/>
          <w:sz w:val="26"/>
          <w:szCs w:val="26"/>
          <w:b w:val="1"/>
          <w:bCs w:val="1"/>
          <w:color w:val="auto"/>
          <w:vertAlign w:val="subscript"/>
        </w:rPr>
        <w:t>2a</w:t>
      </w:r>
      <w:r>
        <w:rPr>
          <w:rFonts w:ascii="Arial" w:cs="Arial" w:eastAsia="Arial" w:hAnsi="Arial"/>
          <w:sz w:val="18"/>
          <w:szCs w:val="18"/>
          <w:b w:val="1"/>
          <w:bCs w:val="1"/>
          <w:color w:val="auto"/>
        </w:rPr>
        <w:t xml:space="preserve"> Adrenergic Receptor and NE Role in Acute Agitation</w:t>
      </w:r>
    </w:p>
    <w:p>
      <w:pPr>
        <w:spacing w:after="0" w:line="244"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BXCL501 is designed to be easily administered and to have a rapid onset of action. We believe that BXCL501, with its differentiated pharmacology and ease of administration, if approved, could potentially be a first-in-class, non-invasive acute treatment for agitation that can be rapidly administered by physicians and caregivers. Dex is approved in the United States for the sedation of initially intubated and mechanically ventilated patients during treatment in the Intensive Care Unit, or ICU. It is also used in the intensive care setting for sedation of non-intubated patients prior to and/or during surgical and other invasive procedures. Dex, launched in the United States as Precedex in 1999, is a selective α2a adrenergic receptor agonist that has a strong safety record and has been studied in over 130 clinical trials to date. It has also been launched in the European Union and multiple other countries under the trade name Dexdor as a sedative for intensive care patients. Dex gained approval by the European Medicines Agency, or EMA, for sedation of adult ICU patients (requiring a sedation level no deeper than arousal in response to verbal stimulation). It has been used to prevent or treat hyperactive delirium resulting from anesthesia in the ICU. Given these uses of the IV formulation of Dex, we believe Dex formulated in a sublingual thin film will allow for ease of administration in settings where rapid acute treatment of agitation is needed.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Phase 1 IV Dexmedetomidine Studies</w:t>
      </w:r>
    </w:p>
    <w:p>
      <w:pPr>
        <w:spacing w:after="0" w:line="229"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Throughout 2018 and 2019 we completed four clinical trials and announced the results from several proof-of-concept Phase 1 studies of intravenous, or IV, Dex for acute treatment of agitation.</w:t>
      </w:r>
    </w:p>
    <w:p>
      <w:pPr>
        <w:spacing w:after="0" w:line="170" w:lineRule="exact"/>
        <w:rPr>
          <w:sz w:val="20"/>
          <w:szCs w:val="20"/>
          <w:color w:val="auto"/>
        </w:rPr>
      </w:pPr>
    </w:p>
    <w:p>
      <w:pPr>
        <w:ind w:left="1020" w:right="259" w:hanging="322"/>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Data from our four IV Dex studies in healthy volunteers, schizophrenia patients, SDAT patients, and opioid withdrawal patients was used to determine the optimal dose of BXCL501.</w:t>
      </w:r>
    </w:p>
    <w:p>
      <w:pPr>
        <w:spacing w:after="0" w:line="170" w:lineRule="exact"/>
        <w:rPr>
          <w:rFonts w:ascii="Arial" w:cs="Arial" w:eastAsia="Arial" w:hAnsi="Arial"/>
          <w:sz w:val="18"/>
          <w:szCs w:val="18"/>
          <w:color w:val="auto"/>
        </w:rPr>
      </w:pPr>
    </w:p>
    <w:p>
      <w:pPr>
        <w:ind w:left="1020" w:right="79"/>
        <w:spacing w:after="0" w:line="288" w:lineRule="auto"/>
        <w:rPr>
          <w:rFonts w:ascii="Arial" w:cs="Arial" w:eastAsia="Arial" w:hAnsi="Arial"/>
          <w:sz w:val="18"/>
          <w:szCs w:val="18"/>
          <w:color w:val="auto"/>
        </w:rPr>
      </w:pPr>
      <w:r>
        <w:rPr>
          <w:rFonts w:ascii="Arial" w:cs="Arial" w:eastAsia="Arial" w:hAnsi="Arial"/>
          <w:sz w:val="16"/>
          <w:szCs w:val="16"/>
          <w:color w:val="auto"/>
        </w:rPr>
        <w:t>The goal of the healthy volunteer studies, which was met, was to achieve mild sedation without any clinically meaningful cardiovascular side effects. The IV formulation of Dex achieved mild sedation or a RASS score of -1 in patients at a Dex exposure level without producing any clinically meaningful effects on blood pressure and/or heart rate. This activity was evident in eleven (11) out of twelve (12) subjects on the IV formulation of Dex and occurred within thirty minutes of starting the dose, which produced the desired effect. In contrast, mild sedation was observed in only 1 out of 4 individuals on placebo. The mild sedative effects of the IV formulation of Dex persisted for ninety to one hundred and twenty minutes, a clinically relevant duration. The study also found that the IV formulation of Dex was well tolerated, and the results supported further clinical evaluation of dexmedetomidine in acute treatment of agitation resulting from neuropsychiatric disorders including schizophrenia and Senile Dementia of the Alzheimer’s Type, or SDAT.</w:t>
      </w:r>
    </w:p>
    <w:p>
      <w:pPr>
        <w:spacing w:after="0" w:line="168" w:lineRule="exact"/>
        <w:rPr>
          <w:rFonts w:ascii="Arial" w:cs="Arial" w:eastAsia="Arial" w:hAnsi="Arial"/>
          <w:sz w:val="18"/>
          <w:szCs w:val="18"/>
          <w:color w:val="auto"/>
        </w:rPr>
      </w:pPr>
    </w:p>
    <w:p>
      <w:pPr>
        <w:ind w:left="1020" w:right="339" w:hanging="322"/>
        <w:spacing w:after="0" w:line="272"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November 2018, we announced positive results from a Phase 1b study evaluating IV Dex for acute treatment of agitation in patients suffering from schizophrenia. The trial met its primary endpoint by identifying a safe dose of IV Dex that produced a mild arousable sedation, defined by a RASS score of -1. The study enrolled a total of fourteen (14) patients. Ten (10) patients in the treatment arm received IV Dex therapy, while four (4) patients received placebo. Dose escalation was performed by infusing 0.2 to 0.6 mcg/kg/hr of the IV formulation of Dex over a period of thirty minutes. The dose range in this study was consistent with the range used in the healthy volunteer study.</w:t>
      </w:r>
    </w:p>
    <w:p>
      <w:pPr>
        <w:spacing w:after="0" w:line="177" w:lineRule="exact"/>
        <w:rPr>
          <w:rFonts w:ascii="Arial" w:cs="Arial" w:eastAsia="Arial" w:hAnsi="Arial"/>
          <w:sz w:val="17"/>
          <w:szCs w:val="17"/>
          <w:color w:val="auto"/>
        </w:rPr>
      </w:pPr>
    </w:p>
    <w:p>
      <w:pPr>
        <w:ind w:left="1020" w:right="159"/>
        <w:spacing w:after="0" w:line="254" w:lineRule="auto"/>
        <w:rPr>
          <w:rFonts w:ascii="Arial" w:cs="Arial" w:eastAsia="Arial" w:hAnsi="Arial"/>
          <w:sz w:val="17"/>
          <w:szCs w:val="17"/>
          <w:color w:val="auto"/>
        </w:rPr>
      </w:pPr>
      <w:r>
        <w:rPr>
          <w:rFonts w:ascii="Arial" w:cs="Arial" w:eastAsia="Arial" w:hAnsi="Arial"/>
          <w:sz w:val="18"/>
          <w:szCs w:val="18"/>
          <w:color w:val="auto"/>
        </w:rPr>
        <w:t>The study demonstrated that nine out of ten patients in the treatment arm achieved a RASS score of -1, while no patients in the placebo arm experienced meaningful sedation. Additionally, the drug was well tolerated without any clinically meaningful adverse effects on blood pressure and/or heart rate. As a secondary endpoint, nine out of ten patients in the treatment arm had agitation reduced to a minimum as measured by a Positive and Negative Symptom Scale - Excitatory Component, or PEC, score of 7 or below in contrast with 0 out of 4 of the placebo patients. PEC is a five item scale that measures symptoms of agitation with each item rated from 1-Absent to 7-Extreme.</w:t>
      </w:r>
    </w:p>
    <w:p>
      <w:pPr>
        <w:spacing w:after="0" w:line="194" w:lineRule="exact"/>
        <w:rPr>
          <w:rFonts w:ascii="Arial" w:cs="Arial" w:eastAsia="Arial" w:hAnsi="Arial"/>
          <w:sz w:val="17"/>
          <w:szCs w:val="17"/>
          <w:color w:val="auto"/>
        </w:rPr>
      </w:pPr>
    </w:p>
    <w:p>
      <w:pPr>
        <w:jc w:val="both"/>
        <w:ind w:left="1020" w:right="199" w:hanging="322"/>
        <w:spacing w:after="0" w:line="311"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January 2019, we announced positive results from a Phase 1 study evaluating IV Dex for acute treatment of agitation in patients suffering from SDAT. The SDAT trial met its primary endpoint by identifying a well-tolerated dose of IV Dex that produced a mild arousable sedation, defined by a RASS of -1.</w:t>
      </w:r>
    </w:p>
    <w:p>
      <w:pPr>
        <w:spacing w:after="0" w:line="148" w:lineRule="exact"/>
        <w:rPr>
          <w:rFonts w:ascii="Arial" w:cs="Arial" w:eastAsia="Arial" w:hAnsi="Arial"/>
          <w:sz w:val="16"/>
          <w:szCs w:val="16"/>
          <w:color w:val="auto"/>
        </w:rPr>
      </w:pPr>
    </w:p>
    <w:p>
      <w:pPr>
        <w:ind w:left="1020" w:right="79"/>
        <w:spacing w:after="0" w:line="291" w:lineRule="auto"/>
        <w:rPr>
          <w:rFonts w:ascii="Arial" w:cs="Arial" w:eastAsia="Arial" w:hAnsi="Arial"/>
          <w:sz w:val="16"/>
          <w:szCs w:val="16"/>
          <w:color w:val="auto"/>
        </w:rPr>
      </w:pPr>
      <w:r>
        <w:rPr>
          <w:rFonts w:ascii="Arial" w:cs="Arial" w:eastAsia="Arial" w:hAnsi="Arial"/>
          <w:sz w:val="16"/>
          <w:szCs w:val="16"/>
          <w:color w:val="auto"/>
        </w:rPr>
        <w:t>This study enrolled a total of fourteen SDAT patients. Ten patients in the treatment arm received IV Dex therapy, while four patients received placebo. In accordance with study designs used in previous participant populations, Dex treatment was begun at 0.1 mcg/kg/h and dose escalation occurred every thirty minutes by increasing the infusion rate by 0.1 mcg/kg/h to a maximum infusion of 0.5 mcg/kg/h. Such dosing allowed for the efficient determination of the optimal dose in each participant. The study demonstrated that seven out of ten patients in the treatment arm achieved arousable sedation (RASS score of -1), versus only 1 of 4 patients in the placebo arm. The drug was well tolerated without any clinically significant adverse events.</w:t>
      </w:r>
    </w:p>
    <w:p>
      <w:pPr>
        <w:spacing w:after="0" w:line="166" w:lineRule="exact"/>
        <w:rPr>
          <w:rFonts w:ascii="Arial" w:cs="Arial" w:eastAsia="Arial" w:hAnsi="Arial"/>
          <w:sz w:val="16"/>
          <w:szCs w:val="16"/>
          <w:color w:val="auto"/>
        </w:rPr>
      </w:pPr>
    </w:p>
    <w:p>
      <w:pPr>
        <w:ind w:left="1020" w:right="79" w:hanging="322"/>
        <w:spacing w:after="0" w:line="301"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February 2019, we announced positive proof of concept data from a Phase 1b study of IV Dex in patients suffering from opioid withdrawal symptoms. The study provided evidence supporting further evaluation of BXCL501’s selective alpha-2a adrenergic receptor mechanism application in opioid withdrawal symptoms, in addition to acute treatment of agitation in schizophrenia, bipolar disorder and dementia.</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59"/>
        <w:spacing w:after="0" w:line="273" w:lineRule="auto"/>
        <w:rPr>
          <w:sz w:val="20"/>
          <w:szCs w:val="20"/>
          <w:color w:val="auto"/>
        </w:rPr>
      </w:pPr>
      <w:r>
        <w:rPr>
          <w:rFonts w:ascii="Arial" w:cs="Arial" w:eastAsia="Arial" w:hAnsi="Arial"/>
          <w:sz w:val="17"/>
          <w:szCs w:val="17"/>
          <w:color w:val="auto"/>
        </w:rPr>
        <w:t>The study enrolled total of fourteen patients with opioid dependence. Ten subjects were randomized to the treatment arm while five subjects were randomized to the placebo arm. Symptoms of opioid withdrawal were evaluated using the Clinical Opioid Withdrawal Scale, or COWS1, an 11-item scale that measures a constellation of withdrawal symptoms experienced after abstaining from opioid use. All ten subjects receiving IV Dex responded to treatment, while there were no responders in the placebo arm. Results from this study suggest that IV Dex mitigated the physiological symptoms of opioid withdrawal.</w:t>
      </w:r>
    </w:p>
    <w:p>
      <w:pPr>
        <w:spacing w:after="0" w:line="178"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Data from the four IV Dex studies in healthy volunteers, schizophrenia patients, SDAT patients, and opioid withdrawal patients was used to determine the optimal dose of BXCL501.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BXCL501 Clinical Trials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SERENITY I and SERENITY II</w:t>
      </w:r>
    </w:p>
    <w:p>
      <w:pPr>
        <w:spacing w:after="0" w:line="225"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In July 2020, we announced topline results from the SERENITY I and II pivotal trials, which showed that treatment with BXCL501 was well-tolerated and resulted in clinically meaningful reductions in agitation in schizophrenia and bipolar disorder 1 and 2 patients. In October 2020, we held a pre-New Drug Application (“NDA”) meeting with the U.S. Food and Drug Administration (“FDA”) to discuss the content and format of our anticipated NDA submission. The FDA also agreed to a rolling review of our NDA, allowing us to submit completed sections of the application early. On March 5, 2021, we completed the rolling submission of our NDA to the FDA. The FDA has a 60-day filing review period to determine whether the NDA is complete and acceptable for filing.</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TRANQUILITY</w:t>
      </w:r>
    </w:p>
    <w:p>
      <w:pPr>
        <w:spacing w:after="0" w:line="225"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In January 2021, we announced topline results from the TRANQUILITY trial, a phase 1b/2 randomized, placebo-controlled, adaptive ascending dose-finding study that enrolled 54 patients with agitation related to dementia. Patients received BXCL501 at either 30mcg (n=16), 60mcg (n=20), 90mcg (n=4) or placebo (n=14). Overall, BXCL501 was well tolerated and demonstrated statistically significant, clinically meaningful, rapid, and durable reductions in agitation with the 60 mcg dose as measured by multiple scales.</w:t>
      </w:r>
    </w:p>
    <w:p>
      <w:pPr>
        <w:spacing w:after="0" w:line="188" w:lineRule="exact"/>
        <w:rPr>
          <w:sz w:val="20"/>
          <w:szCs w:val="20"/>
          <w:color w:val="auto"/>
        </w:rPr>
      </w:pPr>
    </w:p>
    <w:p>
      <w:pPr>
        <w:ind w:left="60" w:right="59" w:firstLine="324"/>
        <w:spacing w:after="0" w:line="273" w:lineRule="auto"/>
        <w:rPr>
          <w:sz w:val="20"/>
          <w:szCs w:val="20"/>
          <w:color w:val="auto"/>
        </w:rPr>
      </w:pPr>
      <w:r>
        <w:rPr>
          <w:rFonts w:ascii="Arial" w:cs="Arial" w:eastAsia="Arial" w:hAnsi="Arial"/>
          <w:sz w:val="17"/>
          <w:szCs w:val="17"/>
          <w:color w:val="auto"/>
        </w:rPr>
        <w:t>The trial’s primary endpoint was to evaluate safety and tolerability. During the study, BXCL501 was well-tolerated and no severe or serious adverse events were reported. The most common adverse event was somnolence characterized as either mild (55% for 60 mcg, 50% for 30 mcg and 7.1% for placebo) or moderate (5% for 60 mcg and 0% for both 30 mcg and placebo), followed by hypotension (10%, 0%, 0%), orthostatic hypotension (5%, 6.3%, 0%) and dizziness (5%, 6.3% and 0%). There were no reported cases of syncope or falls in any of the patients studied. Higher exposure levels of BXCL501 were observed in this elderly patient population compared to earlier trials.</w:t>
      </w:r>
    </w:p>
    <w:p>
      <w:pPr>
        <w:spacing w:after="0" w:line="178"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The trial met its secondary efficacy endpoints with the 60 mcg dose compared to placebo in all three agitation scales: the PEC; the Pittsburg Agitation Scale, or PAS, and the Modified Cohen -Mansfield Inventory, or Mod-CMAI. Treatment with BXCL501 demonstrated statistically significant and clinically meaningful reductions in total scores at two hours post-dosing (PEC p=0.0011; PAS p&lt;0.0001; Mod-CMAI p&lt;0.001; PEC response rate = 70%), numerical separation from placebo in PEC total score as early as 30 minutes with statistically significant reductions on both PEC and PAS at 60 minutes lasting 8 hours after treatment.</w:t>
      </w:r>
    </w:p>
    <w:p>
      <w:pPr>
        <w:spacing w:after="0" w:line="192" w:lineRule="exact"/>
        <w:rPr>
          <w:sz w:val="20"/>
          <w:szCs w:val="20"/>
          <w:color w:val="auto"/>
        </w:rPr>
      </w:pPr>
    </w:p>
    <w:p>
      <w:pPr>
        <w:jc w:val="both"/>
        <w:ind w:left="60" w:right="379" w:firstLine="324"/>
        <w:spacing w:after="0" w:line="263" w:lineRule="auto"/>
        <w:rPr>
          <w:sz w:val="20"/>
          <w:szCs w:val="20"/>
          <w:color w:val="auto"/>
        </w:rPr>
      </w:pPr>
      <w:r>
        <w:rPr>
          <w:rFonts w:ascii="Arial" w:cs="Arial" w:eastAsia="Arial" w:hAnsi="Arial"/>
          <w:sz w:val="18"/>
          <w:szCs w:val="18"/>
          <w:color w:val="auto"/>
        </w:rPr>
        <w:t>Additional statistically significant reductions with the 60 mcg dose compared to placebo at the 2 hours post-dosing were observed with the Agitation and Calmness Scale (ACES p=0.0006) and Clinical Global Impression-Improvement Scale (CGI p&lt;0.0001, 90% responder rate).</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30 mcg dose cohort showed numerical improvements across all scales.</w:t>
      </w:r>
    </w:p>
    <w:p>
      <w:pPr>
        <w:spacing w:after="0" w:line="225" w:lineRule="exact"/>
        <w:rPr>
          <w:sz w:val="20"/>
          <w:szCs w:val="20"/>
          <w:color w:val="auto"/>
        </w:rPr>
      </w:pPr>
    </w:p>
    <w:p>
      <w:pPr>
        <w:jc w:val="both"/>
        <w:ind w:left="60" w:right="239" w:firstLine="324"/>
        <w:spacing w:after="0" w:line="311" w:lineRule="auto"/>
        <w:rPr>
          <w:sz w:val="20"/>
          <w:szCs w:val="20"/>
          <w:color w:val="auto"/>
        </w:rPr>
      </w:pPr>
      <w:r>
        <w:rPr>
          <w:rFonts w:ascii="Arial" w:cs="Arial" w:eastAsia="Arial" w:hAnsi="Arial"/>
          <w:sz w:val="16"/>
          <w:szCs w:val="16"/>
          <w:color w:val="auto"/>
        </w:rPr>
        <w:t>On March 3, 2021, we announced that following a routine quality control review of the Company’s TRANQUILITY study data, the Company discovered that two patients were mis-categorized within the 30 mcg cohort at the clinical site. After moving the two patients into their appropriate placebo and 30 mcg groups, the data from the 30</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mcg cohort were re-analyzed, resulting in the 30 mcg dose crossing over to statistical significance at the two hour time point, as measured by PEC: p=0.0149; PAS: p=0.0195; and Mod-CMAI: p=0.0364.</w:t>
      </w:r>
    </w:p>
    <w:p>
      <w:pPr>
        <w:spacing w:after="0" w:line="170"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The Company also announced that it has initiated a 46 patient (1:1 randomization) multicenter, placebo-controlled TRANQUILITY expansion study investigating a 40 mcg dose cohort of BXCL501. PK/PD modeling of BXCL501 data from the TRANQUILITY trial was supportive of evaluating the efficacy of a 40 mcg dose. Results are expected to provide additional insights to support the Company’s clinical development strategy directed at all segments of the dementia market.</w:t>
      </w:r>
    </w:p>
    <w:p>
      <w:pPr>
        <w:spacing w:after="0" w:line="157"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With the positive results from TRANQUILITY, we have been advancing the BXCL 501 dementia clinical program in close consultation with the FDA.</w:t>
      </w:r>
    </w:p>
    <w:p>
      <w:pPr>
        <w:spacing w:after="0" w:line="170"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An end of Phase 2 meeting has been scheduled with the FDA in the second quarter of 2021, following which the Company plans to finalize study design, dosing, and endpoints for its pivotal Phase 3 program, which is expected to begin in the second half of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RELEASE</w:t>
      </w:r>
    </w:p>
    <w:p>
      <w:pPr>
        <w:spacing w:after="0" w:line="225" w:lineRule="exact"/>
        <w:rPr>
          <w:sz w:val="20"/>
          <w:szCs w:val="20"/>
          <w:color w:val="auto"/>
        </w:rPr>
      </w:pPr>
    </w:p>
    <w:p>
      <w:pPr>
        <w:ind w:left="60" w:right="379" w:firstLine="324"/>
        <w:spacing w:after="0" w:line="301" w:lineRule="auto"/>
        <w:rPr>
          <w:sz w:val="20"/>
          <w:szCs w:val="20"/>
          <w:color w:val="auto"/>
        </w:rPr>
      </w:pPr>
      <w:r>
        <w:rPr>
          <w:rFonts w:ascii="Arial" w:cs="Arial" w:eastAsia="Arial" w:hAnsi="Arial"/>
          <w:sz w:val="16"/>
          <w:szCs w:val="16"/>
          <w:color w:val="auto"/>
        </w:rPr>
        <w:t>In August 2020, we announced that the third dose cohort (90 mcg twice a day, 12 hours apart). was enrolling in the RELEASE trial. This is a multicenter, randomized, double-blind, placebo-controlled, ascending dose Phase 1b/2 trial designed to evaluate the safety, pharmacokinetics, tolerability, and efficacy of BXCL501 in patients experiencing symptoms of opioid withdrawal. We expect to report topline results from the study in the first quarter of 2021.</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PLACIDITY</w:t>
      </w:r>
    </w:p>
    <w:p>
      <w:pPr>
        <w:spacing w:after="0" w:line="225" w:lineRule="exact"/>
        <w:rPr>
          <w:sz w:val="20"/>
          <w:szCs w:val="20"/>
          <w:color w:val="auto"/>
        </w:rPr>
      </w:pPr>
    </w:p>
    <w:p>
      <w:pPr>
        <w:ind w:left="60" w:right="339" w:firstLine="324"/>
        <w:spacing w:after="0" w:line="257" w:lineRule="auto"/>
        <w:rPr>
          <w:sz w:val="20"/>
          <w:szCs w:val="20"/>
          <w:color w:val="auto"/>
        </w:rPr>
      </w:pPr>
      <w:r>
        <w:rPr>
          <w:rFonts w:ascii="Arial" w:cs="Arial" w:eastAsia="Arial" w:hAnsi="Arial"/>
          <w:sz w:val="18"/>
          <w:szCs w:val="18"/>
          <w:color w:val="auto"/>
        </w:rPr>
        <w:t>In October 2020, we announced that we had received authorization to proceed under our IND Application from the FDA for treatment of patients with agitation associated with delirium in intensive care units, including patients with COVID-19 and on February 25, 2021, we announced the initiation of the Phase 2 PLACIDITY trial of BXCL501. This program is intended to provide a potential synergy with the medical and commercial infrastructure being developed to support our first two indications.</w:t>
      </w:r>
    </w:p>
    <w:p>
      <w:pPr>
        <w:spacing w:after="0" w:line="188"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The PLACIDITY trial is a multicenter, randomized, double-blind, placebo-controlled, ascending dose-finding, adaptive Phase 2 study designed to evaluate the safety, efficacy, and pharmacokinetics of BXCL501 in intensive care unit adult patients experiencing delirium related agitation, including COVID-19 patients. Approximately 20 patients will be randomized into each sequential ascending dose cohort of BXCL501 (starting doses of 120 ug, 180 ug, 240 ug, or 300 ug), or matching placebos to determine an optimal starting dose that could effectively and safely reduce agitation. Elderly delirium patients (65 years or older) in these cohorts will receive half the dose. The primary endpoint is the reduction in agitation measured by at least a 2-point drop in the Richmond Agitation Sedation Scale (“RASS”) at two hours post BXCL501 administration. The secondary endpoint is the earliest time at which a 2-point drop is seen in RASS after BXCL501 administration. An exploratory endpoint of this trial will be to determine the overall clinical improvement after drug administration using the Clinical Global Impression – Improvement Scale (“CGI-I”). Topline data is expected in the first quarter of 2022.</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Agitation associated with delirium is a serious condition that affects patients in many hospital settings: ICUs, surgical</w:t>
      </w:r>
    </w:p>
    <w:p>
      <w:pPr>
        <w:spacing w:after="0" w:line="46" w:lineRule="exact"/>
        <w:rPr>
          <w:sz w:val="20"/>
          <w:szCs w:val="20"/>
          <w:color w:val="auto"/>
        </w:rPr>
      </w:pPr>
    </w:p>
    <w:p>
      <w:pPr>
        <w:ind w:left="60" w:right="99" w:hanging="10"/>
        <w:spacing w:after="0" w:line="260"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medical wards, and emergency departments. Currently, there are no FDA-approved medications for delirium or agitation associated with delirium.</w:t>
      </w:r>
    </w:p>
    <w:p>
      <w:pPr>
        <w:spacing w:after="0" w:line="185" w:lineRule="exact"/>
        <w:rPr>
          <w:sz w:val="20"/>
          <w:szCs w:val="20"/>
          <w:color w:val="auto"/>
        </w:rPr>
      </w:pPr>
    </w:p>
    <w:p>
      <w:pPr>
        <w:ind w:left="60" w:right="199" w:firstLine="405"/>
        <w:spacing w:after="0" w:line="257" w:lineRule="auto"/>
        <w:rPr>
          <w:sz w:val="20"/>
          <w:szCs w:val="20"/>
          <w:color w:val="auto"/>
        </w:rPr>
      </w:pPr>
      <w:r>
        <w:rPr>
          <w:rFonts w:ascii="Arial" w:cs="Arial" w:eastAsia="Arial" w:hAnsi="Arial"/>
          <w:sz w:val="18"/>
          <w:szCs w:val="18"/>
          <w:color w:val="auto"/>
        </w:rPr>
        <w:t>BioXcel and its collaborators, the VA Connecticut Healthcare System and the Yale University Medical School, were awarded a grant by the U.S. Department of Defense’s (“DOD”) Congressionally Directed Medical Research Programs (“CDMRP”) to evaluate BXCL501 in patients suffering from post-traumatic stress disorder (“PTSD”) related to alcohol and substance abuse disorder (“ASUD”). This will be the first time the Company is investigating BXCL501 as a potential chronic treatment.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Additional Opportunities</w:t>
      </w:r>
    </w:p>
    <w:p>
      <w:pPr>
        <w:spacing w:after="0" w:line="225"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We are also continuing our development of BXCL501, exploring this candidate as a potential treatment option for chronic agitation associated with dementia. We are also developing a single-use intramuscular injection for patients with severe agitation (non-cooperative).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Relative Bioavailability Study</w:t>
      </w:r>
    </w:p>
    <w:p>
      <w:pPr>
        <w:spacing w:after="0" w:line="225"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In the third quarter of 2020, we analyzed the data from a cross-over study in healthy volunteers comparing the bioavailability of BXCL501 administered sublingually with the film placed drug-side down under the tongue, compared to the film placed drug-side up under the tongue, and administered buccally (placed between the lower lip and gum). Results of this study showed that:</w:t>
      </w:r>
    </w:p>
    <w:p>
      <w:pPr>
        <w:spacing w:after="0" w:line="200" w:lineRule="exact"/>
        <w:rPr>
          <w:sz w:val="20"/>
          <w:szCs w:val="20"/>
          <w:color w:val="auto"/>
        </w:rPr>
      </w:pPr>
    </w:p>
    <w:p>
      <w:pPr>
        <w:ind w:left="1020" w:right="79" w:hanging="322"/>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consistent with previously reported data, BXCL501 was rapidly absorbed into the systemic circulation following drug side down or drug side up sublingual administration or buccal administration of the BXCL501 film;</w:t>
      </w:r>
    </w:p>
    <w:p>
      <w:pPr>
        <w:spacing w:after="0" w:line="183" w:lineRule="exact"/>
        <w:rPr>
          <w:rFonts w:ascii="Arial" w:cs="Arial" w:eastAsia="Arial" w:hAnsi="Arial"/>
          <w:sz w:val="18"/>
          <w:szCs w:val="18"/>
          <w:color w:val="auto"/>
        </w:rPr>
      </w:pPr>
    </w:p>
    <w:p>
      <w:pPr>
        <w:ind w:left="1020" w:hanging="322"/>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administering BXCL501 sublingually was shown to be bioequivalent to administering BXCL501 buccally;</w:t>
      </w:r>
    </w:p>
    <w:p>
      <w:pPr>
        <w:spacing w:after="0" w:line="236" w:lineRule="exact"/>
        <w:rPr>
          <w:rFonts w:ascii="Arial" w:cs="Arial" w:eastAsia="Arial" w:hAnsi="Arial"/>
          <w:sz w:val="17"/>
          <w:szCs w:val="17"/>
          <w:color w:val="auto"/>
        </w:rPr>
      </w:pPr>
    </w:p>
    <w:p>
      <w:pPr>
        <w:ind w:left="1020" w:right="939" w:hanging="32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administering BXCL501 with the drug side up under the tongue was shown to be bioequivalent to administering BXCL501 drug side down under the tongue; and</w:t>
      </w:r>
    </w:p>
    <w:p>
      <w:pPr>
        <w:spacing w:after="0" w:line="170" w:lineRule="exact"/>
        <w:rPr>
          <w:rFonts w:ascii="Arial" w:cs="Arial" w:eastAsia="Arial" w:hAnsi="Arial"/>
          <w:sz w:val="18"/>
          <w:szCs w:val="18"/>
          <w:color w:val="auto"/>
        </w:rPr>
      </w:pPr>
    </w:p>
    <w:p>
      <w:pPr>
        <w:ind w:left="1020" w:right="599" w:hanging="32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subjects were able to drink water starting at 15 minutes following sublingual BXCL501 administration without affecting bioavailability in the subject.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Neuropsychiatric /Neurodegenerative Indications</w:t>
      </w:r>
    </w:p>
    <w:p>
      <w:pPr>
        <w:spacing w:after="0" w:line="229"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Given the differentiated design features of BXCL501 and its selective mechanism of action, we believe that BXCL501 has the potential for broad applicability across several indications where agitation is a symptom of a condition or underlying disease. There are additional neurological and psychiatric disorders where agitation is a symptom that requires treatment.</w:t>
      </w:r>
    </w:p>
    <w:p>
      <w:pPr>
        <w:spacing w:after="0" w:line="187"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We are also exploring the potential of BXCL501 in Depression Related Agitation, Anxiety Disorders and Traumatic Brain Injury.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BXCL701, DPP 8/9 and FAP Inhibitor for the Treatment of NEPC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BXCL701</w:t>
      </w:r>
    </w:p>
    <w:p>
      <w:pPr>
        <w:spacing w:after="0" w:line="229"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BXCL701 is a potential first-in-class, oral, small-molecule immunomodulator designed to stimulate both the innate and acquired immune systems by inhibiting DPP 8/9. DPP 8/9 behave as "checkpoints" of the innate immune system. We believe that BXCL701, if successfully developed and approved, may establish a differentiated immuno-oncology platform by modulating multiple steps in the cancer immunity cycle and, when combined with checkpoint inhibitors and/or immune activating agents, may be able to convert immuno-resistant tumors to immuno-sensitive tumors (“cold” to “hot” tumors).</w:t>
      </w:r>
    </w:p>
    <w:p>
      <w:pPr>
        <w:spacing w:after="0" w:line="161"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Clinically, BXCL701 has been evaluated in more than 700 healthy subjects and cancer patients across multiple clinical trials, which provided evidence regarding tolerability, proof of mechanism, and single agent anti-tumor activity. In the latter case, single agent activity was seen in melanoma patients, an immune sensitive tumor. While providing evidence regarding the safety profile of the drug, these clinical studies also identified a maximum tolerated and recommended Phase 2 dose to use in future clinical trials.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BXCL701 is in development for the treatment of Castrate Resistant Prostate Cancer, including the highly aggressive Neuro-endocrine variant NEPC, a segment of prostate cancer patients that have progressed on second generation androgen inhibitors (Zytiga and Xtandi). Approximately one in four patients treated with Zytiga and Xtandi are expected to develop NEPC based on current clinical literature. The combined global sales of Zytiga and Xtandi, which are only approved for prostate cancer treatment, were over $7 billion in 2018, and we believe such sales number gives a perspective of the potential market for BXCL701 in this indication. Additionally, generic alternatives for Zytiga became available in the U.S. market in 2019, and we, therefore, expect the number of patients with access to androgen inhibitor therapy to increase.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Prostate Cancer Overview and Market Opportunity</w:t>
      </w:r>
    </w:p>
    <w:p>
      <w:pPr>
        <w:spacing w:after="0" w:line="229" w:lineRule="exact"/>
        <w:rPr>
          <w:sz w:val="20"/>
          <w:szCs w:val="20"/>
          <w:color w:val="auto"/>
        </w:rPr>
      </w:pPr>
    </w:p>
    <w:p>
      <w:pPr>
        <w:ind w:left="60" w:right="59" w:firstLine="324"/>
        <w:spacing w:after="0" w:line="288" w:lineRule="auto"/>
        <w:rPr>
          <w:sz w:val="20"/>
          <w:szCs w:val="20"/>
          <w:color w:val="auto"/>
        </w:rPr>
      </w:pPr>
      <w:r>
        <w:rPr>
          <w:rFonts w:ascii="Arial" w:cs="Arial" w:eastAsia="Arial" w:hAnsi="Arial"/>
          <w:sz w:val="16"/>
          <w:szCs w:val="16"/>
          <w:color w:val="auto"/>
        </w:rPr>
        <w:t>Prostate cancer is the most common malignancy and is the second leading cause of cancer death in men in the United States. In 2016, there were an estimated 3 million men with prostate cancer in the United States. According to estimates from Surveillance, Epidemiology and End Results Program, SEER, more than 174,000 men are expected to be diagnosed and more than 31,000 men were expected to die from prostate cancer in 2019. While the five-year survival rate of local and regional prostate cancer is almost 100%, more aggressive forms of the disease such as metastatic prostate cancer have a five-year survival rate of approximately 30%. These aggressive forms of prostate cancer can initially be treated with androgen deprivation therapy, or ADT. However, almost all patients experience a recurrence in tumor growth, which results in the patient having castrate resistant prostate cancer, or CRPC. An estimated 180,000 men in the United States are eligible for treatment with the second-generation anti-androgen drugs Zytiga and Xtandi. These drugs have widely become the standard of care and generated combined worldwide sales of over $7 billion in 2018.</w:t>
      </w:r>
    </w:p>
    <w:p>
      <w:pPr>
        <w:spacing w:after="0" w:line="168" w:lineRule="exact"/>
        <w:rPr>
          <w:sz w:val="20"/>
          <w:szCs w:val="20"/>
          <w:color w:val="auto"/>
        </w:rPr>
      </w:pPr>
    </w:p>
    <w:p>
      <w:pPr>
        <w:ind w:left="60" w:right="199" w:firstLine="324"/>
        <w:spacing w:after="0" w:line="272" w:lineRule="auto"/>
        <w:rPr>
          <w:sz w:val="20"/>
          <w:szCs w:val="20"/>
          <w:color w:val="auto"/>
        </w:rPr>
      </w:pPr>
      <w:r>
        <w:rPr>
          <w:rFonts w:ascii="Arial" w:cs="Arial" w:eastAsia="Arial" w:hAnsi="Arial"/>
          <w:sz w:val="17"/>
          <w:szCs w:val="17"/>
          <w:color w:val="auto"/>
        </w:rPr>
        <w:t>Unfortunately, virtually all the patients who respond to Zytiga and Xtandi are expected to progress to even more aggressive forms of prostate cancer requiring further treatment. About one in four of the progressing patients will develop very aggressive, androgen receptor, or AR-independent tumors, or NEPC, for which there is no effective treatment based on information in an article published in the Journal of the National Comprehensive Cancer Network in 2014 by Agarwal et. al. and an article published by Journal of Clinical Oncology in 2014 by Wang et. al. NEPC specifically displays neuroendocrine differentiation, either pathologically with the presence of the typical neuroendocrine small cells, or molecularly by expressing neuroendocrine markers.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267335</wp:posOffset>
            </wp:positionV>
            <wp:extent cx="5657850" cy="127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27698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Large market Opportunity: NEPC</w:t>
      </w:r>
    </w:p>
    <w:p>
      <w:pPr>
        <w:sectPr>
          <w:pgSz w:w="11900" w:h="16838" w:orient="portrait"/>
          <w:cols w:equalWidth="0" w:num="1">
            <w:col w:w="9019"/>
          </w:cols>
          <w:pgMar w:left="1440" w:top="517" w:right="1440" w:bottom="1440" w:gutter="0" w:footer="0" w:header="0"/>
        </w:sect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U.S. Prostate Cancer Patient Population</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~3,000,000</w:t>
      </w:r>
    </w:p>
    <w:p>
      <w:pPr>
        <w:spacing w:after="0" w:line="200" w:lineRule="exact"/>
        <w:rPr>
          <w:sz w:val="20"/>
          <w:szCs w:val="20"/>
          <w:color w:val="auto"/>
        </w:rPr>
      </w:pPr>
    </w:p>
    <w:p>
      <w:pPr>
        <w:sectPr>
          <w:pgSz w:w="11900" w:h="16838" w:orient="portrait"/>
          <w:cols w:equalWidth="0" w:num="2">
            <w:col w:w="5600" w:space="720"/>
            <w:col w:w="2699"/>
          </w:cols>
          <w:pgMar w:left="1440" w:top="517" w:right="1440" w:bottom="1440" w:gutter="0" w:footer="0" w:header="0"/>
          <w:type w:val="continuous"/>
        </w:sectPr>
      </w:pP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Patients Eligible for Treatment with ADT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~180,000 (6%)</w:t>
      </w:r>
    </w:p>
    <w:p>
      <w:pPr>
        <w:spacing w:after="0" w:line="200" w:lineRule="exact"/>
        <w:rPr>
          <w:sz w:val="20"/>
          <w:szCs w:val="20"/>
          <w:color w:val="auto"/>
        </w:rPr>
      </w:pPr>
    </w:p>
    <w:p>
      <w:pPr>
        <w:sectPr>
          <w:pgSz w:w="11900" w:h="16838" w:orient="portrait"/>
          <w:cols w:equalWidth="0" w:num="2">
            <w:col w:w="5460" w:space="720"/>
            <w:col w:w="2839"/>
          </w:cols>
          <w:pgMar w:left="1440" w:top="517" w:right="1440" w:bottom="1440" w:gutter="0" w:footer="0" w:header="0"/>
          <w:type w:val="continuous"/>
        </w:sectPr>
      </w:pP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Patients progressing to NEPC</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~20,000</w:t>
      </w:r>
    </w:p>
    <w:p>
      <w:pPr>
        <w:spacing w:after="0" w:line="211" w:lineRule="exact"/>
        <w:rPr>
          <w:sz w:val="20"/>
          <w:szCs w:val="20"/>
          <w:color w:val="auto"/>
        </w:rPr>
      </w:pPr>
    </w:p>
    <w:p>
      <w:pPr>
        <w:sectPr>
          <w:pgSz w:w="11900" w:h="16838" w:orient="portrait"/>
          <w:cols w:equalWidth="0" w:num="2">
            <w:col w:w="5720" w:space="720"/>
            <w:col w:w="2579"/>
          </w:cols>
          <w:pgMar w:left="1440" w:top="517" w:right="1440" w:bottom="1440" w:gutter="0" w:footer="0" w:header="0"/>
          <w:type w:val="continuous"/>
        </w:sectPr>
      </w:pP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of Current Treatments for CRPC</w:t>
      </w:r>
    </w:p>
    <w:p>
      <w:pPr>
        <w:spacing w:after="0" w:line="229"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Despite demonstrated benefit of immunotherapies targeting PD-1—such as pembrolizumab—on clinical outcomes in many solid tumors, mCRPC remains largely resistant to such therapies with single-agent response rates of around 6%. Further exploration has been focused on combination therapies.</w:t>
      </w:r>
    </w:p>
    <w:p>
      <w:pPr>
        <w:spacing w:after="0" w:line="184" w:lineRule="exact"/>
        <w:rPr>
          <w:sz w:val="20"/>
          <w:szCs w:val="20"/>
          <w:color w:val="auto"/>
        </w:rPr>
      </w:pPr>
    </w:p>
    <w:p>
      <w:pPr>
        <w:ind w:left="60" w:right="299" w:firstLine="324"/>
        <w:spacing w:after="0" w:line="257" w:lineRule="auto"/>
        <w:rPr>
          <w:sz w:val="20"/>
          <w:szCs w:val="20"/>
          <w:color w:val="auto"/>
        </w:rPr>
      </w:pPr>
      <w:r>
        <w:rPr>
          <w:rFonts w:ascii="Arial" w:cs="Arial" w:eastAsia="Arial" w:hAnsi="Arial"/>
          <w:sz w:val="18"/>
          <w:szCs w:val="18"/>
          <w:color w:val="auto"/>
        </w:rPr>
        <w:t>There is no approved therapy for NEPC. NEPC patients are treated off-label with cytotoxic chemotherapies, such as platinum-based regimens. These treatments have poor efficacy due to their short duration of response and substantial toxicity. While the immuno-oncology field has made several advances in the treatment of solid tumors, several trials of immuno-oncology agents in patients with prostate cancer, and specifically NEPC, have shown limited or no anti-tumor activity.</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69"/>
        <w:spacing w:after="0" w:line="263" w:lineRule="auto"/>
        <w:rPr>
          <w:sz w:val="20"/>
          <w:szCs w:val="20"/>
          <w:color w:val="auto"/>
        </w:rPr>
      </w:pPr>
      <w:r>
        <w:rPr>
          <w:rFonts w:ascii="Arial" w:cs="Arial" w:eastAsia="Arial" w:hAnsi="Arial"/>
          <w:sz w:val="18"/>
          <w:szCs w:val="18"/>
          <w:color w:val="auto"/>
        </w:rPr>
        <w:t>BXCL701’s potential immunomodulatory mechanism of action may manipulate the tumor micro-environment in such a way to convert a “cold” tumor environment into an inflamed “hot” environment so that prostate cancer can overcome resistance to immunotherapy.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BXCL701 Immuno-Oncology Program</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BXCL701 Clinical Trials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BXCL701 is currently being evaluated in two combination therapy clinical trials:</w:t>
      </w:r>
    </w:p>
    <w:p>
      <w:pPr>
        <w:spacing w:after="0" w:line="225"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In April 2020, we announced the initiation of the Phase 2 efficacy portion of the Phase 1b/2 trial evaluating BXCL701 in combination with KEYTRUDA® (pembrolizumab, a PD-1 inhibitor) for NEPC. The Phase 1b safety assessment of BXCL701 identified a split dose totaling 0.6 mg per day as the recommended dose when used in combination with KEYTRUDA. In addition to the efficacy cohort in NEPC patients, in August 2020, we opened a separate cohort for CRPC patients who have failed taxane-based chemotherapy and up to two lines of second-generation androgen pathway blockers. The Phase 1b portion of this trial was presented at the Society for Immunotherapy of Cancer’s, or SITC’s, 35th Anniversary Annual Meeting in 2020, and an efficacy update was recently presented at the ASCO Genitourinary Symposium in February 2021. Topline results from the trial are expected in mid-2021.</w:t>
      </w:r>
    </w:p>
    <w:p>
      <w:pPr>
        <w:spacing w:after="0" w:line="165"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The MD Anderson-led Phase 2 open-label basket trial is designed to evaluate the response rate of orally administered BXCL701, combined with KEYTRUDA, in two arms: Arm A is enrolling checkpoint naïve patients (where checkpoint therapy is indicated: “hot tumors”); and Arm B is enrolling patients who have progressed following checkpoint therapy alone. As of August 2020, the efficacy bar had been met for both arms, allowing the trial to advance to completion. Preliminary data were recently presented at the SITC’s, 35th Anniversary Annual Meeting. Topline results from the trial are expected in mid-2021.</w:t>
      </w:r>
    </w:p>
    <w:p>
      <w:pPr>
        <w:spacing w:after="0" w:line="192"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On November 10, 2020, the Company and Nektar terminated the Nektar Collaboration Agreement, pursuant to which the Company and Nektar had agreed to jointly collaborate to conduct a Phase 1/2 clinical trial evaluating a combination therapy using BXCL701, Bempegaldesleukin, a CD122-biased agonist and a checkpoint inhibitor as a potential therapy for pancreatic cancer and such other clinical trials evaluating the combined therapy as mutually agreed by the parties. The BXCL701 phase of the triple combination study of BXCL701, bempegaldesleukin (NKTR-214, Nektar Therapeutics) and BAVENCIO® (avelumab, Merck KGaA, Darmstadt, Germany and Pfizer) in second line pancreatic cancer was planned to initiate following Nektar and Pfizer’s Phase 1B dose-escalation trial of bempegaldesleukin and avelumab, which was delayed. As a result, the parties have agreed to discontinue activities on the triple combination study and instead reallocate resources to other studies and development programs.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Immuno-oncology Indications</w:t>
      </w:r>
    </w:p>
    <w:p>
      <w:pPr>
        <w:spacing w:after="0" w:line="229" w:lineRule="exact"/>
        <w:rPr>
          <w:sz w:val="20"/>
          <w:szCs w:val="20"/>
          <w:color w:val="auto"/>
        </w:rPr>
      </w:pPr>
    </w:p>
    <w:p>
      <w:pPr>
        <w:ind w:left="60" w:right="199" w:firstLine="324"/>
        <w:spacing w:after="0" w:line="272" w:lineRule="auto"/>
        <w:rPr>
          <w:sz w:val="20"/>
          <w:szCs w:val="20"/>
          <w:color w:val="auto"/>
        </w:rPr>
      </w:pPr>
      <w:r>
        <w:rPr>
          <w:rFonts w:ascii="Arial" w:cs="Arial" w:eastAsia="Arial" w:hAnsi="Arial"/>
          <w:sz w:val="17"/>
          <w:szCs w:val="17"/>
          <w:color w:val="auto"/>
        </w:rPr>
        <w:t>In addition to CRPC and CPI-refractory tumors, we plan to leverage our existing preclinical and clinical data to identify other cancer types with high unmet medical need that we believe would benefit from BXCL701’s novel potential mechanism of action. We are prioritizing indications where the immuno-suppressive microenvironment is driven by the potential molecular and cellular targets of BXCL701 and where the single agent activity of approved immune checkpoint inhibitors is limited. On September 4, 2019, we announced that the FDA granted Orphan Drug Designation for BXCL701 for the treatment of acute myeloid leukemia, and on January 26, 2021, BXCL701 received Orphan Drug Designation for the treatment of Soft Tissue Sarcoma.</w:t>
      </w:r>
    </w:p>
    <w:p>
      <w:pPr>
        <w:spacing w:after="0" w:line="177"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In addition, we believe BXCL701, if successfully developed and approved, may provide a platform for combination with immunotherapy modalities that go beyond the currently approved immune checkpoint agents that target the PD-1/PD-L1 axis. Following our proof-of-concept trials, we plan to conduct clinical trials covering a broad range of additional combinations with other immunotherapy agents, including:</w:t>
      </w:r>
    </w:p>
    <w:p>
      <w:pPr>
        <w:spacing w:after="0" w:line="187" w:lineRule="exact"/>
        <w:rPr>
          <w:sz w:val="20"/>
          <w:szCs w:val="20"/>
          <w:color w:val="auto"/>
        </w:rPr>
      </w:pPr>
    </w:p>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immune checkpoint inhibitors (other than PD-1/PD-L1);</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cellular therapies (CAR-T and chimeric antigen receptor natural killer cells);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therapeutic vaccines; and</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ADCC driven monoclonal antibodies.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Product Candidates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Neuroscience Program</w:t>
      </w:r>
    </w:p>
    <w:p>
      <w:pPr>
        <w:spacing w:after="0" w:line="225" w:lineRule="exact"/>
        <w:rPr>
          <w:sz w:val="20"/>
          <w:szCs w:val="20"/>
          <w:color w:val="auto"/>
        </w:rPr>
      </w:pPr>
    </w:p>
    <w:p>
      <w:pPr>
        <w:jc w:val="both"/>
        <w:ind w:left="60" w:right="359" w:firstLine="324"/>
        <w:spacing w:after="0" w:line="263" w:lineRule="auto"/>
        <w:rPr>
          <w:sz w:val="20"/>
          <w:szCs w:val="20"/>
          <w:color w:val="auto"/>
        </w:rPr>
      </w:pPr>
      <w:r>
        <w:rPr>
          <w:rFonts w:ascii="Arial" w:cs="Arial" w:eastAsia="Arial" w:hAnsi="Arial"/>
          <w:sz w:val="18"/>
          <w:szCs w:val="18"/>
          <w:color w:val="auto"/>
        </w:rPr>
        <w:t>We are targeting neuroscience disorders where there is a high unmet medical need, and therefore, a requirement for symptom management is a priority (such as agitation and symptoms resulting from stress-related behaviors) as well for transformative care for monogenic rare CNS disorders.</w:t>
      </w:r>
    </w:p>
    <w:p>
      <w:pPr>
        <w:spacing w:after="0" w:line="184"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For symptomatic approaches, our neuroscience program is developing product candidates with a focus on treating symptoms for various neurological and psychiatric disorders. This entails re-innovating existing agents through formulation changes and deuteration. The utilization of EvolverAI has identified several monogenic diseases with available animal models across rare neuroscience diseases. We utilize proprietary algorithms to identify associated mechanisms with existing pharmacology to test whether these agents can improve the disease profile in the animal model either through disease modification or symptomatic manner. The agents identified must be those that we believe are Phase 2 ready with a potential for a short, cost-effective development plan (four to five years to potential NDA submission).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Immuno-oncology Program</w:t>
      </w:r>
    </w:p>
    <w:p>
      <w:pPr>
        <w:spacing w:after="0" w:line="225" w:lineRule="exact"/>
        <w:rPr>
          <w:sz w:val="20"/>
          <w:szCs w:val="20"/>
          <w:color w:val="auto"/>
        </w:rPr>
      </w:pPr>
    </w:p>
    <w:p>
      <w:pPr>
        <w:ind w:left="60" w:right="339" w:firstLine="324"/>
        <w:spacing w:after="0" w:line="301" w:lineRule="auto"/>
        <w:rPr>
          <w:sz w:val="20"/>
          <w:szCs w:val="20"/>
          <w:color w:val="auto"/>
        </w:rPr>
      </w:pPr>
      <w:r>
        <w:rPr>
          <w:rFonts w:ascii="Arial" w:cs="Arial" w:eastAsia="Arial" w:hAnsi="Arial"/>
          <w:sz w:val="16"/>
          <w:szCs w:val="16"/>
          <w:color w:val="auto"/>
        </w:rPr>
        <w:t>Our immuno-oncology program is based on utilizing a comprehensive map of all known relationships that link immuno-evasion and immuno-activation pathways and targets with thousands of pharmacological agents and tumor indications. This comprehensive map has permitted us to select a potential pipeline of candidates based on our ability to alter the tumor micro-environment and the potential to address relevant unmet medical needs for various tumor types.</w:t>
      </w:r>
    </w:p>
    <w:p>
      <w:pPr>
        <w:spacing w:after="0" w:line="157" w:lineRule="exact"/>
        <w:rPr>
          <w:sz w:val="20"/>
          <w:szCs w:val="20"/>
          <w:color w:val="auto"/>
        </w:rPr>
      </w:pPr>
    </w:p>
    <w:p>
      <w:pPr>
        <w:ind w:left="60" w:right="99" w:firstLine="324"/>
        <w:spacing w:after="0" w:line="279" w:lineRule="auto"/>
        <w:rPr>
          <w:sz w:val="20"/>
          <w:szCs w:val="20"/>
          <w:color w:val="auto"/>
        </w:rPr>
      </w:pPr>
      <w:r>
        <w:rPr>
          <w:rFonts w:ascii="Arial" w:cs="Arial" w:eastAsia="Arial" w:hAnsi="Arial"/>
          <w:sz w:val="17"/>
          <w:szCs w:val="17"/>
          <w:color w:val="auto"/>
        </w:rPr>
        <w:t>Finally, we continually leverage the artificial intelligence platform owned by our parent to select and prioritize additional development opportunities to expand the current portfolio and broaden the addressable market for our lead programs through the identification of new indications. This includes exploring additional combination therapy approaches to expand BXCL701’s target indications beyond NEPC and pancreatic cancer.</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279" w:firstLine="324"/>
        <w:spacing w:after="0" w:line="273" w:lineRule="auto"/>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products. The immuno-oncology, neuroscience, and rare disease segments of the industry in particular are highly competitive. While we believe that our technology, development experience and scientific knowledge provide competitive advantages, we face potential competition from many different sources, including major pharmaceutical, specialty pharmaceutical, and biotechnology companies, academic institutions and governmental agencies, and public and private research institutions.</w:t>
      </w:r>
    </w:p>
    <w:p>
      <w:pPr>
        <w:spacing w:after="0" w:line="178"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Many of our competitors may have significantly greater financial resources, and expertise in research and development, manufacturing, preclinical studies, conducting clinical trials, obtaining regulatory approvals, and marketing approved medicines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in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78" w:lineRule="exact"/>
        <w:rPr>
          <w:sz w:val="20"/>
          <w:szCs w:val="20"/>
          <w:color w:val="auto"/>
        </w:rPr>
      </w:pPr>
    </w:p>
    <w:p>
      <w:pPr>
        <w:ind w:left="60" w:right="359" w:firstLine="324"/>
        <w:spacing w:after="0" w:line="308" w:lineRule="auto"/>
        <w:rPr>
          <w:sz w:val="20"/>
          <w:szCs w:val="20"/>
          <w:color w:val="auto"/>
        </w:rPr>
      </w:pPr>
      <w:r>
        <w:rPr>
          <w:rFonts w:ascii="Arial" w:cs="Arial" w:eastAsia="Arial" w:hAnsi="Arial"/>
          <w:sz w:val="17"/>
          <w:szCs w:val="17"/>
          <w:color w:val="auto"/>
        </w:rPr>
        <w:t>The key competitive factors affecting the success of all of our product candidates, if approved, are likely to be their efficacy, safety, convenience, price, the effectiveness of companion diagnostics in guiding the use of related</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therapeutics, if any, the level of generic competition and the availability of reimbursement from government and other third-party payors.</w:t>
      </w:r>
    </w:p>
    <w:p>
      <w:pPr>
        <w:spacing w:after="0" w:line="170"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medicines that are safer, are more effective, have fewer or less severe side effects, are more convenient or are less expensive than any medicines we may develop. Our competitors also may obtain FDA or other regulatory approval for their medicines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medicines. There are many generic medicines currently on the market for certain of the indications that we are pursuing, and additional generics are expected to become available over the coming years. If our therapeutic product candidates are approved, we expect that they will be priced at a significant premium over competitive generic medicines.</w:t>
      </w:r>
    </w:p>
    <w:p>
      <w:pPr>
        <w:spacing w:after="0" w:line="181"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Any product candidates that we successfully develop and commercialize will compete with existing therapies and new therapies that may become available in the future. If the product candidates of our priority programs are approved for the indications for which we are currently planning clinical trials, they will compete with the drugs discussed below and will likely compete with other drugs currently in development.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Neurological and Psychiatric Disorders</w:t>
      </w:r>
    </w:p>
    <w:p>
      <w:pPr>
        <w:spacing w:after="0" w:line="225" w:lineRule="exact"/>
        <w:rPr>
          <w:sz w:val="20"/>
          <w:szCs w:val="20"/>
          <w:color w:val="auto"/>
        </w:rPr>
      </w:pPr>
    </w:p>
    <w:p>
      <w:pPr>
        <w:ind w:left="60" w:right="259" w:firstLine="324"/>
        <w:spacing w:after="0" w:line="257" w:lineRule="auto"/>
        <w:rPr>
          <w:sz w:val="20"/>
          <w:szCs w:val="20"/>
          <w:color w:val="auto"/>
        </w:rPr>
      </w:pPr>
      <w:r>
        <w:rPr>
          <w:rFonts w:ascii="Arial" w:cs="Arial" w:eastAsia="Arial" w:hAnsi="Arial"/>
          <w:sz w:val="18"/>
          <w:szCs w:val="18"/>
          <w:color w:val="auto"/>
        </w:rPr>
        <w:t>Drugs used for the acute treatment of agitation related to schizophrenia and bipolar disorder are antipsychotics frequently administered via IM injection which typically requires patient restraint. These include IM aripiprazole, olanzapine, ziprasidone and haloperidol. Oral products include the sublingually administered atypical antipsychotic asenapine as well as the benzodiazepines, lorazepam and midazolam. The typical antipsychotic Adasuve (loxapine) from Alexza is delivered via inhalation.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Immuno-oncology</w:t>
      </w:r>
    </w:p>
    <w:p>
      <w:pPr>
        <w:spacing w:after="0" w:line="225"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The immuno-oncology field is characterized by the rapid evolution of technologies and products and by fierce competition based on the development of compounds, often with similar mechanisms of action. Clinical development plans are further compounded by the possibility of overlapping intellectual property. A wide variety of commercial players, large pharmaceutical companies, established and emerging biotechnology companies, and several not-for-profit entities are actively developing potentially competitive products in immuno-oncology and in our lead indications.</w:t>
      </w:r>
    </w:p>
    <w:p>
      <w:pPr>
        <w:spacing w:after="0" w:line="176" w:lineRule="exact"/>
        <w:rPr>
          <w:sz w:val="20"/>
          <w:szCs w:val="20"/>
          <w:color w:val="auto"/>
        </w:rPr>
      </w:pPr>
    </w:p>
    <w:p>
      <w:pPr>
        <w:ind w:left="60" w:right="559" w:firstLine="324"/>
        <w:spacing w:after="0" w:line="263" w:lineRule="auto"/>
        <w:rPr>
          <w:sz w:val="20"/>
          <w:szCs w:val="20"/>
          <w:color w:val="auto"/>
        </w:rPr>
      </w:pPr>
      <w:r>
        <w:rPr>
          <w:rFonts w:ascii="Arial" w:cs="Arial" w:eastAsia="Arial" w:hAnsi="Arial"/>
          <w:sz w:val="18"/>
          <w:szCs w:val="18"/>
          <w:color w:val="auto"/>
        </w:rPr>
        <w:t>While we believe our product candidates, technology, knowledge, and experience provide us with competitive advantages, we face competition from established and emerging pharmaceutical and biotechnology companies. Such companies include:</w:t>
      </w:r>
    </w:p>
    <w:p>
      <w:pPr>
        <w:spacing w:after="0" w:line="180" w:lineRule="exact"/>
        <w:rPr>
          <w:sz w:val="20"/>
          <w:szCs w:val="20"/>
          <w:color w:val="auto"/>
        </w:rPr>
      </w:pPr>
    </w:p>
    <w:p>
      <w:pPr>
        <w:ind w:left="1020" w:right="299" w:hanging="322"/>
        <w:spacing w:after="0" w:line="26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Major pharmaceutical companies developing multiple immuno-oncology agents: </w:t>
      </w:r>
      <w:r>
        <w:rPr>
          <w:rFonts w:ascii="Arial" w:cs="Arial" w:eastAsia="Arial" w:hAnsi="Arial"/>
          <w:sz w:val="18"/>
          <w:szCs w:val="18"/>
          <w:color w:val="auto"/>
        </w:rPr>
        <w:t>AstraZeneca PLC,</w:t>
      </w:r>
      <w:r>
        <w:rPr>
          <w:rFonts w:ascii="Arial" w:cs="Arial" w:eastAsia="Arial" w:hAnsi="Arial"/>
          <w:sz w:val="18"/>
          <w:szCs w:val="18"/>
          <w:b w:val="1"/>
          <w:bCs w:val="1"/>
          <w:color w:val="auto"/>
        </w:rPr>
        <w:t xml:space="preserve"> </w:t>
      </w:r>
      <w:r>
        <w:rPr>
          <w:rFonts w:ascii="Arial" w:cs="Arial" w:eastAsia="Arial" w:hAnsi="Arial"/>
          <w:sz w:val="18"/>
          <w:szCs w:val="18"/>
          <w:color w:val="auto"/>
        </w:rPr>
        <w:t>Bristol-Myers Squibb Company, Celgene Corporation, Merck &amp; Co., Inc., Novartis AG, Pfizer Inc., Roche Holding Ltd., and Sanofi SA.</w:t>
      </w:r>
    </w:p>
    <w:p>
      <w:pPr>
        <w:spacing w:after="0" w:line="175" w:lineRule="exact"/>
        <w:rPr>
          <w:rFonts w:ascii="Arial" w:cs="Arial" w:eastAsia="Arial" w:hAnsi="Arial"/>
          <w:sz w:val="18"/>
          <w:szCs w:val="18"/>
          <w:color w:val="auto"/>
        </w:rPr>
      </w:pPr>
    </w:p>
    <w:p>
      <w:pPr>
        <w:ind w:left="1020" w:right="399" w:hanging="322"/>
        <w:spacing w:after="0" w:line="281"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Companies developing agents aimed at stimulating the immune response: </w:t>
      </w:r>
      <w:r>
        <w:rPr>
          <w:rFonts w:ascii="Arial" w:cs="Arial" w:eastAsia="Arial" w:hAnsi="Arial"/>
          <w:sz w:val="17"/>
          <w:szCs w:val="17"/>
          <w:color w:val="auto"/>
        </w:rPr>
        <w:t>AdaptImmune LLC, Idera</w:t>
      </w:r>
      <w:r>
        <w:rPr>
          <w:rFonts w:ascii="Arial" w:cs="Arial" w:eastAsia="Arial" w:hAnsi="Arial"/>
          <w:sz w:val="17"/>
          <w:szCs w:val="17"/>
          <w:b w:val="1"/>
          <w:bCs w:val="1"/>
          <w:color w:val="auto"/>
        </w:rPr>
        <w:t xml:space="preserve"> </w:t>
      </w:r>
      <w:r>
        <w:rPr>
          <w:rFonts w:ascii="Arial" w:cs="Arial" w:eastAsia="Arial" w:hAnsi="Arial"/>
          <w:sz w:val="17"/>
          <w:szCs w:val="17"/>
          <w:color w:val="auto"/>
        </w:rPr>
        <w:t>Pharmaceuticals, Inc., Immune Design Corp., NewLink Genetic Corporation, Advaxis, Inc., Argos Therapeutics, Inc., Biovest International, Inc., ImmunoCellular Therapeutics, Ltd., Immune Design, Inc., Inovio Pharmaceuticals, Inc., Intrexon Corporation and Northwest Biotherapeutics, Inc.</w:t>
      </w:r>
    </w:p>
    <w:p>
      <w:pPr>
        <w:spacing w:after="0" w:line="164" w:lineRule="exact"/>
        <w:rPr>
          <w:rFonts w:ascii="Arial" w:cs="Arial" w:eastAsia="Arial" w:hAnsi="Arial"/>
          <w:sz w:val="17"/>
          <w:szCs w:val="17"/>
          <w:color w:val="auto"/>
        </w:rPr>
      </w:pPr>
    </w:p>
    <w:p>
      <w:pPr>
        <w:ind w:left="1020" w:right="659" w:hanging="322"/>
        <w:spacing w:after="0" w:line="347"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Companies developing cell-based immunotherapy approaches: </w:t>
      </w:r>
      <w:r>
        <w:rPr>
          <w:rFonts w:ascii="Arial" w:cs="Arial" w:eastAsia="Arial" w:hAnsi="Arial"/>
          <w:sz w:val="16"/>
          <w:szCs w:val="16"/>
          <w:color w:val="auto"/>
        </w:rPr>
        <w:t>Intrexon Corporation, Juno</w:t>
      </w:r>
      <w:r>
        <w:rPr>
          <w:rFonts w:ascii="Arial" w:cs="Arial" w:eastAsia="Arial" w:hAnsi="Arial"/>
          <w:sz w:val="16"/>
          <w:szCs w:val="16"/>
          <w:b w:val="1"/>
          <w:bCs w:val="1"/>
          <w:color w:val="auto"/>
        </w:rPr>
        <w:t xml:space="preserve"> </w:t>
      </w:r>
      <w:r>
        <w:rPr>
          <w:rFonts w:ascii="Arial" w:cs="Arial" w:eastAsia="Arial" w:hAnsi="Arial"/>
          <w:sz w:val="16"/>
          <w:szCs w:val="16"/>
          <w:color w:val="auto"/>
        </w:rPr>
        <w:t>Therapeutics, Inc., Kite Pharma, Inc. (acquired by Gilead Sciences, Inc.), Novartis AG and Pfizer Inc.</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We do not have manufacturing facilities. We currently rely on strategic manufacturing partners and expect to continue to rely on third parties for the manufacture of our product candidates for clinical research as well as for eventual, possible commercial manufacturing.</w:t>
      </w:r>
    </w:p>
    <w:p>
      <w:pPr>
        <w:spacing w:after="0" w:line="184"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For the supply of drug substance and drug product for our BXCL501 clinical program, we have secured manufacturing partners. We have completed the manufacture of phase III clinical supply and registration batches of our proprietary, sublingual thin film product.</w:t>
      </w:r>
    </w:p>
    <w:p>
      <w:pPr>
        <w:spacing w:after="0" w:line="184"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We produce clinical drug product for BXCL701 under exclusivity with the original manufacturers of the active pharmaceutical ingredient, or API, and drug product tablets, respectively.</w:t>
      </w:r>
    </w:p>
    <w:p>
      <w:pPr>
        <w:spacing w:after="0" w:line="170"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Manufacturing partners used for both programs currently manufacture commercial products, and we consider them to be suitable for commercial supply for our programs, if approved.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We plan to retain our worldwide commercialization rights for some of our key product candidates, while for other product candidates we might consider collaboration opportunities to maximize returns.</w:t>
      </w:r>
    </w:p>
    <w:p>
      <w:pPr>
        <w:spacing w:after="0" w:line="170"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While as a Company we have no experience in commercializing products, we intend to build our own commercialization organization and capabilities over time. We are considering partnerships, joint ventures, and a variety of business partnerships for the Japanese and European Markets. We currently plan to retain US rights and have begun to lay the groundwork for commercialization efforts. When appropriate, we will decide whether to build a sales force to manage commercialization for these product candidates on our own or in combination with a larger pharmaceutical partner to maximize patient coverage in the United States as well as to support global expansion, especially as our programs have a substantial opportunity for additional follow-up indications alone or in combinations.</w:t>
      </w:r>
    </w:p>
    <w:p>
      <w:pPr>
        <w:spacing w:after="0" w:line="166"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As product candidates advance through our pipeline, our commercial plans may change. Clinical data, the size of the development programs, the size of the target market, the size of a commercial infrastructure, and manufacturing needs may all influence our United States, European Union, and rest-of-world strategies.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Our policy is to protect and enhance the proprietary technologies, inventions, and improvements that are commercially important to our business by filing patent applications in the United States and other jurisdictions related to our 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strengthen, and maintain our proprietary position for novel therapeutics and novel formulations of existing therapeutics across multiple therapeutic areas. We also plan to rely on data exclusivity, market exclusivity, and patent term extensions when available.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Patent Portfolio</w:t>
      </w:r>
    </w:p>
    <w:p>
      <w:pPr>
        <w:spacing w:after="0" w:line="229"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As of March 10, 2021, our patent portfolio included 6 Patent Cooperation Treaty, or PCT, applications, 8 U.S. utility applications, 1 issued U.S. utility patent, 16 U.S. provisional patent applications, 62 pending non-U.S. applications, 5 allowed or granted non-U.S. patents, 2 design patent applications, one of which is a U.S. design application, and 33 allowed or registered design patents. U.S. Pat. No. 10,792,246, directed to our proprietary sublingual thin-film formulation of Dex, was issued on October 6, 2020 and has a term that is set to expire no earlier than 2039. We plan to list the U.S. patent in the FDA's Approved Drug Products with Therapeutic Equivalence Evaluations, or Orange Book. We have filed applications in the core patent family protecting BXCL501 in the United States, Taiwan, and other major markets. We expect that patents issuing from these applications, if any, will expire no earlier than 2039. We have also filed applications in additional patent families that are relevant to BXCL501. We have applications pending in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United States, Europe and Japan directed to methods of treating insomnia using sublingual Dex. We expect that patents issuing from these applications, if any, will expire no earlier than 2035. We also have applications filed in fifteen countries, including the United States, Europe, Japan, and China, directed to methods of treating agitation. We expect that patents issuing from these applications, if any, will expire no earlier than 2037. We have one U.S. application and one European application directed to intravenous administration of Dex. We expect that patents issuing from these applications, if any, will expire no earlier than 2039. We continue to file new applications on an ongoing basis, including provisional applications directed to treating mania and dementia. If patents issue from those cases, we expect them to expire no earlier than 2041 and 2042, respectively.</w:t>
      </w:r>
    </w:p>
    <w:p>
      <w:pPr>
        <w:spacing w:after="0" w:line="178" w:lineRule="exact"/>
        <w:rPr>
          <w:sz w:val="20"/>
          <w:szCs w:val="20"/>
          <w:color w:val="auto"/>
        </w:rPr>
      </w:pPr>
    </w:p>
    <w:p>
      <w:pPr>
        <w:ind w:left="60" w:right="199" w:firstLine="324"/>
        <w:spacing w:after="0" w:line="270" w:lineRule="auto"/>
        <w:rPr>
          <w:sz w:val="20"/>
          <w:szCs w:val="20"/>
          <w:color w:val="auto"/>
        </w:rPr>
      </w:pPr>
      <w:r>
        <w:rPr>
          <w:rFonts w:ascii="Arial" w:cs="Arial" w:eastAsia="Arial" w:hAnsi="Arial"/>
          <w:sz w:val="17"/>
          <w:szCs w:val="17"/>
          <w:color w:val="auto"/>
        </w:rPr>
        <w:t>We have multiple patent families filed to protect our BXCL701 program, including our core patent family directed to methods of using BXCL701 with immune checkpoint inhibitors, which is filed in the United States and fourteen other countries. Any patents issuing from that family should expire no earlier than 2036. We have a PCT application directed to combination therapies using BXCL701 with immune checkpoint inhibitors and approaches for modifying T-cell activity. We expect any patents issuing from this family to expire no earlier than 2038. Additional PCT and ex-US applications are directed to administering BXCL701 in combinations with various other molecules and dosing regimens. We expect that patents issuing from these applications, if any, will expire no earlier than 2039. Finally, we have multiple provisional applications directed to various dosing regimens and combination therapies. Any patents issuing from those applications are expected to expire between 2039 and 2041 at the earliest.</w:t>
      </w:r>
    </w:p>
    <w:p>
      <w:pPr>
        <w:spacing w:after="0" w:line="181" w:lineRule="exact"/>
        <w:rPr>
          <w:sz w:val="20"/>
          <w:szCs w:val="20"/>
          <w:color w:val="auto"/>
        </w:rPr>
      </w:pPr>
    </w:p>
    <w:p>
      <w:pPr>
        <w:ind w:left="60" w:right="119" w:firstLine="324"/>
        <w:spacing w:after="0" w:line="268"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Depending upon the timing, duration, and specifics of FDA approval of our product candidates, a United States patent we own or license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NDA, plus the time between the submission date of an NDA and the approval of that application. Only one patent applicable to an approved drug is eligible for the extension, and the application for extension must be made prior to the expiration of the patent. The United States Patent and Trademark Office,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82"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The patent positions of companies such as ours are generally uncertain and involve complex legal and factual questions. No consistent policy regarding the scope of claims allowable in patents in the field of method of use patents or reformulation patents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similar technologies that are outside the scope of the rights granted under any issued patents that we own or exclusively in 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Relationship with BioXcel LLC</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We are currently a 37% owned subsidiary of BioXcel, and our pipeline compounds have been identified by applying BioXcel's R&amp;D engine, EvolverAI, for drug re-innovation.</w:t>
      </w:r>
    </w:p>
    <w:p>
      <w:pPr>
        <w:spacing w:after="0" w:line="170"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6"/>
          <w:szCs w:val="16"/>
          <w:color w:val="auto"/>
        </w:rPr>
        <w:t>We entered into the Amended and Restated Asset Contribution Agreement, pursuant to which BioXcel agreed to contribute BioXcel’s rights, title and interest in BXCL501, BXCL701, BXCL502 and BXCL702, and all of the assets and liabilities associated in consideration for (i) 9,480,000 shares of our common stock, (ii) $1 million upon completion of an initial public offering, (iii) $500,000 upon the later of the 12 month anniversary of an initial public offering and the first dosing of a patient in the bridging bioavailability/ bioequivalence study for the BXCL501 program, (iv) $500,000 upon the later of the 12 month anniversary of an initial public offering and the first dosing of a patient in the Phase 2 proof of concept open-label monotherapy or combination trial with Keytruda for the BXCL701 program and (v) a one-time payment of $5 million within 60 days after the achievement of $50 million in cumulative net sales of any product or combination of products resulting from the development and commercialization of any one of the Candidates or a product derived therefrom. Upon completion of our IPO in March 2018, $1 million was charged to Research and Development costs in connection with (ii) above and was paid on April 5, 2018. We paid $500,000 to BioXcel in connection with (iii) above in April 2019. In July 2019, we completed the first dosing of a patient in the combination trial of BXCL701 with Keytruda, and as a result we paid $500,000 to BioXcel in connection with (iv) above in July 2019.</w:t>
      </w:r>
    </w:p>
    <w:p>
      <w:pPr>
        <w:spacing w:after="0" w:line="174" w:lineRule="exact"/>
        <w:rPr>
          <w:sz w:val="20"/>
          <w:szCs w:val="20"/>
          <w:color w:val="auto"/>
        </w:rPr>
      </w:pPr>
    </w:p>
    <w:p>
      <w:pPr>
        <w:ind w:left="60" w:right="219" w:firstLine="324"/>
        <w:spacing w:after="0" w:line="255" w:lineRule="auto"/>
        <w:rPr>
          <w:sz w:val="20"/>
          <w:szCs w:val="20"/>
          <w:color w:val="auto"/>
        </w:rPr>
      </w:pPr>
      <w:r>
        <w:rPr>
          <w:rFonts w:ascii="Arial" w:cs="Arial" w:eastAsia="Arial" w:hAnsi="Arial"/>
          <w:sz w:val="18"/>
          <w:szCs w:val="18"/>
          <w:color w:val="auto"/>
        </w:rPr>
        <w:t>We entered into a Separation and Shared Services Agreement with BioXcel that took effect on June 30, 2017, as amended and restated thereafter, or the Services Agreement, pursuant to which services provided by BioXcel through its subsidiaries in India and the United States will continue indefinitely, as agreed upon by the parties. These services are primarily for drug discovery, chemical, manufacturing and controls cost and general and administrative support. Service charges recorded under this agreement were $1.3 million and $862,000 for the years ended December 31, 2020 and 2019, respectively.</w:t>
      </w:r>
    </w:p>
    <w:p>
      <w:pPr>
        <w:spacing w:after="0" w:line="192"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Under the Services Agreement, the Company has an option, exercisable until March 12, 2023, to enter into a collaborative services agreement with BioXcel pursuant to which BioXcel shall perform product identification and related services for us utilizing EvolverAI. The parties are obligated to negotiate the collaborative services agreement in good faith and to incorporate reasonable market-based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until at least September 30, 2024.</w:t>
      </w:r>
    </w:p>
    <w:p>
      <w:pPr>
        <w:spacing w:after="0" w:line="181"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We paid $9 million in February 2020 for the purchase and subsequent cancellation of 300,000 shares owned by BioXcel, which is more fully discussed in Note 5 to the financial statements included elsewhere in this Annual Report on Form 10-K.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Regulation and Product Approval</w:t>
      </w:r>
    </w:p>
    <w:p>
      <w:pPr>
        <w:spacing w:after="0" w:line="225" w:lineRule="exact"/>
        <w:rPr>
          <w:sz w:val="20"/>
          <w:szCs w:val="20"/>
          <w:color w:val="auto"/>
        </w:rPr>
      </w:pPr>
    </w:p>
    <w:p>
      <w:pPr>
        <w:ind w:left="60" w:right="599" w:firstLine="324"/>
        <w:spacing w:after="0" w:line="342" w:lineRule="auto"/>
        <w:rPr>
          <w:sz w:val="20"/>
          <w:szCs w:val="20"/>
          <w:color w:val="auto"/>
        </w:rPr>
      </w:pPr>
      <w:r>
        <w:rPr>
          <w:rFonts w:ascii="Arial" w:cs="Arial" w:eastAsia="Arial" w:hAnsi="Arial"/>
          <w:sz w:val="16"/>
          <w:szCs w:val="16"/>
          <w:color w:val="auto"/>
        </w:rPr>
        <w:t>Government authorities in the United States, at the federal, state and local level, and other countries extensively regulate, among other things, the research, development, testing, manufacture, quality control, approval, labeling,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4" w:lineRule="auto"/>
        <w:rPr>
          <w:sz w:val="20"/>
          <w:szCs w:val="20"/>
          <w:color w:val="auto"/>
        </w:rPr>
      </w:pPr>
      <w:r>
        <w:rPr>
          <w:rFonts w:ascii="Arial" w:cs="Arial" w:eastAsia="Arial" w:hAnsi="Arial"/>
          <w:sz w:val="18"/>
          <w:szCs w:val="18"/>
          <w:color w:val="auto"/>
        </w:rPr>
        <w:t>packaging, storage, record-keeping, promotion, advertising, distribution, marketing and export and import of drug products. A new drug must be approved by the FDA through the NDA process before it may be legally marketed in the United States.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federal, state, local and foreign statutes and regulations require the expenditure of substantial time and financial resources.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225"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In the United States, the FDA regulates drugs under the federal Food, Drug, and Cosmetic Act (“FDCA”), and its implementing regulations. The process of obtaining regulatory approvals and the subsequent compliance with appropriate federal, state, local and foreign statutes and regulations require the expenditure of substantial time and financial resources. The process required by the FDA before a drug may be marketed in the United States generally involves the following:</w:t>
      </w:r>
    </w:p>
    <w:p>
      <w:pPr>
        <w:spacing w:after="0" w:line="157" w:lineRule="exact"/>
        <w:rPr>
          <w:sz w:val="20"/>
          <w:szCs w:val="20"/>
          <w:color w:val="auto"/>
        </w:rPr>
      </w:pPr>
    </w:p>
    <w:p>
      <w:pPr>
        <w:ind w:left="700" w:right="139" w:hanging="32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FDA’s Good Laboratory Practice requirements and other applicable regulations;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5" w:lineRule="exact"/>
        <w:rPr>
          <w:rFonts w:ascii="Arial" w:cs="Arial" w:eastAsia="Arial" w:hAnsi="Arial"/>
          <w:sz w:val="18"/>
          <w:szCs w:val="18"/>
          <w:color w:val="auto"/>
        </w:rPr>
      </w:pPr>
    </w:p>
    <w:p>
      <w:pPr>
        <w:ind w:left="700" w:right="519" w:hanging="32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or ethics committee at each clinical site before each trial may be initiated;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(“GCPs”), to establish the safety and efficacy of the proposed drug for its intended use;</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preparation of and submission to the FDA of an NDA after completion of all pivotal trials;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ind w:left="700" w:right="99" w:hanging="326"/>
        <w:spacing w:after="0" w:line="259"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 (“cGMP”) requirements to assure that the facilities, methods and controls are adequate to preserve the drug’s identity, strength, quality and purity, and of selected clinical investigation sites to assess compliance with GCPs; and</w:t>
      </w:r>
    </w:p>
    <w:p>
      <w:pPr>
        <w:spacing w:after="0" w:line="186" w:lineRule="exact"/>
        <w:rPr>
          <w:rFonts w:ascii="Arial" w:cs="Arial" w:eastAsia="Arial" w:hAnsi="Arial"/>
          <w:sz w:val="18"/>
          <w:szCs w:val="18"/>
          <w:color w:val="auto"/>
        </w:rPr>
      </w:pPr>
    </w:p>
    <w:p>
      <w:pPr>
        <w:ind w:left="700" w:right="299" w:hanging="32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70"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Prior to beginning the first clinical trial with a product candidate in the United States, a sponsor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25" w:lineRule="exact"/>
        <w:rPr>
          <w:sz w:val="20"/>
          <w:szCs w:val="20"/>
          <w:color w:val="auto"/>
        </w:rPr>
      </w:pPr>
    </w:p>
    <w:p>
      <w:pPr>
        <w:jc w:val="both"/>
        <w:ind w:left="1020" w:right="219" w:hanging="646"/>
        <w:spacing w:after="0" w:line="25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86" w:lineRule="exact"/>
        <w:rPr>
          <w:rFonts w:ascii="Arial" w:cs="Arial" w:eastAsia="Arial" w:hAnsi="Arial"/>
          <w:sz w:val="18"/>
          <w:szCs w:val="18"/>
          <w:color w:val="auto"/>
        </w:rPr>
      </w:pPr>
    </w:p>
    <w:p>
      <w:pPr>
        <w:ind w:left="1020" w:right="219" w:hanging="646"/>
        <w:spacing w:after="0" w:line="279"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1" w:lineRule="exact"/>
        <w:rPr>
          <w:rFonts w:ascii="Arial" w:cs="Arial" w:eastAsia="Arial" w:hAnsi="Arial"/>
          <w:sz w:val="17"/>
          <w:szCs w:val="17"/>
          <w:color w:val="auto"/>
        </w:rPr>
      </w:pPr>
    </w:p>
    <w:p>
      <w:pPr>
        <w:ind w:left="1020" w:right="159" w:hanging="646"/>
        <w:spacing w:after="0" w:line="301"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57"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w:t>
      </w:r>
    </w:p>
    <w:p>
      <w:pPr>
        <w:spacing w:after="0" w:line="188"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77" w:lineRule="exact"/>
        <w:rPr>
          <w:sz w:val="20"/>
          <w:szCs w:val="20"/>
          <w:color w:val="auto"/>
        </w:rPr>
      </w:pPr>
    </w:p>
    <w:p>
      <w:pPr>
        <w:jc w:val="center"/>
        <w:ind w:left="60" w:right="379"/>
        <w:spacing w:after="0" w:line="342" w:lineRule="auto"/>
        <w:rPr>
          <w:sz w:val="20"/>
          <w:szCs w:val="20"/>
          <w:color w:val="auto"/>
        </w:rPr>
      </w:pPr>
      <w:r>
        <w:rPr>
          <w:rFonts w:ascii="Arial" w:cs="Arial" w:eastAsia="Arial" w:hAnsi="Arial"/>
          <w:sz w:val="16"/>
          <w:szCs w:val="16"/>
          <w:color w:val="auto"/>
        </w:rPr>
        <w:t>While the IND is active and before approval, progress reports summarizing the results of the clinical trials and nonclinical studies performed since the last progress report must be submitted at least annually to the FDA, and written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301" w:lineRule="auto"/>
        <w:rPr>
          <w:sz w:val="20"/>
          <w:szCs w:val="20"/>
          <w:color w:val="auto"/>
        </w:rPr>
      </w:pPr>
      <w:r>
        <w:rPr>
          <w:rFonts w:ascii="Arial" w:cs="Arial" w:eastAsia="Arial" w:hAnsi="Arial"/>
          <w:sz w:val="16"/>
          <w:szCs w:val="16"/>
          <w:color w:val="auto"/>
        </w:rPr>
        <w:t>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57"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In addition, 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Review and Approval Process</w:t>
      </w:r>
    </w:p>
    <w:p>
      <w:pPr>
        <w:spacing w:after="0" w:line="225"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81"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filing date to complete a standard review of an NDA for a drug that is a new molecular entity, and of ten months from the date of NDA receipt to complete a standard review of an NDA for a drug that is not a new molecular entity.</w:t>
      </w:r>
    </w:p>
    <w:p>
      <w:pPr>
        <w:spacing w:after="0" w:line="166" w:lineRule="exact"/>
        <w:rPr>
          <w:sz w:val="20"/>
          <w:szCs w:val="20"/>
          <w:color w:val="auto"/>
        </w:rPr>
      </w:pPr>
    </w:p>
    <w:p>
      <w:pPr>
        <w:ind w:left="60" w:right="199" w:firstLine="324"/>
        <w:spacing w:after="0" w:line="301" w:lineRule="auto"/>
        <w:rPr>
          <w:sz w:val="20"/>
          <w:szCs w:val="20"/>
          <w:color w:val="auto"/>
        </w:rPr>
      </w:pPr>
      <w:r>
        <w:rPr>
          <w:rFonts w:ascii="Arial" w:cs="Arial" w:eastAsia="Arial" w:hAnsi="Arial"/>
          <w:sz w:val="16"/>
          <w:szCs w:val="16"/>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57"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8" w:lineRule="exact"/>
        <w:rPr>
          <w:sz w:val="20"/>
          <w:szCs w:val="20"/>
          <w:color w:val="auto"/>
        </w:rPr>
      </w:pPr>
    </w:p>
    <w:p>
      <w:pPr>
        <w:ind w:left="60" w:right="279" w:firstLine="324"/>
        <w:spacing w:after="0" w:line="311" w:lineRule="auto"/>
        <w:rPr>
          <w:sz w:val="20"/>
          <w:szCs w:val="20"/>
          <w:color w:val="auto"/>
        </w:rPr>
      </w:pPr>
      <w:r>
        <w:rPr>
          <w:rFonts w:ascii="Arial" w:cs="Arial" w:eastAsia="Arial" w:hAnsi="Arial"/>
          <w:sz w:val="16"/>
          <w:szCs w:val="16"/>
          <w:color w:val="auto"/>
        </w:rPr>
        <w:t>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specific indications. A CRL will describe all of the deficiencies that the FDA has identified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The FDA may delay or refuse approval of an NDA if applicable regulatory criteria are not satisfied, require additional testing or information and/or require post-marketing testing and surveillance to monitor safety or efficacy of a product.</w:t>
      </w:r>
    </w:p>
    <w:p>
      <w:pPr>
        <w:spacing w:after="0" w:line="195"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 market studies and surveillance to further assess and monitor the product’s safety and effectiveness after commercialization and may limit further marketing of the product based on the results of these post-marketing studies.</w:t>
      </w:r>
    </w:p>
    <w:p>
      <w:pPr>
        <w:spacing w:after="0" w:line="168"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Certain products are comprised of components, such as drug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79"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A combination product with a primary mode of action attributable to the drug component generally would be reviewed and approved pursuant to the drug approval processes set forth in the FDCA. In reviewing the NDA for such a product, however, FDA reviewers would consult with their counterparts in the device center to ensure that the device component of the combination product met applicable requirements regarding safety, effectiveness, durability and performance. In addition, under FDA regulations, combination products subject to cGMP requirements applicable to both drugs and devices, including the Quality System Regulations (“QSR”) applicable to medical devices.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applicable FDA review team during product development and, once an NDA is submitted, the product candidate may be eligible for priority review. A Fast Track product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2"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78"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Any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 product candidate is eligible for priority review if it is designed to treat a serious or life-threatening disease or condition, and if approved, would provide a significant improvement in safety or effectiveness compared to available alternatives for such disease or condition. For new-molecular-entity NDAs, priority review designation means the FDA’s goal is to take action on the marketing application within six months of the 60-day filing date, or with respect to non-new-molecular-entity NDAs, within six months of the NDA receipt date.</w:t>
      </w:r>
    </w:p>
    <w:p>
      <w:pPr>
        <w:spacing w:after="0" w:line="192"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72" w:lineRule="exact"/>
        <w:rPr>
          <w:sz w:val="20"/>
          <w:szCs w:val="20"/>
          <w:color w:val="auto"/>
        </w:rPr>
      </w:pPr>
    </w:p>
    <w:p>
      <w:pPr>
        <w:ind w:left="60" w:right="59" w:firstLine="324"/>
        <w:spacing w:after="0" w:line="279" w:lineRule="auto"/>
        <w:rPr>
          <w:sz w:val="20"/>
          <w:szCs w:val="20"/>
          <w:color w:val="auto"/>
        </w:rPr>
      </w:pPr>
      <w:r>
        <w:rPr>
          <w:rFonts w:ascii="Arial" w:cs="Arial" w:eastAsia="Arial" w:hAnsi="Arial"/>
          <w:sz w:val="17"/>
          <w:szCs w:val="17"/>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225" w:lineRule="exact"/>
        <w:rPr>
          <w:sz w:val="20"/>
          <w:szCs w:val="20"/>
          <w:color w:val="auto"/>
        </w:rPr>
      </w:pPr>
    </w:p>
    <w:p>
      <w:pPr>
        <w:ind w:left="60" w:right="559" w:firstLine="324"/>
        <w:spacing w:after="0" w:line="342" w:lineRule="auto"/>
        <w:rPr>
          <w:sz w:val="20"/>
          <w:szCs w:val="20"/>
          <w:color w:val="auto"/>
        </w:rPr>
      </w:pPr>
      <w:r>
        <w:rPr>
          <w:rFonts w:ascii="Arial" w:cs="Arial" w:eastAsia="Arial" w:hAnsi="Arial"/>
          <w:sz w:val="16"/>
          <w:szCs w:val="16"/>
          <w:color w:val="auto"/>
        </w:rPr>
        <w:t>Under the Orphan Drug Act, the FDA may grant orphan designation to a drug intended to treat a rare disease or condition, defined as a disease or condition with a patient population of fewer than 200,000 individuals in the United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7" w:lineRule="auto"/>
        <w:rPr>
          <w:sz w:val="20"/>
          <w:szCs w:val="20"/>
          <w:color w:val="auto"/>
        </w:rPr>
      </w:pPr>
      <w:r>
        <w:rPr>
          <w:rFonts w:ascii="Arial" w:cs="Arial" w:eastAsia="Arial" w:hAnsi="Arial"/>
          <w:sz w:val="18"/>
          <w:szCs w:val="18"/>
          <w:color w:val="auto"/>
        </w:rPr>
        <w:t>States, or a patient population greater than 200,000 individuals in the United States and when there is no reasonable expectation that the cost of developing and making available the drug in the United States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w:t>
      </w:r>
    </w:p>
    <w:p>
      <w:pPr>
        <w:spacing w:after="0" w:line="188"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66"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Drug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86" w:lineRule="exact"/>
        <w:rPr>
          <w:sz w:val="20"/>
          <w:szCs w:val="20"/>
          <w:color w:val="auto"/>
        </w:rPr>
      </w:pPr>
    </w:p>
    <w:p>
      <w:pPr>
        <w:ind w:left="60" w:right="59" w:firstLine="324"/>
        <w:spacing w:after="0" w:line="273"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78" w:lineRule="exact"/>
        <w:rPr>
          <w:sz w:val="20"/>
          <w:szCs w:val="20"/>
          <w:color w:val="auto"/>
        </w:rPr>
      </w:pPr>
    </w:p>
    <w:p>
      <w:pPr>
        <w:ind w:left="1020" w:right="279" w:hanging="646"/>
        <w:spacing w:after="0" w:line="25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 w:lineRule="exact"/>
        <w:rPr>
          <w:rFonts w:ascii="Arial" w:cs="Arial" w:eastAsia="Arial" w:hAnsi="Arial"/>
          <w:sz w:val="18"/>
          <w:szCs w:val="18"/>
          <w:color w:val="auto"/>
        </w:rPr>
      </w:pPr>
    </w:p>
    <w:p>
      <w:pPr>
        <w:ind w:left="1020" w:hanging="646"/>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210" w:lineRule="exact"/>
        <w:rPr>
          <w:rFonts w:ascii="Arial" w:cs="Arial" w:eastAsia="Arial" w:hAnsi="Arial"/>
          <w:sz w:val="18"/>
          <w:szCs w:val="18"/>
          <w:color w:val="auto"/>
        </w:rPr>
      </w:pPr>
    </w:p>
    <w:p>
      <w:pPr>
        <w:ind w:left="1020" w:hanging="646"/>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225" w:lineRule="exact"/>
        <w:rPr>
          <w:rFonts w:ascii="Arial" w:cs="Arial" w:eastAsia="Arial" w:hAnsi="Arial"/>
          <w:sz w:val="18"/>
          <w:szCs w:val="18"/>
          <w:color w:val="auto"/>
        </w:rPr>
      </w:pPr>
    </w:p>
    <w:p>
      <w:pPr>
        <w:ind w:left="1020" w:right="659" w:hanging="646"/>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20" w:hanging="646"/>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rFonts w:ascii="Arial" w:cs="Arial" w:eastAsia="Arial" w:hAnsi="Arial"/>
          <w:sz w:val="18"/>
          <w:szCs w:val="18"/>
          <w:color w:val="auto"/>
        </w:rPr>
      </w:pPr>
    </w:p>
    <w:p>
      <w:pPr>
        <w:ind w:left="1020" w:right="619" w:hanging="646"/>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70" w:lineRule="exact"/>
        <w:rPr>
          <w:rFonts w:ascii="Arial" w:cs="Arial" w:eastAsia="Arial" w:hAnsi="Arial"/>
          <w:sz w:val="18"/>
          <w:szCs w:val="18"/>
          <w:color w:val="auto"/>
        </w:rPr>
      </w:pPr>
    </w:p>
    <w:p>
      <w:pPr>
        <w:ind w:left="1020" w:right="899" w:hanging="646"/>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70" w:lineRule="exact"/>
        <w:rPr>
          <w:rFonts w:ascii="Arial" w:cs="Arial" w:eastAsia="Arial" w:hAnsi="Arial"/>
          <w:sz w:val="18"/>
          <w:szCs w:val="18"/>
          <w:color w:val="auto"/>
        </w:rPr>
      </w:pPr>
    </w:p>
    <w:p>
      <w:pPr>
        <w:ind w:left="1020" w:right="579" w:hanging="646"/>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70" w:lineRule="exact"/>
        <w:rPr>
          <w:rFonts w:ascii="Arial" w:cs="Arial" w:eastAsia="Arial" w:hAnsi="Arial"/>
          <w:sz w:val="18"/>
          <w:szCs w:val="18"/>
          <w:color w:val="auto"/>
        </w:rPr>
      </w:pPr>
    </w:p>
    <w:p>
      <w:pPr>
        <w:ind w:left="1020" w:hanging="646"/>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Hatch-Waxman Act</w:t>
      </w:r>
    </w:p>
    <w:p>
      <w:pPr>
        <w:spacing w:after="0" w:line="225" w:lineRule="exact"/>
        <w:rPr>
          <w:sz w:val="20"/>
          <w:szCs w:val="20"/>
          <w:color w:val="auto"/>
        </w:rPr>
      </w:pPr>
    </w:p>
    <w:p>
      <w:pPr>
        <w:ind w:left="60" w:right="59" w:firstLine="324"/>
        <w:spacing w:after="0" w:line="267" w:lineRule="auto"/>
        <w:rPr>
          <w:sz w:val="20"/>
          <w:szCs w:val="20"/>
          <w:color w:val="auto"/>
        </w:rPr>
      </w:pPr>
      <w:r>
        <w:rPr>
          <w:rFonts w:ascii="Arial" w:cs="Arial" w:eastAsia="Arial" w:hAnsi="Arial"/>
          <w:sz w:val="17"/>
          <w:szCs w:val="17"/>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505(b)(2) NDA.</w:t>
      </w:r>
    </w:p>
    <w:p>
      <w:pPr>
        <w:spacing w:after="0" w:line="185" w:lineRule="exact"/>
        <w:rPr>
          <w:sz w:val="20"/>
          <w:szCs w:val="20"/>
          <w:color w:val="auto"/>
        </w:rPr>
      </w:pPr>
    </w:p>
    <w:p>
      <w:pPr>
        <w:ind w:left="60" w:right="319" w:firstLine="324"/>
        <w:spacing w:after="0" w:line="301" w:lineRule="auto"/>
        <w:rPr>
          <w:sz w:val="20"/>
          <w:szCs w:val="20"/>
          <w:color w:val="auto"/>
        </w:rPr>
      </w:pPr>
      <w:r>
        <w:rPr>
          <w:rFonts w:ascii="Arial" w:cs="Arial" w:eastAsia="Arial" w:hAnsi="Arial"/>
          <w:sz w:val="16"/>
          <w:szCs w:val="16"/>
          <w:color w:val="auto"/>
        </w:rPr>
        <w:t>Upon submission of an ANDA or a 505(b)(2) NDA, an applicant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Generally, the ANDA or 505(b)(2)</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color w:val="auto"/>
        </w:rPr>
        <w:t>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to the FDA,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176" w:lineRule="exact"/>
        <w:rPr>
          <w:sz w:val="20"/>
          <w:szCs w:val="20"/>
          <w:color w:val="auto"/>
        </w:rPr>
      </w:pPr>
    </w:p>
    <w:p>
      <w:pPr>
        <w:ind w:left="60" w:right="79" w:firstLine="324"/>
        <w:spacing w:after="0" w:line="267" w:lineRule="auto"/>
        <w:rPr>
          <w:sz w:val="20"/>
          <w:szCs w:val="20"/>
          <w:color w:val="auto"/>
        </w:rPr>
      </w:pPr>
      <w:r>
        <w:rPr>
          <w:rFonts w:ascii="Arial" w:cs="Arial" w:eastAsia="Arial" w:hAnsi="Arial"/>
          <w:sz w:val="17"/>
          <w:szCs w:val="17"/>
          <w:color w:val="auto"/>
        </w:rPr>
        <w:t>The Hatch-Waxman Act establishes periods of regulatory exclusivity for certain approved drug products, during which the FDA cannot approve (or in some cases accept) an ANDA or 505(b)(2) application that relies on the branded reference drug. For example, the holder of an NDA, including a 505(b)(2) NDA, may obtain five years of exclusivity upon approval of a new drug containing new chemical entities that have not been previously approved by the FDA.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certification of patent invalidity or non-infringement. The Hatch-Waxman Act also provides three years of marketing exclusivity to the holder of an NDA (including a 505(b)(2) NDA)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This three-year exclusivity period protects against FDA approval of ANDAs and 505(b)(2) NDAs for the condition of the new drug's approval. As a general matter, the three 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Approval and Regulation of Medical Devices and Companion Diagnostics</w:t>
      </w:r>
    </w:p>
    <w:p>
      <w:pPr>
        <w:spacing w:after="0" w:line="225"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If safe and effective use of a therapeutic depends on an in vitro diagnostic, then the FDA generally will require approval or clearance of that diagnostic, known as a companion diagnostic, at the same time that the FDA approves the therapeutic product. In August 2014, the FDA issued final guidance clarifying the requirements that will apply to approval of therapeutic products and in vitro companion diagnostics. According to the guidance, if FDA determines that a companion diagnostic device is essential to the safe and effective use of a novel therapeutic product or indication, FDA generally will not approve the therapeutic 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 The review of in vitro companion diagnostics in conjunction with the review of our therapeutic treatments for cancer will, therefore, likely involve coordination of review by the FDA’s Center for Drug Evaluation and Research and the FDA’s Center for Devices and Radiological Health Office of In Vitro Diagnostics and Radiological Health.</w:t>
      </w:r>
    </w:p>
    <w:p>
      <w:pPr>
        <w:spacing w:after="0" w:line="172" w:lineRule="exact"/>
        <w:rPr>
          <w:sz w:val="20"/>
          <w:szCs w:val="20"/>
          <w:color w:val="auto"/>
        </w:rPr>
      </w:pPr>
    </w:p>
    <w:p>
      <w:pPr>
        <w:ind w:left="60" w:right="439" w:firstLine="324"/>
        <w:spacing w:after="0" w:line="311" w:lineRule="auto"/>
        <w:rPr>
          <w:sz w:val="20"/>
          <w:szCs w:val="20"/>
          <w:color w:val="auto"/>
        </w:rPr>
      </w:pPr>
      <w:r>
        <w:rPr>
          <w:rFonts w:ascii="Arial" w:cs="Arial" w:eastAsia="Arial" w:hAnsi="Arial"/>
          <w:sz w:val="16"/>
          <w:szCs w:val="16"/>
          <w:color w:val="auto"/>
        </w:rPr>
        <w:t>Under the FDCA, in vitro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99"/>
        <w:spacing w:after="0" w:line="311" w:lineRule="auto"/>
        <w:rPr>
          <w:sz w:val="20"/>
          <w:szCs w:val="20"/>
          <w:color w:val="auto"/>
        </w:rPr>
      </w:pPr>
      <w:r>
        <w:rPr>
          <w:rFonts w:ascii="Arial" w:cs="Arial" w:eastAsia="Arial" w:hAnsi="Arial"/>
          <w:sz w:val="16"/>
          <w:szCs w:val="16"/>
          <w:color w:val="auto"/>
        </w:rPr>
        <w:t>approval, registration and listing, manufacturing, labeling, storage, advertising and promotion, sales and distribution, export and import, and post-market surveillance. Unless an exemption applies, medical devices, including companion diagnostic tests, require marketing clearance or approval from the FDA prior to commercial distribution.</w:t>
      </w:r>
    </w:p>
    <w:p>
      <w:pPr>
        <w:spacing w:after="0" w:line="149"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The two primary types of FDA marketing authorization applicable to a medical device are premarket notification, also called 510(k) clearance, and premarket approval (“PMA”). To obtain 510(k) clearance, a manufacturer must submit to the FDA a premarket notification submission demonstrating that the proposed device is “substantially equivalent” to a legally marketed predicate device. The FDA’s 510(k) clearance process usually takes from three to twelve months, but may take longer. The FDA may require additional information, including clinical data, to make a determination regarding substantial equivalence.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(i.e., high-risk)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72"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After a device receives 510(k) clearance, any modification that could significantly affect its safety or effectiveness, or that would constitute a major change or modification in its intended use, will require a new 510(k) clearance or, depending on the modification, PMA approval or de novo classification. The FDA requires each manufacturer to determine whether the proposed change requires submission of a 510(k), de novo classification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approval of a PMA, or issuance of a de novo classification. Also, in these circumstances, the manufacturer may be subject to significant regulatory fines or penalties.</w:t>
      </w:r>
    </w:p>
    <w:p>
      <w:pPr>
        <w:spacing w:after="0" w:line="16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QSR which imposes elaborate testing, control, documentation and other quality assurance requirements.</w:t>
      </w:r>
    </w:p>
    <w:p>
      <w:pPr>
        <w:spacing w:after="0" w:line="185"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International Regulations</w:t>
      </w:r>
    </w:p>
    <w:p>
      <w:pPr>
        <w:spacing w:after="0" w:line="225"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In addition to regulations in the United States, we are and will be subject to a variety of regulations in other jurisdictions governing, among other things, clinical studies and any commercial sales and distribution of our products. Whether or not we obtain FDA approval of a product, we must obtain the requisite approvals from regulatory authorities in foreign countries prior to the commencement of clinical studies or marketing of the product in those countries. The requirements and process governing the conduct of clinical studies,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Certain countries outside of the United States have a similar process that requires the submission of a clinical study application, or CTA, much like the IND prior to the commencement of human clinical studies. In the European Union, or EU, for example, a CTA must be submitted to each country’s national health authority and an independent ethics committee, much like the FDA and the IRB, respectively. Once the CTA is approved by the national health authority and the ethics committee has granted a positive opinion in relation to the conduct of the trial in the relevant member state(s), in accordance with a country’s requirements, clinical study development may proceed.</w:t>
      </w:r>
    </w:p>
    <w:p>
      <w:pPr>
        <w:spacing w:after="0" w:line="178"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Clinical trials of medicinal products in the European Union must be conducted in accordance with EU and national regulations and the International Conference on Harmonization, or ICH, guidelines on Good Clinical Practices, or GCP, as well as the applicable regulatory requirements and the ethical principles that have their origin in the Declaration of Helsinki. Additional GCP guidelines from the European Commission, focusing in particular on traceability, apply to clinical trials of advanced therapy medicinal products, or ATMPs.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w:t>
      </w:r>
    </w:p>
    <w:p>
      <w:pPr>
        <w:spacing w:after="0" w:line="192"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Prior to commencing a clinical trial, the sponsor must obtain a clinical trial authorization from the competent authority, and a positive opinion from an independent ethics committee. The CTA must include, among other things, a copy of the trial protocol and an investigational medicinal product dossier containing information about the manufacture and quality of the medicinal product under investigation. Currently, CTAs must be submitted to the competent authority in each EU member state in which the trial will be conducted. Under the new Regulation on Clinical Trials, which is currently expected to take effect by early 2022, there will be a centralized application procedure where one national authority takes the lead in reviewing the application and the other national authorities have only limited involvement. Any substantial changes to the trial protocol or other information submitted with the CTA must be notified to or approved by the relevant competent authorities and ethics committees. Medicines used in clinical trials must be manufactured in accordance with GMP. Other national and European Union-wide regulatory requirements may also apply.</w:t>
      </w:r>
    </w:p>
    <w:p>
      <w:pPr>
        <w:spacing w:after="0" w:line="168" w:lineRule="exact"/>
        <w:rPr>
          <w:sz w:val="20"/>
          <w:szCs w:val="20"/>
          <w:color w:val="auto"/>
        </w:rPr>
      </w:pPr>
    </w:p>
    <w:p>
      <w:pPr>
        <w:jc w:val="both"/>
        <w:ind w:left="60" w:right="99" w:firstLine="324"/>
        <w:spacing w:after="0" w:line="296" w:lineRule="auto"/>
        <w:rPr>
          <w:sz w:val="20"/>
          <w:szCs w:val="20"/>
          <w:color w:val="auto"/>
        </w:rPr>
      </w:pPr>
      <w:r>
        <w:rPr>
          <w:rFonts w:ascii="Arial" w:cs="Arial" w:eastAsia="Arial" w:hAnsi="Arial"/>
          <w:sz w:val="16"/>
          <w:szCs w:val="16"/>
          <w:color w:val="auto"/>
        </w:rPr>
        <w:t>During the development of a medicinal product, the EMA and national regulators provide the opportunity for dialogue and guidance on the development program. At the EMA level, this is usually done in the form of scientific advice, which is given by the Scientific Advice Working Party of the Committee for Medicinal Products for Human Use, or CHMP. A fee is incurred with each scientific advice procedure. Advice from the EMA is typically provided based on questions concerning, for example, quality (chemistry, manufacturing and controls testing), nonclinical testing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clinical trials, and pharmacovigilance plans and risk-management programs. Advice is not legally binding with regard to any future marketing authorization application of the product concerned.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Authorizations</w:t>
      </w:r>
    </w:p>
    <w:p>
      <w:pPr>
        <w:spacing w:after="0" w:line="225"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In the European Union, medicinal products can only be placed on the market after obtaining a Marketing Authorization, or MA. To obtain regulatory approval of an investigational drug in the EU, we must submit a marketing authorization application, or MAA. The process for doing this depends, among other things, on the nature of the medicinal product.</w:t>
      </w:r>
    </w:p>
    <w:p>
      <w:pPr>
        <w:spacing w:after="0" w:line="187"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The centralized procedure results in a single MA, issued by the European Commission, based on the opinion of the EMA’s CHMP, which is valid across the entire territory of the EU. The centralized procedure is compulsory for human medicines that are: (i) derived from biotechnology processes, such as genetic engineering, (ii) contain a new active substance indicated for the treatment of certain diseases, such as HIV/AIDS, cancer, diabetes, neurodegenerative diseases, autoimmune and other immune dysfunctions and viral diseases, (iii) designated orphan medicines and (iv) advanced therapy medicinal products, or ATMPs, such as gene therapy, somatic cell therapy or tissue-engineered medicines. The centralized procedure may at the request of the applicant also be used in certain other cases. It is very likely that the centralized procedure would apply to the products we are developing.</w:t>
      </w:r>
    </w:p>
    <w:p>
      <w:pPr>
        <w:spacing w:after="0" w:line="178"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Under the centralized procedure, the maximum timeframe for the evaluation of a MAA by the EMA is 210 days. This excludes so-called clock stops, during which additional written or oral information is to be provided by the applicant in response to questions asked by the CHMP. At the end of the review period, the CHMP provides an opinion to the European Commission. If this opinion is favorable, the Commission may then adopt a decision to grant an MA. In exceptional cases, the CHMP might perform an accelerated review of a MAA in no more than 150 days (not including clock stops).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however not guaranteed. The benefits of a PRIME designation include the appointment of a CHMP rapporteur before submission of a MAA, early dialogue and scientific advice at key development milestones, and the potential to qualify products for accelerated review earlier in the application process.</w:t>
      </w:r>
    </w:p>
    <w:p>
      <w:pPr>
        <w:spacing w:after="0" w:line="171"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There are also two other possible routes to authorize medicinal products in several EU member states, which are available for investigational medicinal products that fall outside the scope of the centralized procedure: i.e. the decentralized procedure and the mutual recognition procedure. Under the decentralized procedure, an applicant may apply for simultaneous authorization in more than one EU member state for medicinal products that have not yet been authorized in any EU member states. Under the mutual recognition procedure, a medicine is first authorized in one EU member state, in accordance with the national procedures of that country. Following a national authorization, the applicant may seek further marketing authorizations from other EU member states under a procedure whereby the countries concerned agree to recognize the validity of the original national marketing authorization.</w:t>
      </w:r>
    </w:p>
    <w:p>
      <w:pPr>
        <w:spacing w:after="0" w:line="178"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MAs have an initial duration of five years. After these five years, the authorization may be renewed on the basis of a reevaluation of the risk-benefit balance. Once renewed, the MA is valid for an unlimited period unless the European Commission or the national competent authority decides, on justified grounds relating to pharmacovigilance, to proceed with one additional five-year renewal.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Orphan Medicinal Products</w:t>
      </w:r>
    </w:p>
    <w:p>
      <w:pPr>
        <w:spacing w:after="0" w:line="225" w:lineRule="exact"/>
        <w:rPr>
          <w:sz w:val="20"/>
          <w:szCs w:val="20"/>
          <w:color w:val="auto"/>
        </w:rPr>
      </w:pPr>
    </w:p>
    <w:p>
      <w:pPr>
        <w:ind w:left="60" w:right="259" w:firstLine="324"/>
        <w:spacing w:after="0" w:line="311" w:lineRule="auto"/>
        <w:rPr>
          <w:sz w:val="20"/>
          <w:szCs w:val="20"/>
          <w:color w:val="auto"/>
        </w:rPr>
      </w:pPr>
      <w:r>
        <w:rPr>
          <w:rFonts w:ascii="Arial" w:cs="Arial" w:eastAsia="Arial" w:hAnsi="Arial"/>
          <w:sz w:val="16"/>
          <w:szCs w:val="16"/>
          <w:color w:val="auto"/>
        </w:rPr>
        <w:t>The criteria for designating an “orphan medicinal product” in the European Union are similar in principle to those in the United States. A medicinal product may be designated as orphan if (1) it is intended for the diagnosis, prevention or treatment of a life-threatening or chronically debilitating condition; (2) either (a) such condition affects no more than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The application for orphan drug designation must be submitted before the MAA. Orphan medicinal products are eligible for financial incentives such as reduction of fees or fee waivers and are, upon grant of a MA, entitled to ten years of market exclusivity for the approved therapeutic indication. During the ten-year market exclusivity period, the EMA cannot accept a MAA, or grant a MA, or accept an application to extend a MA, for the same indication, in respect of a similar medicinal product. An orphan medicinal product can also obtain an additional two years of market exclusivity in the European Union for pediatric studies. No extension to any supplementary protection certificate can be granted on the basis of pediatric studies for orphan indications. Orphan drug designation does not convey any advantage in, or shorten the duration of, the regulatory review and approval process.</w:t>
      </w:r>
    </w:p>
    <w:p>
      <w:pPr>
        <w:spacing w:after="0" w:line="179"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 may be granted to a similar product for the same indication at any time if (1) the second applicant can establish that its product, although similar, is safer, more effective or otherwise clinically superior; (2) the applicant consents to a second orphan medicinal product application; or (3) the applicant cannot supply enough orphan medicinal product.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Approval and Regulation of Companion Diagnostics</w:t>
      </w:r>
    </w:p>
    <w:p>
      <w:pPr>
        <w:spacing w:after="0" w:line="225"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In the EU, in vitro diagnostic medical devices are regulated by Directive 98/79/EC which regulates the placing on the market, the CE-marking, the essential requirements, the conformity assessment procedures, the registration obligations for manufactures and devices as well as the vigilance procedure. In vitro diagnostic medical devices must comply with the requirements provided for in the Directive, and with further requirements implemented at national level (as the case may be).</w:t>
      </w:r>
    </w:p>
    <w:p>
      <w:pPr>
        <w:spacing w:after="0" w:line="188" w:lineRule="exact"/>
        <w:rPr>
          <w:sz w:val="20"/>
          <w:szCs w:val="20"/>
          <w:color w:val="auto"/>
        </w:rPr>
      </w:pPr>
    </w:p>
    <w:p>
      <w:pPr>
        <w:ind w:left="60" w:right="179" w:firstLine="324"/>
        <w:spacing w:after="0" w:line="253" w:lineRule="auto"/>
        <w:rPr>
          <w:sz w:val="20"/>
          <w:szCs w:val="20"/>
          <w:color w:val="auto"/>
        </w:rPr>
      </w:pPr>
      <w:r>
        <w:rPr>
          <w:rFonts w:ascii="Arial" w:cs="Arial" w:eastAsia="Arial" w:hAnsi="Arial"/>
          <w:sz w:val="18"/>
          <w:szCs w:val="18"/>
          <w:color w:val="auto"/>
        </w:rPr>
        <w:t>Companion diagnostics can also be considered “combination products” which are governed by a different regulatory pathway depending on the mode of action of the products. A combination medicine/device product could either be regulated as a medicinal product or a medical device based on its primary mode of action. In principle, if a medical device incorporates a substance which, if used separately, is likely to be considered as a medicinal product and act on the human body by an action ancillary to that of the device, the device must be evaluated and authorized in accordance with the medical device regulations. However, if the medicinal substance constitutes the main function of the product then the product is considered as a medicinal product. Currently, for such combination products, the manufacturer will have to consult, prior to obtaining the CE marking of the device, the EMA or national competent authorities to obtain scientific advice on the quality and safety of the medicinal substance, including the benefit/risk profile of its incorporation into the device.</w:t>
      </w:r>
    </w:p>
    <w:p>
      <w:pPr>
        <w:spacing w:after="0" w:line="194"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The regulation of companion diagnostics will be subject to further requirements as of the entry into force of the in-vitro diagnostic devices Regulation (No 2017/746) which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 CE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application for the medicinal product has been submitted through the centralized procedure. For other substances, the notified body can seek the opinion from a national competent authorities or the EMA.</w:t>
      </w:r>
    </w:p>
    <w:p>
      <w:pPr>
        <w:spacing w:after="0" w:line="185"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The aforementioned EU rules are generally applicable in the European Economic Area, or EEA, which consists of the 27 EU member states plus Norway, Liechtenstein and Iceland.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The United Kingdom, or UK, formally left the EU on January 31, 2020, commonly referred to as “Brexit”. The post-Brexit transition period, during which EU pharmaceutical laws continued to apply to the UK, expired on December 31, 2020. This means that since January 1, 2021, the UK operates under a distinct regulatory regime. EU pharmaceutical laws now only apply to the UK in respect of Northern Ireland (as laid out in the Protocol on Ireland and Northern Ireland, including but not limited to MAAs). Since January 1, 2021, EU laws which have been transposed into UK law through secondary legislation continue to be applicable as “retained EU law”.</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225"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Significant uncertainty exists as to the coverage and reimbursement status of any drug products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drugs for a particular indication.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71"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In 2003, the U.S. government enacted legislation providing a partial prescription drug benefit for Medicare beneficiaries, which became effective at the beginning of 2006. Government payment for some of the costs of prescription drugs may increase demand for any products for which we receive marketing approval. However, to obtain payments under this program, we would be required to sell products to Medicare recipients through prescription drug plans operating pursuant to this legislation. These plans will likely negotiate discounted prices for our products.</w:t>
      </w:r>
    </w:p>
    <w:p>
      <w:pPr>
        <w:spacing w:after="0" w:line="161"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Further, in March 2010, the Patient Protection and Affordable Care Act, as amended by the Health Care and Education Reconciliation Act, or ACA, was enacted and the Healthcare Reform Law substantially changes the way healthcare is financed in the United States by both government and private insurers. Among other cost containment measures, the ACA established:</w:t>
      </w:r>
    </w:p>
    <w:p>
      <w:pPr>
        <w:spacing w:after="0" w:line="187" w:lineRule="exact"/>
        <w:rPr>
          <w:sz w:val="20"/>
          <w:szCs w:val="20"/>
          <w:color w:val="auto"/>
        </w:rPr>
      </w:pPr>
    </w:p>
    <w:p>
      <w:pPr>
        <w:ind w:left="1020" w:right="319" w:hanging="646"/>
        <w:spacing w:after="0" w:line="258"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1" w:lineRule="exact"/>
        <w:rPr>
          <w:rFonts w:ascii="Arial" w:cs="Arial" w:eastAsia="Arial" w:hAnsi="Arial"/>
          <w:sz w:val="18"/>
          <w:szCs w:val="18"/>
          <w:color w:val="auto"/>
        </w:rPr>
      </w:pPr>
    </w:p>
    <w:p>
      <w:pPr>
        <w:jc w:val="both"/>
        <w:ind w:left="1020" w:right="119" w:hanging="646"/>
        <w:spacing w:after="0" w:line="250"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or the “donut hole”; and</w:t>
      </w:r>
    </w:p>
    <w:p>
      <w:pPr>
        <w:spacing w:after="0" w:line="1" w:lineRule="exact"/>
        <w:rPr>
          <w:rFonts w:ascii="Arial" w:cs="Arial" w:eastAsia="Arial" w:hAnsi="Arial"/>
          <w:sz w:val="18"/>
          <w:szCs w:val="18"/>
          <w:color w:val="auto"/>
        </w:rPr>
      </w:pPr>
    </w:p>
    <w:p>
      <w:pPr>
        <w:ind w:left="1020" w:hanging="646"/>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new formula that increases the rebates a manufacturer must pay under the Medicaid Drug Rebate Program.</w:t>
      </w:r>
    </w:p>
    <w:p>
      <w:pPr>
        <w:spacing w:after="0" w:line="234"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For example, the Tax Cuts and Jobs Act, or the Tax Act, was enacted in 2017, which, among other things, removes penalties for not complying with the ACA’s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The U.S. Supreme Court is currently reviewing the case, although it is unclear how the Supreme Court will rule. It is unclear how these decisions, subsequent appeals, if any, or other efforts to challenge, repeal or replace the ACA will impact the law, or our business or financial condition.</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In addition, we expect that federal, state and local governments in the United States will continue to consider legislation to limit the growth of healthcare costs, including the cost of prescription drugs. Future legislation could limit payments for pharmaceuticals such as the product candidates that we are developing.</w:t>
      </w:r>
    </w:p>
    <w:p>
      <w:pPr>
        <w:spacing w:after="0" w:line="184"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new products are facing increasingly high barriers to entry. In addition, in some countries, cross-border imports from low-priced markets exert a commercial pressure on pricing within a country.</w:t>
      </w:r>
    </w:p>
    <w:p>
      <w:pPr>
        <w:spacing w:after="0" w:line="179" w:lineRule="exact"/>
        <w:rPr>
          <w:sz w:val="20"/>
          <w:szCs w:val="20"/>
          <w:color w:val="auto"/>
        </w:rPr>
      </w:pPr>
    </w:p>
    <w:p>
      <w:pPr>
        <w:ind w:left="60" w:right="219" w:firstLine="324"/>
        <w:spacing w:after="0" w:line="268"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payors fail to provide adequate coverage and reimbursement. In addition, an increasing emphasis on managed care in the United States has increased and we expect will continue to increase the pressure on pharmaceutical pricing. Coverage policies and third-party reimbursement rates may change at any time. Even if favorable coverage and reimbursement status is secured for one or more products for which we receive regulatory approval, less favorable coverage policies and reimbursement rates may be implemented in the future.</w:t>
      </w:r>
    </w:p>
    <w:p>
      <w:pPr>
        <w:spacing w:after="0" w:line="1"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In order to raise sufficient financial resources to continue to advance our product candidates, we will need to address pricing pressures and potential third-party reimbursement coverage for our product candidates. In the United States and elsewhere, sales of pharmaceutical products depend in significant part on the availability of reimbursement to the consumer from third party payors, such as government and private insurance plans. Third party payors are increasingly challenging the prices charged for medical products and services. It is and will continue to be time consuming and expensive for us or our strategic collaborators to go through the process of seeking reimbursement from Medicare and private payors. Our products may not be considered cost effective, and coverage and reimbursement may not be available or sufficient to allow us to sell our products on a competitive and profitable basis.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If we obtain regulatory approval for any of our product candidates, we may be subject to various federal and state laws targeting fraud and abuse in the healthcare industry. Such laws include, without limitation, U.S. federal and state anti-kickback, fraud and abuse, false claims, consumer fraud, pricing reporting, data privacy and security, and transparency laws and regulations with respect to drug pricing and payments and other transfers of value made to physicians and other healthcare professionals, as well as similar foreign laws in the jurisdictions outside the U.S.</w:t>
      </w:r>
    </w:p>
    <w:p>
      <w:pPr>
        <w:spacing w:after="0" w:line="176"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A person or entity does not need to have actual knowledge of this statute or specific intent to violate it in order to have committed a violation. Many states have adopted laws similar to the federal Anti-Kickback Statute, some of which apply to the referral of patients for healthcare items or services reimbursed by any source, not only the Medicare and Medicaid programs.</w:t>
      </w:r>
    </w:p>
    <w:p>
      <w:pPr>
        <w:spacing w:after="0" w:line="177"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The federal False Claims Act imposes liability on any person who, among other things, knowingly presents, or causes to be presented, a false or fraudulent claim for payment by a federal healthcare program. In addition, the government may assert that a claim including items or services resulting from a violation of the federal Anti-Kickback Statute constitutes a false or fraudulent claim for purposes of the False Claims Act. The “qui tam” provisions of the False Claims Act allow a private individual to bring civil actions on behalf of the federal government alleging that the defendant has submitted a false claim to the federal government, and to share in any monetary recovery. In addition,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various states have enacted false claims laws analogous to the False Claims Act. Many of these state laws apply where a claim is submitted to any third-party payer and not merely a federal healthcare program. When an entity is determined to have violated the False Claims Act, it may be required to pay up to three times the actual damages sustained by the government, plus significant civil penalties for each separate false claim.</w:t>
      </w:r>
    </w:p>
    <w:p>
      <w:pPr>
        <w:spacing w:after="0" w:line="187"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Also, the Health Insurance Portability and Accountability Act of 1996, or HIPAA, created several federal crimes, including healthcare fraud, and false statements relating to healthcare matters. The health care fraud statute prohibits knowingly and willfully executing a scheme to defraud any health care benefit program, including private third-party payers. The false statements statute prohibits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this statute or specific intent to violate it in order to have committed a violation.</w:t>
      </w:r>
    </w:p>
    <w:p>
      <w:pPr>
        <w:spacing w:after="0" w:line="166"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The Physician Payment Sunshine Act, or the Sunshine Act, which was enacted as part of the ACA, requires applicable manufacturers of drugs, devices, biologicals, or medical supplies covered under Medicare, Medicaid or the Children’s Health Insurance Program, to report annually to the Secretary of the Department of Health and Human Services payments or other transfers of value made by that entity, or by a third party as directed by that entity, to physicians (defined to include doctors, dentists, optometrists, podiatrists and chiropractors), certain other healthcare providers starting in 2022, and teaching hospitals, or to third parties on behalf of such providers, during the course of the preceding calendar year. Failure to comply with the reporting requirements can result in significant civil monetary penalties for any payment or other transfer of value that is not reported.</w:t>
      </w:r>
    </w:p>
    <w:p>
      <w:pPr>
        <w:spacing w:after="0" w:line="192" w:lineRule="exact"/>
        <w:rPr>
          <w:sz w:val="20"/>
          <w:szCs w:val="20"/>
          <w:color w:val="auto"/>
        </w:rPr>
      </w:pPr>
    </w:p>
    <w:p>
      <w:pPr>
        <w:ind w:left="60" w:right="419" w:firstLine="324"/>
        <w:spacing w:after="0" w:line="279" w:lineRule="auto"/>
        <w:rPr>
          <w:sz w:val="20"/>
          <w:szCs w:val="20"/>
          <w:color w:val="auto"/>
        </w:rPr>
      </w:pPr>
      <w:r>
        <w:rPr>
          <w:rFonts w:ascii="Arial" w:cs="Arial" w:eastAsia="Arial" w:hAnsi="Arial"/>
          <w:sz w:val="17"/>
          <w:szCs w:val="17"/>
          <w:color w:val="auto"/>
        </w:rPr>
        <w:t>Violations of any of these laws or any other governmental laws and regulations that may apply include, without limitation,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Data Privacy &amp; Security</w:t>
      </w:r>
    </w:p>
    <w:p>
      <w:pPr>
        <w:spacing w:after="0" w:line="225"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FTC Act), that govern the collection, use, disclosure, and protection of health-related and other personal information could apply to our operations or the operations of our partners. In addition, certain state and non-U.S. laws, such as the California Consumer Privacy Act, or CCPA, the California Privacy Rights Act, or CPRA, and the EU General Data Protection Regulation, or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Additionally, our use of artificial intelligence and machine learning may be subject to laws and evolving regulations regarding the use of artificial intelligence/machine learning, controlling for data bias, and antidiscrimination.</w:t>
      </w:r>
    </w:p>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left="60" w:right="239" w:firstLine="324"/>
        <w:spacing w:after="0" w:line="342" w:lineRule="auto"/>
        <w:rPr>
          <w:sz w:val="20"/>
          <w:szCs w:val="20"/>
          <w:color w:val="auto"/>
        </w:rPr>
      </w:pPr>
      <w:r>
        <w:rPr>
          <w:rFonts w:ascii="Arial" w:cs="Arial" w:eastAsia="Arial" w:hAnsi="Arial"/>
          <w:sz w:val="16"/>
          <w:szCs w:val="16"/>
          <w:i w:val="1"/>
          <w:iCs w:val="1"/>
          <w:color w:val="auto"/>
        </w:rPr>
        <w:t>Our Employees</w:t>
      </w:r>
      <w:r>
        <w:rPr>
          <w:rFonts w:ascii="Arial" w:cs="Arial" w:eastAsia="Arial" w:hAnsi="Arial"/>
          <w:sz w:val="16"/>
          <w:szCs w:val="16"/>
          <w:color w:val="auto"/>
        </w:rPr>
        <w:t>. We have grown to a team of 50 employees as of December 31, 2020, all of whom were employed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U.S. Our highly qualified and experienced team includes scientists, physicians and professionals across sales,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9"/>
        <w:spacing w:after="0" w:line="342" w:lineRule="auto"/>
        <w:rPr>
          <w:sz w:val="20"/>
          <w:szCs w:val="20"/>
          <w:color w:val="auto"/>
        </w:rPr>
      </w:pPr>
      <w:r>
        <w:rPr>
          <w:rFonts w:ascii="Arial" w:cs="Arial" w:eastAsia="Arial" w:hAnsi="Arial"/>
          <w:sz w:val="16"/>
          <w:szCs w:val="16"/>
          <w:color w:val="auto"/>
        </w:rPr>
        <w:t>marketing, manufacturing, regulatory, finance and other important functions that are critical to our success. We also leverage certain experts in drug development employed by our BioXcel to provide flexibility for our business needs.</w:t>
      </w:r>
    </w:p>
    <w:p>
      <w:pPr>
        <w:spacing w:after="0" w:line="124"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We expect to continue to hire additional employees in 2021 with a focus on expanding our expertise and bandwidth in clinical and preclinical research and development, marketing and sales and finance. We continually evaluate our business needs and opportunities.</w:t>
      </w:r>
    </w:p>
    <w:p>
      <w:pPr>
        <w:spacing w:after="0" w:line="184"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i w:val="1"/>
          <w:iCs w:val="1"/>
          <w:color w:val="auto"/>
        </w:rPr>
        <w:t>Our Culture</w:t>
      </w:r>
      <w:r>
        <w:rPr>
          <w:rFonts w:ascii="Arial" w:cs="Arial" w:eastAsia="Arial" w:hAnsi="Arial"/>
          <w:sz w:val="16"/>
          <w:szCs w:val="16"/>
          <w:color w:val="auto"/>
        </w:rPr>
        <w:t>. The success of our human capital management investments is evidenced by our low employee turnover, a</w:t>
      </w:r>
      <w:r>
        <w:rPr>
          <w:rFonts w:ascii="Arial" w:cs="Arial" w:eastAsia="Arial" w:hAnsi="Arial"/>
          <w:sz w:val="16"/>
          <w:szCs w:val="16"/>
          <w:i w:val="1"/>
          <w:iCs w:val="1"/>
          <w:color w:val="auto"/>
        </w:rPr>
        <w:t xml:space="preserve"> </w:t>
      </w:r>
      <w:r>
        <w:rPr>
          <w:rFonts w:ascii="Arial" w:cs="Arial" w:eastAsia="Arial" w:hAnsi="Arial"/>
          <w:sz w:val="16"/>
          <w:szCs w:val="16"/>
          <w:color w:val="auto"/>
        </w:rPr>
        <w:t>number which is regularly reviewed by our Board of Directors as part of their oversight of our human capital strategy.</w:t>
      </w:r>
    </w:p>
    <w:p>
      <w:pPr>
        <w:spacing w:after="0" w:line="124"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i w:val="1"/>
          <w:iCs w:val="1"/>
          <w:color w:val="auto"/>
        </w:rPr>
        <w:t>Employee Engagement, Talent Development &amp; Benefits</w:t>
      </w:r>
      <w:r>
        <w:rPr>
          <w:rFonts w:ascii="Arial" w:cs="Arial" w:eastAsia="Arial" w:hAnsi="Arial"/>
          <w:sz w:val="18"/>
          <w:szCs w:val="18"/>
          <w:color w:val="auto"/>
        </w:rPr>
        <w:t>. We believe that our future success largely depends upon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ability to attract and retain highly skilled employees. We provide our employees with competitive salaries and bonuses, and opportunities for equity ownership.</w:t>
      </w:r>
    </w:p>
    <w:p>
      <w:pPr>
        <w:spacing w:after="0" w:line="184" w:lineRule="exact"/>
        <w:rPr>
          <w:sz w:val="20"/>
          <w:szCs w:val="20"/>
          <w:color w:val="auto"/>
        </w:rPr>
      </w:pPr>
    </w:p>
    <w:p>
      <w:pPr>
        <w:jc w:val="both"/>
        <w:ind w:left="60" w:right="219" w:firstLine="324"/>
        <w:spacing w:after="0" w:line="301" w:lineRule="auto"/>
        <w:rPr>
          <w:sz w:val="20"/>
          <w:szCs w:val="20"/>
          <w:color w:val="auto"/>
        </w:rPr>
      </w:pPr>
      <w:r>
        <w:rPr>
          <w:rFonts w:ascii="Arial" w:cs="Arial" w:eastAsia="Arial" w:hAnsi="Arial"/>
          <w:sz w:val="16"/>
          <w:szCs w:val="16"/>
          <w:i w:val="1"/>
          <w:iCs w:val="1"/>
          <w:color w:val="auto"/>
        </w:rPr>
        <w:t>Diversity &amp; Inclusion</w:t>
      </w:r>
      <w:r>
        <w:rPr>
          <w:rFonts w:ascii="Arial" w:cs="Arial" w:eastAsia="Arial" w:hAnsi="Arial"/>
          <w:sz w:val="16"/>
          <w:szCs w:val="16"/>
          <w:color w:val="auto"/>
        </w:rPr>
        <w:t>. Much of our success is rooted in the diversity of our teams and our commitment to inclusion.</w:t>
      </w:r>
      <w:r>
        <w:rPr>
          <w:rFonts w:ascii="Arial" w:cs="Arial" w:eastAsia="Arial" w:hAnsi="Arial"/>
          <w:sz w:val="16"/>
          <w:szCs w:val="16"/>
          <w:i w:val="1"/>
          <w:iCs w:val="1"/>
          <w:color w:val="auto"/>
        </w:rPr>
        <w:t xml:space="preserve"> </w:t>
      </w:r>
      <w:r>
        <w:rPr>
          <w:rFonts w:ascii="Arial" w:cs="Arial" w:eastAsia="Arial" w:hAnsi="Arial"/>
          <w:sz w:val="16"/>
          <w:szCs w:val="16"/>
          <w:color w:val="auto"/>
        </w:rPr>
        <w:t>We value diversity at all levels and continue to focus on extending our diversity and inclusion initiatives across our entire workforce. We believe that our business benefits from the different perspectives a diverse workforce brings, and we pride ourselves on having a strong, inclusive and positive culture based on our shared mission and values.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jc w:val="both"/>
        <w:ind w:left="60" w:right="79" w:firstLine="500"/>
        <w:spacing w:after="0" w:line="263" w:lineRule="auto"/>
        <w:rPr>
          <w:sz w:val="20"/>
          <w:szCs w:val="20"/>
          <w:color w:val="auto"/>
        </w:rPr>
      </w:pPr>
      <w:r>
        <w:rPr>
          <w:rFonts w:ascii="Arial" w:cs="Arial" w:eastAsia="Arial" w:hAnsi="Arial"/>
          <w:sz w:val="18"/>
          <w:szCs w:val="18"/>
          <w:color w:val="auto"/>
        </w:rPr>
        <w:t>We were incorporated as a Delaware corporation on March 29, 2017 as a wholly owned subsidiary of BioXcel. Our principal executive offices are located at 555 Long Wharf Drive, New Haven, CT 06511 and our telephone number is (475) 238-6837.</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159" w:firstLine="500"/>
        <w:spacing w:after="0" w:line="257" w:lineRule="auto"/>
        <w:rPr>
          <w:sz w:val="20"/>
          <w:szCs w:val="20"/>
          <w:color w:val="auto"/>
        </w:rPr>
      </w:pPr>
      <w:r>
        <w:rPr>
          <w:rFonts w:ascii="Arial" w:cs="Arial" w:eastAsia="Arial" w:hAnsi="Arial"/>
          <w:sz w:val="18"/>
          <w:szCs w:val="18"/>
          <w:color w:val="auto"/>
        </w:rPr>
        <w:t>Our website address is www.bioxceltherapeutics.com. The contents of, or information accessible through, our website are not part of this Annual Report on Form 10-K. We make our filings with the SEC, including our Annual Report on Form 10-K, Quarterly Reports on Form 10-Q, Current Reports on Form 8-K and all amendments to those reports, available free of charge on our website as soon as reasonably practicable after we file such reports with, or furnish such reports to, the SEC.</w:t>
      </w:r>
    </w:p>
    <w:p>
      <w:pPr>
        <w:spacing w:after="0" w:line="188" w:lineRule="exact"/>
        <w:rPr>
          <w:sz w:val="20"/>
          <w:szCs w:val="20"/>
          <w:color w:val="auto"/>
        </w:rPr>
      </w:pPr>
    </w:p>
    <w:p>
      <w:pPr>
        <w:ind w:left="60" w:right="279" w:firstLine="500"/>
        <w:spacing w:after="0" w:line="275" w:lineRule="auto"/>
        <w:rPr>
          <w:sz w:val="20"/>
          <w:szCs w:val="20"/>
          <w:color w:val="auto"/>
        </w:rPr>
      </w:pPr>
      <w:r>
        <w:rPr>
          <w:rFonts w:ascii="Arial" w:cs="Arial" w:eastAsia="Arial" w:hAnsi="Arial"/>
          <w:sz w:val="17"/>
          <w:szCs w:val="17"/>
          <w:color w:val="auto"/>
        </w:rPr>
        <w:t xml:space="preserve">We may use our website as a distribution channel of material information about the Company. Financial and other important information regarding the Company is routinely posted on and accessible through the Investors sections of its website at </w:t>
      </w:r>
      <w:r>
        <w:rPr>
          <w:rFonts w:ascii="Arial" w:cs="Arial" w:eastAsia="Arial" w:hAnsi="Arial"/>
          <w:sz w:val="17"/>
          <w:szCs w:val="17"/>
          <w:i w:val="1"/>
          <w:iCs w:val="1"/>
          <w:color w:val="auto"/>
        </w:rPr>
        <w:t>www.bioxceltherapeutics.com</w:t>
      </w:r>
      <w:r>
        <w:rPr>
          <w:rFonts w:ascii="Arial" w:cs="Arial" w:eastAsia="Arial" w:hAnsi="Arial"/>
          <w:sz w:val="17"/>
          <w:szCs w:val="17"/>
          <w:color w:val="auto"/>
        </w:rPr>
        <w:t xml:space="preserve">. In addition, you may automatically receive email alerts and other information about the Company when you enroll your email address by visiting the “Email Alerts” option under the News / Events menu of the Investors section of our website at </w:t>
      </w:r>
      <w:r>
        <w:rPr>
          <w:rFonts w:ascii="Arial" w:cs="Arial" w:eastAsia="Arial" w:hAnsi="Arial"/>
          <w:sz w:val="17"/>
          <w:szCs w:val="17"/>
          <w:i w:val="1"/>
          <w:iCs w:val="1"/>
          <w:color w:val="auto"/>
        </w:rPr>
        <w:t>www.bioxceltherapeutics.com</w:t>
      </w:r>
      <w:r>
        <w:rPr>
          <w:rFonts w:ascii="Arial" w:cs="Arial" w:eastAsia="Arial" w:hAnsi="Arial"/>
          <w:sz w:val="17"/>
          <w:szCs w:val="17"/>
          <w:color w:val="auto"/>
        </w:rPr>
        <w:t>.</w:t>
      </w:r>
    </w:p>
    <w:p>
      <w:pPr>
        <w:spacing w:after="0" w:line="176" w:lineRule="exact"/>
        <w:rPr>
          <w:sz w:val="20"/>
          <w:szCs w:val="20"/>
          <w:color w:val="auto"/>
        </w:rPr>
      </w:pPr>
    </w:p>
    <w:p>
      <w:pPr>
        <w:jc w:val="both"/>
        <w:ind w:left="60" w:right="139" w:firstLine="500"/>
        <w:spacing w:after="0" w:line="263" w:lineRule="auto"/>
        <w:rPr>
          <w:sz w:val="20"/>
          <w:szCs w:val="20"/>
          <w:color w:val="auto"/>
        </w:rPr>
      </w:pPr>
      <w:r>
        <w:rPr>
          <w:rFonts w:ascii="Arial" w:cs="Arial" w:eastAsia="Arial" w:hAnsi="Arial"/>
          <w:sz w:val="18"/>
          <w:szCs w:val="18"/>
          <w:color w:val="auto"/>
        </w:rPr>
        <w:t>The reference to our website address does not constitute incorporation by reference of the information contained on or available through our website, and you should not consider such information to be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i w:val="1"/>
          <w:iCs w:val="1"/>
          <w:color w:val="auto"/>
        </w:rPr>
        <w:t>You should carefully consider the risks described below, as well as general economic and business risks and the other information in this Annual Report on Form 10-K.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229"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revenues, which may make it difficult to evaluate the success of our business to date and to assess our future viability.</w:t>
      </w:r>
    </w:p>
    <w:p>
      <w:pPr>
        <w:spacing w:after="0" w:line="170"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We were incorporated in March 2017 and our operations to date have been largely focused on staffing our company, raising capital and advancing the development of, our product candidates, including conducting clinical and preclinical studies. We have not yet demonstrated an ability to successfully obtain marketing approvals, manufacture products on a commercial scale, or arrange for a third 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products.</w:t>
      </w:r>
    </w:p>
    <w:p>
      <w:pPr>
        <w:spacing w:after="0" w:line="164"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We expect our financial condition and operating results to continue to fluctuate from quarter to quarter and year to year due to a variety of factors, many of which are beyond our control. We will need to eventually transition from a company with a research and development focus to a company capable of undertaking commercial activities. We may encounter unforeseen expenses, difficulties, complications and delays, and may not be successful in such a transition.</w:t>
      </w:r>
    </w:p>
    <w:p>
      <w:pPr>
        <w:spacing w:after="0" w:line="157"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46" w:lineRule="exact"/>
        <w:rPr>
          <w:sz w:val="20"/>
          <w:szCs w:val="20"/>
          <w:color w:val="auto"/>
        </w:rPr>
      </w:pPr>
    </w:p>
    <w:p>
      <w:pPr>
        <w:ind w:left="60" w:right="159" w:firstLine="324"/>
        <w:spacing w:after="0" w:line="290" w:lineRule="auto"/>
        <w:rPr>
          <w:sz w:val="20"/>
          <w:szCs w:val="20"/>
          <w:color w:val="auto"/>
        </w:rPr>
      </w:pPr>
      <w:r>
        <w:rPr>
          <w:rFonts w:ascii="Arial" w:cs="Arial" w:eastAsia="Arial" w:hAnsi="Arial"/>
          <w:sz w:val="16"/>
          <w:szCs w:val="16"/>
          <w:color w:val="auto"/>
        </w:rPr>
        <w:t>Since our inception, we have incurred significant operating losses. Our net loss was $82.2 million and $33.0 million for the years ended December 31, 2020 and 2019 respectively. As of December 31, 2020, we had stockholders’ equity of $206.7 million. We expect to continue to incur significant expenses and increasing operating losses for the foreseeable future. None of our product candidates have been approved for marketing in the United States, or in any other jurisdiction, and may never receive such approval. It could be several years, if ever, before we have a commercialized product that generates significant revenues.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65" w:lineRule="exact"/>
        <w:rPr>
          <w:sz w:val="20"/>
          <w:szCs w:val="20"/>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225" w:lineRule="exact"/>
        <w:rPr>
          <w:rFonts w:ascii="Arial" w:cs="Arial" w:eastAsia="Arial" w:hAnsi="Arial"/>
          <w:sz w:val="18"/>
          <w:szCs w:val="18"/>
          <w:color w:val="auto"/>
        </w:rPr>
      </w:pPr>
    </w:p>
    <w:p>
      <w:pPr>
        <w:ind w:left="1020" w:right="619" w:hanging="32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conduct preclinical studies and clinical trials for our current product candidates and any future product candidates that we may pursue;</w:t>
      </w:r>
    </w:p>
    <w:p>
      <w:pPr>
        <w:spacing w:after="0" w:line="170" w:lineRule="exact"/>
        <w:rPr>
          <w:rFonts w:ascii="Arial" w:cs="Arial" w:eastAsia="Arial" w:hAnsi="Arial"/>
          <w:sz w:val="18"/>
          <w:szCs w:val="18"/>
          <w:color w:val="auto"/>
        </w:rPr>
      </w:pPr>
    </w:p>
    <w:p>
      <w:pPr>
        <w:ind w:left="1020" w:right="619" w:hanging="32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build our portfolio of product candidates through the acquisition or in-license of additional product candidates or technologies;</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225" w:lineRule="exact"/>
        <w:rPr>
          <w:rFonts w:ascii="Arial" w:cs="Arial" w:eastAsia="Arial" w:hAnsi="Arial"/>
          <w:sz w:val="18"/>
          <w:szCs w:val="18"/>
          <w:color w:val="auto"/>
        </w:rPr>
      </w:pPr>
    </w:p>
    <w:p>
      <w:pPr>
        <w:ind w:left="1020" w:right="199" w:hanging="32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pursue regulatory approvals for our current and future product candidates that successfully complete clinical trials;</w:t>
      </w:r>
    </w:p>
    <w:p>
      <w:pPr>
        <w:spacing w:after="0" w:line="170" w:lineRule="exact"/>
        <w:rPr>
          <w:rFonts w:ascii="Arial" w:cs="Arial" w:eastAsia="Arial" w:hAnsi="Arial"/>
          <w:sz w:val="18"/>
          <w:szCs w:val="18"/>
          <w:color w:val="auto"/>
        </w:rPr>
      </w:pPr>
    </w:p>
    <w:p>
      <w:pPr>
        <w:ind w:left="1020" w:right="139" w:hanging="32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 candidate for which we may obtain marketing approval;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hire additional clinical, regulatory, scientific and accounting personnel; and</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ind w:left="60" w:right="59" w:firstLine="324"/>
        <w:spacing w:after="0" w:line="273" w:lineRule="auto"/>
        <w:rPr>
          <w:sz w:val="20"/>
          <w:szCs w:val="20"/>
          <w:color w:val="auto"/>
        </w:rPr>
      </w:pPr>
      <w:r>
        <w:rPr>
          <w:rFonts w:ascii="Arial" w:cs="Arial" w:eastAsia="Arial" w:hAnsi="Arial"/>
          <w:sz w:val="17"/>
          <w:szCs w:val="17"/>
          <w:color w:val="auto"/>
        </w:rPr>
        <w:t>To become and remain profitable, we must develop and eventually commercialize one or more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78" w:lineRule="exact"/>
        <w:rPr>
          <w:sz w:val="20"/>
          <w:szCs w:val="20"/>
          <w:color w:val="auto"/>
        </w:rPr>
      </w:pPr>
    </w:p>
    <w:p>
      <w:pPr>
        <w:ind w:left="60" w:right="59" w:firstLine="324"/>
        <w:spacing w:after="0" w:line="293"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accurately predict the timing or amount of expenses or when, or if, we will obtain marketing approval to commercialize any of our product candidates. If we are required by the U.S. Food and Drug Administration, or FDA, or other regulatory authorities such as the European Medicines Agency, or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64"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w:t>
      </w:r>
    </w:p>
    <w:p>
      <w:pPr>
        <w:spacing w:after="0" w:line="170" w:lineRule="exact"/>
        <w:rPr>
          <w:sz w:val="20"/>
          <w:szCs w:val="20"/>
          <w:color w:val="auto"/>
        </w:rPr>
      </w:pPr>
    </w:p>
    <w:p>
      <w:pPr>
        <w:jc w:val="both"/>
        <w:ind w:left="60" w:right="179" w:firstLine="324"/>
        <w:spacing w:after="0" w:line="286" w:lineRule="auto"/>
        <w:rPr>
          <w:sz w:val="20"/>
          <w:szCs w:val="20"/>
          <w:color w:val="auto"/>
        </w:rPr>
      </w:pPr>
      <w:r>
        <w:rPr>
          <w:rFonts w:ascii="Arial" w:cs="Arial" w:eastAsia="Arial" w:hAnsi="Arial"/>
          <w:sz w:val="17"/>
          <w:szCs w:val="17"/>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65"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46" w:lineRule="exact"/>
        <w:rPr>
          <w:sz w:val="20"/>
          <w:szCs w:val="20"/>
          <w:color w:val="auto"/>
        </w:rPr>
      </w:pPr>
    </w:p>
    <w:p>
      <w:pPr>
        <w:ind w:left="60" w:right="59" w:firstLine="324"/>
        <w:spacing w:after="0" w:line="288" w:lineRule="auto"/>
        <w:rPr>
          <w:sz w:val="20"/>
          <w:szCs w:val="20"/>
          <w:color w:val="auto"/>
        </w:rPr>
      </w:pPr>
      <w:r>
        <w:rPr>
          <w:rFonts w:ascii="Arial" w:cs="Arial" w:eastAsia="Arial" w:hAnsi="Arial"/>
          <w:sz w:val="16"/>
          <w:szCs w:val="16"/>
          <w:color w:val="auto"/>
        </w:rPr>
        <w:t>We anticipate that our expenses will increase substantially if and as we continue to develop and conduct clinical trials with respect to BXCL501, BXCL701 and our other product candidates; seek to identify and develop additional product candidates; acquire or in-license other product candidates or technologies; seek regulatory and marketing approvals for our product candidates that successfully complete clinical trials, if any; establish sales, marketing, distribution and other commercial infrastructure in the future to commercialize various products for which we may obtain marketing approval, if any;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68"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We expect that our cash and cash equivalents as of December 31, 2020 will be sufficient to fund our ongoing research and development efforts and commercialization preparation for at least twelve months from the date of the issuance of the financial statements included in the Annual Report on Form 10-K.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 develop for one or more indications, we may not be able to enter into a collaboration for any of our product candidates for such indications on suitable terms, on a timely basis or at all. In any event, the net proceeds of our prior equity offerings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Further financing may not be available to us on acceptable terms, or at all. Additionally, market volatility resulting from the COVID-19 pandemic or other factors could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308" w:lineRule="auto"/>
        <w:rPr>
          <w:sz w:val="20"/>
          <w:szCs w:val="20"/>
          <w:color w:val="auto"/>
        </w:rPr>
      </w:pPr>
      <w:r>
        <w:rPr>
          <w:rFonts w:ascii="Arial" w:cs="Arial" w:eastAsia="Arial" w:hAnsi="Arial"/>
          <w:sz w:val="17"/>
          <w:szCs w:val="17"/>
          <w:color w:val="auto"/>
        </w:rPr>
        <w:t>also adversely impact our ability to access capital as and when needed. Our failure to raise capital as and when needed would have a negative impact on our financial condition and our ability to pursue our business strategy.</w:t>
      </w:r>
    </w:p>
    <w:p>
      <w:pPr>
        <w:spacing w:after="0" w:line="146"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76" w:lineRule="exact"/>
        <w:rPr>
          <w:sz w:val="20"/>
          <w:szCs w:val="20"/>
          <w:color w:val="auto"/>
        </w:rPr>
      </w:pPr>
    </w:p>
    <w:p>
      <w:pPr>
        <w:ind w:left="1020" w:right="199" w:hanging="32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BXCL501, BXCL701 and our other product candidates;</w:t>
      </w:r>
    </w:p>
    <w:p>
      <w:pPr>
        <w:spacing w:after="0" w:line="62" w:lineRule="exact"/>
        <w:rPr>
          <w:rFonts w:ascii="Arial" w:cs="Arial" w:eastAsia="Arial" w:hAnsi="Arial"/>
          <w:sz w:val="18"/>
          <w:szCs w:val="18"/>
          <w:color w:val="auto"/>
        </w:rPr>
      </w:pPr>
    </w:p>
    <w:p>
      <w:pPr>
        <w:ind w:left="1020" w:right="719" w:hanging="32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117" w:lineRule="exact"/>
        <w:rPr>
          <w:rFonts w:ascii="Arial" w:cs="Arial" w:eastAsia="Arial" w:hAnsi="Arial"/>
          <w:sz w:val="18"/>
          <w:szCs w:val="18"/>
          <w:color w:val="auto"/>
        </w:rPr>
      </w:pPr>
    </w:p>
    <w:p>
      <w:pPr>
        <w:ind w:left="1020" w:right="139" w:hanging="322"/>
        <w:spacing w:after="0" w:line="286"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57" w:lineRule="exact"/>
        <w:rPr>
          <w:rFonts w:ascii="Arial" w:cs="Arial" w:eastAsia="Arial" w:hAnsi="Arial"/>
          <w:sz w:val="17"/>
          <w:szCs w:val="17"/>
          <w:color w:val="auto"/>
        </w:rPr>
      </w:pPr>
    </w:p>
    <w:p>
      <w:pPr>
        <w:ind w:left="1020" w:right="159" w:hanging="32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as well as establish a commercial infrastructure;</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received from commercial sales, if any, of our current and future product candidates;</w:t>
      </w:r>
    </w:p>
    <w:p>
      <w:pPr>
        <w:spacing w:after="0" w:line="117" w:lineRule="exact"/>
        <w:rPr>
          <w:rFonts w:ascii="Arial" w:cs="Arial" w:eastAsia="Arial" w:hAnsi="Arial"/>
          <w:sz w:val="18"/>
          <w:szCs w:val="18"/>
          <w:color w:val="auto"/>
        </w:rPr>
      </w:pPr>
    </w:p>
    <w:p>
      <w:pPr>
        <w:ind w:left="1020" w:right="219" w:hanging="32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physician acceptance or medical society recommendations that may affect commercial efforts;</w:t>
      </w:r>
    </w:p>
    <w:p>
      <w:pPr>
        <w:spacing w:after="0" w:line="140" w:lineRule="exact"/>
        <w:rPr>
          <w:rFonts w:ascii="Arial" w:cs="Arial" w:eastAsia="Arial" w:hAnsi="Arial"/>
          <w:sz w:val="16"/>
          <w:szCs w:val="16"/>
          <w:color w:val="auto"/>
        </w:rPr>
      </w:pPr>
    </w:p>
    <w:p>
      <w:pPr>
        <w:ind w:left="1020" w:hanging="32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 and</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have limited experience in drug discovery and drug development, and we have never had a drug approved.</w:t>
      </w:r>
    </w:p>
    <w:p>
      <w:pPr>
        <w:spacing w:after="0" w:line="248"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Prior to the acquisition of our product candidates, we were not involved in and had no control over their preclinical and clinical development. In addition, we are relying upon the parties we have acquired our product candidates from to have conducted such research and development in accordance with the applicable protocol, legal, regulatory and scientific standards, having accurately reported the results of all clinical trials conducted prior to our acquisition of the applicable product candidate, and having correctly collected and interpreted the data from these studies and trials. To the extent any of these has not occurred, our expected development time and costs may be increased, which could adversely affect our prospects for marketing approval of, and receiving any future revenue from, these product candidates.</w:t>
      </w:r>
    </w:p>
    <w:p>
      <w:pPr>
        <w:spacing w:after="0" w:line="16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b w:val="1"/>
          <w:bCs w:val="1"/>
          <w:i w:val="1"/>
          <w:iCs w:val="1"/>
          <w:color w:val="auto"/>
        </w:rPr>
        <w:t>In the near term, we are dependent on the success of BXCL501 and BXCL701. If we are unable to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spacing w:after="0" w:line="187" w:lineRule="exact"/>
        <w:rPr>
          <w:sz w:val="20"/>
          <w:szCs w:val="20"/>
          <w:color w:val="auto"/>
        </w:rPr>
      </w:pPr>
    </w:p>
    <w:p>
      <w:pPr>
        <w:ind w:left="60" w:right="479" w:firstLine="324"/>
        <w:spacing w:after="0" w:line="311" w:lineRule="auto"/>
        <w:rPr>
          <w:sz w:val="20"/>
          <w:szCs w:val="20"/>
          <w:color w:val="auto"/>
        </w:rPr>
      </w:pPr>
      <w:r>
        <w:rPr>
          <w:rFonts w:ascii="Arial" w:cs="Arial" w:eastAsia="Arial" w:hAnsi="Arial"/>
          <w:sz w:val="16"/>
          <w:szCs w:val="16"/>
          <w:color w:val="auto"/>
        </w:rPr>
        <w:t>We currently do not have any products that have received regulatory approval and may never be able to develop marketable product candidates. We are investing a significant portion of our efforts and financial resources in the development of BXCL501, BXCL701 and our other product candidates. Our prospects are substantially dependent 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our ability, or that of any future collaborator, to develop, obtain marketing approval for and successfully commercialize product candidates in one or more disease indications.</w:t>
      </w:r>
    </w:p>
    <w:p>
      <w:pPr>
        <w:spacing w:after="0" w:line="170"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The success of BXCL501, BXCL701 and our other product candidates will depend on several factors, including the following:</w:t>
      </w:r>
    </w:p>
    <w:p>
      <w:pPr>
        <w:spacing w:after="0" w:line="170" w:lineRule="exact"/>
        <w:rPr>
          <w:sz w:val="20"/>
          <w:szCs w:val="20"/>
          <w:color w:val="auto"/>
        </w:rPr>
      </w:pPr>
    </w:p>
    <w:p>
      <w:pPr>
        <w:ind w:left="1020" w:right="779" w:hanging="322"/>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an IND application by the FDA authorizing us to conduct clinical trials of our product candidates in the United States;</w:t>
      </w:r>
    </w:p>
    <w:p>
      <w:pPr>
        <w:spacing w:after="0" w:line="62" w:lineRule="exact"/>
        <w:rPr>
          <w:rFonts w:ascii="Arial" w:cs="Arial" w:eastAsia="Arial" w:hAnsi="Arial"/>
          <w:sz w:val="18"/>
          <w:szCs w:val="18"/>
          <w:color w:val="auto"/>
        </w:rPr>
      </w:pPr>
    </w:p>
    <w:p>
      <w:pPr>
        <w:ind w:left="1020" w:right="199" w:hanging="322"/>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initiation, progress, timing, costs and results of clinical trials of our product candidates and potential product candidates;</w:t>
      </w:r>
    </w:p>
    <w:p>
      <w:pPr>
        <w:spacing w:after="0" w:line="62" w:lineRule="exact"/>
        <w:rPr>
          <w:rFonts w:ascii="Arial" w:cs="Arial" w:eastAsia="Arial" w:hAnsi="Arial"/>
          <w:sz w:val="18"/>
          <w:szCs w:val="18"/>
          <w:color w:val="auto"/>
        </w:rPr>
      </w:pPr>
    </w:p>
    <w:p>
      <w:pPr>
        <w:ind w:left="1020" w:right="819" w:hanging="322"/>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demonstration of safety and efficacy of our product candidates to the satisfaction of the FDA or any comparable foreign regulatory authority and sufficient for marketing approval;</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performance of our current and future collaborators;</w:t>
      </w:r>
    </w:p>
    <w:p>
      <w:pPr>
        <w:spacing w:after="0" w:line="117" w:lineRule="exact"/>
        <w:rPr>
          <w:rFonts w:ascii="Arial" w:cs="Arial" w:eastAsia="Arial" w:hAnsi="Arial"/>
          <w:sz w:val="18"/>
          <w:szCs w:val="18"/>
          <w:color w:val="auto"/>
        </w:rPr>
      </w:pPr>
    </w:p>
    <w:p>
      <w:pPr>
        <w:ind w:left="1020" w:right="639" w:hanging="322"/>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nature of any required post-marketing clinical trials or other commitments to applicable regulatory authorities;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suppliers and manufacturers;</w:t>
      </w:r>
    </w:p>
    <w:p>
      <w:pPr>
        <w:spacing w:after="0" w:line="117" w:lineRule="exact"/>
        <w:rPr>
          <w:rFonts w:ascii="Arial" w:cs="Arial" w:eastAsia="Arial" w:hAnsi="Arial"/>
          <w:sz w:val="18"/>
          <w:szCs w:val="18"/>
          <w:color w:val="auto"/>
        </w:rPr>
      </w:pPr>
    </w:p>
    <w:p>
      <w:pPr>
        <w:ind w:left="1020" w:right="799" w:hanging="322"/>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drug product that is appropriately packaged for sale;</w:t>
      </w:r>
    </w:p>
    <w:p>
      <w:pPr>
        <w:spacing w:after="0" w:line="62"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product for clinical development and any commercial sales;</w:t>
      </w:r>
    </w:p>
    <w:p>
      <w:pPr>
        <w:spacing w:after="0" w:line="62" w:lineRule="exact"/>
        <w:rPr>
          <w:rFonts w:ascii="Arial" w:cs="Arial" w:eastAsia="Arial" w:hAnsi="Arial"/>
          <w:sz w:val="18"/>
          <w:szCs w:val="18"/>
          <w:color w:val="auto"/>
        </w:rPr>
      </w:pPr>
    </w:p>
    <w:p>
      <w:pPr>
        <w:ind w:left="1020" w:right="159" w:hanging="322"/>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117"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develop, receive marketing approval for and successfully commercialize BXCL501, BXCL701 and our other product candidates, on our own or with any future collaborator, or experience delays as a result of any of these factors or otherwise, our business could be substantially harmed.</w:t>
      </w:r>
    </w:p>
    <w:p>
      <w:pPr>
        <w:spacing w:after="0" w:line="192"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4"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From time to time, we may publicly disclose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For example, on March 3, 2021, we provided further top line data regarding our TRANQUILITY study based on our ongoing analysis.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84"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88"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78" w:lineRule="exact"/>
        <w:rPr>
          <w:sz w:val="20"/>
          <w:szCs w:val="20"/>
          <w:color w:val="auto"/>
        </w:rPr>
      </w:pPr>
    </w:p>
    <w:p>
      <w:pPr>
        <w:ind w:left="60" w:right="319" w:firstLine="324"/>
        <w:spacing w:after="0" w:line="311" w:lineRule="auto"/>
        <w:rPr>
          <w:sz w:val="20"/>
          <w:szCs w:val="20"/>
          <w:color w:val="auto"/>
        </w:rPr>
      </w:pPr>
      <w:r>
        <w:rPr>
          <w:rFonts w:ascii="Arial" w:cs="Arial" w:eastAsia="Arial" w:hAnsi="Arial"/>
          <w:sz w:val="16"/>
          <w:szCs w:val="16"/>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49"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4"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were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020" w:right="139" w:hanging="322"/>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62" w:lineRule="exact"/>
        <w:rPr>
          <w:rFonts w:ascii="Arial" w:cs="Arial" w:eastAsia="Arial" w:hAnsi="Arial"/>
          <w:sz w:val="18"/>
          <w:szCs w:val="18"/>
          <w:color w:val="auto"/>
        </w:rPr>
      </w:pPr>
    </w:p>
    <w:p>
      <w:pPr>
        <w:ind w:left="1020" w:right="179" w:hanging="322"/>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20" w:right="839" w:hanging="322"/>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20" w:right="539" w:hanging="322"/>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20" w:right="379" w:hanging="322"/>
        <w:spacing w:after="0" w:line="342"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an New Drug Application, or NDA, or other submission or to obtain regulatory approval in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259"/>
        <w:spacing w:after="0" w:line="263" w:lineRule="auto"/>
        <w:rPr>
          <w:sz w:val="20"/>
          <w:szCs w:val="20"/>
          <w:color w:val="auto"/>
        </w:rPr>
      </w:pPr>
      <w:r>
        <w:rPr>
          <w:rFonts w:ascii="Arial" w:cs="Arial" w:eastAsia="Arial" w:hAnsi="Arial"/>
          <w:sz w:val="18"/>
          <w:szCs w:val="18"/>
          <w:color w:val="auto"/>
        </w:rPr>
        <w:t>the United States or elsewhere; the FDA or comparable foreign regulatory authorities may disagree that our changes to branded reference drugs meet the criteria for the 505(b)(2) regulatory pathway or foreign regulatory pathways;</w:t>
      </w:r>
    </w:p>
    <w:p>
      <w:pPr>
        <w:spacing w:after="0" w:line="76" w:lineRule="exact"/>
        <w:rPr>
          <w:sz w:val="20"/>
          <w:szCs w:val="20"/>
          <w:color w:val="auto"/>
        </w:rPr>
      </w:pPr>
    </w:p>
    <w:p>
      <w:pPr>
        <w:ind w:left="1020" w:right="399" w:hanging="322"/>
        <w:spacing w:after="0" w:line="342"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1020" w:right="999" w:hanging="322"/>
        <w:spacing w:after="0" w:line="308"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38" w:lineRule="exact"/>
        <w:rPr>
          <w:sz w:val="20"/>
          <w:szCs w:val="20"/>
          <w:color w:val="auto"/>
        </w:rPr>
      </w:pPr>
    </w:p>
    <w:p>
      <w:pPr>
        <w:ind w:left="60" w:right="259" w:firstLine="324"/>
        <w:spacing w:after="0" w:line="255" w:lineRule="auto"/>
        <w:rPr>
          <w:sz w:val="20"/>
          <w:szCs w:val="20"/>
          <w:color w:val="auto"/>
        </w:rPr>
      </w:pPr>
      <w:r>
        <w:rPr>
          <w:rFonts w:ascii="Arial" w:cs="Arial" w:eastAsia="Arial" w:hAnsi="Arial"/>
          <w:sz w:val="18"/>
          <w:szCs w:val="18"/>
          <w:color w:val="auto"/>
        </w:rPr>
        <w:t>We have limited experience in completing clinical trials of any of our product candidates. Consequently, we may not have the necessary capabilities, including adequate staffing, to successfully manage the execution and completion of any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92" w:lineRule="exact"/>
        <w:rPr>
          <w:sz w:val="20"/>
          <w:szCs w:val="20"/>
          <w:color w:val="auto"/>
        </w:rPr>
      </w:pPr>
    </w:p>
    <w:p>
      <w:pPr>
        <w:ind w:left="60" w:right="219"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92"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We have not previously submitted an NDA to the FDA or similar drug approval filings to comparable foreign authorities, for any product candidate, and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patients that we are targeting for our product candidates are not as significant as we estimate, we may not generate significant revenues from sales of such products, if approved.</w:t>
      </w:r>
    </w:p>
    <w:p>
      <w:pPr>
        <w:spacing w:after="0" w:line="165"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We plan to seek regulatory approval to commercialize our product candidates both in the United States, the European Union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Clinical trials are expensive, time-consuming and difficult to design and implement, and involve an uncertain outcome.</w:t>
      </w:r>
    </w:p>
    <w:p>
      <w:pPr>
        <w:spacing w:after="0" w:line="260"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and can take many years to complete, and its outcome is inherently uncertain. Failure can occur at any time during the clinical trial process. Although we are planning for certain clinical trials relating to BXCL501, BXCL701 and our other product candidates, there can be no assurance that the FDA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78" w:lineRule="exact"/>
        <w:rPr>
          <w:sz w:val="20"/>
          <w:szCs w:val="20"/>
          <w:color w:val="auto"/>
        </w:rPr>
      </w:pPr>
    </w:p>
    <w:p>
      <w:pPr>
        <w:ind w:left="1020" w:right="259" w:hanging="322"/>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519" w:hanging="32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trial or consensus with regulatory authorities on trial designs;</w:t>
      </w:r>
    </w:p>
    <w:p>
      <w:pPr>
        <w:spacing w:after="0" w:line="62" w:lineRule="exact"/>
        <w:rPr>
          <w:rFonts w:ascii="Arial" w:cs="Arial" w:eastAsia="Arial" w:hAnsi="Arial"/>
          <w:sz w:val="18"/>
          <w:szCs w:val="18"/>
          <w:color w:val="auto"/>
        </w:rPr>
      </w:pPr>
    </w:p>
    <w:p>
      <w:pPr>
        <w:jc w:val="both"/>
        <w:ind w:left="1020" w:right="519" w:hanging="322"/>
        <w:spacing w:after="0" w:line="26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healthcare resources to combat epidemics, such as the COVID-19 pandemic;</w:t>
      </w:r>
    </w:p>
    <w:p>
      <w:pPr>
        <w:spacing w:after="0" w:line="117" w:lineRule="exact"/>
        <w:rPr>
          <w:rFonts w:ascii="Arial" w:cs="Arial" w:eastAsia="Arial" w:hAnsi="Arial"/>
          <w:sz w:val="18"/>
          <w:szCs w:val="18"/>
          <w:color w:val="auto"/>
        </w:rPr>
      </w:pPr>
    </w:p>
    <w:p>
      <w:pPr>
        <w:ind w:left="1020" w:right="219" w:hanging="32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at each site, or independent ethics committee, or IEC, approval at any sites outside the United States;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dependence on the needs and timing of third party collaborators;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 and in sufficient numbers;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117" w:lineRule="exact"/>
        <w:rPr>
          <w:rFonts w:ascii="Arial" w:cs="Arial" w:eastAsia="Arial" w:hAnsi="Arial"/>
          <w:sz w:val="18"/>
          <w:szCs w:val="18"/>
          <w:color w:val="auto"/>
        </w:rPr>
      </w:pPr>
    </w:p>
    <w:p>
      <w:pPr>
        <w:ind w:left="1020" w:right="119" w:hanging="32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including as a result of unforeseen safety issues or side effects or failure of trial sites to adhere to regulatory requirements;</w:t>
      </w:r>
    </w:p>
    <w:p>
      <w:pPr>
        <w:spacing w:after="0" w:line="62" w:lineRule="exact"/>
        <w:rPr>
          <w:rFonts w:ascii="Arial" w:cs="Arial" w:eastAsia="Arial" w:hAnsi="Arial"/>
          <w:sz w:val="18"/>
          <w:szCs w:val="18"/>
          <w:color w:val="auto"/>
        </w:rPr>
      </w:pPr>
    </w:p>
    <w:p>
      <w:pPr>
        <w:ind w:left="1020" w:right="99" w:hanging="32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occurrence of serious adverse events in trials of the same class of agents conducted by other companies or institutions;</w:t>
      </w:r>
    </w:p>
    <w:p>
      <w:pPr>
        <w:spacing w:after="0" w:line="62" w:lineRule="exact"/>
        <w:rPr>
          <w:rFonts w:ascii="Arial" w:cs="Arial" w:eastAsia="Arial" w:hAnsi="Arial"/>
          <w:sz w:val="18"/>
          <w:szCs w:val="18"/>
          <w:color w:val="auto"/>
        </w:rPr>
      </w:pPr>
    </w:p>
    <w:p>
      <w:pPr>
        <w:ind w:left="1020" w:right="639" w:hanging="32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product candidates, or participating in competing trials;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ind w:left="1020" w:right="639" w:hanging="32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selection of clinical end points that require prolonged periods of clinical observation or analysis of the resulting data;</w:t>
      </w:r>
    </w:p>
    <w:p>
      <w:pPr>
        <w:spacing w:after="0" w:line="62" w:lineRule="exact"/>
        <w:rPr>
          <w:rFonts w:ascii="Arial" w:cs="Arial" w:eastAsia="Arial" w:hAnsi="Arial"/>
          <w:sz w:val="18"/>
          <w:szCs w:val="18"/>
          <w:color w:val="auto"/>
        </w:rPr>
      </w:pPr>
    </w:p>
    <w:p>
      <w:pPr>
        <w:ind w:left="1020" w:right="179" w:hanging="322"/>
        <w:spacing w:after="0" w:line="279"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spacing w:after="0" w:line="63" w:lineRule="exact"/>
        <w:rPr>
          <w:rFonts w:ascii="Arial" w:cs="Arial" w:eastAsia="Arial" w:hAnsi="Arial"/>
          <w:sz w:val="17"/>
          <w:szCs w:val="17"/>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117" w:lineRule="exact"/>
        <w:rPr>
          <w:rFonts w:ascii="Arial" w:cs="Arial" w:eastAsia="Arial" w:hAnsi="Arial"/>
          <w:sz w:val="18"/>
          <w:szCs w:val="18"/>
          <w:color w:val="auto"/>
        </w:rPr>
      </w:pPr>
    </w:p>
    <w:p>
      <w:pPr>
        <w:ind w:left="1020" w:right="319" w:hanging="322"/>
        <w:spacing w:after="0" w:line="26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 or GCP, or other regulatory requirements; or</w:t>
      </w:r>
    </w:p>
    <w:p>
      <w:pPr>
        <w:spacing w:after="0" w:line="75" w:lineRule="exact"/>
        <w:rPr>
          <w:rFonts w:ascii="Arial" w:cs="Arial" w:eastAsia="Arial" w:hAnsi="Arial"/>
          <w:sz w:val="18"/>
          <w:szCs w:val="18"/>
          <w:color w:val="auto"/>
        </w:rPr>
      </w:pPr>
    </w:p>
    <w:p>
      <w:pPr>
        <w:ind w:left="1020" w:right="79" w:hanging="322"/>
        <w:spacing w:after="0" w:line="25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 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296" w:lineRule="exact"/>
        <w:rPr>
          <w:sz w:val="20"/>
          <w:szCs w:val="20"/>
          <w:color w:val="auto"/>
        </w:rPr>
      </w:pPr>
    </w:p>
    <w:p>
      <w:pPr>
        <w:ind w:left="60" w:right="339" w:firstLine="324"/>
        <w:spacing w:after="0" w:line="311"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planned and ongoing clinical trials. We could encounter delays if a clinical trial is suspended or terminated by us, by the IRBs (or IECs) of the institutions in which</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w:t>
      </w:r>
    </w:p>
    <w:p>
      <w:pPr>
        <w:spacing w:after="0" w:line="16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8"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6" w:lineRule="exact"/>
        <w:rPr>
          <w:sz w:val="20"/>
          <w:szCs w:val="20"/>
          <w:color w:val="auto"/>
        </w:rPr>
      </w:pPr>
    </w:p>
    <w:p>
      <w:pPr>
        <w:ind w:left="60" w:right="539"/>
        <w:spacing w:after="0" w:line="26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in order for us to continue development of our product candidates. If we are unable to enroll patients in our clinical trials, our research and development efforts could be adversely affected.</w:t>
      </w:r>
    </w:p>
    <w:p>
      <w:pPr>
        <w:spacing w:after="0" w:line="184"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the proximity of patients to study sites,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Our ability to enroll patients in our clinical trials may be impacted by governmental restrictions and diversion of healthcare resources resulting from the COVID-19 pandemic. Many pharmaceutical companies are conducting clinical trials in patients with the disease indications that our potential drug products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390"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4"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or other comparable foreign authorities. The clinical evaluation of BXCL501, BXCL701 and our other product candidates in patients is still in the early stages and it is possible that there may be side effects associated with their use. Results of our trials could reveal a high and unacceptable severity and prevalence of these or other side effects. For example, in our Phase 2 clinical trial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 In such an event, we, the FDA, the IRBs (or IECs)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69"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84" w:lineRule="exact"/>
        <w:rPr>
          <w:sz w:val="20"/>
          <w:szCs w:val="20"/>
          <w:color w:val="auto"/>
        </w:rPr>
      </w:pPr>
    </w:p>
    <w:p>
      <w:pPr>
        <w:ind w:left="1020" w:hanging="32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be required to recall a product or change the way such a product is administered to patients;</w:t>
      </w:r>
    </w:p>
    <w:p>
      <w:pPr>
        <w:spacing w:after="0" w:line="128" w:lineRule="exact"/>
        <w:rPr>
          <w:rFonts w:ascii="Arial" w:cs="Arial" w:eastAsia="Arial" w:hAnsi="Arial"/>
          <w:sz w:val="17"/>
          <w:szCs w:val="17"/>
          <w:color w:val="auto"/>
        </w:rPr>
      </w:pPr>
    </w:p>
    <w:p>
      <w:pPr>
        <w:ind w:left="1020" w:right="619" w:hanging="322"/>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20" w:right="719" w:hanging="322"/>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spacing w:after="0" w:line="62" w:lineRule="exact"/>
        <w:rPr>
          <w:rFonts w:ascii="Arial" w:cs="Arial" w:eastAsia="Arial" w:hAnsi="Arial"/>
          <w:sz w:val="18"/>
          <w:szCs w:val="18"/>
          <w:color w:val="auto"/>
        </w:rPr>
      </w:pPr>
    </w:p>
    <w:p>
      <w:pPr>
        <w:ind w:left="1020" w:right="899" w:hanging="322"/>
        <w:spacing w:after="0" w:line="308"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be required to implement Risk Evaluation and Mitigation Strategies, or REMS, or create a medication guide outlining the risks of such side effects for distribution to patients;</w:t>
      </w:r>
    </w:p>
    <w:p>
      <w:pPr>
        <w:spacing w:after="0" w:line="38" w:lineRule="exact"/>
        <w:rPr>
          <w:rFonts w:ascii="Arial" w:cs="Arial" w:eastAsia="Arial" w:hAnsi="Arial"/>
          <w:sz w:val="17"/>
          <w:szCs w:val="17"/>
          <w:color w:val="auto"/>
        </w:rPr>
      </w:pPr>
    </w:p>
    <w:p>
      <w:pPr>
        <w:ind w:left="1020" w:hanging="32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jc w:val="both"/>
        <w:ind w:left="60" w:right="559" w:firstLine="324"/>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or for particular indications of a product candidate, if approved, and could significantly harm our business, results of operations and prospects.</w:t>
      </w:r>
    </w:p>
    <w:p>
      <w:pPr>
        <w:spacing w:after="0" w:line="184" w:lineRule="exact"/>
        <w:rPr>
          <w:sz w:val="20"/>
          <w:szCs w:val="20"/>
          <w:color w:val="auto"/>
        </w:rPr>
      </w:pPr>
    </w:p>
    <w:p>
      <w:pPr>
        <w:ind w:left="60" w:right="139"/>
        <w:spacing w:after="0" w:line="308" w:lineRule="auto"/>
        <w:rPr>
          <w:sz w:val="20"/>
          <w:szCs w:val="20"/>
          <w:color w:val="auto"/>
        </w:rPr>
      </w:pPr>
      <w:r>
        <w:rPr>
          <w:rFonts w:ascii="Arial" w:cs="Arial" w:eastAsia="Arial" w:hAnsi="Arial"/>
          <w:sz w:val="17"/>
          <w:szCs w:val="17"/>
          <w:b w:val="1"/>
          <w:bCs w:val="1"/>
          <w:i w:val="1"/>
          <w:iCs w:val="1"/>
          <w:color w:val="auto"/>
        </w:rPr>
        <w:t>BioXcel’s approach to the discovery and development of product candidates based on EvolverAI is novel and unproven, and we do not know whether we will be able to develop any products of commercial value.</w:t>
      </w:r>
    </w:p>
    <w:p>
      <w:pPr>
        <w:spacing w:after="0" w:line="146" w:lineRule="exact"/>
        <w:rPr>
          <w:sz w:val="20"/>
          <w:szCs w:val="20"/>
          <w:color w:val="auto"/>
        </w:rPr>
      </w:pPr>
    </w:p>
    <w:p>
      <w:pPr>
        <w:ind w:left="60" w:right="259" w:firstLine="324"/>
        <w:spacing w:after="0" w:line="293" w:lineRule="auto"/>
        <w:rPr>
          <w:sz w:val="20"/>
          <w:szCs w:val="20"/>
          <w:color w:val="auto"/>
        </w:rPr>
      </w:pPr>
      <w:r>
        <w:rPr>
          <w:rFonts w:ascii="Arial" w:cs="Arial" w:eastAsia="Arial" w:hAnsi="Arial"/>
          <w:sz w:val="16"/>
          <w:szCs w:val="16"/>
          <w:color w:val="auto"/>
        </w:rPr>
        <w:t>We are leveraging EvolverAI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EvolverAI to create medicines for defined patient populations may potentially enable drug research and clinical development that is more efficient than conventional drug research and development, our approach is both novel and unproven. Because our approach is both novel and unproven, the cost and time needed to develop our product candidates is difficult to predict, and our efforts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1" w:lineRule="auto"/>
        <w:rPr>
          <w:sz w:val="20"/>
          <w:szCs w:val="20"/>
          <w:color w:val="auto"/>
        </w:rPr>
      </w:pPr>
      <w:r>
        <w:rPr>
          <w:rFonts w:ascii="Arial" w:cs="Arial" w:eastAsia="Arial" w:hAnsi="Arial"/>
          <w:sz w:val="17"/>
          <w:szCs w:val="17"/>
          <w:color w:val="auto"/>
        </w:rPr>
        <w:t>may not result in the discovery and development of commercially viable medicines. We may also be incorrect about the effects of our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EvolverAI may fail to help us discover and develop additional potential product candidates.</w:t>
      </w:r>
    </w:p>
    <w:p>
      <w:pPr>
        <w:spacing w:after="0" w:line="225"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Any drug discovery that we are conducting using EvolverAI may not be successful in identifying compounds that have commercial value or therapeutic utility. EvolverAI may initially show promise in identifying potential product candidates, yet fail to yield viable product candidates for clinical development or commercialization for a number of reasons, including:</w:t>
      </w:r>
    </w:p>
    <w:p>
      <w:pPr>
        <w:spacing w:after="0" w:line="187" w:lineRule="exact"/>
        <w:rPr>
          <w:sz w:val="20"/>
          <w:szCs w:val="20"/>
          <w:color w:val="auto"/>
        </w:rPr>
      </w:pPr>
    </w:p>
    <w:p>
      <w:pPr>
        <w:ind w:left="1020" w:right="199" w:hanging="322"/>
        <w:spacing w:after="0" w:line="275"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68" w:lineRule="exact"/>
        <w:rPr>
          <w:rFonts w:ascii="Arial" w:cs="Arial" w:eastAsia="Arial" w:hAnsi="Arial"/>
          <w:sz w:val="17"/>
          <w:szCs w:val="17"/>
          <w:color w:val="auto"/>
        </w:rPr>
      </w:pPr>
    </w:p>
    <w:p>
      <w:pPr>
        <w:ind w:left="1020" w:hanging="32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compounds found through EvolverAI may not demonstrate efficacy, safety or tolerability;</w:t>
      </w:r>
    </w:p>
    <w:p>
      <w:pPr>
        <w:spacing w:after="0" w:line="117" w:lineRule="exact"/>
        <w:rPr>
          <w:rFonts w:ascii="Arial" w:cs="Arial" w:eastAsia="Arial" w:hAnsi="Arial"/>
          <w:sz w:val="18"/>
          <w:szCs w:val="18"/>
          <w:color w:val="auto"/>
        </w:rPr>
      </w:pPr>
    </w:p>
    <w:p>
      <w:pPr>
        <w:ind w:left="1020" w:right="819" w:hanging="322"/>
        <w:spacing w:after="0" w:line="26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75"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117"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b w:val="1"/>
          <w:bCs w:val="1"/>
          <w:i w:val="1"/>
          <w:iCs w:val="1"/>
          <w:color w:val="auto"/>
        </w:rPr>
        <w:t>We have obtained Fast Track Designation for BXCL501 for the treatment of acute agitation,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87"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have obtained Fast Track designation for BXCL501 for the treatment of acute agitation, and we may seek Fast Track designation for other indications for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27" w:lineRule="auto"/>
        <w:rPr>
          <w:sz w:val="20"/>
          <w:szCs w:val="20"/>
          <w:color w:val="auto"/>
        </w:rPr>
      </w:pPr>
      <w:r>
        <w:rPr>
          <w:rFonts w:ascii="Arial" w:cs="Arial" w:eastAsia="Arial" w:hAnsi="Arial"/>
          <w:sz w:val="15"/>
          <w:szCs w:val="15"/>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40" w:lineRule="exact"/>
        <w:rPr>
          <w:sz w:val="20"/>
          <w:szCs w:val="20"/>
          <w:color w:val="auto"/>
        </w:rPr>
      </w:pPr>
    </w:p>
    <w:p>
      <w:pPr>
        <w:ind w:left="60" w:right="139" w:firstLine="324"/>
        <w:spacing w:after="0" w:line="268" w:lineRule="auto"/>
        <w:rPr>
          <w:sz w:val="20"/>
          <w:szCs w:val="20"/>
          <w:color w:val="auto"/>
        </w:rPr>
      </w:pPr>
      <w:r>
        <w:rPr>
          <w:rFonts w:ascii="Arial" w:cs="Arial" w:eastAsia="Arial" w:hAnsi="Arial"/>
          <w:sz w:val="17"/>
          <w:szCs w:val="17"/>
          <w:color w:val="auto"/>
        </w:rPr>
        <w:t>We intend to seek FDA approval through the 505(b)(2) regulatory pathway for certain of our product candidates, including BXCL501. The Hatch-Waxman Act added Section 505(b)(2) to the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84"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Arial" w:cs="Arial" w:eastAsia="Arial" w:hAnsi="Arial"/>
          <w:sz w:val="16"/>
          <w:szCs w:val="16"/>
          <w:color w:val="auto"/>
        </w:rPr>
        <w:t>.</w:t>
      </w:r>
    </w:p>
    <w:p>
      <w:pPr>
        <w:spacing w:after="0" w:line="157"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We may decide to collaborate with patient diagnostic companies during our clinical trial enrollment process for BXCL701 to help identify patients with tumor gene alterations that we believe may be most likely to respond to our product candidates. If a satisfactory companion diagnostic is not commercially available, we may be required to create or obtain one that would be subject to regulatory approval requirements. The process of obtaining or creating such diagnostic is time consuming and costly.</w:t>
      </w:r>
    </w:p>
    <w:p>
      <w:pPr>
        <w:spacing w:after="0" w:line="192"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92"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If the FDA or a comparable foreign regulatory authority requires approval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Approval, clearance or certification of companion diagnostics may be subject to further legislative or regulatory reforms notably in the EU. On May 25, 2017, the new In Vitro Medical Devices Regulation (2017/746 or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will, however, only become applicable in May 2022.</w:t>
      </w:r>
    </w:p>
    <w:p>
      <w:pPr>
        <w:spacing w:after="0" w:line="181"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color w:val="auto"/>
        </w:rPr>
        <w:t>The regulation of companion diagnostics will be subject to further requirements as of the entry into force of the IVDR which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 CE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application for the medicinal product has been submitted through the centralized procedure. For other substances, the notified body can seek the opinion from a national competent authorities or the EMA.</w:t>
      </w:r>
    </w:p>
    <w:p>
      <w:pPr>
        <w:spacing w:after="0" w:line="194" w:lineRule="exact"/>
        <w:rPr>
          <w:sz w:val="20"/>
          <w:szCs w:val="20"/>
          <w:color w:val="auto"/>
        </w:rPr>
      </w:pPr>
    </w:p>
    <w:p>
      <w:pPr>
        <w:ind w:left="60" w:right="239" w:firstLine="324"/>
        <w:spacing w:after="0" w:line="342" w:lineRule="auto"/>
        <w:rPr>
          <w:sz w:val="20"/>
          <w:szCs w:val="20"/>
          <w:color w:val="auto"/>
        </w:rPr>
      </w:pPr>
      <w:r>
        <w:rPr>
          <w:rFonts w:ascii="Arial" w:cs="Arial" w:eastAsia="Arial" w:hAnsi="Arial"/>
          <w:sz w:val="16"/>
          <w:szCs w:val="16"/>
          <w:color w:val="auto"/>
        </w:rPr>
        <w:t>These modifications may make it more difficult and costly for us to obtain regulatory clearances or approvals for our companion diagnostics or to manufacture, market or distribute our products after clearance or approval is obtained.</w:t>
      </w:r>
    </w:p>
    <w:p>
      <w:pPr>
        <w:spacing w:after="0" w:line="124" w:lineRule="exact"/>
        <w:rPr>
          <w:sz w:val="20"/>
          <w:szCs w:val="20"/>
          <w:color w:val="auto"/>
        </w:rPr>
      </w:pPr>
    </w:p>
    <w:p>
      <w:pPr>
        <w:ind w:left="60" w:right="339" w:firstLine="45"/>
        <w:spacing w:after="0" w:line="263" w:lineRule="auto"/>
        <w:rPr>
          <w:sz w:val="20"/>
          <w:szCs w:val="20"/>
          <w:color w:val="auto"/>
        </w:rPr>
      </w:pPr>
      <w:r>
        <w:rPr>
          <w:rFonts w:ascii="Arial" w:cs="Arial" w:eastAsia="Arial" w:hAnsi="Arial"/>
          <w:sz w:val="18"/>
          <w:szCs w:val="18"/>
          <w:b w:val="1"/>
          <w:bCs w:val="1"/>
          <w:i w:val="1"/>
          <w:iCs w:val="1"/>
          <w:color w:val="auto"/>
        </w:rPr>
        <w:t>Even if we obtain regulatory approval for BXCL501, BXCL701 or any product candidate, we will still face extensive and ongoing regulatory requirements and obligations and any product candidates, if approved, may face future development and regulatory difficulties.</w:t>
      </w:r>
    </w:p>
    <w:p>
      <w:pPr>
        <w:spacing w:after="0" w:line="184"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registration and drug listing requirements, continued compliance with cGMP requirements relating to manufacturing, quality control, quality assurance and corresponding maintenance of records and documents, requirements regarding the distribution of samples to physicians and recordkeeping and GCP requirements for any clinical trials that we conduct post-approval.</w:t>
      </w:r>
    </w:p>
    <w:p>
      <w:pPr>
        <w:spacing w:after="0" w:line="178"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Even if marketing approval of a product candidate is granted, the approval may be subject to limitations on the indicated uses for which the product candidate may be marketed or to the conditions of approval, including a requirement to implement a REMS. If any of our product candidates receives marketing approval, the accompanying label may limit the approved indicated use of the product candidate, which could limit sales of the product candidate. The FDA may also impose requirements for costly post-marketing studies or clinical trials and surveillance to monitor the safety or efficacy of a product. Violations of the Federal Food, Drug, and Cosmetic Act, or FDCA, relating to the promotion of prescription drugs may lead to FDA enforcement actions and investigations alleging violations of federal and state healthcare fraud and abuse laws, as well as state consumer protection laws.</w:t>
      </w:r>
    </w:p>
    <w:p>
      <w:pPr>
        <w:spacing w:after="0" w:line="178" w:lineRule="exact"/>
        <w:rPr>
          <w:sz w:val="20"/>
          <w:szCs w:val="20"/>
          <w:color w:val="auto"/>
        </w:rPr>
      </w:pPr>
    </w:p>
    <w:p>
      <w:pPr>
        <w:ind w:left="60" w:right="139" w:firstLine="324"/>
        <w:spacing w:after="0" w:line="342" w:lineRule="auto"/>
        <w:rPr>
          <w:sz w:val="20"/>
          <w:szCs w:val="20"/>
          <w:color w:val="auto"/>
        </w:rPr>
      </w:pPr>
      <w:r>
        <w:rPr>
          <w:rFonts w:ascii="Arial" w:cs="Arial" w:eastAsia="Arial" w:hAnsi="Arial"/>
          <w:sz w:val="16"/>
          <w:szCs w:val="16"/>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24" w:lineRule="exact"/>
        <w:rPr>
          <w:sz w:val="20"/>
          <w:szCs w:val="20"/>
          <w:color w:val="auto"/>
        </w:rPr>
      </w:pP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manufacturing such products;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labeling or marketing of products;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33"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Further, the FDA’s policies may change, and additional government regulations may be enacted that could impose extensive and ongoing regulatory requirements and obligations on any product candidate for which we obtain marketing approval. For instance, the EU has adopted Regulation (EU) No 536/2014 (Clinical Trials Regulation, or CTR) in April 2014, which is expected to come into application in 2022. The CTR will be directly applicable in all the EU member states, repealing the current Clinical Trials Directive. Conduct of all clinical trials performed in the European Union will continue to be bound by currently applicable provisions until the new CTR becomes applicable. The extent to which ongoing clinical trials will be governed by the CTR will depend on when the CTR becomes applicable and on the duration of the individual clinical trial. If a clinical trial continues for more than three years from the day on which the CTR becomes applicable the CTR will at that time begin to apply to the clinical trial. The CTR harmonizes the assessment and supervision processes for clinical trials throughout the EU via a Clinical Trials Information System, which will notably contain a centralized EU portal and database.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4"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We also cannot predict the likelihood, nature or extent of government regulation that may arise from future legislation or administrative action, either in the United States or abroad. For example, the results of the 2020 U.S. Presidential Election may impact our business and industry. Namely,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orders will be implemented, or whether they will be rescinded and replaced under the Biden administration. The policies and priorities of the new administration are unknown and could materially impact the regulations governing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68"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0"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If we are found to have improperly promoted off-label uses of our products or product candidates, if approved, we may become subject to significant liability. Such enforcement has become more common in the industry. The FDA and other regulatory agencies strictly regulate the promotional claims that may be made about prescription drug products, such as our product candidates, if approved. In particular, a product may not be promoted for uses that are not approved by the FDA or such other regulatory agencies as reflected in the product’s approved labeling. If we receive marketing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approval for our product candidates for our proposed indications, physicians may nevertheless use our products for their patients in a manner that is inconsistent with the approved label, if the physicians personally believe in their professional medical judgment it could be used in such manner. However, if we are found to have promoted our products for any off-label uses, the U.S. federal government (and other foreign governments) could levy civil, criminal and/or administrative penalties, and seek fines against us. The FDA or other regulatory authorities could also request that we enter into a consent decree or a corporate integrity agreement,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and financial condition.</w:t>
      </w:r>
    </w:p>
    <w:p>
      <w:pPr>
        <w:spacing w:after="0" w:line="181"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7"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corresponding staff changes, may also slow the time necessary for new drug or modifications to approved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82" w:lineRule="exact"/>
        <w:rPr>
          <w:sz w:val="20"/>
          <w:szCs w:val="20"/>
          <w:color w:val="auto"/>
        </w:rPr>
      </w:pPr>
    </w:p>
    <w:p>
      <w:pPr>
        <w:jc w:val="both"/>
        <w:ind w:left="60" w:right="159" w:firstLine="324"/>
        <w:spacing w:after="0" w:line="284"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and products,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w:t>
      </w:r>
    </w:p>
    <w:p>
      <w:pPr>
        <w:spacing w:after="0" w:line="4"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8"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We may be subject to extensive regulations outside the United States and may not obtain marketing approvals for products in Europe and other jurisdictions.</w:t>
      </w:r>
    </w:p>
    <w:p>
      <w:pPr>
        <w:spacing w:after="0" w:line="170"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In addition to regulations in the United States, should we or our collaborators pursue marketing approvals for BXCL501, BXCL701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77"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7"/>
          <w:szCs w:val="17"/>
          <w:color w:val="auto"/>
        </w:rPr>
        <w:t>We expect to pursue marketing approvals for BXCL501, BXCL701 and our other product candidates in Europe and other jurisdictions outside the United States with collaborative partners. The time and process required to obtain regulatory approvals and reimbursement in Europe and other jurisdictions may be different from those in the United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342" w:lineRule="auto"/>
        <w:rPr>
          <w:sz w:val="20"/>
          <w:szCs w:val="20"/>
          <w:color w:val="auto"/>
        </w:rPr>
      </w:pPr>
      <w:r>
        <w:rPr>
          <w:rFonts w:ascii="Arial" w:cs="Arial" w:eastAsia="Arial" w:hAnsi="Arial"/>
          <w:sz w:val="16"/>
          <w:szCs w:val="16"/>
          <w:color w:val="auto"/>
        </w:rPr>
        <w:t>States regulatory and approval in one jurisdiction does not ensure approvals in any other jurisdiction; however, negative regulatory decisions in any jurisdiction may have a negative impact on the regulatory process in other jurisdictions.</w:t>
      </w:r>
    </w:p>
    <w:p>
      <w:pPr>
        <w:spacing w:after="0" w:line="124"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Following a national referendum and enactment of legislation by the government of the United Kingdom, or the UK, the United Kingdom withdrew from the European Union, or Brexit, on January 31, 2020 and entered into a transition period during which it was essentially treated as a member state of the EU and the regulatory regime remained the same across the United Kingdom and the European Union. Since January 1, 2021, the United Kingdom operates under a distinct regulatory regime. EU pharmaceutical laws now only apply to the UK in respect of Northern Ireland (as laid out in the Protocol on Ireland and Northern Ireland, including but not limited to marketing authorization applications). EU laws which have been transposed into UK law through secondary legislation continue to be applicable as “retained EU law”. As there is no general power to amend this “retained EU law” the UK government has introduced a new Medicines and Medical Devices Bill which seeks to address regulatory gaps through implementing regulations and delegated powers covering the fields of human medicines, clinical trials of human medicines, veterinary medicines and medical devices. The purpose of the bill is to enable the existing UK regulatory frameworks to be updated. Although regulatory authorities in the UK have indicated in the bill that new UK rules will closely align with EU laws, detailed proposals are yet to be published. The bill has not been formally enacted and had its final reading in the House of Lords on January 21, 2021. As the House of Lords proposed amendments to the draft legislation, the bill will go back to the other house of parliament for debate. There is no set time period for consideration of amendments and the bill will only proceed to be enacted as law once the draft bill has been agreed by both houses and royal assent has been obtained. The draft bill currently contemplates that the provisions will come into effect immediately upon enactment or otherwise within two months thereafter, with the exception of certain provisions on enforcement and disclosure, which are subject to further regulation Significant political and economic uncertainty therefore remains about how much the relationship between the UK and EU will differ as a result of the UK’s withdrawal.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75"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b w:val="1"/>
          <w:bCs w:val="1"/>
          <w:i w:val="1"/>
          <w:iCs w:val="1"/>
          <w:color w:val="auto"/>
        </w:rPr>
        <w:t>If we are found in violation of federal or state “fraud and abuse” laws, we may be required to pay a penalty and/or be suspended from participation in federal or state health care programs, which may adversely affect our business, financial condition and results of operations.</w:t>
      </w:r>
    </w:p>
    <w:p>
      <w:pPr>
        <w:spacing w:after="0" w:line="184"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In the United States, we will be subject to various federal and state health care “fraud and abuse” laws, including anti-kickback laws, false claims laws and other laws intended to reduce fraud and abuse in federal and state health care programs, which could affect us, particularly upon successful commercialization of our products in the United States. These laws include:</w:t>
      </w:r>
    </w:p>
    <w:p>
      <w:pPr>
        <w:spacing w:after="0" w:line="187" w:lineRule="exact"/>
        <w:rPr>
          <w:sz w:val="20"/>
          <w:szCs w:val="20"/>
          <w:color w:val="auto"/>
        </w:rPr>
      </w:pPr>
    </w:p>
    <w:p>
      <w:pPr>
        <w:ind w:left="1020" w:right="99" w:hanging="322"/>
        <w:spacing w:after="0" w:line="255"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p>
      <w:pPr>
        <w:spacing w:after="0" w:line="192" w:lineRule="exact"/>
        <w:rPr>
          <w:rFonts w:ascii="Arial" w:cs="Arial" w:eastAsia="Arial" w:hAnsi="Arial"/>
          <w:sz w:val="18"/>
          <w:szCs w:val="18"/>
          <w:color w:val="auto"/>
        </w:rPr>
      </w:pPr>
    </w:p>
    <w:p>
      <w:pPr>
        <w:ind w:left="1020" w:right="159" w:hanging="322"/>
        <w:spacing w:after="0" w:line="289"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79" w:hanging="322"/>
        <w:spacing w:after="0" w:line="293"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Health Insurance Portability and Accountability Act of 1996, or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pacing w:after="0" w:line="164" w:lineRule="exact"/>
        <w:rPr>
          <w:rFonts w:ascii="Arial" w:cs="Arial" w:eastAsia="Arial" w:hAnsi="Arial"/>
          <w:sz w:val="16"/>
          <w:szCs w:val="16"/>
          <w:color w:val="auto"/>
        </w:rPr>
      </w:pPr>
    </w:p>
    <w:p>
      <w:pPr>
        <w:ind w:left="1020" w:right="179" w:hanging="322"/>
        <w:spacing w:after="0" w:line="301"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57" w:lineRule="exact"/>
        <w:rPr>
          <w:rFonts w:ascii="Arial" w:cs="Arial" w:eastAsia="Arial" w:hAnsi="Arial"/>
          <w:sz w:val="16"/>
          <w:szCs w:val="16"/>
          <w:color w:val="auto"/>
        </w:rPr>
      </w:pPr>
    </w:p>
    <w:p>
      <w:pPr>
        <w:ind w:left="1020" w:right="239" w:hanging="322"/>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rFonts w:ascii="Arial" w:cs="Arial" w:eastAsia="Arial" w:hAnsi="Arial"/>
          <w:sz w:val="18"/>
          <w:szCs w:val="18"/>
          <w:color w:val="auto"/>
        </w:rPr>
      </w:pPr>
    </w:p>
    <w:p>
      <w:pPr>
        <w:ind w:left="1020" w:right="139" w:hanging="322"/>
        <w:spacing w:after="0" w:line="273"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which requires certain manufacturers of drugs, devices, biologics, and medical supplies to report annually to the Centers for Medicare &amp; Medicaid Services, or CMS, information related to payments and other transfers of value to physicians (defined to include doctors, dentists, optometrists, podiatrists and chiropractors), certain other healthcare providers starting in 2022, and teaching hospitals, and ownership and investment interests held by physicians and other healthcare providers and their immediate family members;</w:t>
      </w:r>
    </w:p>
    <w:p>
      <w:pPr>
        <w:spacing w:after="0" w:line="177" w:lineRule="exact"/>
        <w:rPr>
          <w:rFonts w:ascii="Arial" w:cs="Arial" w:eastAsia="Arial" w:hAnsi="Arial"/>
          <w:sz w:val="17"/>
          <w:szCs w:val="17"/>
          <w:color w:val="auto"/>
        </w:rPr>
      </w:pPr>
    </w:p>
    <w:p>
      <w:pPr>
        <w:ind w:left="1020" w:right="79" w:hanging="322"/>
        <w:spacing w:after="0" w:line="291"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pricing information; and; and</w:t>
      </w:r>
    </w:p>
    <w:p>
      <w:pPr>
        <w:spacing w:after="0" w:line="166" w:lineRule="exact"/>
        <w:rPr>
          <w:rFonts w:ascii="Arial" w:cs="Arial" w:eastAsia="Arial" w:hAnsi="Arial"/>
          <w:sz w:val="16"/>
          <w:szCs w:val="16"/>
          <w:color w:val="auto"/>
        </w:rPr>
      </w:pPr>
    </w:p>
    <w:p>
      <w:pPr>
        <w:ind w:left="1020" w:right="319" w:hanging="322"/>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70"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additional reporting obligations and oversight if we become subject to a corporate integrity agreement or other agreement to resolve allegations of non-compliance with these laws, and imprisonment, any of which could adversely affect our ability to market our products and adversely impact our financial results.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225"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is in excess of the limits of our insurance coverage. We expect we will supplement our clinical trial coverage with</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product liability coverage in connection with the commercial launch of BXCL501, BXCL701 or other product candidates we develop in the future; however,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If our products do not gain market acceptance, our business will suffer because we might not be able to fund future operations.</w:t>
      </w:r>
    </w:p>
    <w:p>
      <w:pPr>
        <w:spacing w:after="0" w:line="170"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A number of factors may affect the market acceptance of our products or any other products we develop or acquire, including, among others:</w:t>
      </w:r>
    </w:p>
    <w:p>
      <w:pPr>
        <w:spacing w:after="0" w:line="170" w:lineRule="exact"/>
        <w:rPr>
          <w:sz w:val="20"/>
          <w:szCs w:val="20"/>
          <w:color w:val="auto"/>
        </w:rPr>
      </w:pPr>
    </w:p>
    <w:p>
      <w:pPr>
        <w:ind w:left="1020" w:hanging="322"/>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117" w:lineRule="exact"/>
        <w:rPr>
          <w:rFonts w:ascii="Arial" w:cs="Arial" w:eastAsia="Arial" w:hAnsi="Arial"/>
          <w:sz w:val="18"/>
          <w:szCs w:val="18"/>
          <w:color w:val="auto"/>
        </w:rPr>
      </w:pPr>
    </w:p>
    <w:p>
      <w:pPr>
        <w:ind w:left="1020" w:right="279" w:hanging="322"/>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 care community of the effectiveness and safety of our products for their indicated applications and treatments;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17"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84"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b w:val="1"/>
          <w:bCs w:val="1"/>
          <w:i w:val="1"/>
          <w:iCs w:val="1"/>
          <w:color w:val="auto"/>
        </w:rPr>
        <w:t>We have been granted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88"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at the end of the fifth year, it is established that a drug no longer meets the criteria for orphan drug designation or if the drug is sufficiently profitable so that market exclusivity is no longer justified. 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indications or for our other product candidates. There can be no assurances that we will be able to obtain such designations.</w:t>
      </w:r>
    </w:p>
    <w:p>
      <w:pPr>
        <w:spacing w:after="0" w:line="171" w:lineRule="exact"/>
        <w:rPr>
          <w:sz w:val="20"/>
          <w:szCs w:val="20"/>
          <w:color w:val="auto"/>
        </w:rPr>
      </w:pPr>
    </w:p>
    <w:p>
      <w:pPr>
        <w:ind w:left="60" w:right="259" w:firstLine="324"/>
        <w:spacing w:after="0" w:line="301" w:lineRule="auto"/>
        <w:rPr>
          <w:sz w:val="20"/>
          <w:szCs w:val="20"/>
          <w:color w:val="auto"/>
        </w:rPr>
      </w:pPr>
      <w:r>
        <w:rPr>
          <w:rFonts w:ascii="Arial" w:cs="Arial" w:eastAsia="Arial" w:hAnsi="Arial"/>
          <w:sz w:val="16"/>
          <w:szCs w:val="16"/>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8" w:lineRule="auto"/>
        <w:rPr>
          <w:sz w:val="20"/>
          <w:szCs w:val="20"/>
          <w:color w:val="auto"/>
        </w:rPr>
      </w:pPr>
      <w:r>
        <w:rPr>
          <w:rFonts w:ascii="Arial" w:cs="Arial" w:eastAsia="Arial" w:hAnsi="Arial"/>
          <w:sz w:val="17"/>
          <w:szCs w:val="17"/>
          <w:color w:val="auto"/>
        </w:rPr>
        <w:t>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 review or approval process, nor does it prevent competitors from obtaining approval of the same product candidate as ours for indications other than those in which we have been granted orphan drug designation.</w:t>
      </w:r>
    </w:p>
    <w:p>
      <w:pPr>
        <w:spacing w:after="0" w:line="182"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If we are unable to develop satisfactory sales and marketing capabilities, we may not succeed in commercializing BXCL501, BXCL701 or any other product candidate.</w:t>
      </w:r>
    </w:p>
    <w:p>
      <w:pPr>
        <w:spacing w:after="0" w:line="170"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We have no experience in marketing and selling drug products. We have not entered into arrangements for the sale and marketing of BXCL501, BXCL701 or any other product candidate. Typically, pharmaceutical companies would employ groups of sales representatives and associated sales and marketing staff numbering in the hundreds to thousands of individuals to call on this large number of physicians and hospitals. We may seek to collaborate with a third party to market our drugs or may seek to market and sell our drugs by ourselves. If we seek to collaborate with a third party, we cannot be sure that a collaborative agreement can be reached on terms acceptable to us. If we seek to market and sell our drugs directly, we will need to hire additional personnel skilled in marketing and sales. We cannot be sure that we will be able to acquire, or establish third party relationships to provide, any or all of these marketing and sales capabilities. The establishment of a direct sales force or a contract sales force or a combination direct and contract sales force to market our products will be expensive and time-consuming and could delay any product launch. Further, we can give no assurances that we may be able to maintain a direct and/or contract sales force for any period of time or that our sales efforts will be sufficient to grow our revenues or that our sales efforts will ever lead to profits.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p>
    <w:p>
      <w:pPr>
        <w:spacing w:after="0" w:line="225" w:lineRule="exact"/>
        <w:rPr>
          <w:sz w:val="20"/>
          <w:szCs w:val="20"/>
          <w:color w:val="auto"/>
        </w:rPr>
      </w:pPr>
    </w:p>
    <w:p>
      <w:pPr>
        <w:ind w:left="60" w:right="299" w:firstLine="324"/>
        <w:spacing w:after="0" w:line="272" w:lineRule="auto"/>
        <w:rPr>
          <w:sz w:val="20"/>
          <w:szCs w:val="20"/>
          <w:color w:val="auto"/>
        </w:rPr>
      </w:pPr>
      <w:r>
        <w:rPr>
          <w:rFonts w:ascii="Arial" w:cs="Arial" w:eastAsia="Arial" w:hAnsi="Arial"/>
          <w:sz w:val="17"/>
          <w:szCs w:val="17"/>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United States, the European Union and other jurisdictions.</w:t>
      </w:r>
    </w:p>
    <w:p>
      <w:pPr>
        <w:spacing w:after="0" w:line="177" w:lineRule="exact"/>
        <w:rPr>
          <w:sz w:val="20"/>
          <w:szCs w:val="20"/>
          <w:color w:val="auto"/>
        </w:rPr>
      </w:pPr>
    </w:p>
    <w:p>
      <w:pPr>
        <w:ind w:left="60" w:right="239" w:firstLine="324"/>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77"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324"/>
        <w:spacing w:after="0" w:line="293" w:lineRule="auto"/>
        <w:rPr>
          <w:sz w:val="20"/>
          <w:szCs w:val="20"/>
          <w:color w:val="auto"/>
        </w:rPr>
      </w:pPr>
      <w:r>
        <w:rPr>
          <w:rFonts w:ascii="Arial" w:cs="Arial" w:eastAsia="Arial" w:hAnsi="Arial"/>
          <w:sz w:val="16"/>
          <w:szCs w:val="16"/>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64"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commercialize, if any. The inability to compete with existing or subsequently introduced drugs would harm our business, financial condition and results of operations.</w:t>
      </w:r>
    </w:p>
    <w:p>
      <w:pPr>
        <w:spacing w:after="0" w:line="184"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b w:val="1"/>
          <w:bCs w:val="1"/>
          <w:i w:val="1"/>
          <w:iCs w:val="1"/>
          <w:color w:val="auto"/>
        </w:rPr>
        <w:t>Even if we obtain regulatory approvals to commercialize BXCL501, BXCL701 or our other product candidates, our product candidates may not be accepted by physicians or the medical community in general.</w:t>
      </w:r>
    </w:p>
    <w:p>
      <w:pPr>
        <w:spacing w:after="0" w:line="124"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There can be no assurance that BXCL501, BXCL701 and our other product candidates or any other product candidate successfully developed by us, independently or with partners, will be accepted by physicians, hospitals and other health care facilities. BXCL501, BXCL701 and any future product candidates we develop will compete with a number of products manufactured and marketed by major pharmaceutical and biotech companies. The degree of market acceptance of any drugs we develop depends on a number of factors, including:</w:t>
      </w:r>
    </w:p>
    <w:p>
      <w:pPr>
        <w:spacing w:after="0" w:line="176" w:lineRule="exact"/>
        <w:rPr>
          <w:sz w:val="20"/>
          <w:szCs w:val="20"/>
          <w:color w:val="auto"/>
        </w:rPr>
      </w:pPr>
    </w:p>
    <w:p>
      <w:pPr>
        <w:ind w:left="1020" w:right="819" w:hanging="322"/>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demonstration of the clinical efficacy and safety of BXCL501, BXCL701 and our other product candidates;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timing of market approval and commercial launch of BXCL501, BXCL701 and our other product candidates;</w:t>
      </w:r>
    </w:p>
    <w:p>
      <w:pPr>
        <w:spacing w:after="0" w:line="140" w:lineRule="exact"/>
        <w:rPr>
          <w:rFonts w:ascii="Arial" w:cs="Arial" w:eastAsia="Arial" w:hAnsi="Arial"/>
          <w:sz w:val="16"/>
          <w:szCs w:val="16"/>
          <w:color w:val="auto"/>
        </w:rPr>
      </w:pPr>
    </w:p>
    <w:p>
      <w:pPr>
        <w:ind w:left="1020" w:hanging="322"/>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clinical indication(s) for which BXCL501, BXCL701 and our other product candidates are approved;</w:t>
      </w:r>
    </w:p>
    <w:p>
      <w:pPr>
        <w:spacing w:after="0" w:line="128" w:lineRule="exact"/>
        <w:rPr>
          <w:rFonts w:ascii="Arial" w:cs="Arial" w:eastAsia="Arial" w:hAnsi="Arial"/>
          <w:sz w:val="17"/>
          <w:szCs w:val="17"/>
          <w:color w:val="auto"/>
        </w:rPr>
      </w:pPr>
    </w:p>
    <w:p>
      <w:pPr>
        <w:ind w:left="1020" w:hanging="32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advantages and disadvantages of our product candidates compared to existing therapies;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changes in health care laws, regulations, and medical policies; and</w:t>
      </w:r>
    </w:p>
    <w:p>
      <w:pPr>
        <w:spacing w:after="0" w:line="117"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availability of reimbursement codes and coverage in select jurisdictions, and future changes to reimbursement policies of government and third-party payors.</w:t>
      </w:r>
    </w:p>
    <w:p>
      <w:pPr>
        <w:spacing w:after="0" w:line="62"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w:t>
      </w:r>
    </w:p>
    <w:p>
      <w:pPr>
        <w:spacing w:after="0" w:line="188"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Other third-party payors are increasingly challenging the prices charged for medical products and services. It will be time consuming and expensive for us to go through the process of seeking coverage and reimbursement from Medicare and private payors. Our proposed products may not be considered cost-effective, and coverage and reimbursement may not be available or sufficient to allow us to sell our proposed products on a profitable basis. Further federal and state proposals and health care reforms are likely which could limit the prices that can be charged for the product candidates that we develop and may further limit our commercial opportunities. Our results of operations could be materially adversely affected by proposed healthcare reforms, by the Medicare prescription drug coverage legislation, by the possible effect of such current or future legislation on amounts that private insurers will pay and by other health care reforms that may be enacted or adopted in the future.</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In September 2007, the Food and Drug Administration Amendments Act of 2007 was enacted, giving the FDA enhanced post-marketing authority, including the authority to require post-marketing studies and clinical trials, labeling changes based on new safety information, and compliance with risk evaluations and mitigation strategies approved by the FDA. The FDA’s exercise of this authority could result in delays or increased costs during product development, clinical trials and regulatory review, increased costs to assure compliance with post-approval regulatory requirements, and potential restrictions on the sale and/or distribution of approved products.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product candidates’ commercial success.</w:t>
      </w:r>
    </w:p>
    <w:p>
      <w:pPr>
        <w:spacing w:after="0" w:line="225"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The U.S. government and other governments have shown significant interest in pursuing healthcare reform. Any government-adopted reform measures could adversely impact the pricing of healthcare products and services in the United States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64"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New laws, regulations and judicial decisions, or new interpretations of existing laws, regulations and decisions, that relate to healthcare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United States, new healthcare legislation or fiscal challenges faced by government health administration authorities. Specifically, in both the United States and some foreign jurisdictions, there have been a number of legislative and regulatory proposals to change the health care system in ways that could affect our ability to sell our products profitably.</w:t>
      </w:r>
    </w:p>
    <w:p>
      <w:pPr>
        <w:spacing w:after="0" w:line="178"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For example, the Patient Protection and Affordable Care Act, as amended by the Health Care and Education Reconciliation Act, or the ACA, has substantially changed the way healthcare is financed by both government health plans and private insurers, and significantly impacts the pharmaceutical industry. The ACA contained a number of provisions that are expected to impact our business and operations in ways that may negatively affect our potential revenues in the future. For example, the ACA imposed a non-deductible excise tax on pharmaceutical manufacturers or importers that sell branded prescription drugs to government programs which we believe will increase the cost of our products. In addition, as part of the ACA’s provisions closing a funding gap that existed in the Medicare Part D prescription drug program, manufacturers are now required to provide a discount on branded prescription drugs equal to 70% of the government-negotiated price,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significant changes to the 340B drug discount program including expansion of the list of eligible covered entities that may purchase drugs under the program. At the same time, the expansion in eligibility for health insurance benefits created under ACA is expected to increase the number of patients with insurance coverage who may receive our products.</w:t>
      </w:r>
    </w:p>
    <w:p>
      <w:pPr>
        <w:spacing w:after="0" w:line="182"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For example, the Tax Cuts and Jobs Act, or the Tax Act, was enacted, which, among other things, removed penalties for not complying with the ACA’s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The U.S. Supreme Court is currently reviewing the case, although it is unclear how the Supreme Court will rule. It is also unclear how other efforts, if any, to challenge, repeal or replace the ACA will impact the law, or our business or financial condition.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 the Budget Control Act of 2011, which resulted in aggregate reductions of Medicare payments to providers of 2% per fiscal year, which went into effect on April 1, 2013 and, due to subsequent legislative amendments to the statute, will remain in effect through 2030, with the exception of a temporary suspension from May 1, 2020 through March 31, 2021, unless additional Congressional action is taken, as well as the American Taxpayer Relief Act of 2012, which, among other things, further reduced Medicare payments to several types of providers, including hospitals, and increased the statute of limitations period for the government to recover overpayments to providers from three to five years.</w:t>
      </w:r>
    </w:p>
    <w:p>
      <w:pPr>
        <w:spacing w:after="0" w:line="192"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Recently, there has also been heightened government scrutiny over the manner in which manufacturers set prices for their marketed products, which has resulted in several Congressional inquiries and proposed and enacted legislation designed to, among other things, reform government program reimbursement methodologies.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Furthermore, there has been increased interest by third party payors and governmental authorities in reference pricing systems and publication of discounts and list prices.</w:t>
      </w:r>
    </w:p>
    <w:p>
      <w:pPr>
        <w:spacing w:after="0" w:line="16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It is likely that federal and state legislatures within the United States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 with BioXcel LLC</w:t>
      </w:r>
    </w:p>
    <w:p>
      <w:pPr>
        <w:spacing w:after="0" w:line="229"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124" w:lineRule="exact"/>
        <w:rPr>
          <w:sz w:val="20"/>
          <w:szCs w:val="20"/>
          <w:color w:val="auto"/>
        </w:rPr>
      </w:pPr>
    </w:p>
    <w:p>
      <w:pPr>
        <w:ind w:left="60" w:right="419" w:firstLine="324"/>
        <w:spacing w:after="0" w:line="259" w:lineRule="auto"/>
        <w:rPr>
          <w:sz w:val="20"/>
          <w:szCs w:val="20"/>
          <w:color w:val="auto"/>
        </w:rPr>
      </w:pPr>
      <w:r>
        <w:rPr>
          <w:rFonts w:ascii="Arial" w:cs="Arial" w:eastAsia="Arial" w:hAnsi="Arial"/>
          <w:sz w:val="18"/>
          <w:szCs w:val="18"/>
          <w:color w:val="auto"/>
        </w:rPr>
        <w:t>As of December 31, 2020, BioXcel owned approximately 37.0% of the economic interest and voting power of our outstanding common stock. Even though BioXcel controls less than a majority of the voting power of our outstanding common stock, it may influence the outcome of such corporate actions so long as it owns a significant portion of our common stock.</w:t>
      </w:r>
    </w:p>
    <w:p>
      <w:pPr>
        <w:spacing w:after="0" w:line="187"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b w:val="1"/>
          <w:bCs w:val="1"/>
          <w:i w:val="1"/>
          <w:iCs w:val="1"/>
          <w:color w:val="auto"/>
        </w:rPr>
        <w:t>Approval of commercial terms between us and BioXcel does not preclude the possibility of stockholder litigation, including but not limited to derivative litigation nominally against BioXcel and against its directors and officers and also against us and our directors and officers.</w:t>
      </w:r>
    </w:p>
    <w:p>
      <w:pPr>
        <w:spacing w:after="0" w:line="184"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The commercial terms of the Services Agreement and the Amended and Restated Asset Contribution Agreement, or the Contribution Agreement, that we have entered into with BioXcel have not been negotiated on behalf of BioXcel by persons consisting solely of disinterested BioXcel directors.</w:t>
      </w:r>
    </w:p>
    <w:p>
      <w:pPr>
        <w:spacing w:after="0" w:line="184"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No assurance can be given that any stockholder of BioXcel will not claim in a lawsuit that such terms in fact are not in the best interests of BioXcel and its stockholders, that the directors and officers of BioXcel breached their fiduciary duties in connection with such agreements and that any disclosures by BioXcel to its stockholders regarding these agreements and the relationship between BioXcel and us did not satisfy applicable requirements. In any such instance, we and our directors and officers may also be named as defendants and we would have to defend ourselves and our directors and officers. While we will seek indemnification from BioXcel under the terms of these agreements against any damages or other costs, which could be substantial, no such indemnification has yet been agreed to or may be agreed to and be in effect. Further, any such litigation would be time-consuming and would divert focus and resources from the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development of our product candidates and our business, including but not limited to possibly delaying our clinical trials due to our management having to spend time and attention on such litigation.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continue to depend on BioXcel to provide us with certain services for our business.</w:t>
      </w:r>
    </w:p>
    <w:p>
      <w:pPr>
        <w:spacing w:after="0" w:line="225"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We rely, in part, on BioXcel and access to EvolverAI, a research and development engine created and owned by BioXcel, to identify, research and develop potential product candidates in neuroscience and immuno-oncology. The Company has negotiated a collaborative services agreement with BioXcel pursuant to which BioXcel shall perform product identification and related services for us utilizing EvolverAI. Under the Services Agreement, the Company has an option, exercisable until March 12, 2023, to enter into a collaborative services agreement with BioXcel pursuant to which BioXcel shall perform product identification and related services for us utilizing EvolverAI. The parties are obligated to negotiate the collaborative services agreement in good faith and to incorporate reasonable market-based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until at least September 30, 2024. In addition, BioXcel has granted us a first right to negotiate exclusive rights to any additional product candidates in the fields of neuroscience and immuno-oncology that BioXcel may identify on its own and not in connection with BioXcel’s provision of services to us under the Services Agreement. This option for first negotiation shall be valid for a period of five years from the date of our IPO. If our rights and access to BioXcel’s collaborative services and to EvolverAI were to become limited, terminated, or if we were otherwise precluded from conducting research and development using EvolverAI, or if BioXcel is unable to fulfill its obligations under the agreements, such development could materially adversely affect our future operating results, financial condition and prospects. Furthermore, certain individuals conducting services on our behalf are not our employees, and except for remedies available to us under our agreements with BioXcel, we cannot control whether or not they devote sufficient time, skill and resources to our ongoing development programs. We also cannot ensure that BioXcel retains sufficient resources or personnel or otherwise to conduct its operations. BioXcel may also have relationships with other commercial entities, including our competitors, for whom they may also be conducting research and development activities, which could impede their ability to devote appropriate time to our research and development programs. In addition, if we fail to comply with our diligence, payment or other obligations under the agreements, any such collaboration may terminate or we may not be able to successfully negotiate agreements for future product candidates or collaborations with BioXcel.</w:t>
      </w:r>
    </w:p>
    <w:p>
      <w:pPr>
        <w:spacing w:after="0" w:line="387"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The management of and beneficial ownership in BioXcel by our executive officers and our directors may create, or may create the appearance of, conflicts of interest.</w:t>
      </w:r>
    </w:p>
    <w:p>
      <w:pPr>
        <w:spacing w:after="0" w:line="170"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The management of and beneficial ownership in BioXcel by our executive officers and our directors may create, or may create the appearance of, conflicts of interest. For example, each of our Chief Executive Officer and a director on our Board, Vimal Mehta, Ph.D., and our Chief Digital Officer and a director on our Board, Krishnan Nandabalan, Ph.D., is a manager of BioXcel, as well as a director, officer and stockholder of BioXcel LLC, BioXcel’s parent company. Additionally, as of December 31, 2020, each of Dr. Mehta and Dr. Nandabalan, through their beneficial ownership of BioXcel, beneficially owned approximately 38.6% and 38.2%, respectively, of the Company. Management and ownership by our executive officers and directors in BioXcel, creates, or, may create the appearance of, conflicts of interest when these individuals are faced with decisions that could have different implications for BioXcel than the decisions have for us, including decisions that relate to our Services Agreement,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Any disputes that arise between us and BioXcel with respect to our past and ongoing relationships could harm our business operations.</w:t>
      </w:r>
    </w:p>
    <w:p>
      <w:pPr>
        <w:spacing w:after="0" w:line="170" w:lineRule="exact"/>
        <w:rPr>
          <w:sz w:val="20"/>
          <w:szCs w:val="20"/>
          <w:color w:val="auto"/>
        </w:rPr>
      </w:pPr>
    </w:p>
    <w:p>
      <w:pPr>
        <w:ind w:left="60" w:right="619" w:firstLine="324"/>
        <w:spacing w:after="0" w:line="277" w:lineRule="auto"/>
        <w:rPr>
          <w:sz w:val="20"/>
          <w:szCs w:val="20"/>
          <w:color w:val="auto"/>
        </w:rPr>
      </w:pPr>
      <w:r>
        <w:rPr>
          <w:rFonts w:ascii="Arial" w:cs="Arial" w:eastAsia="Arial" w:hAnsi="Arial"/>
          <w:sz w:val="18"/>
          <w:szCs w:val="18"/>
          <w:color w:val="auto"/>
        </w:rPr>
        <w:t>Disputes may arise between BioXcel and us in a number of areas relating to our past and ongoing relationships, including:</w:t>
      </w:r>
    </w:p>
    <w:p>
      <w:pPr>
        <w:spacing w:after="0" w:line="170" w:lineRule="exact"/>
        <w:rPr>
          <w:sz w:val="20"/>
          <w:szCs w:val="20"/>
          <w:color w:val="auto"/>
        </w:rPr>
      </w:pPr>
    </w:p>
    <w:p>
      <w:pPr>
        <w:ind w:left="1020" w:right="79" w:hanging="322"/>
        <w:spacing w:after="0" w:line="308"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intellectual property, technology and business matters, including failure to make required technology transfers and failure to comply with non-compete provisions applicable to BioXcel and us;</w:t>
      </w:r>
    </w:p>
    <w:p>
      <w:pPr>
        <w:spacing w:after="0" w:line="38" w:lineRule="exact"/>
        <w:rPr>
          <w:rFonts w:ascii="Arial" w:cs="Arial" w:eastAsia="Arial" w:hAnsi="Arial"/>
          <w:sz w:val="17"/>
          <w:szCs w:val="17"/>
          <w:color w:val="auto"/>
        </w:rPr>
      </w:pPr>
    </w:p>
    <w:p>
      <w:pPr>
        <w:ind w:left="1020" w:hanging="32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or distributions by BioXcel of all or any portion of its ownership interest in us;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has agreed to provide us; and</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and us.</w:t>
      </w:r>
    </w:p>
    <w:p>
      <w:pPr>
        <w:spacing w:after="0" w:line="117"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We entered into the Services Agreement with BioXcel related to the Separation of our business operations from those of BioXcel that contains certain limitations on BioXcel’s ability to control various aspects of our business and operations, notwithstanding BioXcel’s substantial ownership position. This agreement may be amended upon agreement between us and BioXcel.</w:t>
      </w:r>
    </w:p>
    <w:p>
      <w:pPr>
        <w:spacing w:after="0" w:line="187"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b w:val="1"/>
          <w:bCs w:val="1"/>
          <w:i w:val="1"/>
          <w:iCs w:val="1"/>
          <w:color w:val="auto"/>
        </w:rPr>
        <w:t>BioXcel may experience challenges with the acquisition, development, enhancement or deployment of technology necessary for EvolverAI.</w:t>
      </w:r>
    </w:p>
    <w:p>
      <w:pPr>
        <w:spacing w:after="0" w:line="170" w:lineRule="exact"/>
        <w:rPr>
          <w:sz w:val="20"/>
          <w:szCs w:val="20"/>
          <w:color w:val="auto"/>
        </w:rPr>
      </w:pPr>
    </w:p>
    <w:p>
      <w:pPr>
        <w:ind w:left="60" w:right="119" w:firstLine="324"/>
        <w:spacing w:after="0" w:line="285" w:lineRule="auto"/>
        <w:rPr>
          <w:sz w:val="20"/>
          <w:szCs w:val="20"/>
          <w:color w:val="auto"/>
        </w:rPr>
      </w:pPr>
      <w:r>
        <w:rPr>
          <w:rFonts w:ascii="Arial" w:cs="Arial" w:eastAsia="Arial" w:hAnsi="Arial"/>
          <w:sz w:val="16"/>
          <w:szCs w:val="16"/>
          <w:color w:val="auto"/>
        </w:rPr>
        <w:t>BioXcel operates in businesses that require sophisticated computer systems and software for data collection, data processing, cloud-based platforms, analytics, statistical projections and forecasting, mobile computing, social media analytics and other applications and technologies. BioXcel seeks to address its technology risks by increasing its reliance on the use of innovations by cross-industry technology leaders and adapt these for their pharmaceutical, biotech,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its clients in forms that are easy to use while simultaneously providing clear answers to complex questions. There can be no guarantee that we or BioXcel will be able to develop, acquire or integrate new technologies, that these new technologies will meet our and BioXcel’s needs or achieve our expected goals, or that we will be able to do so as quickly or cost-effectively as our competitors. Significant technological change could render EvolverAI obsolete. BioXcel’s continued success will depend on its ability to adapt to changing technologies, manage and process ever-increasing amounts of data and information and improve the performance, features and reliability of its services in response to changing client and industry demands. BioXcel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60" w:right="79"/>
        <w:spacing w:after="0" w:line="320" w:lineRule="auto"/>
        <w:rPr>
          <w:sz w:val="20"/>
          <w:szCs w:val="20"/>
          <w:color w:val="auto"/>
        </w:rPr>
      </w:pPr>
      <w:r>
        <w:rPr>
          <w:rFonts w:ascii="Arial" w:cs="Arial" w:eastAsia="Arial" w:hAnsi="Arial"/>
          <w:sz w:val="15"/>
          <w:szCs w:val="15"/>
          <w:b w:val="1"/>
          <w:bCs w:val="1"/>
          <w:i w:val="1"/>
          <w:iCs w:val="1"/>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46"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Drug manufacturing facilities are subject to inspection before the FDA will issue an approval to market a new drug product, and all of the manufacturers that we intend to use must adhere to the cGMP regulations prescribed by the FDA.</w:t>
      </w:r>
    </w:p>
    <w:p>
      <w:pPr>
        <w:spacing w:after="0" w:line="168"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We expect therefore to rely on third-party manufacturers for clinical supplies of our product candidates that we may develop. These third-party manufacturers will be required to comply with cGMPs, and other applicable laws and regulations. We will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85"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We and/or our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we or our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Moreover, as a result of the COVID-19 pandemic, third-party manufacturers may be affected, which could disrupt their activities and, as a result, we could face difficulty sourcing key components necessary to produce supply of our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6" w:lineRule="auto"/>
        <w:rPr>
          <w:sz w:val="20"/>
          <w:szCs w:val="20"/>
          <w:color w:val="auto"/>
        </w:rPr>
      </w:pPr>
      <w:r>
        <w:rPr>
          <w:rFonts w:ascii="Arial" w:cs="Arial" w:eastAsia="Arial" w:hAnsi="Arial"/>
          <w:sz w:val="17"/>
          <w:szCs w:val="17"/>
          <w:b w:val="1"/>
          <w:bCs w:val="1"/>
          <w:i w:val="1"/>
          <w:iCs w:val="1"/>
          <w:color w:val="auto"/>
        </w:rPr>
        <w:t>We, or third-party manufacturers on whom we rely, may be unable to successfully scale-up manufacturing of our product candidates in sufficient quality and quantity, which would delay or prevent us from developing our product candidates and commercializing approved products, if any.</w:t>
      </w:r>
    </w:p>
    <w:p>
      <w:pPr>
        <w:spacing w:after="0" w:line="16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In order to conduct clinical trials of our product candidates and commercialize any approved product candidates, we, or our manufacturers, will need to manufacture them in large quantities. We, or our manufacturers, may be unable to successfully increase the manufacturing capacity for any of our product candidates in a timely or cost-effective manner, or at all. In addition, quality issues may arise during scale-up activities. If we, or any of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6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Our failure to find third party collaborators to assist or share in the costs of product development could materially harm our business, financial condition and results of operations.</w:t>
      </w:r>
    </w:p>
    <w:p>
      <w:pPr>
        <w:spacing w:after="0" w:line="170"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Our strategy for the development and commercialization of our proprietary product candidates may include the formation of collaborative arrangements with third parties. We are a party to several collaboration agreements (research and clinical). Existing and future collaborators have significant discretion in determining the efforts and resources they apply and may not perform their obligations as expected. Potential third party collaborators include biopharmaceutical, pharmaceutical and biotechnology companies, academic institutions and other entities. Third-party collaborators may assist us in:</w:t>
      </w:r>
    </w:p>
    <w:p>
      <w:pPr>
        <w:spacing w:after="0" w:line="192" w:lineRule="exact"/>
        <w:rPr>
          <w:sz w:val="20"/>
          <w:szCs w:val="20"/>
          <w:color w:val="auto"/>
        </w:rPr>
      </w:pPr>
    </w:p>
    <w:p>
      <w:pPr>
        <w:ind w:left="1020" w:hanging="322"/>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successfully commercializing any future product candidates.</w:t>
      </w:r>
    </w:p>
    <w:p>
      <w:pPr>
        <w:spacing w:after="0" w:line="117"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If we are not able to establish further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additional collaborations could materially harm our business, financial condition and results of operations.</w:t>
      </w:r>
    </w:p>
    <w:p>
      <w:pPr>
        <w:spacing w:after="0" w:line="188"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92"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49" w:lineRule="exact"/>
        <w:rPr>
          <w:sz w:val="20"/>
          <w:szCs w:val="20"/>
          <w:color w:val="auto"/>
        </w:rPr>
      </w:pPr>
    </w:p>
    <w:p>
      <w:pPr>
        <w:jc w:val="both"/>
        <w:ind w:left="60" w:right="159" w:firstLine="324"/>
        <w:spacing w:after="0" w:line="287" w:lineRule="auto"/>
        <w:rPr>
          <w:sz w:val="20"/>
          <w:szCs w:val="20"/>
          <w:color w:val="auto"/>
        </w:rPr>
      </w:pPr>
      <w:r>
        <w:rPr>
          <w:rFonts w:ascii="Arial" w:cs="Arial" w:eastAsia="Arial" w:hAnsi="Arial"/>
          <w:sz w:val="16"/>
          <w:szCs w:val="16"/>
          <w:color w:val="auto"/>
        </w:rPr>
        <w:t>We have relied upon and plan to continue to rely upon third-party medical institutions, clinical investigators, contract laboratories and other third 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jc w:val="both"/>
        <w:ind w:left="60" w:right="499"/>
        <w:spacing w:after="0" w:line="302" w:lineRule="auto"/>
        <w:rPr>
          <w:sz w:val="20"/>
          <w:szCs w:val="20"/>
          <w:color w:val="auto"/>
        </w:rPr>
      </w:pPr>
      <w:r>
        <w:rPr>
          <w:rFonts w:ascii="Arial" w:cs="Arial" w:eastAsia="Arial" w:hAnsi="Arial"/>
          <w:sz w:val="16"/>
          <w:szCs w:val="16"/>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enforced by the FDA, the Competent Authorities of the member states of the EEA and comparable foreign regulatory authorities for all of our products in clinical development.</w:t>
      </w:r>
    </w:p>
    <w:p>
      <w:pPr>
        <w:spacing w:after="0" w:line="170"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Regulatory authorities enforce these GCPs through periodic inspections of trial sponsors, principal investigators and trial sites. If we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92"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8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GLP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60" w:right="339"/>
        <w:spacing w:after="0" w:line="381" w:lineRule="auto"/>
        <w:rPr>
          <w:sz w:val="20"/>
          <w:szCs w:val="20"/>
          <w:color w:val="auto"/>
        </w:rPr>
      </w:pPr>
      <w:r>
        <w:rPr>
          <w:rFonts w:ascii="Arial" w:cs="Arial" w:eastAsia="Arial" w:hAnsi="Arial"/>
          <w:sz w:val="15"/>
          <w:szCs w:val="15"/>
          <w:b w:val="1"/>
          <w:bCs w:val="1"/>
          <w:i w:val="1"/>
          <w:iCs w:val="1"/>
          <w:color w:val="auto"/>
        </w:rPr>
        <w:t>The outbreak of the novel coronavirus disease, COVID-19, or other pandemic, epidemic or outbreak of an infectious disease may materially and adversely impact our business, including our preclinical studies and clinical trials.</w:t>
      </w:r>
    </w:p>
    <w:p>
      <w:pPr>
        <w:spacing w:after="0" w:line="100"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In 2020, the novel coronavirus disease, COVID-19, was declared a pandemic and has spread across the globe, including throughout the United States and Europe.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Our office is currently open to employees on a voluntary basis with a maximum number of 25% of employees present at any given time limited and which is aligned to state guidelines. We have also implemented protocols as required under the State of Connecticut’s Reopen program and have limited travel. We have taken steps to protect our workforce and have instituted strict work rules to protect our employees. To date, our remote working arrangements have not significantly affected our ability to maintain critical business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firstLine="324"/>
        <w:spacing w:after="0" w:line="342" w:lineRule="auto"/>
        <w:rPr>
          <w:sz w:val="20"/>
          <w:szCs w:val="20"/>
          <w:color w:val="auto"/>
        </w:rPr>
      </w:pPr>
      <w:r>
        <w:rPr>
          <w:rFonts w:ascii="Arial" w:cs="Arial" w:eastAsia="Arial" w:hAnsi="Arial"/>
          <w:sz w:val="16"/>
          <w:szCs w:val="16"/>
          <w:color w:val="auto"/>
        </w:rPr>
        <w:t>As a result of the COVID-19 pandemic or other pandemics, epidemics or outbreaks of infectious disease, we may experience disruptions that could severely impact our business, preclinical studies and clinical trials, including:</w:t>
      </w:r>
    </w:p>
    <w:p>
      <w:pPr>
        <w:spacing w:after="0" w:line="124" w:lineRule="exact"/>
        <w:rPr>
          <w:sz w:val="20"/>
          <w:szCs w:val="20"/>
          <w:color w:val="auto"/>
        </w:rPr>
      </w:pPr>
    </w:p>
    <w:p>
      <w:pPr>
        <w:ind w:left="1020" w:hanging="32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1020" w:right="119" w:hanging="322"/>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62" w:lineRule="exact"/>
        <w:rPr>
          <w:rFonts w:ascii="Arial" w:cs="Arial" w:eastAsia="Arial" w:hAnsi="Arial"/>
          <w:sz w:val="18"/>
          <w:szCs w:val="18"/>
          <w:color w:val="auto"/>
        </w:rPr>
      </w:pPr>
    </w:p>
    <w:p>
      <w:pPr>
        <w:ind w:left="1020" w:right="119" w:hanging="322"/>
        <w:spacing w:after="0" w:line="308"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38" w:lineRule="exact"/>
        <w:rPr>
          <w:rFonts w:ascii="Arial" w:cs="Arial" w:eastAsia="Arial" w:hAnsi="Arial"/>
          <w:sz w:val="17"/>
          <w:szCs w:val="17"/>
          <w:color w:val="auto"/>
        </w:rPr>
      </w:pPr>
    </w:p>
    <w:p>
      <w:pPr>
        <w:ind w:left="1020" w:right="259" w:hanging="322"/>
        <w:spacing w:after="0" w:line="259"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78" w:lineRule="exact"/>
        <w:rPr>
          <w:rFonts w:ascii="Arial" w:cs="Arial" w:eastAsia="Arial" w:hAnsi="Arial"/>
          <w:sz w:val="18"/>
          <w:szCs w:val="18"/>
          <w:color w:val="auto"/>
        </w:rPr>
      </w:pPr>
    </w:p>
    <w:p>
      <w:pPr>
        <w:ind w:left="1020" w:right="179" w:hanging="322"/>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62" w:lineRule="exact"/>
        <w:rPr>
          <w:rFonts w:ascii="Arial" w:cs="Arial" w:eastAsia="Arial" w:hAnsi="Arial"/>
          <w:sz w:val="18"/>
          <w:szCs w:val="18"/>
          <w:color w:val="auto"/>
        </w:rPr>
      </w:pPr>
    </w:p>
    <w:p>
      <w:pPr>
        <w:ind w:left="1020" w:right="359" w:hanging="322"/>
        <w:spacing w:after="0" w:line="26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75"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resulting from restrictions on our on-site activities;</w:t>
      </w:r>
    </w:p>
    <w:p>
      <w:pPr>
        <w:spacing w:after="0" w:line="62" w:lineRule="exact"/>
        <w:rPr>
          <w:rFonts w:ascii="Arial" w:cs="Arial" w:eastAsia="Arial" w:hAnsi="Arial"/>
          <w:sz w:val="18"/>
          <w:szCs w:val="18"/>
          <w:color w:val="auto"/>
        </w:rPr>
      </w:pPr>
    </w:p>
    <w:p>
      <w:pPr>
        <w:jc w:val="both"/>
        <w:ind w:left="1020" w:right="199" w:hanging="322"/>
        <w:spacing w:after="0" w:line="26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75" w:lineRule="exact"/>
        <w:rPr>
          <w:rFonts w:ascii="Arial" w:cs="Arial" w:eastAsia="Arial" w:hAnsi="Arial"/>
          <w:sz w:val="18"/>
          <w:szCs w:val="18"/>
          <w:color w:val="auto"/>
        </w:rPr>
      </w:pPr>
    </w:p>
    <w:p>
      <w:pPr>
        <w:ind w:left="1020" w:right="759" w:hanging="322"/>
        <w:spacing w:after="0" w:line="308"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impacts from prolonged remote work arrangements, such as strains on our business continuity plans, cybersecurity risks, and inability of certain employees to perform their work remotely; and</w:t>
      </w:r>
    </w:p>
    <w:p>
      <w:pPr>
        <w:spacing w:after="0" w:line="38" w:lineRule="exact"/>
        <w:rPr>
          <w:rFonts w:ascii="Arial" w:cs="Arial" w:eastAsia="Arial" w:hAnsi="Arial"/>
          <w:sz w:val="17"/>
          <w:szCs w:val="17"/>
          <w:color w:val="auto"/>
        </w:rPr>
      </w:pPr>
    </w:p>
    <w:p>
      <w:pPr>
        <w:ind w:left="1020" w:hanging="32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333" w:lineRule="exact"/>
        <w:rPr>
          <w:sz w:val="20"/>
          <w:szCs w:val="20"/>
          <w:color w:val="auto"/>
        </w:rPr>
      </w:pPr>
    </w:p>
    <w:p>
      <w:pPr>
        <w:ind w:left="60" w:right="119" w:firstLine="324"/>
        <w:spacing w:after="0" w:line="288" w:lineRule="auto"/>
        <w:rPr>
          <w:sz w:val="20"/>
          <w:szCs w:val="20"/>
          <w:color w:val="auto"/>
        </w:rPr>
      </w:pPr>
      <w:r>
        <w:rPr>
          <w:rFonts w:ascii="Arial" w:cs="Arial" w:eastAsia="Arial" w:hAnsi="Arial"/>
          <w:sz w:val="16"/>
          <w:szCs w:val="16"/>
          <w:color w:val="auto"/>
        </w:rPr>
        <w:t>The COVID-19 pandemic continues to rapidly evolve. The extent to which the outbreak impacts our business, preclinical studies and clinical trials will depend on future developments, which are highly uncertain and cannot be predicted with confidence, such as the ultimate geographic spread of the disease, the rate of infection, the duration of the pandemic and subsequent waves of infection, travel restrictions and social distancing in the United States and other countries, business closures or business disruptions, the availability and effectiveness of any vaccines and the effectiveness of actions taken in the United States and other countries to contain and treat the disease. If we or any of the third parties with whom we engage were to experience shutdowns or other business disruptions, our ability to conduct our business in the manner and on the timelines presently planned could be materially and negatively impacted. Additionally, concerns over the economic impact of COVID-19 pandemic have caused extreme volatility in financial and other capital markets which has and may continue to adversely impact our stock price and our ability to access capital markets.</w:t>
      </w:r>
    </w:p>
    <w:p>
      <w:pPr>
        <w:spacing w:after="0" w:line="168"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70" w:lineRule="exact"/>
        <w:rPr>
          <w:sz w:val="20"/>
          <w:szCs w:val="20"/>
          <w:color w:val="auto"/>
        </w:rPr>
      </w:pPr>
    </w:p>
    <w:p>
      <w:pPr>
        <w:ind w:left="60" w:right="359" w:firstLine="324"/>
        <w:spacing w:after="0" w:line="293" w:lineRule="auto"/>
        <w:rPr>
          <w:sz w:val="20"/>
          <w:szCs w:val="20"/>
          <w:color w:val="auto"/>
        </w:rPr>
      </w:pPr>
      <w:r>
        <w:rPr>
          <w:rFonts w:ascii="Arial" w:cs="Arial" w:eastAsia="Arial" w:hAnsi="Arial"/>
          <w:sz w:val="16"/>
          <w:szCs w:val="16"/>
          <w:color w:val="auto"/>
        </w:rPr>
        <w:t>As of December 31, 2020, we employed a total of 50 full-time employees. In addition, we have access to certain of BioXcel’s employees and resources through the various agreements we have entered into with BioXcel. Our current internal departments include finance, research and development and administration. We have been expanding our management team to include an operational ramp up of additional technical staff required to achieve our business objectives. We will need to continue to expand our managerial, operational, technical and scientific, financial and other resources in order to manage our operations and clinical trials, establish independent manufacturing, continue our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color w:val="auto"/>
        </w:rPr>
        <w:t>research and development activities, and commercialize our product candidate. Our management and scientific personnel, systems and facilities currently in place may not be adequate to support our future growth.</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225" w:lineRule="exact"/>
        <w:rPr>
          <w:sz w:val="20"/>
          <w:szCs w:val="20"/>
          <w:color w:val="auto"/>
        </w:rPr>
      </w:pPr>
    </w:p>
    <w:p>
      <w:pPr>
        <w:ind w:left="1020" w:right="299" w:hanging="322"/>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 our clinical trials effectively, including our planned clinical trials of BXCL501, BXCL701 and our other product candidates;</w:t>
      </w:r>
    </w:p>
    <w:p>
      <w:pPr>
        <w:spacing w:after="0" w:line="62" w:lineRule="exact"/>
        <w:rPr>
          <w:rFonts w:ascii="Arial" w:cs="Arial" w:eastAsia="Arial" w:hAnsi="Arial"/>
          <w:sz w:val="18"/>
          <w:szCs w:val="18"/>
          <w:color w:val="auto"/>
        </w:rPr>
      </w:pPr>
    </w:p>
    <w:p>
      <w:pPr>
        <w:ind w:left="1020" w:right="739" w:hanging="322"/>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spacing w:after="0" w:line="62" w:lineRule="exact"/>
        <w:rPr>
          <w:rFonts w:ascii="Arial" w:cs="Arial" w:eastAsia="Arial" w:hAnsi="Arial"/>
          <w:sz w:val="18"/>
          <w:szCs w:val="18"/>
          <w:color w:val="auto"/>
        </w:rPr>
      </w:pPr>
    </w:p>
    <w:p>
      <w:pPr>
        <w:ind w:left="1020" w:right="859" w:hanging="322"/>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117" w:lineRule="exact"/>
        <w:rPr>
          <w:sz w:val="20"/>
          <w:szCs w:val="20"/>
          <w:color w:val="auto"/>
        </w:rPr>
      </w:pPr>
    </w:p>
    <w:p>
      <w:pPr>
        <w:ind w:left="60" w:right="219" w:firstLine="324"/>
        <w:spacing w:after="0" w:line="286" w:lineRule="auto"/>
        <w:rPr>
          <w:sz w:val="20"/>
          <w:szCs w:val="20"/>
          <w:color w:val="auto"/>
        </w:rPr>
      </w:pPr>
      <w:r>
        <w:rPr>
          <w:rFonts w:ascii="Arial" w:cs="Arial" w:eastAsia="Arial" w:hAnsi="Arial"/>
          <w:sz w:val="16"/>
          <w:szCs w:val="16"/>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71"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24"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Our success depends largely upon the continued services of our key executive officers, Vimal Mehta, our Chief Executive Officer, President, and a member of our Board, as well as the other principal members of our management, scientific and clinical teams. We do not maintain “key person” insurance for any of these executive officers or any of our other key employees. We also rely on our leadership team in the areas of research and development, marketing, services and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65"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To continue to execute our growth strategy, we also must attract and retain highly skilled personnel. We might not be successful in maintaining our unique culture and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with the pharma market is limited overall. In addition, many of the companies with which we compete for experienced personnel have greater resources than we have.</w:t>
      </w:r>
    </w:p>
    <w:p>
      <w:pPr>
        <w:spacing w:after="0" w:line="192"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stock options and other equity instruments might discourage us from granting the size or type of stock option or equity awards that job candidates require to join our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company. If we fail to attract new personnel or fail to retain and motivate our current personnel, our business and future growth prospects could be severely harmed.</w:t>
      </w:r>
    </w:p>
    <w:p>
      <w:pPr>
        <w:spacing w:after="0" w:line="170"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We may acquire other companies or technologies, which could divert our management’s attention, result in dilution to our stockholders and otherwise disrupt our operations and adversely affect our operating results.</w:t>
      </w:r>
    </w:p>
    <w:p>
      <w:pPr>
        <w:spacing w:after="0" w:line="170"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7"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117" w:lineRule="exact"/>
        <w:rPr>
          <w:rFonts w:ascii="Arial" w:cs="Arial" w:eastAsia="Arial" w:hAnsi="Arial"/>
          <w:sz w:val="18"/>
          <w:szCs w:val="18"/>
          <w:color w:val="auto"/>
        </w:rPr>
      </w:pPr>
    </w:p>
    <w:p>
      <w:pPr>
        <w:ind w:left="1020" w:right="219" w:hanging="322"/>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62" w:lineRule="exact"/>
        <w:rPr>
          <w:rFonts w:ascii="Arial" w:cs="Arial" w:eastAsia="Arial" w:hAnsi="Arial"/>
          <w:sz w:val="18"/>
          <w:szCs w:val="18"/>
          <w:color w:val="auto"/>
        </w:rPr>
      </w:pPr>
    </w:p>
    <w:p>
      <w:pPr>
        <w:ind w:left="1020" w:right="239" w:hanging="322"/>
        <w:spacing w:after="0" w:line="342"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onto our platform and contract terms, including disparities in the revenue, licensing, support or professional services model of the acquired company;</w:t>
      </w:r>
    </w:p>
    <w:p>
      <w:pPr>
        <w:spacing w:after="0" w:line="15" w:lineRule="exact"/>
        <w:rPr>
          <w:rFonts w:ascii="Arial" w:cs="Arial" w:eastAsia="Arial" w:hAnsi="Arial"/>
          <w:sz w:val="16"/>
          <w:szCs w:val="16"/>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17" w:lineRule="exact"/>
        <w:rPr>
          <w:rFonts w:ascii="Arial" w:cs="Arial" w:eastAsia="Arial" w:hAnsi="Arial"/>
          <w:sz w:val="18"/>
          <w:szCs w:val="18"/>
          <w:color w:val="auto"/>
        </w:rPr>
      </w:pPr>
    </w:p>
    <w:p>
      <w:pPr>
        <w:ind w:left="1020" w:right="279" w:hanging="322"/>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333"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7"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84"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healthcare fraud and abuse laws and 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178"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Business interruptions could adversely affect future operations, revenues, and financial conditions, and may increase our costs and expenses.</w:t>
      </w:r>
    </w:p>
    <w:p>
      <w:pPr>
        <w:spacing w:after="0" w:line="170"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pandemics such as the COVID-19 pandemic,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74"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Likewise, we will rely on third parties to manufacture BXCL501 and BXCL701 and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92"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b w:val="1"/>
          <w:bCs w:val="1"/>
          <w:i w:val="1"/>
          <w:iCs w:val="1"/>
          <w:color w:val="auto"/>
        </w:rPr>
        <w:t>Data breaches or cyber-attacks could disrupt our business operations and information technology systems, adversely impact our financial results or result in the loss or exposure of confidential or sensitive product candidate, clinical trial, employee or Company information.</w:t>
      </w:r>
    </w:p>
    <w:p>
      <w:pPr>
        <w:spacing w:after="0" w:line="184"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Our information technology systems have been and may in the future be attacked or breached by individuals or organizations intending to obtain sensitive data regarding our business, our product candidates, clinical trials or other third parties with whom we do business; harm or disrupt our business operations; or otherwise misappropriate information or Company funds. A security compromise of our information technology systems or business operations could occur through a variety of methods such as cyber-attacks or cyber-intrusions over the Internet, malware, computer viruses, email spoofing, attachments to e-mails, persons inside our organization,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 For example, in September 2020, we were the victim of an email-based wire fraud that involved two electronic communications impersonating one of our vendors, resulting in our sending wires totaling $1.9 million to accounts controlled by the impersonator. We use our information technology systems to protect confidential or sensitive product candidate, clinical trial, employee and Company information. Any attack on such systems that results in the unauthorized release or loss of such information could have a material adverse effect on our business reputation, increase our costs and expose us to material legal claims and liability. If the unauthorized release or loss of product candidate, clinical trial, employee or other confidential or sensitive data were to occur, our operations and financial results and our share price could be adversely affected.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Furthermore, the security measures employed by third-party service providers may prove to be ineffective at preventing breaches of their systems. Although we maintain insurance for our business, the coverage under our policies may not be adequate to compensate us for all losses that may occur.</w:t>
      </w:r>
    </w:p>
    <w:p>
      <w:pPr>
        <w:spacing w:after="0" w:line="185" w:lineRule="exact"/>
        <w:rPr>
          <w:sz w:val="20"/>
          <w:szCs w:val="20"/>
          <w:color w:val="auto"/>
        </w:rPr>
      </w:pPr>
    </w:p>
    <w:p>
      <w:pPr>
        <w:ind w:left="60" w:right="139"/>
        <w:spacing w:after="0" w:line="381" w:lineRule="auto"/>
        <w:rPr>
          <w:sz w:val="20"/>
          <w:szCs w:val="20"/>
          <w:color w:val="auto"/>
        </w:rPr>
      </w:pPr>
      <w:r>
        <w:rPr>
          <w:rFonts w:ascii="Arial" w:cs="Arial" w:eastAsia="Arial" w:hAnsi="Arial"/>
          <w:sz w:val="15"/>
          <w:szCs w:val="15"/>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73"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Additionally, our use of artificial intelligence and machine learning may be subject to laws and evolving regulations regarding the use of artificial intelligence/machine learning, controlling for data bias, and antidiscrimination.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71" w:lineRule="exact"/>
        <w:rPr>
          <w:sz w:val="20"/>
          <w:szCs w:val="20"/>
          <w:color w:val="auto"/>
        </w:rPr>
      </w:pPr>
    </w:p>
    <w:p>
      <w:pPr>
        <w:ind w:left="60" w:right="99" w:firstLine="324"/>
        <w:spacing w:after="0" w:line="267" w:lineRule="auto"/>
        <w:rPr>
          <w:sz w:val="20"/>
          <w:szCs w:val="20"/>
          <w:color w:val="auto"/>
        </w:rPr>
      </w:pPr>
      <w:r>
        <w:rPr>
          <w:rFonts w:ascii="Arial" w:cs="Arial" w:eastAsia="Arial" w:hAnsi="Arial"/>
          <w:sz w:val="17"/>
          <w:szCs w:val="17"/>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CPRA recently passed in California,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88"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Further, from January 1, 2021, companies have to comply with the GDPR and also the United Kingdom GDPR, or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Currently there is a four to six-month grace period agreed in the EU and United Kingdom Trade and Cooperation Agreement, ending June 30, 2021 at the latest, whilst the parties discuss an adequacy decision. However, it is not clear whether (and when) an adequacy decision may be granted by the European Commission enabling data transfers from EU member states to the United Kingdom long term without additional measures. These changes may lead to additional costs and increase our overall risk exposure.</w:t>
      </w:r>
    </w:p>
    <w:p>
      <w:pPr>
        <w:spacing w:after="0" w:line="18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95"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failure to successfully acquire, develop and market additional product candidates or approved drug products could impair our ability to grow.</w:t>
      </w:r>
    </w:p>
    <w:p>
      <w:pPr>
        <w:spacing w:after="0" w:line="170"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As part of our growth strategy, we may evaluate, acquire, license, develop and/or market additional product candidates and technologies. These investments will not constitute a significant portion of our business. However,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 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25" w:lineRule="exact"/>
        <w:rPr>
          <w:sz w:val="20"/>
          <w:szCs w:val="20"/>
          <w:color w:val="auto"/>
        </w:rPr>
      </w:pPr>
    </w:p>
    <w:p>
      <w:pPr>
        <w:ind w:left="1020" w:hanging="32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7" w:lineRule="exact"/>
        <w:rPr>
          <w:rFonts w:ascii="Arial" w:cs="Arial" w:eastAsia="Arial" w:hAnsi="Arial"/>
          <w:sz w:val="18"/>
          <w:szCs w:val="18"/>
          <w:color w:val="auto"/>
        </w:rPr>
      </w:pPr>
    </w:p>
    <w:p>
      <w:pPr>
        <w:ind w:left="1020" w:right="159" w:hanging="322"/>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179" w:hanging="322"/>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62" w:lineRule="exact"/>
        <w:rPr>
          <w:rFonts w:ascii="Arial" w:cs="Arial" w:eastAsia="Arial" w:hAnsi="Arial"/>
          <w:sz w:val="18"/>
          <w:szCs w:val="18"/>
          <w:color w:val="auto"/>
        </w:rPr>
      </w:pPr>
    </w:p>
    <w:p>
      <w:pPr>
        <w:ind w:left="1020" w:right="399" w:hanging="322"/>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117"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92"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losses and research and development credits to offset future taxable income may be subject to certain limitations.</w:t>
      </w:r>
    </w:p>
    <w:p>
      <w:pPr>
        <w:spacing w:after="0" w:line="170"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As of December 31, 2020, we had federal operating loss carryforwards, or NOLs, of approximately $40.7 million. Our NOLs arising before January 1, 2018 are subject to expiration and will begin to expire in 2037. As of December 31, 2020, we also had federal and state research and development and other tax credit carryforwards, or credits of approximately $5.0 million available to reduce future tax liabilities. The federal and state credits expire at various dates through 2037. These NOLs and credits could expire unused and be unavailable to offset future taxable income or income tax liabilities. In addition, in general, under Sections 382 and 383 of the Internal Revenue Code of 1986, as amended, or the Code, a corporation that undergoes an "ownership change" is subject to limitations on its ability to utilize its pre-change NOLs or credits to offset future taxable income or income tax liabilities. For these purposes, an ownership change generally occurs where the aggregate change in stock ownership of one or more stockholders or groups of stockholders owning at least 5% of a corporation's stock exceeds 50 percentage points over a three-year period. Future changes in our stock ownership, including as a result of February 2020 offering of common stock, many of which are outside of our control, could result in an ownership change. Our NOLs or credits may also be impaired under state law. Accordingly, even if we attain profitability, we may not be able to utilize a material portion of our NOLs or credits. Furthermore, under the Tax Cuts and Jobs Act of 2017 and modified by the CARES Act signed on March 27, 2020, although the treatment of NOLs arising on or before December 31, 2017 has generally not changed, NOLs arising on or after January 1, 2018 and beyond may only be used to offset 80% of taxable income for tax years beginning after December 31, 2020. This change may require us to pay federal income taxes in future years despite generating a loss for federal income tax purposes in prior years.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84"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Our commercial success will depend in part on obtaining and maintaining patent protection and trade secret protection of our current and future product candidates, the processes used to manufacture them and the methods for using them, as well as successfully defending these patents against third-party challenges. We are the owner of record of patents and patent applications pending in the United States and in certain foreign jurisdictions. Patents issue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 As of March 10, 2021, we had five allowed or issued foreign patents that are relevant to our BXCL701 program and one issued U.S. patent that is relevant to our BXCL501 program. 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or in foreign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6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88"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1020" w:right="139" w:hanging="322"/>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our patents;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our pending patent applications;</w:t>
      </w:r>
    </w:p>
    <w:p>
      <w:pPr>
        <w:spacing w:after="0" w:line="128" w:lineRule="exact"/>
        <w:rPr>
          <w:rFonts w:ascii="Arial" w:cs="Arial" w:eastAsia="Arial" w:hAnsi="Arial"/>
          <w:sz w:val="17"/>
          <w:szCs w:val="17"/>
          <w:color w:val="auto"/>
        </w:rPr>
      </w:pPr>
    </w:p>
    <w:p>
      <w:pPr>
        <w:ind w:left="1020" w:hanging="322"/>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117" w:lineRule="exact"/>
        <w:rPr>
          <w:rFonts w:ascii="Arial" w:cs="Arial" w:eastAsia="Arial" w:hAnsi="Arial"/>
          <w:sz w:val="18"/>
          <w:szCs w:val="18"/>
          <w:color w:val="auto"/>
        </w:rPr>
      </w:pPr>
    </w:p>
    <w:p>
      <w:pPr>
        <w:ind w:left="1020" w:right="399" w:hanging="322"/>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granted patents may be held invalid or unenforceable as a result of legal challenges by third parties; and</w:t>
      </w:r>
    </w:p>
    <w:p>
      <w:pPr>
        <w:spacing w:after="0" w:line="46" w:lineRule="exact"/>
        <w:rPr>
          <w:rFonts w:ascii="Arial" w:cs="Arial" w:eastAsia="Arial" w:hAnsi="Arial"/>
          <w:sz w:val="16"/>
          <w:szCs w:val="16"/>
          <w:color w:val="auto"/>
        </w:rPr>
      </w:pPr>
    </w:p>
    <w:p>
      <w:pPr>
        <w:ind w:left="1020" w:hanging="322"/>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ind w:left="60" w:right="319"/>
        <w:spacing w:after="0" w:line="286"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5" w:lineRule="exact"/>
        <w:rPr>
          <w:sz w:val="20"/>
          <w:szCs w:val="20"/>
          <w:color w:val="auto"/>
        </w:rPr>
      </w:pPr>
    </w:p>
    <w:p>
      <w:pPr>
        <w:ind w:left="60" w:right="119" w:firstLine="324"/>
        <w:spacing w:after="0" w:line="268" w:lineRule="auto"/>
        <w:rPr>
          <w:sz w:val="20"/>
          <w:szCs w:val="20"/>
          <w:color w:val="auto"/>
        </w:rPr>
      </w:pPr>
      <w:r>
        <w:rPr>
          <w:rFonts w:ascii="Arial" w:cs="Arial" w:eastAsia="Arial" w:hAnsi="Arial"/>
          <w:sz w:val="17"/>
          <w:szCs w:val="17"/>
          <w:color w:val="auto"/>
        </w:rPr>
        <w:t>Periodic maintenance, renewal and annuity fees and various other government fees on any issued patent and pending patent application must be paid to the U.S. Patent and Trademark Office, or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84" w:lineRule="exact"/>
        <w:rPr>
          <w:sz w:val="20"/>
          <w:szCs w:val="20"/>
          <w:color w:val="auto"/>
        </w:rPr>
      </w:pPr>
    </w:p>
    <w:p>
      <w:pPr>
        <w:ind w:left="60" w:right="59" w:firstLine="324"/>
        <w:spacing w:after="0" w:line="253" w:lineRule="auto"/>
        <w:rPr>
          <w:sz w:val="20"/>
          <w:szCs w:val="20"/>
          <w:color w:val="auto"/>
        </w:rPr>
      </w:pPr>
      <w:r>
        <w:rPr>
          <w:rFonts w:ascii="Arial" w:cs="Arial" w:eastAsia="Arial" w:hAnsi="Arial"/>
          <w:sz w:val="18"/>
          <w:szCs w:val="18"/>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225" w:lineRule="exact"/>
        <w:rPr>
          <w:sz w:val="20"/>
          <w:szCs w:val="20"/>
          <w:color w:val="auto"/>
        </w:rPr>
      </w:pPr>
    </w:p>
    <w:p>
      <w:pPr>
        <w:ind w:left="1020" w:hanging="322"/>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20" w:right="279" w:hanging="322"/>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obligations;</w:t>
      </w:r>
    </w:p>
    <w:p>
      <w:pPr>
        <w:spacing w:after="0" w:line="117" w:lineRule="exact"/>
        <w:rPr>
          <w:rFonts w:ascii="Arial" w:cs="Arial" w:eastAsia="Arial" w:hAnsi="Arial"/>
          <w:sz w:val="18"/>
          <w:szCs w:val="18"/>
          <w:color w:val="auto"/>
        </w:rPr>
      </w:pPr>
    </w:p>
    <w:p>
      <w:pPr>
        <w:ind w:left="1020" w:right="379" w:hanging="322"/>
        <w:spacing w:after="0" w:line="263"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 third-party expresses interest in an area under a license that we are not pursuing, under the terms of certain of our license agreements, we may be required to sublicense rights in that area to a third party, and that sublicense could harm our business; and</w:t>
      </w:r>
    </w:p>
    <w:p>
      <w:pPr>
        <w:spacing w:after="0" w:line="75" w:lineRule="exact"/>
        <w:rPr>
          <w:rFonts w:ascii="Arial" w:cs="Arial" w:eastAsia="Arial" w:hAnsi="Arial"/>
          <w:sz w:val="18"/>
          <w:szCs w:val="18"/>
          <w:color w:val="auto"/>
        </w:rPr>
      </w:pPr>
    </w:p>
    <w:p>
      <w:pPr>
        <w:ind w:left="1020" w:right="139" w:hanging="322"/>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62"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76" w:lineRule="exact"/>
        <w:rPr>
          <w:sz w:val="20"/>
          <w:szCs w:val="20"/>
          <w:color w:val="auto"/>
        </w:rPr>
      </w:pPr>
    </w:p>
    <w:p>
      <w:pPr>
        <w:jc w:val="both"/>
        <w:ind w:left="60" w:right="219" w:firstLine="324"/>
        <w:spacing w:after="0" w:line="259" w:lineRule="auto"/>
        <w:rPr>
          <w:sz w:val="20"/>
          <w:szCs w:val="20"/>
          <w:color w:val="auto"/>
        </w:rPr>
      </w:pPr>
      <w:r>
        <w:rPr>
          <w:rFonts w:ascii="Arial" w:cs="Arial" w:eastAsia="Arial" w:hAnsi="Arial"/>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260"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8" w:lineRule="exact"/>
        <w:rPr>
          <w:sz w:val="20"/>
          <w:szCs w:val="20"/>
          <w:color w:val="auto"/>
        </w:rPr>
      </w:pPr>
    </w:p>
    <w:p>
      <w:pPr>
        <w:ind w:left="60" w:right="559"/>
        <w:spacing w:after="0" w:line="308" w:lineRule="auto"/>
        <w:rPr>
          <w:sz w:val="20"/>
          <w:szCs w:val="20"/>
          <w:color w:val="auto"/>
        </w:rPr>
      </w:pPr>
      <w:r>
        <w:rPr>
          <w:rFonts w:ascii="Arial" w:cs="Arial" w:eastAsia="Arial" w:hAnsi="Arial"/>
          <w:sz w:val="17"/>
          <w:szCs w:val="17"/>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46" w:lineRule="exact"/>
        <w:rPr>
          <w:sz w:val="20"/>
          <w:szCs w:val="20"/>
          <w:color w:val="auto"/>
        </w:rPr>
      </w:pPr>
    </w:p>
    <w:p>
      <w:pPr>
        <w:ind w:left="60" w:right="439" w:firstLine="324"/>
        <w:spacing w:after="0" w:line="342" w:lineRule="auto"/>
        <w:rPr>
          <w:sz w:val="20"/>
          <w:szCs w:val="20"/>
          <w:color w:val="auto"/>
        </w:rPr>
      </w:pPr>
      <w:r>
        <w:rPr>
          <w:rFonts w:ascii="Arial" w:cs="Arial" w:eastAsia="Arial" w:hAnsi="Arial"/>
          <w:sz w:val="16"/>
          <w:szCs w:val="16"/>
          <w:color w:val="auto"/>
        </w:rPr>
        <w:t>Our product candidates will be submitted to the FDA for approval under Section 505(b)(2) of the FDCA. Section 505(b)(2) permits the submission of an NDA where at least some of the information required for approval comes from</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7" w:lineRule="auto"/>
        <w:rPr>
          <w:sz w:val="20"/>
          <w:szCs w:val="20"/>
          <w:color w:val="auto"/>
        </w:rPr>
      </w:pPr>
      <w:r>
        <w:rPr>
          <w:rFonts w:ascii="Arial" w:cs="Arial" w:eastAsia="Arial" w:hAnsi="Arial"/>
          <w:sz w:val="16"/>
          <w:szCs w:val="16"/>
          <w:color w:val="auto"/>
        </w:rPr>
        <w:t>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w:t>
      </w:r>
    </w:p>
    <w:p>
      <w:pPr>
        <w:spacing w:after="0" w:line="2" w:lineRule="exact"/>
        <w:rPr>
          <w:sz w:val="20"/>
          <w:szCs w:val="20"/>
          <w:color w:val="auto"/>
        </w:rPr>
      </w:pPr>
    </w:p>
    <w:p>
      <w:pPr>
        <w:ind w:left="60" w:right="59" w:hanging="10"/>
        <w:spacing w:after="0" w:line="252" w:lineRule="auto"/>
        <w:tabs>
          <w:tab w:leader="none" w:pos="3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of the FDCA, the patent certification and related provisions of the Drug Price Competition and Patent Term Restoration Act of 1984, also known as the Hatch-Waxman Act, apply. In accordance with the Hatch-Waxman Act, such NDAs may be required to include certifications, known as paragraph IV certifications, that certify that any patents listed in the Patent and Exclusivity Information Addendum of the FDA’s publication, Approved Drug Products with Therapeutic Equivalence Evaluations, commonly known as the Orange Book, with respect to any product referenced in the 505(b)(2) application, are invalid, unenforceable or will not be infringed by the manufacture, use or sale of the product that is the subject of the 505(b)(2) NDA.</w:t>
      </w:r>
    </w:p>
    <w:p>
      <w:pPr>
        <w:spacing w:after="0" w:line="192"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 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or NCE,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67"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170"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71" w:lineRule="exact"/>
        <w:rPr>
          <w:sz w:val="20"/>
          <w:szCs w:val="20"/>
          <w:color w:val="auto"/>
        </w:rPr>
      </w:pPr>
    </w:p>
    <w:p>
      <w:pPr>
        <w:ind w:left="60" w:right="399"/>
        <w:spacing w:after="0" w:line="286"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which may prevent or delay our product development efforts and stop us from commercializing or increase the costs of commercializing our product candidates.</w:t>
      </w:r>
    </w:p>
    <w:p>
      <w:pPr>
        <w:spacing w:after="0" w:line="165" w:lineRule="exact"/>
        <w:rPr>
          <w:sz w:val="20"/>
          <w:szCs w:val="20"/>
          <w:color w:val="auto"/>
        </w:rPr>
      </w:pPr>
    </w:p>
    <w:p>
      <w:pPr>
        <w:ind w:left="60" w:right="299" w:firstLine="324"/>
        <w:spacing w:after="0" w:line="296" w:lineRule="auto"/>
        <w:rPr>
          <w:sz w:val="20"/>
          <w:szCs w:val="20"/>
          <w:color w:val="auto"/>
        </w:rPr>
      </w:pPr>
      <w:r>
        <w:rPr>
          <w:rFonts w:ascii="Arial" w:cs="Arial" w:eastAsia="Arial" w:hAnsi="Arial"/>
          <w:sz w:val="16"/>
          <w:szCs w:val="16"/>
          <w:color w:val="auto"/>
        </w:rPr>
        <w:t>Our success will depend in part on our ability to operate without infringing, misappropriating or otherwise violating the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products, or the manufacture or use of our product candidates, including interference proceedings, post grant review, inter partes review, and derivation proceedings before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the USPTO and similar proceedings in foreign jurisdictions. 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 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68"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79"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70" w:lineRule="exact"/>
        <w:rPr>
          <w:sz w:val="20"/>
          <w:szCs w:val="20"/>
          <w:color w:val="auto"/>
        </w:rPr>
      </w:pPr>
    </w:p>
    <w:p>
      <w:pPr>
        <w:ind w:left="1020" w:hanging="322"/>
        <w:spacing w:after="0"/>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some patent applications in the United States may be maintained in secrecy until the patents are issued;</w:t>
      </w:r>
    </w:p>
    <w:p>
      <w:pPr>
        <w:spacing w:after="0" w:line="128" w:lineRule="exact"/>
        <w:rPr>
          <w:rFonts w:ascii="Arial" w:cs="Arial" w:eastAsia="Arial" w:hAnsi="Arial"/>
          <w:sz w:val="17"/>
          <w:szCs w:val="17"/>
          <w:color w:val="auto"/>
        </w:rPr>
      </w:pPr>
    </w:p>
    <w:p>
      <w:pPr>
        <w:ind w:left="1020" w:hanging="322"/>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patent applications in the United States are typically not published until 18 months after the priority date; and</w:t>
      </w:r>
    </w:p>
    <w:p>
      <w:pPr>
        <w:spacing w:after="0" w:line="140" w:lineRule="exact"/>
        <w:rPr>
          <w:rFonts w:ascii="Arial" w:cs="Arial" w:eastAsia="Arial" w:hAnsi="Arial"/>
          <w:sz w:val="16"/>
          <w:szCs w:val="16"/>
          <w:color w:val="auto"/>
        </w:rPr>
      </w:pPr>
    </w:p>
    <w:p>
      <w:pPr>
        <w:ind w:left="1020" w:hanging="322"/>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117"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claims priority to any applications filed prior to the priority dates of our applications,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66"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7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67"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w:t>
      </w:r>
    </w:p>
    <w:p>
      <w:pPr>
        <w:spacing w:after="0" w:line="170"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spacing w:after="0" w:line="181"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70"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 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95"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and BXCL701,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significantly affected.</w:t>
      </w:r>
    </w:p>
    <w:p>
      <w:pPr>
        <w:spacing w:after="0" w:line="177" w:lineRule="exact"/>
        <w:rPr>
          <w:sz w:val="20"/>
          <w:szCs w:val="20"/>
          <w:color w:val="auto"/>
        </w:rPr>
      </w:pPr>
    </w:p>
    <w:p>
      <w:pPr>
        <w:ind w:left="60" w:right="399" w:firstLine="324"/>
        <w:spacing w:after="0" w:line="342" w:lineRule="auto"/>
        <w:rPr>
          <w:sz w:val="20"/>
          <w:szCs w:val="20"/>
          <w:color w:val="auto"/>
        </w:rPr>
      </w:pPr>
      <w:r>
        <w:rPr>
          <w:rFonts w:ascii="Arial" w:cs="Arial" w:eastAsia="Arial" w:hAnsi="Arial"/>
          <w:sz w:val="16"/>
          <w:szCs w:val="16"/>
          <w:color w:val="auto"/>
        </w:rPr>
        <w:t>We may elect to sue a third party, or otherwise make a claim, alleging infringement or other violation of patents, trademarks, trade dress, copyrights, trade secrets, domain names or other intellectual property rights that we either own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or license from BioXcel. If we do not prevail in enforcing our intellectual property rights in this type of litigation, we may be subject to:</w:t>
      </w:r>
    </w:p>
    <w:p>
      <w:pPr>
        <w:spacing w:after="0" w:line="170" w:lineRule="exact"/>
        <w:rPr>
          <w:sz w:val="20"/>
          <w:szCs w:val="20"/>
          <w:color w:val="auto"/>
        </w:rPr>
      </w:pPr>
    </w:p>
    <w:p>
      <w:pPr>
        <w:ind w:left="1020" w:hanging="32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 party;</w:t>
      </w:r>
    </w:p>
    <w:p>
      <w:pPr>
        <w:spacing w:after="0" w:line="117" w:lineRule="exact"/>
        <w:rPr>
          <w:rFonts w:ascii="Arial" w:cs="Arial" w:eastAsia="Arial" w:hAnsi="Arial"/>
          <w:sz w:val="18"/>
          <w:szCs w:val="18"/>
          <w:color w:val="auto"/>
        </w:rPr>
      </w:pPr>
    </w:p>
    <w:p>
      <w:pPr>
        <w:ind w:left="1020" w:right="139" w:hanging="322"/>
        <w:spacing w:after="0" w:line="308"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facing additional competition that may have a significant adverse effect on our product pricing, market share, business operations, financial condition, and the commercial viability of our products; and</w:t>
      </w:r>
    </w:p>
    <w:p>
      <w:pPr>
        <w:spacing w:after="0" w:line="38" w:lineRule="exact"/>
        <w:rPr>
          <w:rFonts w:ascii="Arial" w:cs="Arial" w:eastAsia="Arial" w:hAnsi="Arial"/>
          <w:sz w:val="17"/>
          <w:szCs w:val="17"/>
          <w:color w:val="auto"/>
        </w:rPr>
      </w:pPr>
    </w:p>
    <w:p>
      <w:pPr>
        <w:ind w:left="1020" w:right="139" w:hanging="322"/>
        <w:spacing w:after="0" w:line="263"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76"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A third 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88" w:lineRule="exact"/>
        <w:rPr>
          <w:sz w:val="20"/>
          <w:szCs w:val="20"/>
          <w:color w:val="auto"/>
        </w:rPr>
      </w:pPr>
    </w:p>
    <w:p>
      <w:pPr>
        <w:jc w:val="both"/>
        <w:ind w:left="60" w:right="279" w:firstLine="324"/>
        <w:spacing w:after="0" w:line="263" w:lineRule="auto"/>
        <w:rPr>
          <w:sz w:val="20"/>
          <w:szCs w:val="20"/>
          <w:color w:val="auto"/>
        </w:rPr>
      </w:pPr>
      <w:r>
        <w:rPr>
          <w:rFonts w:ascii="Arial" w:cs="Arial" w:eastAsia="Arial" w:hAnsi="Arial"/>
          <w:sz w:val="18"/>
          <w:szCs w:val="18"/>
          <w:color w:val="auto"/>
        </w:rPr>
        <w:t>Intellectual property rights and enforcement may be less extensive in jurisdictions outside of the United States; thus, we may not be able to protect our intellectual property and third parties may be able to market competitive products that may use some or all of our intellectual property.</w:t>
      </w:r>
    </w:p>
    <w:p>
      <w:pPr>
        <w:spacing w:after="0" w:line="184"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Changes to patent law, including the Leahy-Smith America Invents Act, AIA or Leahy-Smith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can be defended or will protect us against future intellectual property challenges, particularly as they pertain to changes in patent law and future patent law interpretations.</w:t>
      </w:r>
    </w:p>
    <w:p>
      <w:pPr>
        <w:spacing w:after="0" w:line="161"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In addition, enforcing and maintaining our intellectual property protection depends on compliance with various procedural, document submission, fee payment and other requirements imposed by the U.S. Patent and Trademark Office, courts and foreign government patent agencies, and our patent protection could be reduced or eliminated for non-compliance with these requirements.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225"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87" w:lineRule="exact"/>
        <w:rPr>
          <w:sz w:val="20"/>
          <w:szCs w:val="20"/>
          <w:color w:val="auto"/>
        </w:rPr>
      </w:pPr>
    </w:p>
    <w:p>
      <w:pPr>
        <w:ind w:left="1020" w:hanging="322"/>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speculative trading in and short sales of our stock, as well as trading phenomena such as the “short squeeze”;</w:t>
      </w:r>
    </w:p>
    <w:p>
      <w:pPr>
        <w:spacing w:after="0" w:line="140" w:lineRule="exact"/>
        <w:rPr>
          <w:rFonts w:ascii="Arial" w:cs="Arial" w:eastAsia="Arial" w:hAnsi="Arial"/>
          <w:sz w:val="16"/>
          <w:szCs w:val="16"/>
          <w:color w:val="auto"/>
        </w:rPr>
      </w:pPr>
    </w:p>
    <w:p>
      <w:pPr>
        <w:ind w:left="1020" w:right="299" w:hanging="322"/>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spacing w:after="0" w:line="62" w:lineRule="exact"/>
        <w:rPr>
          <w:rFonts w:ascii="Arial" w:cs="Arial" w:eastAsia="Arial" w:hAnsi="Arial"/>
          <w:sz w:val="18"/>
          <w:szCs w:val="18"/>
          <w:color w:val="auto"/>
        </w:rPr>
      </w:pPr>
    </w:p>
    <w:p>
      <w:pPr>
        <w:ind w:left="1020" w:right="479" w:hanging="322"/>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possible delays in the expected recognition of revenue due to lengthy and sometimes unpredictable sales timelines;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79" w:hanging="322"/>
        <w:spacing w:after="0" w:line="263"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75" w:lineRule="exact"/>
        <w:rPr>
          <w:rFonts w:ascii="Arial" w:cs="Arial" w:eastAsia="Arial" w:hAnsi="Arial"/>
          <w:sz w:val="18"/>
          <w:szCs w:val="18"/>
          <w:color w:val="auto"/>
        </w:rPr>
      </w:pPr>
    </w:p>
    <w:p>
      <w:pPr>
        <w:ind w:left="1020" w:hanging="32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ability to secure resources and the necessary personnel to conduct clinical trials on our desired schedule;</w:t>
      </w:r>
    </w:p>
    <w:p>
      <w:pPr>
        <w:spacing w:after="0" w:line="140" w:lineRule="exact"/>
        <w:rPr>
          <w:rFonts w:ascii="Arial" w:cs="Arial" w:eastAsia="Arial" w:hAnsi="Arial"/>
          <w:sz w:val="16"/>
          <w:szCs w:val="16"/>
          <w:color w:val="auto"/>
        </w:rPr>
      </w:pPr>
    </w:p>
    <w:p>
      <w:pPr>
        <w:ind w:left="1020" w:right="339" w:hanging="322"/>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commencement, enrollment or results of our clinical trials for our product candidates or any future clinical trials we may conduct;</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pacing w:after="0" w:line="117" w:lineRule="exact"/>
        <w:rPr>
          <w:rFonts w:ascii="Arial" w:cs="Arial" w:eastAsia="Arial" w:hAnsi="Arial"/>
          <w:sz w:val="18"/>
          <w:szCs w:val="18"/>
          <w:color w:val="auto"/>
        </w:rPr>
      </w:pPr>
    </w:p>
    <w:p>
      <w:pPr>
        <w:ind w:left="1020" w:right="219" w:hanging="322"/>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spacing w:after="0" w:line="62" w:lineRule="exact"/>
        <w:rPr>
          <w:rFonts w:ascii="Arial" w:cs="Arial" w:eastAsia="Arial" w:hAnsi="Arial"/>
          <w:sz w:val="18"/>
          <w:szCs w:val="18"/>
          <w:color w:val="auto"/>
        </w:rPr>
      </w:pPr>
    </w:p>
    <w:p>
      <w:pPr>
        <w:ind w:left="1020" w:right="579" w:hanging="322"/>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pacing w:after="0" w:line="117" w:lineRule="exact"/>
        <w:rPr>
          <w:rFonts w:ascii="Arial" w:cs="Arial" w:eastAsia="Arial" w:hAnsi="Arial"/>
          <w:sz w:val="18"/>
          <w:szCs w:val="18"/>
          <w:color w:val="auto"/>
        </w:rPr>
      </w:pPr>
    </w:p>
    <w:p>
      <w:pPr>
        <w:ind w:left="1020" w:right="479" w:hanging="322"/>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our capital structure or dividend policy, future issuances of securities, sales of large blocks of common stock by our stockholders;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competition from existing technologies and products or new technologies and products that may emerge;</w:t>
      </w:r>
    </w:p>
    <w:p>
      <w:pPr>
        <w:spacing w:after="0" w:line="128" w:lineRule="exact"/>
        <w:rPr>
          <w:rFonts w:ascii="Arial" w:cs="Arial" w:eastAsia="Arial" w:hAnsi="Arial"/>
          <w:sz w:val="17"/>
          <w:szCs w:val="17"/>
          <w:color w:val="auto"/>
        </w:rPr>
      </w:pPr>
    </w:p>
    <w:p>
      <w:pPr>
        <w:ind w:left="1020" w:right="999" w:hanging="322"/>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spacing w:after="0" w:line="62" w:lineRule="exact"/>
        <w:rPr>
          <w:rFonts w:ascii="Arial" w:cs="Arial" w:eastAsia="Arial" w:hAnsi="Arial"/>
          <w:sz w:val="18"/>
          <w:szCs w:val="18"/>
          <w:color w:val="auto"/>
        </w:rPr>
      </w:pPr>
    </w:p>
    <w:p>
      <w:pPr>
        <w:ind w:left="1020" w:right="339" w:hanging="322"/>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117" w:lineRule="exact"/>
        <w:rPr>
          <w:rFonts w:ascii="Arial" w:cs="Arial" w:eastAsia="Arial" w:hAnsi="Arial"/>
          <w:sz w:val="18"/>
          <w:szCs w:val="18"/>
          <w:color w:val="auto"/>
        </w:rPr>
      </w:pPr>
    </w:p>
    <w:p>
      <w:pPr>
        <w:ind w:left="1020" w:right="119" w:hanging="322"/>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disputes and litigations related to intellectual properties, proprietary rights, and contractual obligations;</w:t>
      </w:r>
    </w:p>
    <w:p>
      <w:pPr>
        <w:spacing w:after="0" w:line="128" w:lineRule="exact"/>
        <w:rPr>
          <w:rFonts w:ascii="Arial" w:cs="Arial" w:eastAsia="Arial" w:hAnsi="Arial"/>
          <w:sz w:val="17"/>
          <w:szCs w:val="17"/>
          <w:color w:val="auto"/>
        </w:rPr>
      </w:pPr>
    </w:p>
    <w:p>
      <w:pPr>
        <w:ind w:left="1020" w:hanging="32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117" w:lineRule="exact"/>
        <w:rPr>
          <w:sz w:val="20"/>
          <w:szCs w:val="20"/>
          <w:color w:val="auto"/>
        </w:rPr>
      </w:pPr>
    </w:p>
    <w:p>
      <w:pPr>
        <w:jc w:val="both"/>
        <w:ind w:left="60" w:right="139" w:firstLine="324"/>
        <w:spacing w:after="0" w:line="311" w:lineRule="auto"/>
        <w:rPr>
          <w:sz w:val="20"/>
          <w:szCs w:val="20"/>
          <w:color w:val="auto"/>
        </w:rPr>
      </w:pPr>
      <w:r>
        <w:rPr>
          <w:rFonts w:ascii="Arial" w:cs="Arial" w:eastAsia="Arial" w:hAnsi="Arial"/>
          <w:sz w:val="16"/>
          <w:szCs w:val="16"/>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stock price to fall and may expose us to lawsuits that, even if unsuccessful, could be costly to defend and a distraction to management.</w:t>
      </w:r>
    </w:p>
    <w:p>
      <w:pPr>
        <w:spacing w:after="0" w:line="170"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significant influence over actions requiring stockholder approval.</w:t>
      </w:r>
    </w:p>
    <w:p>
      <w:pPr>
        <w:spacing w:after="0" w:line="170" w:lineRule="exact"/>
        <w:rPr>
          <w:sz w:val="20"/>
          <w:szCs w:val="20"/>
          <w:color w:val="auto"/>
        </w:rPr>
      </w:pPr>
    </w:p>
    <w:p>
      <w:pPr>
        <w:ind w:left="60" w:right="359" w:firstLine="324"/>
        <w:spacing w:after="0" w:line="293" w:lineRule="auto"/>
        <w:rPr>
          <w:sz w:val="20"/>
          <w:szCs w:val="20"/>
          <w:color w:val="auto"/>
        </w:rPr>
      </w:pPr>
      <w:r>
        <w:rPr>
          <w:rFonts w:ascii="Arial" w:cs="Arial" w:eastAsia="Arial" w:hAnsi="Arial"/>
          <w:sz w:val="16"/>
          <w:szCs w:val="16"/>
          <w:color w:val="auto"/>
        </w:rPr>
        <w:t>As of December 31, 2020, our directors, executive officers and BioXcel, and their respective affiliates, beneficially owned approximately 45%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64" w:lineRule="exact"/>
        <w:rPr>
          <w:sz w:val="20"/>
          <w:szCs w:val="20"/>
          <w:color w:val="auto"/>
        </w:rPr>
      </w:pPr>
    </w:p>
    <w:p>
      <w:pPr>
        <w:ind w:left="1020" w:hanging="322"/>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140"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170"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84" w:lineRule="exact"/>
        <w:rPr>
          <w:sz w:val="20"/>
          <w:szCs w:val="20"/>
          <w:color w:val="auto"/>
        </w:rPr>
      </w:pPr>
    </w:p>
    <w:p>
      <w:pPr>
        <w:jc w:val="both"/>
        <w:ind w:left="60" w:right="179"/>
        <w:spacing w:after="0" w:line="311"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of 1940, as amended, or the 1940 Act, applicable restrictions could make it impractical for us to continue our business as contemplated and could have a material adverse effect on our business, financial condition and results of operations.</w:t>
      </w:r>
    </w:p>
    <w:p>
      <w:pPr>
        <w:spacing w:after="0" w:line="149" w:lineRule="exact"/>
        <w:rPr>
          <w:sz w:val="20"/>
          <w:szCs w:val="20"/>
          <w:color w:val="auto"/>
        </w:rPr>
      </w:pPr>
    </w:p>
    <w:p>
      <w:pPr>
        <w:ind w:left="60" w:right="279" w:firstLine="324"/>
        <w:spacing w:after="0" w:line="272" w:lineRule="auto"/>
        <w:rPr>
          <w:sz w:val="20"/>
          <w:szCs w:val="20"/>
          <w:color w:val="auto"/>
        </w:rPr>
      </w:pPr>
      <w:r>
        <w:rPr>
          <w:rFonts w:ascii="Arial" w:cs="Arial" w:eastAsia="Arial" w:hAnsi="Arial"/>
          <w:sz w:val="17"/>
          <w:szCs w:val="17"/>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77" w:lineRule="exact"/>
        <w:rPr>
          <w:sz w:val="20"/>
          <w:szCs w:val="20"/>
          <w:color w:val="auto"/>
        </w:rPr>
      </w:pPr>
    </w:p>
    <w:p>
      <w:pPr>
        <w:ind w:left="60" w:right="339" w:firstLine="324"/>
        <w:spacing w:after="0" w:line="273" w:lineRule="auto"/>
        <w:rPr>
          <w:sz w:val="20"/>
          <w:szCs w:val="20"/>
          <w:color w:val="auto"/>
        </w:rPr>
      </w:pPr>
      <w:r>
        <w:rPr>
          <w:rFonts w:ascii="Arial" w:cs="Arial" w:eastAsia="Arial" w:hAnsi="Arial"/>
          <w:sz w:val="17"/>
          <w:szCs w:val="17"/>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78" w:lineRule="exact"/>
        <w:rPr>
          <w:sz w:val="20"/>
          <w:szCs w:val="20"/>
          <w:color w:val="auto"/>
        </w:rPr>
      </w:pPr>
    </w:p>
    <w:p>
      <w:pPr>
        <w:jc w:val="both"/>
        <w:ind w:left="60" w:right="279"/>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“smaller reporting company” and are able to avail ourselves of reduced disclosure requirements applicable to emerging growth companies and small reporting companies, which could make our common stock less attractive to investors.</w:t>
      </w:r>
    </w:p>
    <w:p>
      <w:pPr>
        <w:spacing w:after="0" w:line="184"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3" w:lineRule="auto"/>
        <w:rPr>
          <w:sz w:val="20"/>
          <w:szCs w:val="20"/>
          <w:color w:val="auto"/>
        </w:rPr>
      </w:pPr>
      <w:r>
        <w:rPr>
          <w:rFonts w:ascii="Arial" w:cs="Arial" w:eastAsia="Arial" w:hAnsi="Arial"/>
          <w:sz w:val="16"/>
          <w:szCs w:val="16"/>
          <w:color w:val="auto"/>
        </w:rPr>
        <w:t>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w:t>
      </w:r>
    </w:p>
    <w:p>
      <w:pPr>
        <w:spacing w:after="0" w:line="4" w:lineRule="exact"/>
        <w:rPr>
          <w:sz w:val="20"/>
          <w:szCs w:val="20"/>
          <w:color w:val="auto"/>
        </w:rPr>
      </w:pPr>
    </w:p>
    <w:p>
      <w:pPr>
        <w:ind w:left="60" w:right="79" w:hanging="10"/>
        <w:spacing w:after="0" w:line="295" w:lineRule="auto"/>
        <w:tabs>
          <w:tab w:leader="none" w:pos="27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last day of the fiscal year in which we have total annual gross revenues of $1.07 billion or more; (ii) the last day of our fiscal year following the fifth anniversary of the date of the completion of our initial public offering; (iii) the date on which we have issued more than $1 billion in nonconvertible debt during the previous three years; or (iv) the date on which we are deemed to be a large accelerated filer under the rules of the Securities and Exchange Commission (the “SEC”).</w:t>
      </w:r>
    </w:p>
    <w:p>
      <w:pPr>
        <w:spacing w:after="0" w:line="161"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We are also a smaller reporting company, and we will remain a smaller reporting company until, as of fiscal year end, we determine that either (1) our voting and non-voting common stock held by non-affiliates is more than $250 million measured on the last business day of our most recent second fiscal quarter or (2) our annual revenues are more than $100 million and our voting and non-voting common stock held by non-affiliates is more than $700 million measured on the last business day of our most recent second fiscal quarter. Similar to emerging growth companies, smaller reporting companies are able to provide simplified executive compensation disclosure, are exempt from the auditor attestation requirements of Section 404,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81"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results in a decline in the market price of our common stock.</w:t>
      </w:r>
    </w:p>
    <w:p>
      <w:pPr>
        <w:spacing w:after="0" w:line="157" w:lineRule="exact"/>
        <w:rPr>
          <w:sz w:val="20"/>
          <w:szCs w:val="20"/>
          <w:color w:val="auto"/>
        </w:rPr>
      </w:pPr>
    </w:p>
    <w:p>
      <w:pPr>
        <w:ind w:left="60" w:right="939"/>
        <w:spacing w:after="0" w:line="342" w:lineRule="auto"/>
        <w:rPr>
          <w:sz w:val="20"/>
          <w:szCs w:val="20"/>
          <w:color w:val="auto"/>
        </w:rPr>
      </w:pPr>
      <w:r>
        <w:rPr>
          <w:rFonts w:ascii="Arial" w:cs="Arial" w:eastAsia="Arial" w:hAnsi="Arial"/>
          <w:sz w:val="16"/>
          <w:szCs w:val="16"/>
          <w:b w:val="1"/>
          <w:bCs w:val="1"/>
          <w:i w:val="1"/>
          <w:iCs w:val="1"/>
          <w:color w:val="auto"/>
        </w:rPr>
        <w:t>Our certificate of incorporation and our bylaws, and Delaware law may have anti-takeover effects that could discourage, delay or prevent a change in control, which may cause our stock price to decline.</w:t>
      </w:r>
    </w:p>
    <w:p>
      <w:pPr>
        <w:spacing w:after="0" w:line="124" w:lineRule="exact"/>
        <w:rPr>
          <w:sz w:val="20"/>
          <w:szCs w:val="20"/>
          <w:color w:val="auto"/>
        </w:rPr>
      </w:pPr>
    </w:p>
    <w:p>
      <w:pPr>
        <w:ind w:left="60" w:right="59" w:firstLine="324"/>
        <w:spacing w:after="0" w:line="288" w:lineRule="auto"/>
        <w:rPr>
          <w:sz w:val="20"/>
          <w:szCs w:val="20"/>
          <w:color w:val="auto"/>
        </w:rPr>
      </w:pPr>
      <w:r>
        <w:rPr>
          <w:rFonts w:ascii="Arial" w:cs="Arial" w:eastAsia="Arial" w:hAnsi="Arial"/>
          <w:sz w:val="16"/>
          <w:szCs w:val="16"/>
          <w:color w:val="auto"/>
        </w:rPr>
        <w:t>Our amended and restated certificate of incorporation and our amended and restated bylaws and Delaware law could make it more difficult for a third party to acquire us, even if closing such a transaction would be beneficial to our stockholders. We are authorized to issue up to 10,000,000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and the Notes. In particular, specific rights granted to future holders of preferred stock could be used to restrict our ability to merge with, or sell our assets to, a third party and thereby preserve control by the present management.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76" w:lineRule="exact"/>
        <w:rPr>
          <w:sz w:val="20"/>
          <w:szCs w:val="20"/>
          <w:color w:val="auto"/>
        </w:rPr>
      </w:pPr>
    </w:p>
    <w:p>
      <w:pPr>
        <w:ind w:left="1020" w:hanging="322"/>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117" w:lineRule="exact"/>
        <w:rPr>
          <w:rFonts w:ascii="Arial" w:cs="Arial" w:eastAsia="Arial" w:hAnsi="Arial"/>
          <w:sz w:val="18"/>
          <w:szCs w:val="18"/>
          <w:color w:val="auto"/>
        </w:rPr>
      </w:pPr>
    </w:p>
    <w:p>
      <w:pPr>
        <w:ind w:left="1020" w:right="759" w:hanging="322"/>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spacing w:after="0" w:line="62" w:lineRule="exact"/>
        <w:rPr>
          <w:rFonts w:ascii="Arial" w:cs="Arial" w:eastAsia="Arial" w:hAnsi="Arial"/>
          <w:sz w:val="18"/>
          <w:szCs w:val="18"/>
          <w:color w:val="auto"/>
        </w:rPr>
      </w:pPr>
    </w:p>
    <w:p>
      <w:pPr>
        <w:ind w:left="1020" w:right="339" w:hanging="322"/>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62"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our management is required to devote substantial time to compliance matters.</w:t>
      </w:r>
    </w:p>
    <w:p>
      <w:pPr>
        <w:spacing w:after="0" w:line="170"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As a publicly traded company we have incurred significant additional legal, accounting and other expenses that we did not incur as a privately held subsidiary of BioXcel. The obligations of being a public company in the United States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of 2002, or the Sarbanes-Oxley Act, the Dodd-Frank Wall Street Reform and Consumer Protection Act, or the Dodd-Frank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after we are no longer an “emerging growth company.” In addition, we expect these rules and regulations to make it more difficult and more expensive for us to obtain director and officer liability insurance and we may be required to incur substantial costs to maintain the same or similar coverage that we had through BioXcel. Our management and other personnel will need to devote a substantial amount of time to ensure that we comply with all of these requirements and to keep pace with new regulations, otherwise we may fall out of compliance and risk becoming subject to litigation or being delisted, among other potential problems.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Risks associated with data privacy issues, including evolving laws, regulations and associated compliance efforts, may adversely impact our business and financial results.</w:t>
      </w:r>
    </w:p>
    <w:p>
      <w:pPr>
        <w:spacing w:after="0" w:line="170"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Legislation in various countries around the world with regard to cybersecurity, privacy and data protection is rapidly expanding and creating a complex compliance environment. We are subject to many privacy and data protection laws and regulations in the U.S. and around the world, some of which place restrictions on our ability to process personal data across our business. In particular, the General Data Protection Regulation, or GDPR, which became effective in May 2018, has caused more stringent data protection requirements in the European Union. 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how their personal information is to be used; imposes limitations on retention of personal data; introduces mandatory data breach notification requirements; and sets higher standards for data controllers to demonstrate that they have obtained valid consent for certain data processing activities. To the extent we collect data from individuals in the European Union, we will be subject to the supervision of local data protection authorities in those E.U. jurisdictions where we are established or otherwise subject to the GDPR. Certain breaches of the GDPR requirements could result in substantial fines, which can be up to four percent of worldwide revenue or 20 million Euros, whichever is greater. In addition to the foregoing, a breach of the GDPR could result in regulatory investigations,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reputational damage, orders to cease/change our use of data, enforcement notices, as well potential civil claims including class action type litigation where individuals suffered harm.</w:t>
      </w:r>
    </w:p>
    <w:p>
      <w:pPr>
        <w:spacing w:after="0" w:line="170"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70"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51"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7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51"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b w:val="1"/>
          <w:bCs w:val="1"/>
          <w:i w:val="1"/>
          <w:iCs w:val="1"/>
          <w:color w:val="auto"/>
        </w:rPr>
        <w:t>If we fail to comply with the rules under the Sarbanes-Oxley Act of 2002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49"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If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82" w:lineRule="exact"/>
        <w:rPr>
          <w:sz w:val="20"/>
          <w:szCs w:val="20"/>
          <w:color w:val="auto"/>
        </w:rPr>
      </w:pPr>
    </w:p>
    <w:p>
      <w:pPr>
        <w:ind w:left="60" w:right="59" w:firstLine="324"/>
        <w:spacing w:after="0" w:line="272" w:lineRule="auto"/>
        <w:rPr>
          <w:sz w:val="20"/>
          <w:szCs w:val="20"/>
          <w:color w:val="auto"/>
        </w:rPr>
      </w:pPr>
      <w:r>
        <w:rPr>
          <w:rFonts w:ascii="Arial" w:cs="Arial" w:eastAsia="Arial" w:hAnsi="Arial"/>
          <w:sz w:val="17"/>
          <w:szCs w:val="17"/>
          <w:color w:val="auto"/>
        </w:rPr>
        <w:t>During the quarter ended September 30, 2020, we experienced an email-based wire fraud that resulted in the misappropriation of certain funds. As a result of the foregoing, we identified a material weakness due to our internal controls having not been adequately designed to prevent or timely detect unauthorized cash disbursements. If we are unable to remediate any such material weakness, if we are unable to implement and maintain effective internal control over financial reporting and effective disclosure controls and procedures, or if we fail to satisfy other requirements as a public company, including the requirements of Section 404 of the Sarbanes-Oxley Act, we may be unable to accurately report our financial results or report them within the timeframes required by the SEC.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jc w:val="both"/>
        <w:ind w:left="60" w:right="159" w:firstLine="324"/>
        <w:spacing w:after="0" w:line="296" w:lineRule="auto"/>
        <w:rPr>
          <w:sz w:val="20"/>
          <w:szCs w:val="20"/>
          <w:color w:val="auto"/>
        </w:rPr>
      </w:pPr>
      <w:r>
        <w:rPr>
          <w:rFonts w:ascii="Arial" w:cs="Arial" w:eastAsia="Arial" w:hAnsi="Arial"/>
          <w:sz w:val="16"/>
          <w:szCs w:val="16"/>
          <w:color w:val="auto"/>
        </w:rPr>
        <w:t>In 2017, the U.S. government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We urge our stockholders to consult with their legal and tax advisors with respect to any such legislation and the potential tax consequences of investing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Our corporate headquarters are located at 555 Long Wharf Drive in New Haven, Connecticut. The Company occupies 18,285 square feet of space. The leases for this space expire in February 2026 and we have a renewal option for one additional five-year term. We believe that our existing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left="60" w:right="319" w:firstLine="324"/>
        <w:spacing w:after="0" w:line="259"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49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common stock is traded on the Nasdaq Capital Market under the symbol “BTAI.”</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As of March 4, 2021, there were 9 stockholders of record of our common stock. The actual number of holders of our common stock is greater than this number of record holders, and includes stockholders who are beneficial owners, but whose shares are held in street name by brokers or held by other nominees.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We have never paid or declared any cash dividends on our common stock, and we do not anticipate paying any cash dividends on our common stock in the foreseeable future. We intend to retain all available funds and any future earnings to fund the development and expansion of our business. Any future determination to pay dividends will be at the discretion of our board of directors and will depend upon a number of factors, including our results of operations, financial condition, future prospects, contractual restrictions, restrictions imposed by applicable law and other factors that our board of directors deems relevant.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of Unregistered Sales of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left="60" w:right="519" w:firstLine="324"/>
        <w:spacing w:after="0" w:line="277"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11. of Part III of this Annual Report on Form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60" w:right="259" w:firstLine="324"/>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“Selected Financial Data” and our financial statements and the related notes appearing elsewhere in this report. In addition to historical information, this discussion and analysis contains forward-looking statements that involve risks, uncertainties and assumptions. Our actual results may differ materially from those discussed below. Factors that could cause or contribute to such differences include, but are not limited to, those identified below, and those discussed in the section titled “Risk Factors” included elsewhere in this Annual Report on Form 10-K. All dollar amounts in the below Management’s Discussion and Analysis of Financial Condition and Results of Operations are presented in U.S. dollars, and all dollar amounts are presented in thousands, unless otherwise noted or the context otherwise provides.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239" w:firstLine="324"/>
        <w:spacing w:after="0" w:line="275" w:lineRule="auto"/>
        <w:rPr>
          <w:sz w:val="20"/>
          <w:szCs w:val="20"/>
          <w:color w:val="auto"/>
        </w:rPr>
      </w:pPr>
      <w:r>
        <w:rPr>
          <w:rFonts w:ascii="Arial" w:cs="Arial" w:eastAsia="Arial" w:hAnsi="Arial"/>
          <w:sz w:val="17"/>
          <w:szCs w:val="17"/>
          <w:color w:val="auto"/>
        </w:rPr>
        <w:t>We are a clinical stage biopharmaceutical company utilizing artificial intelligence approaches to develop transformative medicines in neuroscience and immuno-oncology. Our drug re-innovation approach leverages existing approved drugs and/or clinically validated product candidates together with big data and proprietary machine learning algorithms to identify new therapeutic indices. We believe that this differentiated approach has the potential to reduce the cost and time of drug development in diseases with a substantial unmet medical need.</w:t>
      </w:r>
    </w:p>
    <w:p>
      <w:pPr>
        <w:spacing w:after="0" w:line="176"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Our two most advanced clinical development programs are BXCL501, a proprietary, orally dissolving, sublingual thin film formulation of the adrenergic receptor agonist dexmedetomidine (“Dex”), for the treatment of agitation resulting from neuropsychiatric disorders, and BXCL701, an investigational orally administered systemic innate immune activator for the treatment of a rare form of prostate cancer and advanced solid tumors that are refractory or treatment naïve to checkpoint inhibitors.</w:t>
      </w:r>
    </w:p>
    <w:p>
      <w:pPr>
        <w:spacing w:after="0" w:line="188"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During the first quarter ended March 31, 2020, and continuing through December 31, 2020, the novel coronavirus disease, or COVID-19, was declared a pandemic and spread to multiple regions across the globe, including the United States and Europe. The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w:t>
      </w:r>
    </w:p>
    <w:p>
      <w:pPr>
        <w:spacing w:after="0" w:line="178" w:lineRule="exact"/>
        <w:rPr>
          <w:sz w:val="20"/>
          <w:szCs w:val="20"/>
          <w:color w:val="auto"/>
        </w:rPr>
      </w:pPr>
    </w:p>
    <w:p>
      <w:pPr>
        <w:ind w:left="60" w:right="239" w:firstLine="324"/>
        <w:spacing w:after="0" w:line="254" w:lineRule="auto"/>
        <w:rPr>
          <w:sz w:val="20"/>
          <w:szCs w:val="20"/>
          <w:color w:val="auto"/>
        </w:rPr>
      </w:pPr>
      <w:r>
        <w:rPr>
          <w:rFonts w:ascii="Arial" w:cs="Arial" w:eastAsia="Arial" w:hAnsi="Arial"/>
          <w:sz w:val="18"/>
          <w:szCs w:val="18"/>
          <w:color w:val="auto"/>
        </w:rPr>
        <w:t>Throughout 2020, we took steps in line with guidance from the U.S. Centers for Disease Control and Prevention (“CDC”) and the State of Connecticut to protect the health and safety of our employees and the community. In particular, we implemented a work-from-home policy for all employees and have restricted on-site activities to certain chemical, manufacturing and control (“CMC”) and clinical trial activities. We continue to assess the impact of the COVID-19 pandemic to best mitigate risk and continue the operations of our business. Beginning late in the second quarter of 2020, we began to slowly bring our staff, in very limited numbers, back to our office. This modified return-to-work approach is expected to continue into 2021. We have taken steps to protect our workforce and have instituted strict work rules to protect our employees.</w:t>
      </w:r>
    </w:p>
    <w:p>
      <w:pPr>
        <w:spacing w:after="0" w:line="192" w:lineRule="exact"/>
        <w:rPr>
          <w:sz w:val="20"/>
          <w:szCs w:val="20"/>
          <w:color w:val="auto"/>
        </w:rPr>
      </w:pPr>
    </w:p>
    <w:p>
      <w:pPr>
        <w:ind w:left="60" w:right="239" w:firstLine="324"/>
        <w:spacing w:after="0" w:line="259" w:lineRule="auto"/>
        <w:rPr>
          <w:sz w:val="20"/>
          <w:szCs w:val="20"/>
          <w:color w:val="auto"/>
        </w:rPr>
      </w:pPr>
      <w:r>
        <w:rPr>
          <w:rFonts w:ascii="Arial" w:cs="Arial" w:eastAsia="Arial" w:hAnsi="Arial"/>
          <w:sz w:val="18"/>
          <w:szCs w:val="18"/>
          <w:color w:val="auto"/>
        </w:rPr>
        <w:t>We continue to work closely with our clinical sites to monitor the potential impact of the evolving COVID-19 pandemic. We remain committed to our clinical programs and development plans. Through December 31, 2020, we have not experienced any significant delays to our ongoing or planned clinical trials, except for challenges in accessing elderly care facilities; however, this could rapidly change.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Clinical Programs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is a summary of the status of our clinical development programs as of the date of this Annual Report on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142875</wp:posOffset>
            </wp:positionV>
            <wp:extent cx="5554980" cy="25285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5498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Novel Drug Re-Innovation Approach</w:t>
      </w:r>
    </w:p>
    <w:p>
      <w:pPr>
        <w:spacing w:after="0" w:line="229"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Our AI-based discovery and development process is the foundation of our drug re-innovation model for identifying the next wave of medicines. Our therapeutic area experts have over 60 years of experience across the drug discovery and development value chain. We believe EvolverAI is a novel method of finding potential product candidates because it combines the comprehensiveness and efficiency of machine learning and big data analytics with the expertise and intuition of human experience in drug development. We believe the combination of our therapeutic area expertise and our ability to generate therapeutic candidates in neuroscience and immuno-oncology through our exclusive collaborative relationship in those areas with BioXcel gives us a significant competitive advantage.</w:t>
      </w:r>
    </w:p>
    <w:p>
      <w:pPr>
        <w:spacing w:after="0" w:line="177"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The pharmacological space spans more than 27,000 active pharmaceutical agents, and only approximately 4,000 are approved and marketed drugs benefiting patients. These marketed drugs may be applied to other indications, including rare diseases, and represent an untapped potential for meeting significant unmet medical need and recoupment of research and development investments. A large number of the remaining agents are clinical candidates that are active, shelved, or have failed for reasons other than toxicity and can potentially be re-engineered for different indications or patient segments. They potentially represent an unrealized investment of billions of research and development dollars by the private and public sectors, resulting in an immeasurable amount of patient suffering and sacrificing during clinical development.</w:t>
      </w:r>
    </w:p>
    <w:p>
      <w:pPr>
        <w:spacing w:after="0" w:line="166" w:lineRule="exact"/>
        <w:rPr>
          <w:sz w:val="20"/>
          <w:szCs w:val="20"/>
          <w:color w:val="auto"/>
        </w:rPr>
      </w:pPr>
    </w:p>
    <w:p>
      <w:pPr>
        <w:ind w:left="60" w:right="219" w:firstLine="324"/>
        <w:spacing w:after="0" w:line="288" w:lineRule="auto"/>
        <w:rPr>
          <w:sz w:val="20"/>
          <w:szCs w:val="20"/>
          <w:color w:val="auto"/>
        </w:rPr>
      </w:pPr>
      <w:r>
        <w:rPr>
          <w:rFonts w:ascii="Arial" w:cs="Arial" w:eastAsia="Arial" w:hAnsi="Arial"/>
          <w:sz w:val="16"/>
          <w:szCs w:val="16"/>
          <w:color w:val="auto"/>
        </w:rPr>
        <w:t>Traditional drug development is plagued with low success rates (13.8%, according to an MIT study of 186,000 trials from January 2000 to October 2015), long drug development cycles (10-15 years, according to PhRMA Key Facts 2016), and exorbitant development costs ($2.6 billion per drug, according to PhRMA Key Facts). Furthermore, many serious diseases continue to go unaddressed due to limitations of the current drug discovery paradigm. The recent advent of numerous ‘omics’ technologies (genomics, proteomics) and rapid advances in science and medicine are generating terabytes of valuable unexploited knowledge that is widely distributed in multiple big data lakes with several orders of complexity and variety. Much of this data is not being systematically applied to the development of next generation therapeutics, thus preventing the optimization of drug development utilizing the understanding of technology, science, medicine, markets, and commercial opportunities. The efficient and intuitive use of big data remains a bottleneck and a challenge to the pharmaceutical industry. Taken together, these factors underscore the need for fundamental new</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approaches to drug discovery and development. The market opportunity to identify new uses for existing pharmacological agents remains substantial due to the lack of technology driven insights. Our parent, BioXcel, has created a proprietary R&amp;D engine, EvolverAI, for drug re-innovation that provides a proprietary systems-based approach designed to unlock the hidden value in drugs. The combination of our therapeutic area expertise and our exclusive collaborative relationship with BioXcel enables us to screen, analyze, and identify the product candidates that we believe have a high likelihood of benefiting patients. The compounds in our pipeline have been identified using this proprietary platform.</w:t>
      </w:r>
    </w:p>
    <w:p>
      <w:pPr>
        <w:spacing w:after="0" w:line="164" w:lineRule="exact"/>
        <w:rPr>
          <w:sz w:val="20"/>
          <w:szCs w:val="20"/>
          <w:color w:val="auto"/>
        </w:rPr>
      </w:pPr>
    </w:p>
    <w:p>
      <w:pPr>
        <w:jc w:val="both"/>
        <w:ind w:left="60" w:right="459" w:firstLine="324"/>
        <w:spacing w:after="0" w:line="296" w:lineRule="auto"/>
        <w:rPr>
          <w:sz w:val="20"/>
          <w:szCs w:val="20"/>
          <w:color w:val="auto"/>
        </w:rPr>
      </w:pPr>
      <w:r>
        <w:rPr>
          <w:rFonts w:ascii="Arial" w:cs="Arial" w:eastAsia="Arial" w:hAnsi="Arial"/>
          <w:sz w:val="16"/>
          <w:szCs w:val="16"/>
          <w:color w:val="auto"/>
        </w:rPr>
        <w:t>EvolverAI is designed to eliminate human bias by scanning millions of data points from disparate data sources to create network maps. The nodes and connections in the network map are weighted and ranked based on the validity of supporting evidence using disease specific algorithms. They are then further analyzed using artificial intelligence and machine learning approaches supplemented by human domain-based expertise to uncover novel connections between disease parameters, molecular targets, mechanisms of actions and product candidates.</w:t>
      </w:r>
    </w:p>
    <w:p>
      <w:pPr>
        <w:spacing w:after="0" w:line="161"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This drug re-innovation model has been exemplified by the successful development and commercialization of drugs such as Tecfidera (Biogen, Inc.), Thalomid (Celgene Corporation) and Viagra (Pfizer, Inc., or Pfizer). All of these drugs were identified by insights in biology and disease pathophysiology. The successful business models of biotech companies like Axsome-Therapeutics, Inc. and Karuna Therapeutics, Inc. are based on the re-innovation and combination of existing clinical candidates or marketed drugs to provide novel solutions for patients. Unfortunately, such discoveries have been severely limited in scope due to the lack of a genuinely integrated big data analytics-based approach.</w:t>
      </w:r>
    </w:p>
    <w:p>
      <w:pPr>
        <w:spacing w:after="0" w:line="164" w:lineRule="exact"/>
        <w:rPr>
          <w:sz w:val="20"/>
          <w:szCs w:val="20"/>
          <w:color w:val="auto"/>
        </w:rPr>
      </w:pPr>
    </w:p>
    <w:p>
      <w:pPr>
        <w:ind w:left="60" w:right="79" w:firstLine="369"/>
        <w:spacing w:after="0" w:line="255" w:lineRule="auto"/>
        <w:rPr>
          <w:sz w:val="20"/>
          <w:szCs w:val="20"/>
          <w:color w:val="auto"/>
        </w:rPr>
      </w:pPr>
      <w:r>
        <w:rPr>
          <w:rFonts w:ascii="Arial" w:cs="Arial" w:eastAsia="Arial" w:hAnsi="Arial"/>
          <w:sz w:val="18"/>
          <w:szCs w:val="18"/>
          <w:color w:val="auto"/>
        </w:rPr>
        <w:t>We believe that only EvolverAI allows a comprehensive and unbiased evaluation of the complete pharmacological space. We believe our drug re-innovation model and exclusive collaborative relationship with BioXcel has the potential to reduce the cost and time of drug development, help us design more efficient trials, and accelerate our product candidates’ time to market. This assumption is based on capitalizing product candidates with substantial clinical data and mitigated risk due to well-defined safety profiles, known PK/PD properties, and an established manufacturing and regulatory path. Our approach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268605</wp:posOffset>
            </wp:positionV>
            <wp:extent cx="5503545" cy="28803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0354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The Company’s financial statements are prepared in accordance with Generally Accepted Accounting Principles in the United States of America (“GAAP”). All amounts are presented in thousands.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not recognized any revenue since inception.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60" w:right="159" w:firstLine="324"/>
        <w:spacing w:after="0" w:line="291" w:lineRule="auto"/>
        <w:rPr>
          <w:sz w:val="20"/>
          <w:szCs w:val="20"/>
          <w:color w:val="auto"/>
        </w:rPr>
      </w:pPr>
      <w:r>
        <w:rPr>
          <w:rFonts w:ascii="Arial" w:cs="Arial" w:eastAsia="Arial" w:hAnsi="Arial"/>
          <w:sz w:val="16"/>
          <w:szCs w:val="16"/>
          <w:color w:val="auto"/>
        </w:rPr>
        <w:t>Our research and development expenses reflect costs incurred for the research and development of our clinical and pre-clinical product candidates, which includes payments to BioXcel, our Parent. Research and development expense primarily consist of salary, benefits and non-cash stock-based compensation for our research and development personnel, costs incurred under agreements with contract research organizations (“CROs”) and sites that conduct our non-clinical studies and clinical trials, costs of outside consultants engaged in research and development activities, including their fees, stock-based compensation and travel expenses, the cost of acquiring, developing and manufacturing pre-clinical and clinical trial materials and lab supplies, and depreciation and other expenses.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expense research and development costs to operations as incurred.</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research and development costs by program for the years ended December 31, 2020 and 2019 are as follows:</w:t>
      </w:r>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6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BXCL501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15,859</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BXCL701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6,947</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BXCL502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BXCL702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 programs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r>
      <w:tr>
        <w:trPr>
          <w:trHeight w:val="216"/>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 support services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r>
      <w:tr>
        <w:trPr>
          <w:trHeight w:val="210"/>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57,995</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25,797</w:t>
            </w:r>
          </w:p>
        </w:tc>
      </w:tr>
      <w:tr>
        <w:trPr>
          <w:trHeight w:val="20"/>
        </w:trPr>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left="60" w:right="119" w:firstLine="324"/>
        <w:spacing w:after="0" w:line="311" w:lineRule="auto"/>
        <w:rPr>
          <w:sz w:val="20"/>
          <w:szCs w:val="20"/>
          <w:color w:val="auto"/>
        </w:rPr>
      </w:pPr>
      <w:r>
        <w:rPr>
          <w:rFonts w:ascii="Arial" w:cs="Arial" w:eastAsia="Arial" w:hAnsi="Arial"/>
          <w:sz w:val="16"/>
          <w:szCs w:val="16"/>
          <w:color w:val="auto"/>
        </w:rPr>
        <w:t>General and administrative expenses primarily consist of salaries, benefits and non-cash stock-based compensation for our executive and administrative personnel. General and administrative expenses also include legal expenses to pursue patent protection of our intellectual property, professional fees for audit and tax and insurance charges.</w:t>
      </w:r>
    </w:p>
    <w:p>
      <w:pPr>
        <w:spacing w:after="0" w:line="149" w:lineRule="exact"/>
        <w:rPr>
          <w:sz w:val="20"/>
          <w:szCs w:val="20"/>
          <w:color w:val="auto"/>
        </w:rPr>
      </w:pPr>
    </w:p>
    <w:p>
      <w:pPr>
        <w:ind w:left="60" w:right="239" w:firstLine="324"/>
        <w:spacing w:after="0" w:line="293" w:lineRule="auto"/>
        <w:rPr>
          <w:sz w:val="20"/>
          <w:szCs w:val="20"/>
          <w:color w:val="auto"/>
        </w:rPr>
      </w:pPr>
      <w:r>
        <w:rPr>
          <w:rFonts w:ascii="Arial" w:cs="Arial" w:eastAsia="Arial" w:hAnsi="Arial"/>
          <w:sz w:val="16"/>
          <w:szCs w:val="16"/>
          <w:color w:val="auto"/>
        </w:rPr>
        <w:t>We expect that our general and administrative expenses will increase as we expand our clinical programs. We also expect increased administrative costs resulting from our clinical trials and the potential commercialization of our product candidates. We believe that these increases will likely include increased costs for director and officer liability insurance, hiring additional personnel to support future market research and future product commercialization efforts and increased fees for outside consultants, attorneys and accountants. We may also incur increased costs to comply with corporate governance, internal controls, investor relations and disclosures and similar requirements applicable to public companies.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set forth in Note 3 to the financial statements included in this Annual Report on Form 10-K.</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not recognized any revenues since inception.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Expense</w:t>
      </w:r>
    </w:p>
    <w:p>
      <w:pPr>
        <w:spacing w:after="0" w:line="229" w:lineRule="exact"/>
        <w:rPr>
          <w:sz w:val="20"/>
          <w:szCs w:val="20"/>
          <w:color w:val="auto"/>
        </w:rPr>
      </w:pPr>
    </w:p>
    <w:p>
      <w:pPr>
        <w:jc w:val="both"/>
        <w:ind w:left="60" w:right="419" w:firstLine="324"/>
        <w:spacing w:after="0" w:line="263" w:lineRule="auto"/>
        <w:rPr>
          <w:sz w:val="20"/>
          <w:szCs w:val="20"/>
          <w:color w:val="auto"/>
        </w:rPr>
      </w:pPr>
      <w:r>
        <w:rPr>
          <w:rFonts w:ascii="Arial" w:cs="Arial" w:eastAsia="Arial" w:hAnsi="Arial"/>
          <w:sz w:val="18"/>
          <w:szCs w:val="18"/>
          <w:color w:val="auto"/>
        </w:rPr>
        <w:t>Research and development expenses for the years ended December 31, 2020 and 2019 were $57,995 and $25,797, respectively. Research and development expenses for the years ended December 31, 2020 and 2019 were comprised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8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4,229</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research &amp; project related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Clinical trials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30,808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22,904</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290 %</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Chemical, manufacturing and controls cost ("CMC")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Drug acquisition costs</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other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Research and development tax credit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(543)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57,995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25,797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32,198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increase of $32,198 for the year ended December 31, 2020 is primarily attributable to:</w:t>
      </w:r>
    </w:p>
    <w:p>
      <w:pPr>
        <w:spacing w:after="0" w:line="225" w:lineRule="exact"/>
        <w:rPr>
          <w:sz w:val="20"/>
          <w:szCs w:val="20"/>
          <w:color w:val="auto"/>
        </w:rPr>
      </w:pPr>
    </w:p>
    <w:p>
      <w:pPr>
        <w:ind w:left="60" w:right="559" w:firstLine="324"/>
        <w:spacing w:after="0" w:line="342" w:lineRule="auto"/>
        <w:rPr>
          <w:sz w:val="20"/>
          <w:szCs w:val="20"/>
          <w:color w:val="auto"/>
        </w:rPr>
      </w:pPr>
      <w:r>
        <w:rPr>
          <w:rFonts w:ascii="Arial" w:cs="Arial" w:eastAsia="Arial" w:hAnsi="Arial"/>
          <w:sz w:val="16"/>
          <w:szCs w:val="16"/>
          <w:color w:val="auto"/>
        </w:rPr>
        <w:t>Personnel and related costs increased due to our efforts to enlarge our clinical teams as we expanded our clinical programs during the quarter and in preparation of the potential commercial launch of BXCL501 in the U.S.</w:t>
      </w:r>
    </w:p>
    <w:p>
      <w:pPr>
        <w:spacing w:after="0" w:line="124" w:lineRule="exact"/>
        <w:rPr>
          <w:sz w:val="20"/>
          <w:szCs w:val="20"/>
          <w:color w:val="auto"/>
        </w:rPr>
      </w:pPr>
    </w:p>
    <w:p>
      <w:pPr>
        <w:ind w:left="60" w:right="499" w:firstLine="324"/>
        <w:spacing w:after="0" w:line="308" w:lineRule="auto"/>
        <w:rPr>
          <w:sz w:val="20"/>
          <w:szCs w:val="20"/>
          <w:color w:val="auto"/>
        </w:rPr>
      </w:pPr>
      <w:r>
        <w:rPr>
          <w:rFonts w:ascii="Arial" w:cs="Arial" w:eastAsia="Arial" w:hAnsi="Arial"/>
          <w:sz w:val="17"/>
          <w:szCs w:val="17"/>
          <w:color w:val="auto"/>
        </w:rPr>
        <w:t>Non-cash stock-based compensation also increased as result of the additional personnel hired during the year and increased grant date fair values arising from higher market prices of the Company’s common stock.</w:t>
      </w:r>
    </w:p>
    <w:p>
      <w:pPr>
        <w:spacing w:after="0" w:line="146"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The increase in professional research &amp; project related costs and clinical trials expense reflect the broadening of research and development activities and is primarily related to our SERENITY I and II clinical trials as well as increased costs associated with our TRANQUILITY and RELEASE clinical trials for BXCL501 and our Phase II study of BXCL701 for the treatment of prostate cancer. These amounts were offset by reduced costs related to our BXCL501 Phase Ib schizophrenia trial and our BXCL701 pancreatic cancer trial.</w:t>
      </w:r>
    </w:p>
    <w:p>
      <w:pPr>
        <w:spacing w:after="0" w:line="188"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increase in CMC costs is a result of an increase in manufacturing of BXCL501, packaging and storage costs and a larger volume of purchases of Keytruda to support our oncology program.</w:t>
      </w:r>
    </w:p>
    <w:p>
      <w:pPr>
        <w:spacing w:after="0" w:line="170" w:lineRule="exact"/>
        <w:rPr>
          <w:sz w:val="20"/>
          <w:szCs w:val="20"/>
          <w:color w:val="auto"/>
        </w:rPr>
      </w:pPr>
    </w:p>
    <w:p>
      <w:pPr>
        <w:jc w:val="both"/>
        <w:ind w:left="60" w:right="319" w:firstLine="324"/>
        <w:spacing w:after="0" w:line="263" w:lineRule="auto"/>
        <w:rPr>
          <w:sz w:val="20"/>
          <w:szCs w:val="20"/>
          <w:color w:val="auto"/>
        </w:rPr>
      </w:pPr>
      <w:r>
        <w:rPr>
          <w:rFonts w:ascii="Arial" w:cs="Arial" w:eastAsia="Arial" w:hAnsi="Arial"/>
          <w:sz w:val="18"/>
          <w:szCs w:val="18"/>
          <w:color w:val="auto"/>
        </w:rPr>
        <w:t>Drug acquisition costs incurred during the year ended December 31, 2019 related to a payment due pursuant to our Amended and Restated Asset Contribution Agreement with our Parent as discussed in Note 5 to the financial statements included elsewhere in this Annual Report on Form 10-K.</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324"/>
        <w:spacing w:after="0" w:line="301" w:lineRule="auto"/>
        <w:rPr>
          <w:sz w:val="20"/>
          <w:szCs w:val="20"/>
          <w:color w:val="auto"/>
        </w:rPr>
      </w:pPr>
      <w:r>
        <w:rPr>
          <w:rFonts w:ascii="Arial" w:cs="Arial" w:eastAsia="Arial" w:hAnsi="Arial"/>
          <w:sz w:val="16"/>
          <w:szCs w:val="16"/>
          <w:color w:val="auto"/>
        </w:rPr>
        <w:t>The State of Connecticut provides companies with the opportunity to exchange certain research and development credit carryforwards for cash in exchange for foregoing the carryforward of the research and development credit. The program provides for such exchange of the research and development credit at a rate of 65% of the annual research and development credit. The benefit for such exchange is recorded as a reduction of research and development expenditures.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w:t>
      </w:r>
    </w:p>
    <w:p>
      <w:pPr>
        <w:spacing w:after="0" w:line="229" w:lineRule="exact"/>
        <w:rPr>
          <w:sz w:val="20"/>
          <w:szCs w:val="20"/>
          <w:color w:val="auto"/>
        </w:rPr>
      </w:pPr>
    </w:p>
    <w:p>
      <w:pPr>
        <w:ind w:left="60" w:right="399" w:firstLine="324"/>
        <w:spacing w:after="0" w:line="263" w:lineRule="auto"/>
        <w:rPr>
          <w:sz w:val="20"/>
          <w:szCs w:val="20"/>
          <w:color w:val="auto"/>
        </w:rPr>
      </w:pPr>
      <w:r>
        <w:rPr>
          <w:rFonts w:ascii="Arial" w:cs="Arial" w:eastAsia="Arial" w:hAnsi="Arial"/>
          <w:sz w:val="18"/>
          <w:szCs w:val="18"/>
          <w:color w:val="auto"/>
        </w:rPr>
        <w:t>General and administrative expenses for the years ended December 31, 2020 and 2019 were $24,302 and $7,804, respectively. General and administrative expenses for the years ended December 31, 2020 and 2019 were comprised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c>
          <w:tcPr>
            <w:tcW w:w="6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840" w:type="dxa"/>
            <w:vAlign w:val="bottom"/>
            <w:gridSpan w:val="3"/>
            <w:vMerge w:val="restart"/>
          </w:tcPr>
          <w:p>
            <w:pPr>
              <w:jc w:val="right"/>
              <w:ind w:right="9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8,591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7,240</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536 %</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and consulting fees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Insurance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709</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other costs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49"/>
        </w:trPr>
        <w:tc>
          <w:tcPr>
            <w:tcW w:w="5600" w:type="dxa"/>
            <w:vAlign w:val="bottom"/>
          </w:tcPr>
          <w:p>
            <w:pPr>
              <w:ind w:left="220"/>
              <w:spacing w:after="0"/>
              <w:rPr>
                <w:sz w:val="20"/>
                <w:szCs w:val="20"/>
                <w:color w:val="auto"/>
              </w:rPr>
            </w:pPr>
            <w:r>
              <w:rPr>
                <w:rFonts w:ascii="Arial" w:cs="Arial" w:eastAsia="Arial" w:hAnsi="Arial"/>
                <w:sz w:val="18"/>
                <w:szCs w:val="18"/>
                <w:color w:val="auto"/>
              </w:rPr>
              <w:t>Total general and administrative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24,302</w:t>
            </w:r>
          </w:p>
        </w:tc>
        <w:tc>
          <w:tcPr>
            <w:tcW w:w="16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$ 7,804</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16,498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increase of $16,498 for the year ended December 31, 2020 is primarily attributable to:</w:t>
      </w:r>
    </w:p>
    <w:p>
      <w:pPr>
        <w:spacing w:after="0" w:line="225"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Increased personnel and related costs due to our continuing efforts to expand our teams in preparation of the potential commercial launch of BXCL501 in the U.S.</w:t>
      </w:r>
    </w:p>
    <w:p>
      <w:pPr>
        <w:spacing w:after="0" w:line="170"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Non-cash stock-based compensation also increased as result of the additional personnel and increased grant date fair values arising from higher market prices of the Company’s common stock.</w:t>
      </w:r>
    </w:p>
    <w:p>
      <w:pPr>
        <w:spacing w:after="0" w:line="170"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Professional and consulting fees increased due to the expanding growth of our operations and was primarily related to increased corporate legal and investor relations fees, increased market research fees, and increased costs related to our preparation for the potential commercial launch of BXCL501 in the U.S. Insurance costs also increased primarily related to an increase in Director and Officer liability premiums.</w:t>
      </w:r>
    </w:p>
    <w:p>
      <w:pPr>
        <w:spacing w:after="0" w:line="187"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In September 2020, we were the victim of an email-based wire fraud, which led to a misappropriation of approximately $1,927. We subsequently recovered $774 of this amount and are continuing efforts to recoup the remainder of the funds. As such, $1,153 is included in Travel and other costs. In February 2021, we received an additional $250 in insurance proceeds, which will partially offset the loss.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As of December 31, 2020, we had cash and cash equivalents of $213,119, working capital of $205,223 and stockholders’ equity of $206,696. Net cash used in operating activities was $66,350 and $27,101 for the years ended December 31, 2020 and 2019. We incurred losses of approximately $82,169 and $32,968 for the years ended December 31, 2020 and 2019. 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 We believe that our existing cash and cash equivalents as of December 31, 2020 will enable us to fund our operating expenses and capital expenditure requirements for at least one year from the date of this Annual Report on Form 10-K.</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We may obtain additional financing through sales of the Company’s equity securities, entering into strategic partnership arrangements and/or short-term borrowings from banks, stockholders or other related parties, if needed, or a combination of any of the foregoing. There are no assurances that we will be successful in obtaining an adequate level of financing as and when needed to finance our operations on terms acceptable to us or at all, particularly in light of the economic downturn and ongoing uncertainty related to the COVID-19 pandemic. If we are unable to secure adequate additional funding as and when needed, we may have to significantly delay, scale back or discontinue the development and commercialization of one or more product candidates. In addition, the magnitude and duration of the COVID-19 pandemic and its impact on our liquidity and future funding requirements is uncertain as of the filing date of this Annual Report on Form 10-K, as the pandemic continues to evolve globally. See “Risk Factors—The outbreak of COVID-19, or other pandemic, epidemic or outbreak of an infectious disease may materially and adversely impact our business, including our preclinical studies and clinical trials.” in Part I, Item 1A. of this Annual Report on Form 10-K for a further discussion of the potential impact of the COVID-19 pandemic on our business.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Sources of Liquidity</w:t>
      </w:r>
    </w:p>
    <w:p>
      <w:pPr>
        <w:spacing w:after="0" w:line="229"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We have focused our efforts on raising capital and building the products in our pipeline. Since our inception, our operations have been financed primarily by our Parent, BioXcel, and from proceeds from the sale of equity securities. Through December 31, 2020, we have received approximately $353,337 in aggregate gross proceeds from stock issuances including our initial public offering, private placements of our common stock, and registered offerings of our common stock and an Open Market Sale Agreement (“ATM Program”). We have not yet established an ongoing source of revenue sufficient to cover our operating costs and will need to do so in future periods.</w:t>
      </w:r>
    </w:p>
    <w:p>
      <w:pPr>
        <w:spacing w:after="0" w:line="178"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In May 2019, we entered into an Open Market Sale Agreement, or the Sale Agreement, with Jefferies LLC, or Jefferies, pursuant to which we could offer and sell up to $20,000 of our common stock, from time to time, through an “at the market offering” program under which Jefferies would act as sales agent. From May 2019 to September 2019, we sold a total of 66,193 shares for gross proceeds of $737 and net proceeds of $387. We terminated the Sale Agreement on September 22, 2019.</w:t>
      </w:r>
    </w:p>
    <w:p>
      <w:pPr>
        <w:spacing w:after="0" w:line="188"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In September 2019, we sold in a registered offering 2,303 shares of our common stock at a public offering price of $8.25 per share for gross proceeds of $19,000 less underwriting discounts and commissions. We received net proceeds of $17,423.</w:t>
      </w:r>
    </w:p>
    <w:p>
      <w:pPr>
        <w:spacing w:after="0" w:line="184"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In February 2020, we sold in a registered offering 2,300 shares of our common stock at a public offering price of $32.00 per share for gross proceeds of $73,600 less underwriting discounts and commissions. We received net proceeds of approximately $68,811.</w:t>
      </w:r>
    </w:p>
    <w:p>
      <w:pPr>
        <w:spacing w:after="0" w:line="184"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We received funds under the Paycheck Protection Program of the Coronavirus Aid, Relief, and Economic Security Act (“CARES Act”) in April 2020 in the amount of $537. On April 23, 2020 the Small Business Administration issued a new FAQ #31, which provided guidance on what it means to certify that: “current economic uncertainty makes this loan request necessary to support the ongoing operations of the Applicant.” Following review of this new FAQ #31 we decided to withdraw from the Paycheck Protection Program and have repaid the loan in full together with all accrued interest.</w:t>
      </w:r>
    </w:p>
    <w:p>
      <w:pPr>
        <w:spacing w:after="0" w:line="161"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In July 2020, we sold in a registered offering 4,000 shares of our common stock at a public offering price of $50.00 per share for gross proceeds of $200,000 less underwriting discounts and commissions. We received net proceeds of approximately $186,974.</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9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11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provided by (used in) in thousands:</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(66,350)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(27,101)</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672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247,359</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17,832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Cash used in operating activities was $66,350 for the year ended December 31, 2020 and was primarily attributable to our $82,169 net loss, partially offset by $14,611 in stock-based compensation and a $3,033 increase in accounts payable and accrued expenses. This amount was partially offset by a $2,013 increase prepaid expenses and other assets.</w:t>
      </w:r>
    </w:p>
    <w:p>
      <w:pPr>
        <w:spacing w:after="0" w:line="149"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Cash used in operating activities was $27,101 for the year ended December 31, 2019 and was primarily attributable to our $32,968 net loss, partially offset by $3,142 in stock-based compensation, $156 of depreciation and amortization and a $3,759 increased in accounts payable and accrued expenses. This amount was partially offset by a $1,190 increase in prepaid expenses.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Cash used in investing activities was $316 for the year ended December 31, 2020 and was attributable to the purchase of equipment and leasehold improvements.</w:t>
      </w:r>
    </w:p>
    <w:p>
      <w:pPr>
        <w:spacing w:after="0" w:line="170"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Cash used in investing activities was $870 for the year ended December 31, 2019 and was attributable to the purchase of equipment.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Net cash provided by financing activities was $247,359 for the year ended December 31, 2020 and was primarily attributable to the net proceeds of $68,811 from our February 2020 offering combined with net proceeds of $186,974 from our July 2020 offering. Additionally, we received $598 in proceeds from the exercise of stock options. This amount was partially offset by $9,024 used for the purchase and cancellation of 300,000 shares of common stock owned by BioXcel in February 2020.</w:t>
      </w:r>
    </w:p>
    <w:p>
      <w:pPr>
        <w:spacing w:after="0" w:line="188"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Net cash provided by financing activities was $17,810 for the year ended December 31, 2019 and was primarily attributable to the net proceeds of $17,423 from our September 2019 Offering combined with net proceeds of $387 under our former ATM Program.</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229" w:lineRule="exact"/>
        <w:rPr>
          <w:sz w:val="20"/>
          <w:szCs w:val="20"/>
          <w:color w:val="auto"/>
        </w:rPr>
      </w:pPr>
    </w:p>
    <w:p>
      <w:pPr>
        <w:ind w:left="60" w:right="459" w:firstLine="324"/>
        <w:spacing w:after="0" w:line="273" w:lineRule="auto"/>
        <w:rPr>
          <w:sz w:val="20"/>
          <w:szCs w:val="20"/>
          <w:color w:val="auto"/>
        </w:rPr>
      </w:pPr>
      <w:r>
        <w:rPr>
          <w:rFonts w:ascii="Arial" w:cs="Arial" w:eastAsia="Arial" w:hAnsi="Arial"/>
          <w:sz w:val="17"/>
          <w:szCs w:val="17"/>
          <w:color w:val="auto"/>
        </w:rPr>
        <w:t>We expect to continue to incur significant and increasing operating losses at least for the next several years as we expand our clinical trials of BXCL501 and BXCL701, seek marketing approval for our product candidates and pursue development of our other product candidates. We do not expect to generate revenue unless and until we successfully complete development and obtain regulatory approval for our product candidates. Our net losses may fluctuate significantly from quarter-to-quarter and year-to-year, depending on the timing of our planned clinical trials and our expenditures on other research and development activities.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57" w:lineRule="exact"/>
        <w:rPr>
          <w:sz w:val="20"/>
          <w:szCs w:val="20"/>
          <w:color w:val="auto"/>
        </w:rPr>
      </w:pPr>
    </w:p>
    <w:p>
      <w:pPr>
        <w:ind w:left="700" w:hanging="32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 our clinical development of BXCL501 and BXCL701;</w:t>
      </w:r>
    </w:p>
    <w:p>
      <w:pPr>
        <w:spacing w:after="0" w:line="23" w:lineRule="exact"/>
        <w:rPr>
          <w:rFonts w:ascii="Arial" w:cs="Arial" w:eastAsia="Arial" w:hAnsi="Arial"/>
          <w:sz w:val="18"/>
          <w:szCs w:val="18"/>
          <w:color w:val="auto"/>
        </w:rPr>
      </w:pPr>
    </w:p>
    <w:p>
      <w:pPr>
        <w:ind w:left="700" w:hanging="32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seek to identify, acquire, license, develop and commercialize additional product candidates;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9" w:lineRule="exact"/>
        <w:rPr>
          <w:rFonts w:ascii="Arial" w:cs="Arial" w:eastAsia="Arial" w:hAnsi="Arial"/>
          <w:sz w:val="18"/>
          <w:szCs w:val="18"/>
          <w:color w:val="auto"/>
        </w:rPr>
      </w:pPr>
    </w:p>
    <w:p>
      <w:pPr>
        <w:ind w:left="700" w:right="99" w:hanging="326"/>
        <w:spacing w:after="0" w:line="250"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efforts;</w:t>
      </w:r>
    </w:p>
    <w:p>
      <w:pPr>
        <w:ind w:left="700" w:hanging="32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9" w:lineRule="exact"/>
        <w:rPr>
          <w:rFonts w:ascii="Arial" w:cs="Arial" w:eastAsia="Arial" w:hAnsi="Arial"/>
          <w:sz w:val="18"/>
          <w:szCs w:val="18"/>
          <w:color w:val="auto"/>
        </w:rPr>
      </w:pPr>
    </w:p>
    <w:p>
      <w:pPr>
        <w:ind w:left="700" w:right="739" w:hanging="326"/>
        <w:spacing w:after="0" w:line="281" w:lineRule="auto"/>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ultimately establish a sales, marketing and distribution infrastructure and scale up external manufacturing capabilities to commercialize any product candidates for which we may obtain regulatory approval; and</w:t>
      </w:r>
    </w:p>
    <w:p>
      <w:pPr>
        <w:spacing w:after="0" w:line="1" w:lineRule="exact"/>
        <w:rPr>
          <w:rFonts w:ascii="Arial" w:cs="Arial" w:eastAsia="Arial" w:hAnsi="Arial"/>
          <w:sz w:val="16"/>
          <w:szCs w:val="16"/>
          <w:color w:val="auto"/>
        </w:rPr>
      </w:pPr>
    </w:p>
    <w:p>
      <w:pPr>
        <w:ind w:left="700" w:hanging="32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00" w:lineRule="exact"/>
        <w:rPr>
          <w:sz w:val="20"/>
          <w:szCs w:val="20"/>
          <w:color w:val="auto"/>
        </w:rPr>
      </w:pPr>
    </w:p>
    <w:p>
      <w:pPr>
        <w:spacing w:after="0" w:line="227"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We believe that our existing cash and cash equivalents as of December 31, 2020 will be sufficient to enable us to fund operating expenses and capital expenditure requirements for at least the next 12 months from the date of the issuance of the financial statements included in this Annual Report on Form 10-K and will be sufficient to fund our ongoing research and development efforts and commercialization preparation into 2022. We expect that we will need to obtain substantial additional funding in order to fund our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BXCL501, BXCL701 or other product candidates, seek collaborators at an earlier stage than otherwise would be desirable or on terms that are less favorable than might otherwise be available, and relinquish or license, potentially on unfavorable terms, our rights to BXCL501, BXCL701 or other product candidates that we otherwise would seek to develop or commercialize ourselves.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0" w:lineRule="exact"/>
        <w:rPr>
          <w:sz w:val="20"/>
          <w:szCs w:val="20"/>
          <w:color w:val="auto"/>
        </w:rPr>
      </w:pPr>
    </w:p>
    <w:p>
      <w:pPr>
        <w:ind w:left="60" w:right="179" w:firstLine="357"/>
        <w:spacing w:after="0" w:line="279" w:lineRule="auto"/>
        <w:rPr>
          <w:sz w:val="20"/>
          <w:szCs w:val="20"/>
          <w:color w:val="auto"/>
        </w:rPr>
      </w:pPr>
      <w:r>
        <w:rPr>
          <w:rFonts w:ascii="Arial" w:cs="Arial" w:eastAsia="Arial" w:hAnsi="Arial"/>
          <w:sz w:val="17"/>
          <w:szCs w:val="17"/>
          <w:color w:val="auto"/>
        </w:rPr>
        <w:t>The preparation of our financial statements in conformity with GAAP requires management to exercise its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w:t>
      </w:r>
    </w:p>
    <w:p>
      <w:pPr>
        <w:spacing w:after="0" w:line="198" w:lineRule="exact"/>
        <w:rPr>
          <w:sz w:val="20"/>
          <w:szCs w:val="20"/>
          <w:color w:val="auto"/>
        </w:rPr>
      </w:pPr>
    </w:p>
    <w:p>
      <w:pPr>
        <w:ind w:left="60" w:right="119" w:firstLine="360"/>
        <w:spacing w:after="0" w:line="257" w:lineRule="auto"/>
        <w:rPr>
          <w:sz w:val="20"/>
          <w:szCs w:val="20"/>
          <w:color w:val="auto"/>
        </w:rPr>
      </w:pPr>
      <w:r>
        <w:rPr>
          <w:rFonts w:ascii="Arial" w:cs="Arial" w:eastAsia="Arial" w:hAnsi="Arial"/>
          <w:sz w:val="18"/>
          <w:szCs w:val="18"/>
          <w:color w:val="auto"/>
        </w:rPr>
        <w:t>On an ongoing basis, we evaluate our estimates and judgments. We base our estimates and judgments on a variety of factors including our historical experience, knowledge of our business and industry, current and expected economic conditions, the attributes of our products, the regulatory environment, and in certain cases, the results of outside appraisals. We periodically re-evaluate our estimates and assumptions with respect to these judgments and modify our approach when circumstances indicate that modifications are necessary.</w:t>
      </w:r>
    </w:p>
    <w:p>
      <w:pPr>
        <w:spacing w:after="0" w:line="228" w:lineRule="exact"/>
        <w:rPr>
          <w:sz w:val="20"/>
          <w:szCs w:val="20"/>
          <w:color w:val="auto"/>
        </w:rPr>
      </w:pPr>
    </w:p>
    <w:p>
      <w:pPr>
        <w:ind w:left="60" w:right="159" w:firstLine="357"/>
        <w:spacing w:after="0" w:line="286" w:lineRule="auto"/>
        <w:rPr>
          <w:sz w:val="20"/>
          <w:szCs w:val="20"/>
          <w:color w:val="auto"/>
        </w:rPr>
      </w:pPr>
      <w:r>
        <w:rPr>
          <w:rFonts w:ascii="Arial" w:cs="Arial" w:eastAsia="Arial" w:hAnsi="Arial"/>
          <w:sz w:val="17"/>
          <w:szCs w:val="17"/>
          <w:color w:val="auto"/>
        </w:rPr>
        <w:t>While we believe that the factors we evaluate provide us with a meaningful basis for establishing and applying sound accounting policies, we cannot guarantee that the results will always be accurate. Since the determination of these estimates requires the exercise of judgment, actual results could differ from such estimates.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50"/>
        <w:spacing w:after="0" w:line="277" w:lineRule="auto"/>
        <w:rPr>
          <w:sz w:val="20"/>
          <w:szCs w:val="20"/>
          <w:color w:val="auto"/>
        </w:rPr>
      </w:pPr>
      <w:r>
        <w:rPr>
          <w:rFonts w:ascii="Arial" w:cs="Arial" w:eastAsia="Arial" w:hAnsi="Arial"/>
          <w:sz w:val="18"/>
          <w:szCs w:val="18"/>
          <w:color w:val="auto"/>
        </w:rPr>
        <w:t>A description of significant accounting policies that require us to make estimates and assumptions in the preparation of our financial statements is as follows: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66" w:lineRule="exact"/>
        <w:rPr>
          <w:sz w:val="20"/>
          <w:szCs w:val="20"/>
          <w:color w:val="auto"/>
        </w:rPr>
      </w:pPr>
    </w:p>
    <w:p>
      <w:pPr>
        <w:ind w:left="60" w:right="139" w:firstLine="324"/>
        <w:spacing w:after="0" w:line="272" w:lineRule="auto"/>
        <w:rPr>
          <w:sz w:val="20"/>
          <w:szCs w:val="20"/>
          <w:color w:val="auto"/>
        </w:rPr>
      </w:pPr>
      <w:r>
        <w:rPr>
          <w:rFonts w:ascii="Arial" w:cs="Arial" w:eastAsia="Arial" w:hAnsi="Arial"/>
          <w:sz w:val="17"/>
          <w:szCs w:val="17"/>
          <w:color w:val="auto"/>
        </w:rPr>
        <w:t>The Company accounts for stock-based compensation in accordance with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which requires the measurement and recognition of compensation expense based on estimated fair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values for all share-based awards made to employees and non-employee service providers, including stock options. The Company’s 2017 Equity Incentive Plan (the “2017 Plan”) became effective in August 2017. The Company’s 2020 Incentive Award Plan (the “2020 Plan”) became effective in May 2020. Following the effective date of the Company’s 2020 Plan, the Company ceased granting awards under the 2017 Plan; however the terms and conditions of the 2017 Plan continue to govern any outstanding awards granted thereunder.</w:t>
      </w:r>
    </w:p>
    <w:p>
      <w:pPr>
        <w:spacing w:after="0" w:line="177"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The Company’s stock option awards are valued at fair value on the date of grant and that fair value is recognized over the requisite service period. The Company utilizes the Black-Scholes option pricing model for determining the estimated fair value for stock-based awards. The Black-Scholes model requires the use of assumptions which determine the fair value of the stock-based awards. Determining the fair value of stock-based awards at the grant date requires significant judgment, including estimating the expected term of the stock options, the expected volatility of our stock and expected dividends. Prior to the IPO, significant judgement and estimates were used to estimate the fair value of these awards, as the shares of common stock underlying these awards were not then publicly traded. Stock awards granted by the Company subsequent to its IPO are valued using market prices at the date of grant. The Company has elected to account for forfeitures as they occur, by reversing compensation cost when the award is forfeited.</w:t>
      </w:r>
    </w:p>
    <w:p>
      <w:pPr>
        <w:spacing w:after="0" w:line="166" w:lineRule="exact"/>
        <w:rPr>
          <w:sz w:val="20"/>
          <w:szCs w:val="20"/>
          <w:color w:val="auto"/>
        </w:rPr>
      </w:pPr>
    </w:p>
    <w:p>
      <w:pPr>
        <w:ind w:left="60" w:right="739" w:firstLine="324"/>
        <w:spacing w:after="0" w:line="277" w:lineRule="auto"/>
        <w:rPr>
          <w:sz w:val="20"/>
          <w:szCs w:val="20"/>
          <w:color w:val="auto"/>
        </w:rPr>
      </w:pPr>
      <w:r>
        <w:rPr>
          <w:rFonts w:ascii="Arial" w:cs="Arial" w:eastAsia="Arial" w:hAnsi="Arial"/>
          <w:sz w:val="18"/>
          <w:szCs w:val="18"/>
          <w:color w:val="auto"/>
        </w:rPr>
        <w:t>The Company adopted FASB ASU 2018-07 as of January 1, 2019 which allowed non-employee options to be expensed using the adoption date fair value.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facts and circumstances known to us at that time. We periodically confirm the accuracy of our estimates with the service providers and make adjustments if necessary.</w:t>
      </w:r>
    </w:p>
    <w:p>
      <w:pPr>
        <w:spacing w:after="0" w:line="153"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base our expenses on our estimates of the services received and level of effort in each period.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 accruing expenses, we estimate the time period over which services will be performed and the level of effort to be expended in each period. The date on which some services commence, the level of services performed on or before a given dates and the cost of such services are often subjective determinations. If the actual timing of the performance of services or the level of effort varies from our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Income Taxes</w:t>
      </w:r>
    </w:p>
    <w:p>
      <w:pPr>
        <w:spacing w:after="0" w:line="21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use an asset and liability approach for financial accounting and reporting of income taxes. Deferred tax assets and liabilities are determined based on temporary differences between financial reporting and tax basis assets and liabilities and are measured by applying enacted rates and laws to taxable years in which differences are expected to be recovered 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settled. Further, the effect on deferred tax assets and liabilities of a change in tax rates is recognized in income in the period that the rate changes. A valuation allowance is required when it is “more likely than not” that all or a portion of deferred tax assets will not be realized.</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apply the provisions of ASC 740, Income Taxes, which prescribes a comprehensive model for how a company should recognize, measure, present and disclose in its financial statements uncertain tax positions that the company has taken or expects to take on a tax return, including a decision whether to file or not file a return in a particular jurisdiction. Our financial statements reflect expected future tax consequences of such positions presuming the taxing authorities’ full knowledge of the position and all relevant facts.</w:t>
      </w:r>
    </w:p>
    <w:p>
      <w:pPr>
        <w:spacing w:after="0" w:line="188"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We do not have any unrecognized tax benefits as of December 31, 2020. We review all tax positions to ensure the tax treatment selected is sustainable based on its technical merits and that the position would be sustained if challenged.</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0" w:right="59" w:firstLine="324"/>
        <w:spacing w:after="0" w:line="235" w:lineRule="auto"/>
        <w:rPr>
          <w:sz w:val="20"/>
          <w:szCs w:val="20"/>
          <w:color w:val="auto"/>
        </w:rPr>
      </w:pPr>
      <w:r>
        <w:rPr>
          <w:rFonts w:ascii="Arial" w:cs="Arial" w:eastAsia="Arial" w:hAnsi="Arial"/>
          <w:sz w:val="18"/>
          <w:szCs w:val="18"/>
          <w:color w:val="auto"/>
        </w:rPr>
        <w:t>In August 2018, the Company entered into an agreement to lease approximately 11,040 square feet of space on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the building located at 555 Long Wharf Drive, New Haven, Connecticut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which was effective February 22, 2019.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expires in February 2026.</w:t>
      </w:r>
    </w:p>
    <w:p>
      <w:pPr>
        <w:spacing w:after="0" w:line="76" w:lineRule="exact"/>
        <w:rPr>
          <w:sz w:val="20"/>
          <w:szCs w:val="20"/>
          <w:color w:val="auto"/>
        </w:rPr>
      </w:pPr>
    </w:p>
    <w:p>
      <w:pPr>
        <w:ind w:left="60" w:right="459" w:firstLine="324"/>
        <w:spacing w:after="0" w:line="238" w:lineRule="auto"/>
        <w:rPr>
          <w:sz w:val="20"/>
          <w:szCs w:val="20"/>
          <w:color w:val="auto"/>
        </w:rPr>
      </w:pPr>
      <w:r>
        <w:rPr>
          <w:rFonts w:ascii="Arial" w:cs="Arial" w:eastAsia="Arial" w:hAnsi="Arial"/>
          <w:sz w:val="16"/>
          <w:szCs w:val="16"/>
          <w:color w:val="auto"/>
        </w:rPr>
        <w:t>In August 2020, the Company entered into an amendment to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Lease wherein the Company leased an additional 7,245 square feet of space on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of the building located at 555 Long Wharf Drive, New Haven, Connecticut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Lease Amendment”).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Lease Amendment expires in February 2026.</w:t>
      </w:r>
    </w:p>
    <w:p>
      <w:pPr>
        <w:spacing w:after="0" w:line="77" w:lineRule="exact"/>
        <w:rPr>
          <w:sz w:val="20"/>
          <w:szCs w:val="20"/>
          <w:color w:val="auto"/>
        </w:rPr>
      </w:pPr>
    </w:p>
    <w:p>
      <w:pPr>
        <w:ind w:left="60" w:right="299" w:firstLine="324"/>
        <w:spacing w:after="0" w:line="222" w:lineRule="auto"/>
        <w:rPr>
          <w:sz w:val="20"/>
          <w:szCs w:val="20"/>
          <w:color w:val="auto"/>
        </w:rPr>
      </w:pPr>
      <w:r>
        <w:rPr>
          <w:rFonts w:ascii="Arial" w:cs="Arial" w:eastAsia="Arial" w:hAnsi="Arial"/>
          <w:sz w:val="18"/>
          <w:szCs w:val="18"/>
          <w:color w:val="auto"/>
        </w:rPr>
        <w:t>The following table summarizes our contractual obligations related our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and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Amendment at December 31, 2020 and the effect such obligations are expected to have on our liquidity and cash flow in future periods: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2"/>
              </w:rPr>
              <w:t>Payments due by Period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
        </w:trPr>
        <w:tc>
          <w:tcPr>
            <w:tcW w:w="3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16"/>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Less Than</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More Than</w:t>
            </w:r>
          </w:p>
        </w:tc>
      </w:tr>
      <w:tr>
        <w:trPr>
          <w:trHeight w:val="186"/>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1 year</w:t>
            </w: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1-3 years</w:t>
            </w:r>
          </w:p>
        </w:tc>
        <w:tc>
          <w:tcPr>
            <w:tcW w:w="10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6"/>
                <w:szCs w:val="16"/>
                <w:color w:val="auto"/>
              </w:rPr>
            </w:pP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5 years</w:t>
            </w:r>
          </w:p>
        </w:tc>
      </w:tr>
      <w:tr>
        <w:trPr>
          <w:trHeight w:val="25"/>
        </w:trPr>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1,886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1,116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additional details, see “Note 12 to Financial Statements – Leases.”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did not have any off-balance sheet arrangements as of December 31, 2020 or 2019, as defined under SEC rules.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right="479" w:firstLine="324"/>
        <w:spacing w:after="0" w:line="279"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As of December 31, 2020, we had $213,119 cash and cash equivalents. Our cash and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is primarily held in U.S. Government money market funds. We do not participate in any foreign currency hedging activities and we do not have any other derivative financial instruments. We did not recognize any significant exchange rate losses during the years ended December 31, 2020 and 2019, respectively.</w:t>
      </w:r>
    </w:p>
    <w:p>
      <w:pPr>
        <w:spacing w:after="0" w:line="171"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We do not believe that our cash and cash equivalents have significant risk of default or illiquidity. While we believe our cash and cash equivalents does not contain excessive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171" w:lineRule="exact"/>
        <w:rPr>
          <w:sz w:val="20"/>
          <w:szCs w:val="20"/>
          <w:color w:val="auto"/>
        </w:rPr>
      </w:pPr>
    </w:p>
    <w:p>
      <w:pPr>
        <w:ind w:left="60" w:right="139" w:firstLine="324"/>
        <w:spacing w:after="0" w:line="311" w:lineRule="auto"/>
        <w:rPr>
          <w:sz w:val="20"/>
          <w:szCs w:val="20"/>
          <w:color w:val="auto"/>
        </w:rPr>
      </w:pPr>
      <w:r>
        <w:rPr>
          <w:rFonts w:ascii="Arial" w:cs="Arial" w:eastAsia="Arial" w:hAnsi="Arial"/>
          <w:sz w:val="16"/>
          <w:szCs w:val="16"/>
          <w:i w:val="1"/>
          <w:iCs w:val="1"/>
          <w:color w:val="auto"/>
        </w:rPr>
        <w:t>Capital Market Risk</w:t>
      </w:r>
      <w:r>
        <w:rPr>
          <w:rFonts w:ascii="Arial" w:cs="Arial" w:eastAsia="Arial" w:hAnsi="Arial"/>
          <w:sz w:val="16"/>
          <w:szCs w:val="16"/>
          <w:color w:val="auto"/>
        </w:rPr>
        <w:t>. We currently have no product revenues and depend on funds raised through other sources. One</w:t>
      </w:r>
      <w:r>
        <w:rPr>
          <w:rFonts w:ascii="Arial" w:cs="Arial" w:eastAsia="Arial" w:hAnsi="Arial"/>
          <w:sz w:val="16"/>
          <w:szCs w:val="16"/>
          <w:i w:val="1"/>
          <w:iCs w:val="1"/>
          <w:color w:val="auto"/>
        </w:rPr>
        <w:t xml:space="preserve"> </w:t>
      </w:r>
      <w:r>
        <w:rPr>
          <w:rFonts w:ascii="Arial" w:cs="Arial" w:eastAsia="Arial" w:hAnsi="Arial"/>
          <w:sz w:val="16"/>
          <w:szCs w:val="16"/>
          <w:color w:val="auto"/>
        </w:rPr>
        <w:t>source of funding is through future debt or equity offerings. Our ability to raise funds in this manner depends upon, among other things, capital market forces affecting our stock price, and on the state of the capital markets generally.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and incorporated herein by reference.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2020.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6"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Based on the evaluation of our disclosure controls and procedures as of December 31, 2020, our Chief Executive Officer and Chief Financial Officer concluded that, as of such date, our disclosure controls and procedures are effective at the reasonable assurance level.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Controls Over Financial Reporting</w:t>
      </w:r>
    </w:p>
    <w:p>
      <w:pPr>
        <w:spacing w:after="0" w:line="229" w:lineRule="exact"/>
        <w:rPr>
          <w:sz w:val="20"/>
          <w:szCs w:val="20"/>
          <w:color w:val="auto"/>
        </w:rPr>
      </w:pPr>
    </w:p>
    <w:p>
      <w:pPr>
        <w:jc w:val="both"/>
        <w:ind w:left="60" w:right="139" w:firstLine="324"/>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is responsible for establishing and maintaining adequate internal control over financial reporting as defined in Rules 13a-15(f) and 15d-15(f) under the Exchange Act.</w:t>
      </w:r>
    </w:p>
    <w:p>
      <w:pPr>
        <w:spacing w:after="0" w:line="184"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In September 2020, we were the victim of an email-based wire fraud which involved two electronic communications impersonating one of our vendors, resulting in our sending wires totaling $1.9 million to accounts controlled by the impersonator. As a result of the foregoing, we identified a material weakness due to our internal controls having not been adequately designed to prevent or timely detect unauthorized cash disbursements. Specifically, certain members within our finance organization failed to exercise appropriate skepticism and oversight for disbursement of Company-owned funds, and our cash disbursement process was not adequately designed to identify unauthorized payment requests. We do not believe that this breach had a material adverse effect on our business.</w:t>
      </w:r>
    </w:p>
    <w:p>
      <w:pPr>
        <w:spacing w:after="0" w:line="166" w:lineRule="exact"/>
        <w:rPr>
          <w:sz w:val="20"/>
          <w:szCs w:val="20"/>
          <w:color w:val="auto"/>
        </w:rPr>
      </w:pPr>
    </w:p>
    <w:p>
      <w:pPr>
        <w:ind w:left="60" w:right="259" w:firstLine="324"/>
        <w:spacing w:after="0" w:line="290" w:lineRule="auto"/>
        <w:rPr>
          <w:sz w:val="20"/>
          <w:szCs w:val="20"/>
          <w:color w:val="auto"/>
        </w:rPr>
      </w:pPr>
      <w:r>
        <w:rPr>
          <w:rFonts w:ascii="Arial" w:cs="Arial" w:eastAsia="Arial" w:hAnsi="Arial"/>
          <w:sz w:val="16"/>
          <w:szCs w:val="16"/>
          <w:color w:val="auto"/>
        </w:rPr>
        <w:t>Management took immediate action to remediate the material weakness, including enhancing and formalizing cash disbursement controls to prevent and timely detect unauthorized cash disbursements and significantly enhancing our information technology infrastructure and security measures. We have also added additional members to the finance and information technology teams with greater experience in the area of internal controls and security. Management has concluded that the material was remediated during the fourth quarter of 2020 and, based on management’s assessment of the effectiveness of our internal control over financial reporting based on the criteria set forth in “Internal Control– Integrated Framework (2013)” issued by the Committee of Sponsoring Organizations of the Treadway Commission, concluded that, as of December 31, 2020, our internal control over financial reporting was effective.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jc w:val="both"/>
        <w:ind w:left="60" w:right="799" w:firstLine="324"/>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internal control over financial reporting due to an exemption established by the JOBS Act for “emerging growth companies.”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219" w:firstLine="324"/>
        <w:spacing w:after="0" w:line="259" w:lineRule="auto"/>
        <w:rPr>
          <w:sz w:val="20"/>
          <w:szCs w:val="20"/>
          <w:color w:val="auto"/>
        </w:rPr>
      </w:pPr>
      <w:r>
        <w:rPr>
          <w:rFonts w:ascii="Arial" w:cs="Arial" w:eastAsia="Arial" w:hAnsi="Arial"/>
          <w:sz w:val="18"/>
          <w:szCs w:val="18"/>
          <w:color w:val="auto"/>
        </w:rPr>
        <w:t>Except for the remediation efforts described above taken to address the material weakness, there were no changes in our internal control over financial reporting (as defined in Rules 13a-15(f) and 15d-15(f) under the Exchange Act) during the three months ended December 31, 2020 that have materially affected, or are reasonably likely to materially affect, our internal control over financial reporting.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0" w:right="239" w:firstLine="324"/>
        <w:spacing w:after="0" w:line="311" w:lineRule="auto"/>
        <w:rPr>
          <w:sz w:val="20"/>
          <w:szCs w:val="20"/>
          <w:color w:val="auto"/>
        </w:rPr>
      </w:pPr>
      <w:r>
        <w:rPr>
          <w:rFonts w:ascii="Arial" w:cs="Arial" w:eastAsia="Arial" w:hAnsi="Arial"/>
          <w:sz w:val="16"/>
          <w:szCs w:val="16"/>
          <w:color w:val="auto"/>
        </w:rPr>
        <w:t>The information required by this Item is incorporated herein by reference to the information that will be contained in our proxy statement related to our annual meeting of stockholders to be held in 2021 (the “2021 Annual Meeting of Stockholders”), which we intend to file with the SEC within 120 days of the year ended December 31, 2020.</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2021 Annual Meeting of Stockholders, which we intend to file with the SEC within 120 days of the year ended December 31,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2021 Annual Meeting of Stockholders, which we intend to file with the SEC within 120 days of the year ended December 31,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2021 Annual Meeting of Stockholders, which we intend to file with the SEC within 120 days of the year ended December 31,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2021 Annual Meeting of Stockholders, which we intend to file with the SEC within 120 days of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840" w:type="dxa"/>
            <w:vAlign w:val="bottom"/>
          </w:tcPr>
          <w:p>
            <w:pPr>
              <w:ind w:left="4080"/>
              <w:spacing w:after="0"/>
              <w:rPr>
                <w:sz w:val="20"/>
                <w:szCs w:val="20"/>
                <w:color w:val="auto"/>
              </w:rPr>
            </w:pPr>
            <w:r>
              <w:rPr>
                <w:rFonts w:ascii="Arial" w:cs="Arial" w:eastAsia="Arial" w:hAnsi="Arial"/>
                <w:sz w:val="18"/>
                <w:szCs w:val="18"/>
                <w:b w:val="1"/>
                <w:bCs w:val="1"/>
                <w:color w:val="auto"/>
              </w:rPr>
              <w:t>PART IV</w:t>
            </w:r>
          </w:p>
        </w:tc>
        <w:tc>
          <w:tcPr>
            <w:tcW w:w="1060" w:type="dxa"/>
            <w:vAlign w:val="bottom"/>
          </w:tcPr>
          <w:p>
            <w:pPr>
              <w:spacing w:after="0"/>
              <w:rPr>
                <w:sz w:val="20"/>
                <w:szCs w:val="20"/>
                <w:color w:val="auto"/>
              </w:rPr>
            </w:pPr>
          </w:p>
        </w:tc>
      </w:tr>
      <w:tr>
        <w:trPr>
          <w:trHeight w:val="432"/>
        </w:trPr>
        <w:tc>
          <w:tcPr>
            <w:tcW w:w="7840" w:type="dxa"/>
            <w:vAlign w:val="bottom"/>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1060" w:type="dxa"/>
            <w:vAlign w:val="bottom"/>
          </w:tcPr>
          <w:p>
            <w:pPr>
              <w:spacing w:after="0"/>
              <w:rPr>
                <w:sz w:val="24"/>
                <w:szCs w:val="24"/>
                <w:color w:val="auto"/>
              </w:rPr>
            </w:pPr>
          </w:p>
        </w:tc>
      </w:tr>
      <w:tr>
        <w:trPr>
          <w:trHeight w:val="449"/>
        </w:trPr>
        <w:tc>
          <w:tcPr>
            <w:tcW w:w="7840" w:type="dxa"/>
            <w:vAlign w:val="bottom"/>
          </w:tcPr>
          <w:p>
            <w:pPr>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17"/>
                <w:szCs w:val="17"/>
                <w:color w:val="auto"/>
              </w:rPr>
              <w:t>The following documents are filed as part of this report:</w:t>
            </w:r>
          </w:p>
        </w:tc>
        <w:tc>
          <w:tcPr>
            <w:tcW w:w="1060" w:type="dxa"/>
            <w:vAlign w:val="bottom"/>
          </w:tcPr>
          <w:p>
            <w:pPr>
              <w:spacing w:after="0"/>
              <w:rPr>
                <w:sz w:val="24"/>
                <w:szCs w:val="24"/>
                <w:color w:val="auto"/>
              </w:rPr>
            </w:pPr>
          </w:p>
        </w:tc>
      </w:tr>
      <w:tr>
        <w:trPr>
          <w:trHeight w:val="428"/>
        </w:trPr>
        <w:tc>
          <w:tcPr>
            <w:tcW w:w="7840" w:type="dxa"/>
            <w:vAlign w:val="bottom"/>
          </w:tcPr>
          <w:p>
            <w:pPr>
              <w:ind w:left="640"/>
              <w:spacing w:after="0"/>
              <w:rPr>
                <w:sz w:val="20"/>
                <w:szCs w:val="20"/>
                <w:color w:val="auto"/>
              </w:rPr>
            </w:pPr>
            <w:r>
              <w:rPr>
                <w:rFonts w:ascii="Arial" w:cs="Arial" w:eastAsia="Arial" w:hAnsi="Arial"/>
                <w:sz w:val="18"/>
                <w:szCs w:val="18"/>
                <w:color w:val="auto"/>
              </w:rPr>
              <w:t>(1) Financial Statements:</w:t>
            </w:r>
          </w:p>
        </w:tc>
        <w:tc>
          <w:tcPr>
            <w:tcW w:w="1060" w:type="dxa"/>
            <w:vAlign w:val="bottom"/>
          </w:tcPr>
          <w:p>
            <w:pPr>
              <w:spacing w:after="0"/>
              <w:rPr>
                <w:sz w:val="24"/>
                <w:szCs w:val="24"/>
                <w:color w:val="auto"/>
              </w:rPr>
            </w:pPr>
          </w:p>
        </w:tc>
      </w:tr>
      <w:tr>
        <w:trPr>
          <w:trHeight w:val="418"/>
        </w:trPr>
        <w:tc>
          <w:tcPr>
            <w:tcW w:w="7840" w:type="dxa"/>
            <w:vAlign w:val="bottom"/>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Report of Independent Registered Public Accounting Firm</w:t>
              </w:r>
            </w:hyperlink>
          </w:p>
        </w:tc>
        <w:tc>
          <w:tcPr>
            <w:tcW w:w="1060" w:type="dxa"/>
            <w:vAlign w:val="bottom"/>
          </w:tcPr>
          <w:p>
            <w:pPr>
              <w:ind w:left="800"/>
              <w:spacing w:after="0"/>
              <w:rPr>
                <w:sz w:val="20"/>
                <w:szCs w:val="20"/>
                <w:color w:val="auto"/>
              </w:rPr>
            </w:pPr>
            <w:r>
              <w:rPr>
                <w:rFonts w:ascii="Arial" w:cs="Arial" w:eastAsia="Arial" w:hAnsi="Arial"/>
                <w:sz w:val="18"/>
                <w:szCs w:val="18"/>
                <w:color w:val="auto"/>
                <w:w w:val="88"/>
              </w:rPr>
              <w:t>F-1</w:t>
            </w:r>
          </w:p>
        </w:tc>
      </w:tr>
      <w:tr>
        <w:trPr>
          <w:trHeight w:val="216"/>
        </w:trPr>
        <w:tc>
          <w:tcPr>
            <w:tcW w:w="7840" w:type="dxa"/>
            <w:vAlign w:val="bottom"/>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Balance Sheets as of December 31, 2020 and 2019</w:t>
              </w:r>
            </w:hyperlink>
          </w:p>
        </w:tc>
        <w:tc>
          <w:tcPr>
            <w:tcW w:w="1060" w:type="dxa"/>
            <w:vAlign w:val="bottom"/>
          </w:tcPr>
          <w:p>
            <w:pPr>
              <w:ind w:left="800"/>
              <w:spacing w:after="0"/>
              <w:rPr>
                <w:sz w:val="20"/>
                <w:szCs w:val="20"/>
                <w:color w:val="auto"/>
              </w:rPr>
            </w:pPr>
            <w:r>
              <w:rPr>
                <w:rFonts w:ascii="Arial" w:cs="Arial" w:eastAsia="Arial" w:hAnsi="Arial"/>
                <w:sz w:val="18"/>
                <w:szCs w:val="18"/>
                <w:color w:val="auto"/>
                <w:w w:val="88"/>
              </w:rPr>
              <w:t>F-2</w:t>
            </w:r>
          </w:p>
        </w:tc>
      </w:tr>
      <w:tr>
        <w:trPr>
          <w:trHeight w:val="216"/>
        </w:trPr>
        <w:tc>
          <w:tcPr>
            <w:tcW w:w="7840" w:type="dxa"/>
            <w:vAlign w:val="bottom"/>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Statements of Operations for the Years Ended December 31, 2020 and 2019</w:t>
              </w:r>
            </w:hyperlink>
          </w:p>
        </w:tc>
        <w:tc>
          <w:tcPr>
            <w:tcW w:w="1060" w:type="dxa"/>
            <w:vAlign w:val="bottom"/>
          </w:tcPr>
          <w:p>
            <w:pPr>
              <w:ind w:left="800"/>
              <w:spacing w:after="0"/>
              <w:rPr>
                <w:sz w:val="20"/>
                <w:szCs w:val="20"/>
                <w:color w:val="auto"/>
              </w:rPr>
            </w:pPr>
            <w:r>
              <w:rPr>
                <w:rFonts w:ascii="Arial" w:cs="Arial" w:eastAsia="Arial" w:hAnsi="Arial"/>
                <w:sz w:val="18"/>
                <w:szCs w:val="18"/>
                <w:color w:val="auto"/>
                <w:w w:val="88"/>
              </w:rPr>
              <w:t>F-3</w:t>
            </w:r>
          </w:p>
        </w:tc>
      </w:tr>
      <w:tr>
        <w:trPr>
          <w:trHeight w:val="216"/>
        </w:trPr>
        <w:tc>
          <w:tcPr>
            <w:tcW w:w="7840" w:type="dxa"/>
            <w:vAlign w:val="bottom"/>
          </w:tcPr>
          <w:p>
            <w:pPr>
              <w:spacing w:after="0"/>
              <w:rPr>
                <w:rFonts w:ascii="Arial" w:cs="Arial" w:eastAsia="Arial" w:hAnsi="Arial"/>
                <w:sz w:val="18"/>
                <w:szCs w:val="18"/>
                <w:u w:val="single" w:color="auto"/>
                <w:color w:val="0000EE"/>
                <w:w w:val="99"/>
              </w:rPr>
            </w:pPr>
            <w:hyperlink w:anchor="page109">
              <w:r>
                <w:rPr>
                  <w:rFonts w:ascii="Arial" w:cs="Arial" w:eastAsia="Arial" w:hAnsi="Arial"/>
                  <w:sz w:val="18"/>
                  <w:szCs w:val="18"/>
                  <w:u w:val="single" w:color="auto"/>
                  <w:color w:val="0000EE"/>
                  <w:w w:val="99"/>
                </w:rPr>
                <w:t>Statements of Changes in Stockholders’ Equity for the Years Ended December 31, 2020 and 2019</w:t>
              </w:r>
            </w:hyperlink>
          </w:p>
        </w:tc>
        <w:tc>
          <w:tcPr>
            <w:tcW w:w="1060" w:type="dxa"/>
            <w:vAlign w:val="bottom"/>
          </w:tcPr>
          <w:p>
            <w:pPr>
              <w:ind w:left="800"/>
              <w:spacing w:after="0"/>
              <w:rPr>
                <w:sz w:val="20"/>
                <w:szCs w:val="20"/>
                <w:color w:val="auto"/>
              </w:rPr>
            </w:pPr>
            <w:r>
              <w:rPr>
                <w:rFonts w:ascii="Arial" w:cs="Arial" w:eastAsia="Arial" w:hAnsi="Arial"/>
                <w:sz w:val="18"/>
                <w:szCs w:val="18"/>
                <w:color w:val="auto"/>
                <w:w w:val="88"/>
              </w:rPr>
              <w:t>F-4</w:t>
            </w:r>
          </w:p>
        </w:tc>
      </w:tr>
      <w:tr>
        <w:trPr>
          <w:trHeight w:val="216"/>
        </w:trPr>
        <w:tc>
          <w:tcPr>
            <w:tcW w:w="784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Statements of Cash Flows for the Years Ended December 31, 2020 and 2019</w:t>
              </w:r>
            </w:hyperlink>
          </w:p>
        </w:tc>
        <w:tc>
          <w:tcPr>
            <w:tcW w:w="1060" w:type="dxa"/>
            <w:vAlign w:val="bottom"/>
          </w:tcPr>
          <w:p>
            <w:pPr>
              <w:ind w:left="800"/>
              <w:spacing w:after="0"/>
              <w:rPr>
                <w:sz w:val="20"/>
                <w:szCs w:val="20"/>
                <w:color w:val="auto"/>
              </w:rPr>
            </w:pPr>
            <w:r>
              <w:rPr>
                <w:rFonts w:ascii="Arial" w:cs="Arial" w:eastAsia="Arial" w:hAnsi="Arial"/>
                <w:sz w:val="18"/>
                <w:szCs w:val="18"/>
                <w:color w:val="auto"/>
                <w:w w:val="88"/>
              </w:rPr>
              <w:t>F-5</w:t>
            </w:r>
          </w:p>
        </w:tc>
      </w:tr>
      <w:tr>
        <w:trPr>
          <w:trHeight w:val="230"/>
        </w:trPr>
        <w:tc>
          <w:tcPr>
            <w:tcW w:w="7840" w:type="dxa"/>
            <w:vAlign w:val="bottom"/>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Notes to Financial Statements</w:t>
              </w:r>
            </w:hyperlink>
          </w:p>
        </w:tc>
        <w:tc>
          <w:tcPr>
            <w:tcW w:w="1060" w:type="dxa"/>
            <w:vAlign w:val="bottom"/>
          </w:tcPr>
          <w:p>
            <w:pPr>
              <w:ind w:left="800"/>
              <w:spacing w:after="0"/>
              <w:rPr>
                <w:sz w:val="20"/>
                <w:szCs w:val="20"/>
                <w:color w:val="auto"/>
              </w:rPr>
            </w:pPr>
            <w:r>
              <w:rPr>
                <w:rFonts w:ascii="Arial" w:cs="Arial" w:eastAsia="Arial" w:hAnsi="Arial"/>
                <w:sz w:val="18"/>
                <w:szCs w:val="18"/>
                <w:color w:val="auto"/>
                <w:w w:val="88"/>
              </w:rPr>
              <w:t>F-6</w:t>
            </w:r>
          </w:p>
        </w:tc>
      </w:tr>
    </w:tbl>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 Financial Statement Schedules</w:t>
      </w:r>
      <w:r>
        <w:rPr>
          <w:rFonts w:ascii="Arial" w:cs="Arial" w:eastAsia="Arial" w:hAnsi="Arial"/>
          <w:sz w:val="19"/>
          <w:szCs w:val="19"/>
          <w:color w:val="auto"/>
        </w:rPr>
        <w:t>:</w:t>
      </w:r>
    </w:p>
    <w:p>
      <w:pPr>
        <w:spacing w:after="0" w:line="230"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 Exhibits.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8"/>
        </w:trPr>
        <w:tc>
          <w:tcPr>
            <w:tcW w:w="86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20" w:type="dxa"/>
            <w:vAlign w:val="bottom"/>
            <w:gridSpan w:val="14"/>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Form</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File No.</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Filing Date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14"/>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14"/>
                <w:szCs w:val="14"/>
                <w:color w:val="auto"/>
              </w:rPr>
            </w:pPr>
          </w:p>
        </w:tc>
        <w:tc>
          <w:tcPr>
            <w:tcW w:w="3200" w:type="dxa"/>
            <w:vAlign w:val="bottom"/>
            <w:tcBorders>
              <w:top w:val="single" w:sz="8" w:color="auto"/>
            </w:tcBorders>
            <w:gridSpan w:val="15"/>
          </w:tcPr>
          <w:p>
            <w:pPr>
              <w:spacing w:after="0" w:line="169" w:lineRule="exact"/>
              <w:rPr>
                <w:rFonts w:ascii="Arial" w:cs="Arial" w:eastAsia="Arial" w:hAnsi="Arial"/>
                <w:sz w:val="18"/>
                <w:szCs w:val="18"/>
                <w:color w:val="0000EE"/>
              </w:rPr>
            </w:pPr>
            <w:hyperlink r:id="rId117">
              <w:r>
                <w:rPr>
                  <w:rFonts w:ascii="Arial" w:cs="Arial" w:eastAsia="Arial" w:hAnsi="Arial"/>
                  <w:sz w:val="18"/>
                  <w:szCs w:val="18"/>
                  <w:color w:val="0000EE"/>
                </w:rPr>
                <w:t>Amended and Restated Certificate of</w:t>
              </w:r>
            </w:hyperlink>
          </w:p>
        </w:tc>
        <w:tc>
          <w:tcPr>
            <w:tcW w:w="160" w:type="dxa"/>
            <w:vAlign w:val="bottom"/>
          </w:tcPr>
          <w:p>
            <w:pPr>
              <w:spacing w:after="0"/>
              <w:rPr>
                <w:sz w:val="14"/>
                <w:szCs w:val="14"/>
                <w:color w:val="auto"/>
              </w:rPr>
            </w:pPr>
          </w:p>
        </w:tc>
        <w:tc>
          <w:tcPr>
            <w:tcW w:w="5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6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001-</w:t>
            </w:r>
          </w:p>
        </w:tc>
        <w:tc>
          <w:tcPr>
            <w:tcW w:w="16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4"/>
                <w:szCs w:val="14"/>
                <w:color w:val="auto"/>
              </w:rPr>
            </w:pPr>
          </w:p>
        </w:tc>
        <w:tc>
          <w:tcPr>
            <w:tcW w:w="9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3/13/2018</w:t>
            </w:r>
          </w:p>
        </w:tc>
        <w:tc>
          <w:tcPr>
            <w:tcW w:w="1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Incorporation.</w:t>
              </w:r>
            </w:hyperlink>
          </w:p>
        </w:tc>
        <w:tc>
          <w:tcPr>
            <w:tcW w:w="1620" w:type="dxa"/>
            <w:vAlign w:val="bottom"/>
            <w:tcBorders>
              <w:top w:val="single" w:sz="8" w:color="0000EE"/>
            </w:tcBorders>
            <w:gridSpan w:val="4"/>
          </w:tcPr>
          <w:p>
            <w:pPr>
              <w:spacing w:after="0"/>
              <w:rPr>
                <w:sz w:val="17"/>
                <w:szCs w:val="17"/>
                <w:color w:val="auto"/>
              </w:rPr>
            </w:pPr>
          </w:p>
        </w:tc>
        <w:tc>
          <w:tcPr>
            <w:tcW w:w="70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7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40" w:type="dxa"/>
            <w:vAlign w:val="bottom"/>
          </w:tcPr>
          <w:p>
            <w:pPr>
              <w:spacing w:after="0"/>
              <w:rPr>
                <w:sz w:val="24"/>
                <w:szCs w:val="24"/>
                <w:color w:val="auto"/>
              </w:rPr>
            </w:pPr>
          </w:p>
        </w:tc>
        <w:tc>
          <w:tcPr>
            <w:tcW w:w="3360" w:type="dxa"/>
            <w:vAlign w:val="bottom"/>
            <w:gridSpan w:val="16"/>
          </w:tcPr>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Amended and Restated Bylaws</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3/13/2018</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38410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40" w:type="dxa"/>
            <w:vAlign w:val="bottom"/>
          </w:tcPr>
          <w:p>
            <w:pPr>
              <w:spacing w:after="0"/>
              <w:rPr>
                <w:sz w:val="24"/>
                <w:szCs w:val="24"/>
                <w:color w:val="auto"/>
              </w:rPr>
            </w:pPr>
          </w:p>
        </w:tc>
        <w:tc>
          <w:tcPr>
            <w:tcW w:w="2980" w:type="dxa"/>
            <w:vAlign w:val="bottom"/>
            <w:tcBorders>
              <w:bottom w:val="single" w:sz="8" w:color="0000EE"/>
            </w:tcBorders>
            <w:gridSpan w:val="11"/>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Description of the Registrant’s Securities</w:t>
              </w:r>
            </w:hyperlink>
          </w:p>
        </w:tc>
        <w:tc>
          <w:tcPr>
            <w:tcW w:w="380" w:type="dxa"/>
            <w:vAlign w:val="bottom"/>
            <w:gridSpan w:val="5"/>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10-K</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3/09/2020</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Registered Under Section 12 of the</w:t>
              </w:r>
            </w:hyperlink>
          </w:p>
        </w:tc>
        <w:tc>
          <w:tcPr>
            <w:tcW w:w="82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Exchange Act</w:t>
              </w:r>
            </w:hyperlink>
          </w:p>
        </w:tc>
        <w:tc>
          <w:tcPr>
            <w:tcW w:w="234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40" w:type="dxa"/>
            <w:vAlign w:val="bottom"/>
          </w:tcPr>
          <w:p>
            <w:pPr>
              <w:spacing w:after="0"/>
              <w:rPr>
                <w:sz w:val="24"/>
                <w:szCs w:val="24"/>
                <w:color w:val="auto"/>
              </w:rPr>
            </w:pPr>
          </w:p>
        </w:tc>
        <w:tc>
          <w:tcPr>
            <w:tcW w:w="3120" w:type="dxa"/>
            <w:vAlign w:val="bottom"/>
            <w:tcBorders>
              <w:bottom w:val="single" w:sz="8" w:color="0000EE"/>
            </w:tcBorders>
            <w:gridSpan w:val="13"/>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Specimen Stock Certificate evidencing the</w:t>
              </w:r>
            </w:hyperlink>
          </w:p>
        </w:tc>
        <w:tc>
          <w:tcPr>
            <w:tcW w:w="240" w:type="dxa"/>
            <w:vAlign w:val="bottom"/>
            <w:gridSpan w:val="3"/>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2/26/2018</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6"/>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shares of common stock</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3360" w:type="dxa"/>
            <w:vAlign w:val="bottom"/>
            <w:gridSpan w:val="16"/>
          </w:tcPr>
          <w:p>
            <w:pPr>
              <w:spacing w:after="0"/>
              <w:rPr>
                <w:rFonts w:ascii="Arial" w:cs="Arial" w:eastAsia="Arial" w:hAnsi="Arial"/>
                <w:sz w:val="18"/>
                <w:szCs w:val="18"/>
                <w:color w:val="0000EE"/>
                <w:w w:val="95"/>
              </w:rPr>
            </w:pPr>
            <w:hyperlink r:id="rId121">
              <w:r>
                <w:rPr>
                  <w:rFonts w:ascii="Arial" w:cs="Arial" w:eastAsia="Arial" w:hAnsi="Arial"/>
                  <w:sz w:val="18"/>
                  <w:szCs w:val="18"/>
                  <w:color w:val="0000EE"/>
                  <w:w w:val="95"/>
                </w:rPr>
                <w:t>Stock Purchase Agreement, dated February</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2/21/2020</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6"/>
          </w:tcPr>
          <w:p>
            <w:pPr>
              <w:spacing w:after="0" w:line="196" w:lineRule="exact"/>
              <w:rPr>
                <w:rFonts w:ascii="Arial" w:cs="Arial" w:eastAsia="Arial" w:hAnsi="Arial"/>
                <w:sz w:val="18"/>
                <w:szCs w:val="18"/>
                <w:color w:val="0000EE"/>
                <w:w w:val="95"/>
              </w:rPr>
            </w:pPr>
            <w:hyperlink r:id="rId121">
              <w:r>
                <w:rPr>
                  <w:rFonts w:ascii="Arial" w:cs="Arial" w:eastAsia="Arial" w:hAnsi="Arial"/>
                  <w:sz w:val="18"/>
                  <w:szCs w:val="18"/>
                  <w:color w:val="0000EE"/>
                  <w:w w:val="95"/>
                </w:rPr>
                <w:t>18, 2020, between BioXcel Corporation and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BioXcel Therapeutics, Inc.</w:t>
              </w:r>
            </w:hyperlink>
          </w:p>
        </w:tc>
        <w:tc>
          <w:tcPr>
            <w:tcW w:w="1240" w:type="dxa"/>
            <w:vAlign w:val="bottom"/>
            <w:tcBorders>
              <w:top w:val="single" w:sz="8" w:color="0000EE"/>
            </w:tcBorders>
            <w:gridSpan w:val="10"/>
          </w:tcPr>
          <w:p>
            <w:pPr>
              <w:spacing w:after="0"/>
              <w:rPr>
                <w:sz w:val="17"/>
                <w:szCs w:val="17"/>
                <w:color w:val="auto"/>
              </w:rPr>
            </w:pPr>
          </w:p>
        </w:tc>
        <w:tc>
          <w:tcPr>
            <w:tcW w:w="1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4"/>
                <w:szCs w:val="24"/>
                <w:color w:val="auto"/>
              </w:rPr>
            </w:pPr>
          </w:p>
        </w:tc>
        <w:tc>
          <w:tcPr>
            <w:tcW w:w="3060" w:type="dxa"/>
            <w:vAlign w:val="bottom"/>
            <w:tcBorders>
              <w:bottom w:val="single" w:sz="8" w:color="0000EE"/>
            </w:tcBorders>
            <w:gridSpan w:val="12"/>
          </w:tcPr>
          <w:p>
            <w:pPr>
              <w:spacing w:after="0"/>
              <w:rPr>
                <w:rFonts w:ascii="Arial" w:cs="Arial" w:eastAsia="Arial" w:hAnsi="Arial"/>
                <w:sz w:val="18"/>
                <w:szCs w:val="18"/>
                <w:color w:val="0000EE"/>
                <w:w w:val="87"/>
              </w:rPr>
            </w:pPr>
            <w:hyperlink r:id="rId122">
              <w:r>
                <w:rPr>
                  <w:rFonts w:ascii="Arial" w:cs="Arial" w:eastAsia="Arial" w:hAnsi="Arial"/>
                  <w:sz w:val="18"/>
                  <w:szCs w:val="18"/>
                  <w:color w:val="0000EE"/>
                  <w:w w:val="87"/>
                </w:rPr>
                <w:t>Second Amended and Restated Separation</w:t>
              </w:r>
            </w:hyperlink>
          </w:p>
        </w:tc>
        <w:tc>
          <w:tcPr>
            <w:tcW w:w="300" w:type="dxa"/>
            <w:vAlign w:val="bottom"/>
            <w:gridSpan w:val="4"/>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10-K</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60" w:type="dxa"/>
            <w:vAlign w:val="bottom"/>
          </w:tcPr>
          <w:p>
            <w:pPr>
              <w:spacing w:after="0"/>
              <w:rPr>
                <w:sz w:val="24"/>
                <w:szCs w:val="24"/>
                <w:color w:val="auto"/>
              </w:rPr>
            </w:pPr>
          </w:p>
        </w:tc>
        <w:tc>
          <w:tcPr>
            <w:tcW w:w="620" w:type="dxa"/>
            <w:vAlign w:val="bottom"/>
          </w:tcPr>
          <w:p>
            <w:pPr>
              <w:jc w:val="right"/>
              <w:ind w:right="193"/>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3/09/2020</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6"/>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and Shared Services Agreement, dated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March 6, 2020, by and between BioXcel</w:t>
              </w:r>
            </w:hyperlink>
          </w:p>
        </w:tc>
        <w:tc>
          <w:tcPr>
            <w:tcW w:w="44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gridSpan w:val="16"/>
          </w:tcPr>
          <w:p>
            <w:pPr>
              <w:spacing w:after="0"/>
              <w:rPr>
                <w:rFonts w:ascii="Arial" w:cs="Arial" w:eastAsia="Arial" w:hAnsi="Arial"/>
                <w:sz w:val="18"/>
                <w:szCs w:val="18"/>
                <w:u w:val="single" w:color="auto"/>
                <w:color w:val="0000EE"/>
                <w:w w:val="97"/>
              </w:rPr>
            </w:pPr>
            <w:hyperlink r:id="rId122">
              <w:r>
                <w:rPr>
                  <w:rFonts w:ascii="Arial" w:cs="Arial" w:eastAsia="Arial" w:hAnsi="Arial"/>
                  <w:sz w:val="18"/>
                  <w:szCs w:val="18"/>
                  <w:u w:val="single" w:color="auto"/>
                  <w:color w:val="0000EE"/>
                  <w:w w:val="97"/>
                </w:rPr>
                <w:t>Corporation and BioXcel Therapeutics, Inc.</w:t>
              </w:r>
            </w:hyperlink>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2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40" w:type="dxa"/>
            <w:vAlign w:val="bottom"/>
          </w:tcPr>
          <w:p>
            <w:pPr>
              <w:spacing w:after="0"/>
              <w:rPr>
                <w:sz w:val="24"/>
                <w:szCs w:val="24"/>
                <w:color w:val="auto"/>
              </w:rPr>
            </w:pPr>
          </w:p>
        </w:tc>
        <w:tc>
          <w:tcPr>
            <w:tcW w:w="31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23">
              <w:r>
                <w:rPr>
                  <w:rFonts w:ascii="Arial" w:cs="Arial" w:eastAsia="Arial" w:hAnsi="Arial"/>
                  <w:sz w:val="18"/>
                  <w:szCs w:val="18"/>
                  <w:color w:val="0000EE"/>
                  <w:w w:val="90"/>
                </w:rPr>
                <w:t>First Amendment to Second Amended and</w:t>
              </w:r>
            </w:hyperlink>
          </w:p>
        </w:tc>
        <w:tc>
          <w:tcPr>
            <w:tcW w:w="2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123">
              <w:r>
                <w:rPr>
                  <w:rFonts w:ascii="Arial" w:cs="Arial" w:eastAsia="Arial" w:hAnsi="Arial"/>
                  <w:sz w:val="18"/>
                  <w:szCs w:val="18"/>
                  <w:color w:val="0000EE"/>
                  <w:w w:val="86"/>
                </w:rPr>
                <w:t>Restated Separation and Shared Services</w:t>
              </w:r>
            </w:hyperlink>
          </w:p>
        </w:tc>
        <w:tc>
          <w:tcPr>
            <w:tcW w:w="42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23">
              <w:r>
                <w:rPr>
                  <w:rFonts w:ascii="Arial" w:cs="Arial" w:eastAsia="Arial" w:hAnsi="Arial"/>
                  <w:sz w:val="18"/>
                  <w:szCs w:val="18"/>
                  <w:color w:val="0000EE"/>
                  <w:w w:val="89"/>
                </w:rPr>
                <w:t>Agreement, dated March 3, 2021, by and</w:t>
              </w:r>
            </w:hyperlink>
          </w:p>
        </w:tc>
        <w:tc>
          <w:tcPr>
            <w:tcW w:w="40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60" w:type="dxa"/>
            <w:vAlign w:val="bottom"/>
            <w:gridSpan w:val="16"/>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between BioXcel LLC and BioXcel</w:t>
              </w:r>
            </w:hyperlink>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gridSpan w:val="16"/>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Therapeutics Inc.</w:t>
              </w:r>
            </w:hyperlink>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8"/>
        </w:trPr>
        <w:tc>
          <w:tcPr>
            <w:tcW w:w="8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580" w:type="dxa"/>
            <w:vAlign w:val="bottom"/>
            <w:gridSpan w:val="23"/>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Form</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File No.</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80" w:type="dxa"/>
            <w:vAlign w:val="bottom"/>
            <w:gridSpan w:val="23"/>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10.4#</w:t>
            </w:r>
          </w:p>
        </w:tc>
        <w:tc>
          <w:tcPr>
            <w:tcW w:w="140" w:type="dxa"/>
            <w:vAlign w:val="bottom"/>
          </w:tcPr>
          <w:p>
            <w:pPr>
              <w:spacing w:after="0"/>
              <w:rPr>
                <w:sz w:val="14"/>
                <w:szCs w:val="14"/>
                <w:color w:val="auto"/>
              </w:rPr>
            </w:pPr>
          </w:p>
        </w:tc>
        <w:tc>
          <w:tcPr>
            <w:tcW w:w="3080" w:type="dxa"/>
            <w:vAlign w:val="bottom"/>
            <w:tcBorders>
              <w:top w:val="single" w:sz="8" w:color="auto"/>
              <w:bottom w:val="single" w:sz="8" w:color="0000EE"/>
            </w:tcBorders>
            <w:gridSpan w:val="19"/>
          </w:tcPr>
          <w:p>
            <w:pPr>
              <w:spacing w:after="0" w:line="169"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Amended and Restated Asset Contribution</w:t>
              </w:r>
            </w:hyperlink>
          </w:p>
        </w:tc>
        <w:tc>
          <w:tcPr>
            <w:tcW w:w="120" w:type="dxa"/>
            <w:vAlign w:val="bottom"/>
            <w:tcBorders>
              <w:top w:val="single" w:sz="8" w:color="auto"/>
            </w:tcBorders>
            <w:gridSpan w:val="5"/>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S-1/A</w:t>
            </w:r>
          </w:p>
        </w:tc>
        <w:tc>
          <w:tcPr>
            <w:tcW w:w="16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333-</w:t>
            </w:r>
          </w:p>
        </w:tc>
        <w:tc>
          <w:tcPr>
            <w:tcW w:w="16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14"/>
                <w:szCs w:val="14"/>
                <w:color w:val="auto"/>
              </w:rPr>
            </w:pPr>
          </w:p>
        </w:tc>
        <w:tc>
          <w:tcPr>
            <w:tcW w:w="10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2/12/2018</w:t>
            </w:r>
          </w:p>
        </w:tc>
        <w:tc>
          <w:tcPr>
            <w:tcW w:w="1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Agreement, effective November 7, 2017, by</w:t>
              </w:r>
            </w:hyperlink>
          </w:p>
        </w:tc>
        <w:tc>
          <w:tcPr>
            <w:tcW w:w="1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and between BioXcel Corporation and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BioXcel Therapeutics, Inc.</w:t>
              </w:r>
            </w:hyperlink>
          </w:p>
        </w:tc>
        <w:tc>
          <w:tcPr>
            <w:tcW w:w="600" w:type="dxa"/>
            <w:vAlign w:val="bottom"/>
            <w:gridSpan w:val="14"/>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40" w:type="dxa"/>
            <w:vAlign w:val="bottom"/>
          </w:tcPr>
          <w:p>
            <w:pPr>
              <w:spacing w:after="0"/>
              <w:rPr>
                <w:sz w:val="24"/>
                <w:szCs w:val="24"/>
                <w:color w:val="auto"/>
              </w:rPr>
            </w:pPr>
          </w:p>
        </w:tc>
        <w:tc>
          <w:tcPr>
            <w:tcW w:w="3360" w:type="dxa"/>
            <w:vAlign w:val="bottom"/>
            <w:gridSpan w:val="25"/>
          </w:tcPr>
          <w:p>
            <w:pPr>
              <w:spacing w:after="0"/>
              <w:rPr>
                <w:rFonts w:ascii="Arial" w:cs="Arial" w:eastAsia="Arial" w:hAnsi="Arial"/>
                <w:sz w:val="18"/>
                <w:szCs w:val="18"/>
                <w:color w:val="0000EE"/>
              </w:rPr>
            </w:pPr>
            <w:hyperlink r:id="rId125">
              <w:r>
                <w:rPr>
                  <w:rFonts w:ascii="Arial" w:cs="Arial" w:eastAsia="Arial" w:hAnsi="Arial"/>
                  <w:sz w:val="18"/>
                  <w:szCs w:val="18"/>
                  <w:color w:val="0000EE"/>
                </w:rPr>
                <w:t>Lease Agreement, dated as of August 20,</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8/23/2018</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r:id="rId125">
              <w:r>
                <w:rPr>
                  <w:rFonts w:ascii="Arial" w:cs="Arial" w:eastAsia="Arial" w:hAnsi="Arial"/>
                  <w:sz w:val="18"/>
                  <w:szCs w:val="18"/>
                  <w:color w:val="0000EE"/>
                  <w:w w:val="88"/>
                </w:rPr>
                <w:t>2018, by and between Fusco Harbour</w:t>
              </w:r>
            </w:hyperlink>
          </w:p>
        </w:tc>
        <w:tc>
          <w:tcPr>
            <w:tcW w:w="260" w:type="dxa"/>
            <w:vAlign w:val="bottom"/>
            <w:tcBorders>
              <w:top w:val="single" w:sz="8" w:color="0000EE"/>
            </w:tcBorders>
            <w:gridSpan w:val="4"/>
          </w:tcPr>
          <w:p>
            <w:pPr>
              <w:spacing w:after="0"/>
              <w:rPr>
                <w:sz w:val="17"/>
                <w:szCs w:val="17"/>
                <w:color w:val="auto"/>
              </w:rPr>
            </w:pPr>
          </w:p>
        </w:tc>
        <w:tc>
          <w:tcPr>
            <w:tcW w:w="40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Associates, LLC, as Landlord, and BioXcel</w:t>
              </w:r>
            </w:hyperlink>
          </w:p>
        </w:tc>
        <w:tc>
          <w:tcPr>
            <w:tcW w:w="20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gridSpan w:val="25"/>
          </w:tcPr>
          <w:p>
            <w:pPr>
              <w:spacing w:after="0"/>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Therapeutics, Inc., as Tenant</w:t>
              </w:r>
            </w:hyperlink>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40" w:type="dxa"/>
            <w:vAlign w:val="bottom"/>
          </w:tcPr>
          <w:p>
            <w:pPr>
              <w:spacing w:after="0"/>
              <w:rPr>
                <w:sz w:val="24"/>
                <w:szCs w:val="24"/>
                <w:color w:val="auto"/>
              </w:rPr>
            </w:pPr>
          </w:p>
        </w:tc>
        <w:tc>
          <w:tcPr>
            <w:tcW w:w="3040" w:type="dxa"/>
            <w:vAlign w:val="bottom"/>
            <w:tcBorders>
              <w:bottom w:val="single" w:sz="8" w:color="0000EE"/>
            </w:tcBorders>
            <w:gridSpan w:val="17"/>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First Amendment, dated August 19, 2020,</w:t>
              </w:r>
            </w:hyperlink>
          </w:p>
        </w:tc>
        <w:tc>
          <w:tcPr>
            <w:tcW w:w="320" w:type="dxa"/>
            <w:vAlign w:val="bottom"/>
            <w:gridSpan w:val="8"/>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10-Q</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11/12/2020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to Lease Agreement, dated as of August 20,</w:t>
              </w:r>
            </w:hyperlink>
          </w:p>
        </w:tc>
        <w:tc>
          <w:tcPr>
            <w:tcW w:w="1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126">
              <w:r>
                <w:rPr>
                  <w:rFonts w:ascii="Arial" w:cs="Arial" w:eastAsia="Arial" w:hAnsi="Arial"/>
                  <w:sz w:val="18"/>
                  <w:szCs w:val="18"/>
                  <w:color w:val="0000EE"/>
                  <w:w w:val="88"/>
                </w:rPr>
                <w:t>2018, by and between Fusco Harbour</w:t>
              </w:r>
            </w:hyperlink>
          </w:p>
        </w:tc>
        <w:tc>
          <w:tcPr>
            <w:tcW w:w="66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60" w:type="dxa"/>
            <w:vAlign w:val="bottom"/>
            <w:gridSpan w:val="25"/>
          </w:tcPr>
          <w:p>
            <w:pPr>
              <w:spacing w:after="0"/>
              <w:rPr>
                <w:rFonts w:ascii="Arial" w:cs="Arial" w:eastAsia="Arial" w:hAnsi="Arial"/>
                <w:sz w:val="18"/>
                <w:szCs w:val="18"/>
                <w:u w:val="single" w:color="auto"/>
                <w:color w:val="0000EE"/>
                <w:w w:val="98"/>
              </w:rPr>
            </w:pPr>
            <w:hyperlink r:id="rId126">
              <w:r>
                <w:rPr>
                  <w:rFonts w:ascii="Arial" w:cs="Arial" w:eastAsia="Arial" w:hAnsi="Arial"/>
                  <w:sz w:val="18"/>
                  <w:szCs w:val="18"/>
                  <w:u w:val="single" w:color="auto"/>
                  <w:color w:val="0000EE"/>
                  <w:w w:val="98"/>
                </w:rPr>
                <w:t>Associates, LLC, as Landlord, and BioXcel</w:t>
              </w:r>
            </w:hyperlink>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gridSpan w:val="25"/>
          </w:tcPr>
          <w:p>
            <w:pPr>
              <w:spacing w:after="0"/>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Therapeutics, Inc., as Tenant.</w:t>
              </w:r>
            </w:hyperlink>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10.7†</w:t>
            </w:r>
          </w:p>
        </w:tc>
        <w:tc>
          <w:tcPr>
            <w:tcW w:w="3360" w:type="dxa"/>
            <w:vAlign w:val="bottom"/>
            <w:gridSpan w:val="25"/>
          </w:tcPr>
          <w:p>
            <w:pPr>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2017 Equity Incentive Plan</w:t>
              </w:r>
            </w:hyperlink>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10.8†</w:t>
            </w:r>
          </w:p>
        </w:tc>
        <w:tc>
          <w:tcPr>
            <w:tcW w:w="3160" w:type="dxa"/>
            <w:vAlign w:val="bottom"/>
            <w:tcBorders>
              <w:bottom w:val="single" w:sz="8" w:color="0000EE"/>
            </w:tcBorders>
            <w:gridSpan w:val="22"/>
          </w:tcPr>
          <w:p>
            <w:pP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Form of Incentive Stock Option Agreement</w:t>
              </w:r>
            </w:hyperlink>
          </w:p>
        </w:tc>
        <w:tc>
          <w:tcPr>
            <w:tcW w:w="200" w:type="dxa"/>
            <w:vAlign w:val="bottom"/>
            <w:gridSpan w:val="3"/>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gridSpan w:val="25"/>
          </w:tcPr>
          <w:p>
            <w:pPr>
              <w:spacing w:after="0"/>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under the 2017 Equity Incentive Plan</w:t>
              </w:r>
            </w:hyperlink>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10.9†</w:t>
            </w:r>
          </w:p>
        </w:tc>
        <w:tc>
          <w:tcPr>
            <w:tcW w:w="2620" w:type="dxa"/>
            <w:vAlign w:val="bottom"/>
            <w:tcBorders>
              <w:bottom w:val="single" w:sz="8" w:color="0000EE"/>
            </w:tcBorders>
            <w:gridSpan w:val="9"/>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Form of Non-Statutory Stock option</w:t>
              </w:r>
            </w:hyperlink>
          </w:p>
        </w:tc>
        <w:tc>
          <w:tcPr>
            <w:tcW w:w="740" w:type="dxa"/>
            <w:vAlign w:val="bottom"/>
            <w:gridSpan w:val="16"/>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Agreement under the 2017 Equity Incentive</w:t>
              </w:r>
            </w:hyperlink>
          </w:p>
        </w:tc>
        <w:tc>
          <w:tcPr>
            <w:tcW w:w="1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Plan</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10.10†</w:t>
            </w:r>
          </w:p>
        </w:tc>
        <w:tc>
          <w:tcPr>
            <w:tcW w:w="3060" w:type="dxa"/>
            <w:vAlign w:val="bottom"/>
            <w:tcBorders>
              <w:bottom w:val="single" w:sz="8" w:color="0000EE"/>
            </w:tcBorders>
            <w:gridSpan w:val="18"/>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BioXcel Therapeutics, Inc. 2020 Incentive</w:t>
              </w:r>
            </w:hyperlink>
          </w:p>
        </w:tc>
        <w:tc>
          <w:tcPr>
            <w:tcW w:w="300" w:type="dxa"/>
            <w:vAlign w:val="bottom"/>
            <w:gridSpan w:val="7"/>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10-Q</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8/14/2020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30">
              <w:r>
                <w:rPr>
                  <w:rFonts w:ascii="Arial" w:cs="Arial" w:eastAsia="Arial" w:hAnsi="Arial"/>
                  <w:sz w:val="18"/>
                  <w:szCs w:val="18"/>
                  <w:color w:val="0000EE"/>
                  <w:w w:val="89"/>
                </w:rPr>
                <w:t>Award Plan and forms of award agreements</w:t>
              </w:r>
            </w:hyperlink>
          </w:p>
        </w:tc>
        <w:tc>
          <w:tcPr>
            <w:tcW w:w="20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30">
              <w:r>
                <w:rPr>
                  <w:rFonts w:ascii="Arial" w:cs="Arial" w:eastAsia="Arial" w:hAnsi="Arial"/>
                  <w:sz w:val="18"/>
                  <w:szCs w:val="18"/>
                  <w:color w:val="0000EE"/>
                  <w:w w:val="87"/>
                </w:rPr>
                <w:t>thereunder</w:t>
              </w:r>
            </w:hyperlink>
          </w:p>
        </w:tc>
        <w:tc>
          <w:tcPr>
            <w:tcW w:w="2580" w:type="dxa"/>
            <w:vAlign w:val="bottom"/>
            <w:gridSpan w:val="2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10.11†</w:t>
            </w:r>
          </w:p>
        </w:tc>
        <w:tc>
          <w:tcPr>
            <w:tcW w:w="3140" w:type="dxa"/>
            <w:vAlign w:val="bottom"/>
            <w:tcBorders>
              <w:bottom w:val="single" w:sz="8" w:color="0000EE"/>
            </w:tcBorders>
            <w:gridSpan w:val="21"/>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BioXcel Therapeutics, Inc. 2020 Employee</w:t>
              </w:r>
            </w:hyperlink>
          </w:p>
        </w:tc>
        <w:tc>
          <w:tcPr>
            <w:tcW w:w="220" w:type="dxa"/>
            <w:vAlign w:val="bottom"/>
            <w:gridSpan w:val="4"/>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10-Q</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8/14/2020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31">
              <w:r>
                <w:rPr>
                  <w:rFonts w:ascii="Arial" w:cs="Arial" w:eastAsia="Arial" w:hAnsi="Arial"/>
                  <w:sz w:val="18"/>
                  <w:szCs w:val="18"/>
                  <w:color w:val="0000EE"/>
                  <w:w w:val="87"/>
                </w:rPr>
                <w:t>Stock Purchase Plan</w:t>
              </w:r>
            </w:hyperlink>
          </w:p>
        </w:tc>
        <w:tc>
          <w:tcPr>
            <w:tcW w:w="1880" w:type="dxa"/>
            <w:vAlign w:val="bottom"/>
            <w:gridSpan w:val="2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10.12†</w:t>
            </w:r>
          </w:p>
        </w:tc>
        <w:tc>
          <w:tcPr>
            <w:tcW w:w="3360" w:type="dxa"/>
            <w:vAlign w:val="bottom"/>
            <w:gridSpan w:val="25"/>
          </w:tcPr>
          <w:p>
            <w:pPr>
              <w:spacing w:after="0"/>
              <w:rPr>
                <w:rFonts w:ascii="Arial" w:cs="Arial" w:eastAsia="Arial" w:hAnsi="Arial"/>
                <w:sz w:val="18"/>
                <w:szCs w:val="18"/>
                <w:color w:val="0000EE"/>
              </w:rPr>
            </w:pPr>
            <w:hyperlink r:id="rId132">
              <w:r>
                <w:rPr>
                  <w:rFonts w:ascii="Arial" w:cs="Arial" w:eastAsia="Arial" w:hAnsi="Arial"/>
                  <w:sz w:val="18"/>
                  <w:szCs w:val="18"/>
                  <w:color w:val="0000EE"/>
                </w:rPr>
                <w:t>Form of Indemnification Agreement with</w:t>
              </w:r>
            </w:hyperlink>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directors and executive officers</w:t>
              </w:r>
            </w:hyperlink>
          </w:p>
        </w:tc>
        <w:tc>
          <w:tcPr>
            <w:tcW w:w="700" w:type="dxa"/>
            <w:vAlign w:val="bottom"/>
            <w:tcBorders>
              <w:top w:val="single" w:sz="8" w:color="0000EE"/>
            </w:tcBorders>
            <w:gridSpan w:val="8"/>
          </w:tcPr>
          <w:p>
            <w:pPr>
              <w:spacing w:after="0"/>
              <w:rPr>
                <w:sz w:val="17"/>
                <w:szCs w:val="17"/>
                <w:color w:val="auto"/>
              </w:rPr>
            </w:pPr>
          </w:p>
        </w:tc>
        <w:tc>
          <w:tcPr>
            <w:tcW w:w="38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10.13†</w:t>
            </w:r>
          </w:p>
        </w:tc>
        <w:tc>
          <w:tcPr>
            <w:tcW w:w="3360" w:type="dxa"/>
            <w:vAlign w:val="bottom"/>
            <w:gridSpan w:val="25"/>
          </w:tcPr>
          <w:p>
            <w:pPr>
              <w:spacing w:after="0"/>
              <w:rPr>
                <w:rFonts w:ascii="Arial" w:cs="Arial" w:eastAsia="Arial" w:hAnsi="Arial"/>
                <w:sz w:val="18"/>
                <w:szCs w:val="18"/>
                <w:color w:val="0000EE"/>
              </w:rPr>
            </w:pPr>
            <w:hyperlink r:id="rId133">
              <w:r>
                <w:rPr>
                  <w:rFonts w:ascii="Arial" w:cs="Arial" w:eastAsia="Arial" w:hAnsi="Arial"/>
                  <w:sz w:val="18"/>
                  <w:szCs w:val="18"/>
                  <w:color w:val="0000EE"/>
                </w:rPr>
                <w:t>Employment Agreement, dated March 7,</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3/13/2018</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2018 by and between BioXcel</w:t>
              </w:r>
            </w:hyperlink>
          </w:p>
        </w:tc>
        <w:tc>
          <w:tcPr>
            <w:tcW w:w="760" w:type="dxa"/>
            <w:vAlign w:val="bottom"/>
            <w:tcBorders>
              <w:top w:val="single" w:sz="8" w:color="0000EE"/>
            </w:tcBorders>
            <w:gridSpan w:val="9"/>
          </w:tcPr>
          <w:p>
            <w:pPr>
              <w:spacing w:after="0"/>
              <w:rPr>
                <w:sz w:val="17"/>
                <w:szCs w:val="17"/>
                <w:color w:val="auto"/>
              </w:rPr>
            </w:pPr>
          </w:p>
        </w:tc>
        <w:tc>
          <w:tcPr>
            <w:tcW w:w="42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gridSpan w:val="25"/>
          </w:tcPr>
          <w:p>
            <w:pPr>
              <w:spacing w:after="0"/>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Therapeutics, Inc. and Vimal Mehta</w:t>
              </w:r>
            </w:hyperlink>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10.14†</w:t>
            </w:r>
          </w:p>
        </w:tc>
        <w:tc>
          <w:tcPr>
            <w:tcW w:w="2260" w:type="dxa"/>
            <w:vAlign w:val="bottom"/>
            <w:tcBorders>
              <w:bottom w:val="single" w:sz="8" w:color="0000EE"/>
            </w:tcBorders>
            <w:gridSpan w:val="6"/>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Employment Agreement, dated</w:t>
              </w:r>
            </w:hyperlink>
          </w:p>
        </w:tc>
        <w:tc>
          <w:tcPr>
            <w:tcW w:w="1100" w:type="dxa"/>
            <w:vAlign w:val="bottom"/>
            <w:gridSpan w:val="19"/>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rFonts w:ascii="Arial" w:cs="Arial" w:eastAsia="Arial" w:hAnsi="Arial"/>
                <w:sz w:val="18"/>
                <w:szCs w:val="18"/>
                <w:color w:val="0000EE"/>
                <w:w w:val="95"/>
              </w:rPr>
            </w:pPr>
            <w:hyperlink r:id="rId134">
              <w:r>
                <w:rPr>
                  <w:rFonts w:ascii="Arial" w:cs="Arial" w:eastAsia="Arial" w:hAnsi="Arial"/>
                  <w:sz w:val="18"/>
                  <w:szCs w:val="18"/>
                  <w:color w:val="0000EE"/>
                  <w:w w:val="95"/>
                </w:rPr>
                <w:t>February 12, 2018, by and between BioXcel</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tcBorders>
              <w:top w:val="single" w:sz="8" w:color="0000EE"/>
            </w:tcBorders>
            <w:gridSpan w:val="23"/>
          </w:tcPr>
          <w:p>
            <w:pPr>
              <w:spacing w:after="0"/>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Therapeutics, Inc. and Frank Yocca</w:t>
              </w:r>
            </w:hyperlink>
          </w:p>
        </w:tc>
        <w:tc>
          <w:tcPr>
            <w:tcW w:w="180" w:type="dxa"/>
            <w:vAlign w:val="bottom"/>
            <w:gridSpan w:val="2"/>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10.15†</w:t>
            </w:r>
          </w:p>
        </w:tc>
        <w:tc>
          <w:tcPr>
            <w:tcW w:w="2500" w:type="dxa"/>
            <w:vAlign w:val="bottom"/>
            <w:tcBorders>
              <w:bottom w:val="single" w:sz="8" w:color="0000EE"/>
            </w:tcBorders>
            <w:gridSpan w:val="8"/>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Employment Agreement, effective</w:t>
              </w:r>
            </w:hyperlink>
          </w:p>
        </w:tc>
        <w:tc>
          <w:tcPr>
            <w:tcW w:w="860" w:type="dxa"/>
            <w:vAlign w:val="bottom"/>
            <w:gridSpan w:val="17"/>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October 2, 2017, by and between BioXcel</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Borders>
              <w:top w:val="single" w:sz="8" w:color="0000EE"/>
            </w:tcBorders>
            <w:gridSpan w:val="16"/>
          </w:tcPr>
          <w:p>
            <w:pPr>
              <w:spacing w:after="0"/>
              <w:rPr>
                <w:rFonts w:ascii="Arial" w:cs="Arial" w:eastAsia="Arial" w:hAnsi="Arial"/>
                <w:sz w:val="18"/>
                <w:szCs w:val="18"/>
                <w:u w:val="single" w:color="auto"/>
                <w:color w:val="0000EE"/>
                <w:w w:val="93"/>
              </w:rPr>
            </w:pPr>
            <w:hyperlink r:id="rId135">
              <w:r>
                <w:rPr>
                  <w:rFonts w:ascii="Arial" w:cs="Arial" w:eastAsia="Arial" w:hAnsi="Arial"/>
                  <w:sz w:val="18"/>
                  <w:szCs w:val="18"/>
                  <w:u w:val="single" w:color="auto"/>
                  <w:color w:val="0000EE"/>
                  <w:w w:val="93"/>
                </w:rPr>
                <w:t>Therapeutics, Inc. and Richard Steinhart</w:t>
              </w:r>
            </w:hyperlink>
          </w:p>
        </w:tc>
        <w:tc>
          <w:tcPr>
            <w:tcW w:w="340" w:type="dxa"/>
            <w:vAlign w:val="bottom"/>
            <w:gridSpan w:val="9"/>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10.16†</w:t>
            </w:r>
          </w:p>
        </w:tc>
        <w:tc>
          <w:tcPr>
            <w:tcW w:w="3360" w:type="dxa"/>
            <w:vAlign w:val="bottom"/>
            <w:gridSpan w:val="25"/>
          </w:tcPr>
          <w:p>
            <w:pPr>
              <w:spacing w:after="0"/>
              <w:rPr>
                <w:rFonts w:ascii="Arial" w:cs="Arial" w:eastAsia="Arial" w:hAnsi="Arial"/>
                <w:sz w:val="18"/>
                <w:szCs w:val="18"/>
                <w:color w:val="0000EE"/>
              </w:rPr>
            </w:pPr>
            <w:hyperlink r:id="rId136">
              <w:r>
                <w:rPr>
                  <w:rFonts w:ascii="Arial" w:cs="Arial" w:eastAsia="Arial" w:hAnsi="Arial"/>
                  <w:sz w:val="18"/>
                  <w:szCs w:val="18"/>
                  <w:color w:val="0000EE"/>
                </w:rPr>
                <w:t>Employment Agreement, dated June 1,</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6/07/2018</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2018, by and between BioXcel</w:t>
              </w:r>
            </w:hyperlink>
          </w:p>
        </w:tc>
        <w:tc>
          <w:tcPr>
            <w:tcW w:w="56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4"/>
            <w:shd w:val="clear" w:color="auto" w:fill="0000EE"/>
          </w:tcPr>
          <w:p>
            <w:pPr>
              <w:spacing w:after="0" w:line="20" w:lineRule="exact"/>
              <w:rPr>
                <w:sz w:val="1"/>
                <w:szCs w:val="1"/>
                <w:color w:val="auto"/>
              </w:rPr>
            </w:pPr>
          </w:p>
        </w:tc>
        <w:tc>
          <w:tcPr>
            <w:tcW w:w="900" w:type="dxa"/>
            <w:vAlign w:val="bottom"/>
            <w:gridSpan w:val="1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Therapeutics, Inc. and Dr. Vincent O’Neill,</w:t>
              </w:r>
            </w:hyperlink>
          </w:p>
        </w:tc>
        <w:tc>
          <w:tcPr>
            <w:tcW w:w="2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5"/>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M.D.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8"/>
        </w:trPr>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gridSpan w:val="9"/>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Form</w:t>
            </w: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File No.</w:t>
            </w: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Exhibit</w:t>
            </w: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Filing Date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00" w:type="dxa"/>
            <w:vAlign w:val="bottom"/>
            <w:gridSpan w:val="9"/>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720" w:type="dxa"/>
            <w:vAlign w:val="bottom"/>
            <w:tcBorders>
              <w:top w:val="single" w:sz="8" w:color="auto"/>
            </w:tcBorders>
          </w:tcPr>
          <w:p>
            <w:pPr>
              <w:ind w:left="120"/>
              <w:spacing w:after="0" w:line="169" w:lineRule="exact"/>
              <w:rPr>
                <w:sz w:val="20"/>
                <w:szCs w:val="20"/>
                <w:color w:val="auto"/>
              </w:rPr>
            </w:pPr>
            <w:r>
              <w:rPr>
                <w:rFonts w:ascii="Arial" w:cs="Arial" w:eastAsia="Arial" w:hAnsi="Arial"/>
                <w:sz w:val="18"/>
                <w:szCs w:val="18"/>
                <w:color w:val="auto"/>
              </w:rPr>
              <w:t>10.17†</w:t>
            </w:r>
          </w:p>
        </w:tc>
        <w:tc>
          <w:tcPr>
            <w:tcW w:w="1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180" w:type="dxa"/>
            <w:vAlign w:val="bottom"/>
            <w:tcBorders>
              <w:top w:val="single" w:sz="8" w:color="auto"/>
            </w:tcBorders>
            <w:gridSpan w:val="9"/>
          </w:tcPr>
          <w:p>
            <w:pPr>
              <w:spacing w:after="0" w:line="169" w:lineRule="exact"/>
              <w:rPr>
                <w:rFonts w:ascii="Arial" w:cs="Arial" w:eastAsia="Arial" w:hAnsi="Arial"/>
                <w:sz w:val="18"/>
                <w:szCs w:val="18"/>
                <w:color w:val="0000EE"/>
                <w:w w:val="96"/>
              </w:rPr>
            </w:pPr>
            <w:hyperlink r:id="rId138">
              <w:r>
                <w:rPr>
                  <w:rFonts w:ascii="Arial" w:cs="Arial" w:eastAsia="Arial" w:hAnsi="Arial"/>
                  <w:sz w:val="18"/>
                  <w:szCs w:val="18"/>
                  <w:color w:val="0000EE"/>
                  <w:w w:val="96"/>
                </w:rPr>
                <w:t>Employment Agreement between William</w:t>
              </w:r>
            </w:hyperlink>
          </w:p>
        </w:tc>
        <w:tc>
          <w:tcPr>
            <w:tcW w:w="160" w:type="dxa"/>
            <w:vAlign w:val="bottom"/>
          </w:tcPr>
          <w:p>
            <w:pPr>
              <w:spacing w:after="0"/>
              <w:rPr>
                <w:sz w:val="14"/>
                <w:szCs w:val="14"/>
                <w:color w:val="auto"/>
              </w:rPr>
            </w:pPr>
          </w:p>
        </w:tc>
        <w:tc>
          <w:tcPr>
            <w:tcW w:w="520" w:type="dxa"/>
            <w:vAlign w:val="bottom"/>
            <w:tcBorders>
              <w:top w:val="single" w:sz="8" w:color="auto"/>
            </w:tcBorders>
          </w:tcPr>
          <w:p>
            <w:pPr>
              <w:ind w:left="80"/>
              <w:spacing w:after="0" w:line="169" w:lineRule="exact"/>
              <w:rPr>
                <w:sz w:val="20"/>
                <w:szCs w:val="20"/>
                <w:color w:val="auto"/>
              </w:rPr>
            </w:pPr>
            <w:r>
              <w:rPr>
                <w:rFonts w:ascii="Arial" w:cs="Arial" w:eastAsia="Arial" w:hAnsi="Arial"/>
                <w:sz w:val="18"/>
                <w:szCs w:val="18"/>
                <w:color w:val="auto"/>
              </w:rPr>
              <w:t>10-Q</w:t>
            </w:r>
          </w:p>
        </w:tc>
        <w:tc>
          <w:tcPr>
            <w:tcW w:w="160" w:type="dxa"/>
            <w:vAlign w:val="bottom"/>
          </w:tcPr>
          <w:p>
            <w:pPr>
              <w:spacing w:after="0"/>
              <w:rPr>
                <w:sz w:val="14"/>
                <w:szCs w:val="14"/>
                <w:color w:val="auto"/>
              </w:rPr>
            </w:pPr>
          </w:p>
        </w:tc>
        <w:tc>
          <w:tcPr>
            <w:tcW w:w="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8/14/2020</w:t>
            </w:r>
          </w:p>
        </w:tc>
        <w:tc>
          <w:tcPr>
            <w:tcW w:w="14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gridSpan w:val="10"/>
          </w:tcPr>
          <w:p>
            <w:pPr>
              <w:spacing w:after="0" w:line="196" w:lineRule="exact"/>
              <w:rPr>
                <w:rFonts w:ascii="Arial" w:cs="Arial" w:eastAsia="Arial" w:hAnsi="Arial"/>
                <w:sz w:val="18"/>
                <w:szCs w:val="18"/>
                <w:color w:val="0000EE"/>
                <w:w w:val="95"/>
              </w:rPr>
            </w:pPr>
            <w:hyperlink r:id="rId138">
              <w:r>
                <w:rPr>
                  <w:rFonts w:ascii="Arial" w:cs="Arial" w:eastAsia="Arial" w:hAnsi="Arial"/>
                  <w:sz w:val="18"/>
                  <w:szCs w:val="18"/>
                  <w:color w:val="0000EE"/>
                  <w:w w:val="95"/>
                </w:rPr>
                <w:t>Kane and BioXcel Therapeutics, Inc., dated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38">
              <w:r>
                <w:rPr>
                  <w:rFonts w:ascii="Arial" w:cs="Arial" w:eastAsia="Arial" w:hAnsi="Arial"/>
                  <w:sz w:val="18"/>
                  <w:szCs w:val="18"/>
                  <w:color w:val="0000EE"/>
                  <w:w w:val="89"/>
                </w:rPr>
                <w:t>May 15, 2020.</w:t>
              </w:r>
            </w:hyperlink>
          </w:p>
        </w:tc>
        <w:tc>
          <w:tcPr>
            <w:tcW w:w="2080" w:type="dxa"/>
            <w:vAlign w:val="bottom"/>
            <w:tcBorders>
              <w:top w:val="single" w:sz="8" w:color="0000EE"/>
            </w:tcBorders>
            <w:gridSpan w:val="7"/>
          </w:tcPr>
          <w:p>
            <w:pPr>
              <w:spacing w:after="0"/>
              <w:rPr>
                <w:sz w:val="17"/>
                <w:szCs w:val="17"/>
                <w:color w:val="auto"/>
              </w:rPr>
            </w:pPr>
          </w:p>
        </w:tc>
        <w:tc>
          <w:tcPr>
            <w:tcW w:w="2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20" w:type="dxa"/>
            <w:vAlign w:val="bottom"/>
            <w:gridSpan w:val="13"/>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10.18†   </w:t>
            </w:r>
            <w:hyperlink r:id="rId139">
              <w:r>
                <w:rPr>
                  <w:rFonts w:ascii="Arial" w:cs="Arial" w:eastAsia="Arial" w:hAnsi="Arial"/>
                  <w:sz w:val="18"/>
                  <w:szCs w:val="18"/>
                  <w:color w:val="0000EE"/>
                </w:rPr>
                <w:t>Employment Agreement between Reina</w:t>
              </w:r>
            </w:hyperlink>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10-Q</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8/14/2020</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Benabou and BioXcel Therapeutics, Inc.,</w:t>
              </w:r>
            </w:hyperlink>
          </w:p>
        </w:tc>
        <w:tc>
          <w:tcPr>
            <w:tcW w:w="32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gridSpan w:val="10"/>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dated June 21, 2020.</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3"/>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20" w:type="dxa"/>
            <w:vAlign w:val="bottom"/>
            <w:gridSpan w:val="13"/>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10.19†   </w:t>
            </w:r>
            <w:hyperlink w:anchor="page126">
              <w:r>
                <w:rPr>
                  <w:rFonts w:ascii="Arial" w:cs="Arial" w:eastAsia="Arial" w:hAnsi="Arial"/>
                  <w:sz w:val="18"/>
                  <w:szCs w:val="18"/>
                  <w:color w:val="0000EE"/>
                </w:rPr>
                <w:t>Employment Agreement between Javier</w:t>
              </w:r>
            </w:hyperlink>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gridSpan w:val="10"/>
          </w:tcPr>
          <w:p>
            <w:pPr>
              <w:spacing w:after="0" w:line="196" w:lineRule="exact"/>
              <w:rPr>
                <w:rFonts w:ascii="Arial" w:cs="Arial" w:eastAsia="Arial" w:hAnsi="Arial"/>
                <w:sz w:val="18"/>
                <w:szCs w:val="18"/>
                <w:color w:val="0000EE"/>
                <w:w w:val="98"/>
              </w:rPr>
            </w:pPr>
            <w:hyperlink w:anchor="page126">
              <w:r>
                <w:rPr>
                  <w:rFonts w:ascii="Arial" w:cs="Arial" w:eastAsia="Arial" w:hAnsi="Arial"/>
                  <w:sz w:val="18"/>
                  <w:szCs w:val="18"/>
                  <w:color w:val="0000EE"/>
                  <w:w w:val="98"/>
                </w:rPr>
                <w:t>Rodriguez and BioXcel Therapeutics, Inc.,</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dated February 15, 2021.</w:t>
              </w:r>
            </w:hyperlink>
          </w:p>
        </w:tc>
        <w:tc>
          <w:tcPr>
            <w:tcW w:w="2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87"/>
              </w:rPr>
              <w:t>10.20†</w:t>
            </w:r>
          </w:p>
        </w:tc>
        <w:tc>
          <w:tcPr>
            <w:tcW w:w="3280" w:type="dxa"/>
            <w:vAlign w:val="bottom"/>
            <w:gridSpan w:val="9"/>
          </w:tcPr>
          <w:p>
            <w:pPr>
              <w:spacing w:after="0"/>
              <w:rPr>
                <w:rFonts w:ascii="Arial" w:cs="Arial" w:eastAsia="Arial" w:hAnsi="Arial"/>
                <w:sz w:val="18"/>
                <w:szCs w:val="18"/>
                <w:color w:val="0000EE"/>
              </w:rPr>
            </w:pPr>
            <w:hyperlink r:id="rId140">
              <w:r>
                <w:rPr>
                  <w:rFonts w:ascii="Arial" w:cs="Arial" w:eastAsia="Arial" w:hAnsi="Arial"/>
                  <w:sz w:val="18"/>
                  <w:szCs w:val="18"/>
                  <w:color w:val="0000EE"/>
                </w:rPr>
                <w:t>Non-Employee Director Compensation</w:t>
              </w:r>
            </w:hyperlink>
          </w:p>
        </w:tc>
        <w:tc>
          <w:tcPr>
            <w:tcW w:w="700" w:type="dxa"/>
            <w:vAlign w:val="bottom"/>
          </w:tcPr>
          <w:p>
            <w:pPr>
              <w:ind w:left="160"/>
              <w:spacing w:after="0"/>
              <w:rPr>
                <w:sz w:val="20"/>
                <w:szCs w:val="20"/>
                <w:color w:val="auto"/>
              </w:rPr>
            </w:pPr>
            <w:r>
              <w:rPr>
                <w:rFonts w:ascii="Arial" w:cs="Arial" w:eastAsia="Arial" w:hAnsi="Arial"/>
                <w:sz w:val="18"/>
                <w:szCs w:val="18"/>
                <w:color w:val="auto"/>
              </w:rPr>
              <w:t>10-Q</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001-</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940" w:type="dxa"/>
            <w:vAlign w:val="bottom"/>
          </w:tcPr>
          <w:p>
            <w:pPr>
              <w:jc w:val="right"/>
              <w:spacing w:after="0"/>
              <w:rPr>
                <w:sz w:val="20"/>
                <w:szCs w:val="20"/>
                <w:color w:val="auto"/>
              </w:rPr>
            </w:pPr>
            <w:r>
              <w:rPr>
                <w:rFonts w:ascii="Arial" w:cs="Arial" w:eastAsia="Arial" w:hAnsi="Arial"/>
                <w:sz w:val="18"/>
                <w:szCs w:val="18"/>
                <w:color w:val="auto"/>
              </w:rPr>
              <w:t>5/12/2020</w:t>
            </w:r>
          </w:p>
        </w:tc>
      </w:tr>
      <w:tr>
        <w:trPr>
          <w:trHeight w:val="196"/>
        </w:trPr>
        <w:tc>
          <w:tcPr>
            <w:tcW w:w="840" w:type="dxa"/>
            <w:vAlign w:val="bottom"/>
          </w:tcPr>
          <w:p>
            <w:pPr>
              <w:spacing w:after="0"/>
              <w:rPr>
                <w:sz w:val="17"/>
                <w:szCs w:val="17"/>
                <w:color w:val="auto"/>
              </w:rPr>
            </w:pPr>
          </w:p>
        </w:tc>
        <w:tc>
          <w:tcPr>
            <w:tcW w:w="28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Program</w:t>
              </w:r>
            </w:hyperlink>
          </w:p>
        </w:tc>
        <w:tc>
          <w:tcPr>
            <w:tcW w:w="46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38410</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3"/>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1"/>
              </w:rPr>
              <w:t>21.1</w:t>
            </w:r>
          </w:p>
        </w:tc>
        <w:tc>
          <w:tcPr>
            <w:tcW w:w="3280" w:type="dxa"/>
            <w:vAlign w:val="bottom"/>
            <w:gridSpan w:val="9"/>
          </w:tcPr>
          <w:p>
            <w:pPr>
              <w:spacing w:after="0"/>
              <w:rPr>
                <w:rFonts w:ascii="Arial" w:cs="Arial" w:eastAsia="Arial" w:hAnsi="Arial"/>
                <w:sz w:val="18"/>
                <w:szCs w:val="18"/>
                <w:u w:val="single" w:color="auto"/>
                <w:color w:val="0000EE"/>
                <w:w w:val="98"/>
              </w:rPr>
            </w:pPr>
            <w:hyperlink w:anchor="page138">
              <w:r>
                <w:rPr>
                  <w:rFonts w:ascii="Arial" w:cs="Arial" w:eastAsia="Arial" w:hAnsi="Arial"/>
                  <w:sz w:val="18"/>
                  <w:szCs w:val="18"/>
                  <w:u w:val="single" w:color="auto"/>
                  <w:color w:val="0000EE"/>
                  <w:w w:val="98"/>
                </w:rPr>
                <w:t>Subsidiaries of BioXcel Therapeutics, Inc.</w:t>
              </w:r>
            </w:hyperlink>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1"/>
              </w:rPr>
              <w:t>23.1</w:t>
            </w:r>
          </w:p>
        </w:tc>
        <w:tc>
          <w:tcPr>
            <w:tcW w:w="3280" w:type="dxa"/>
            <w:vAlign w:val="bottom"/>
            <w:gridSpan w:val="9"/>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Consent of BDO USA, LLP</w:t>
              </w:r>
            </w:hyperlink>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2"/>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1"/>
              </w:rPr>
              <w:t>31.1</w:t>
            </w:r>
          </w:p>
        </w:tc>
        <w:tc>
          <w:tcPr>
            <w:tcW w:w="3280" w:type="dxa"/>
            <w:vAlign w:val="bottom"/>
            <w:gridSpan w:val="9"/>
          </w:tcPr>
          <w:p>
            <w:pPr>
              <w:spacing w:after="0"/>
              <w:rPr>
                <w:rFonts w:ascii="Arial" w:cs="Arial" w:eastAsia="Arial" w:hAnsi="Arial"/>
                <w:sz w:val="18"/>
                <w:szCs w:val="18"/>
                <w:color w:val="0000EE"/>
                <w:w w:val="98"/>
              </w:rPr>
            </w:pPr>
            <w:hyperlink w:anchor="page140">
              <w:r>
                <w:rPr>
                  <w:rFonts w:ascii="Arial" w:cs="Arial" w:eastAsia="Arial" w:hAnsi="Arial"/>
                  <w:sz w:val="18"/>
                  <w:szCs w:val="18"/>
                  <w:color w:val="0000EE"/>
                  <w:w w:val="98"/>
                </w:rPr>
                <w:t>Certification of Principal Executive Officer</w:t>
              </w:r>
            </w:hyperlink>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40">
              <w:r>
                <w:rPr>
                  <w:rFonts w:ascii="Arial" w:cs="Arial" w:eastAsia="Arial" w:hAnsi="Arial"/>
                  <w:sz w:val="18"/>
                  <w:szCs w:val="18"/>
                  <w:color w:val="0000EE"/>
                  <w:w w:val="88"/>
                </w:rPr>
                <w:t>Pursuant to Rules 13a-14(a) and 15d-14(a)</w:t>
              </w:r>
            </w:hyperlink>
          </w:p>
        </w:tc>
        <w:tc>
          <w:tcPr>
            <w:tcW w:w="40" w:type="dxa"/>
            <w:vAlign w:val="bottom"/>
            <w:tcBorders>
              <w:top w:val="single" w:sz="8" w:color="0000EE"/>
            </w:tcBorders>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1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40">
              <w:r>
                <w:rPr>
                  <w:rFonts w:ascii="Arial" w:cs="Arial" w:eastAsia="Arial" w:hAnsi="Arial"/>
                  <w:sz w:val="18"/>
                  <w:szCs w:val="18"/>
                  <w:color w:val="0000EE"/>
                  <w:w w:val="90"/>
                </w:rPr>
                <w:t>under the Securities Exchange Act of 1934,</w:t>
              </w:r>
            </w:hyperlink>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2"/>
        </w:trPr>
        <w:tc>
          <w:tcPr>
            <w:tcW w:w="840" w:type="dxa"/>
            <w:vAlign w:val="bottom"/>
          </w:tcPr>
          <w:p>
            <w:pPr>
              <w:spacing w:after="0"/>
              <w:rPr>
                <w:sz w:val="19"/>
                <w:szCs w:val="19"/>
                <w:color w:val="auto"/>
              </w:rPr>
            </w:pPr>
          </w:p>
        </w:tc>
        <w:tc>
          <w:tcPr>
            <w:tcW w:w="3280" w:type="dxa"/>
            <w:vAlign w:val="bottom"/>
            <w:gridSpan w:val="9"/>
          </w:tcPr>
          <w:p>
            <w:pPr>
              <w:spacing w:after="0"/>
              <w:rPr>
                <w:rFonts w:ascii="Arial" w:cs="Arial" w:eastAsia="Arial" w:hAnsi="Arial"/>
                <w:sz w:val="18"/>
                <w:szCs w:val="18"/>
                <w:u w:val="single" w:color="auto"/>
                <w:color w:val="0000EE"/>
                <w:w w:val="96"/>
              </w:rPr>
            </w:pPr>
            <w:hyperlink w:anchor="page140">
              <w:r>
                <w:rPr>
                  <w:rFonts w:ascii="Arial" w:cs="Arial" w:eastAsia="Arial" w:hAnsi="Arial"/>
                  <w:sz w:val="18"/>
                  <w:szCs w:val="18"/>
                  <w:u w:val="single" w:color="auto"/>
                  <w:color w:val="0000EE"/>
                  <w:w w:val="96"/>
                </w:rPr>
                <w:t>as Adopted Pursuant to Section 302 of the</w:t>
              </w:r>
            </w:hyperlink>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40" w:type="dxa"/>
            <w:vAlign w:val="bottom"/>
          </w:tcPr>
          <w:p>
            <w:pPr>
              <w:spacing w:after="0"/>
              <w:rPr>
                <w:sz w:val="20"/>
                <w:szCs w:val="20"/>
                <w:color w:val="auto"/>
              </w:rPr>
            </w:pPr>
          </w:p>
        </w:tc>
        <w:tc>
          <w:tcPr>
            <w:tcW w:w="3280" w:type="dxa"/>
            <w:vAlign w:val="bottom"/>
            <w:gridSpan w:val="9"/>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Sarbanes-Oxley Act of 2002.</w:t>
              </w:r>
            </w:hyperlink>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91"/>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1"/>
              </w:rPr>
              <w:t>31.2</w:t>
            </w:r>
          </w:p>
        </w:tc>
        <w:tc>
          <w:tcPr>
            <w:tcW w:w="310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141">
              <w:r>
                <w:rPr>
                  <w:rFonts w:ascii="Arial" w:cs="Arial" w:eastAsia="Arial" w:hAnsi="Arial"/>
                  <w:sz w:val="18"/>
                  <w:szCs w:val="18"/>
                  <w:color w:val="0000EE"/>
                  <w:w w:val="95"/>
                </w:rPr>
                <w:t>Certification of Principal Financial Officer</w:t>
              </w:r>
            </w:hyperlink>
          </w:p>
        </w:tc>
        <w:tc>
          <w:tcPr>
            <w:tcW w:w="18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30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41">
              <w:r>
                <w:rPr>
                  <w:rFonts w:ascii="Arial" w:cs="Arial" w:eastAsia="Arial" w:hAnsi="Arial"/>
                  <w:sz w:val="18"/>
                  <w:szCs w:val="18"/>
                  <w:color w:val="0000EE"/>
                  <w:w w:val="88"/>
                </w:rPr>
                <w:t>Pursuant to Rules 13a-14(a) and 15d-14(a)</w:t>
              </w:r>
            </w:hyperlink>
          </w:p>
        </w:tc>
        <w:tc>
          <w:tcPr>
            <w:tcW w:w="20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1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41">
              <w:r>
                <w:rPr>
                  <w:rFonts w:ascii="Arial" w:cs="Arial" w:eastAsia="Arial" w:hAnsi="Arial"/>
                  <w:sz w:val="18"/>
                  <w:szCs w:val="18"/>
                  <w:color w:val="0000EE"/>
                  <w:w w:val="90"/>
                </w:rPr>
                <w:t>under the Securities Exchange Act of 1934,</w:t>
              </w:r>
            </w:hyperlink>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2"/>
        </w:trPr>
        <w:tc>
          <w:tcPr>
            <w:tcW w:w="840" w:type="dxa"/>
            <w:vAlign w:val="bottom"/>
          </w:tcPr>
          <w:p>
            <w:pPr>
              <w:spacing w:after="0"/>
              <w:rPr>
                <w:sz w:val="19"/>
                <w:szCs w:val="19"/>
                <w:color w:val="auto"/>
              </w:rPr>
            </w:pPr>
          </w:p>
        </w:tc>
        <w:tc>
          <w:tcPr>
            <w:tcW w:w="3280" w:type="dxa"/>
            <w:vAlign w:val="bottom"/>
            <w:gridSpan w:val="9"/>
          </w:tcPr>
          <w:p>
            <w:pPr>
              <w:spacing w:after="0"/>
              <w:rPr>
                <w:rFonts w:ascii="Arial" w:cs="Arial" w:eastAsia="Arial" w:hAnsi="Arial"/>
                <w:sz w:val="18"/>
                <w:szCs w:val="18"/>
                <w:u w:val="single" w:color="auto"/>
                <w:color w:val="0000EE"/>
                <w:w w:val="96"/>
              </w:rPr>
            </w:pPr>
            <w:hyperlink w:anchor="page141">
              <w:r>
                <w:rPr>
                  <w:rFonts w:ascii="Arial" w:cs="Arial" w:eastAsia="Arial" w:hAnsi="Arial"/>
                  <w:sz w:val="18"/>
                  <w:szCs w:val="18"/>
                  <w:u w:val="single" w:color="auto"/>
                  <w:color w:val="0000EE"/>
                  <w:w w:val="96"/>
                </w:rPr>
                <w:t>as Adopted Pursuant to Section 302 of the</w:t>
              </w:r>
            </w:hyperlink>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40" w:type="dxa"/>
            <w:vAlign w:val="bottom"/>
          </w:tcPr>
          <w:p>
            <w:pPr>
              <w:spacing w:after="0"/>
              <w:rPr>
                <w:sz w:val="20"/>
                <w:szCs w:val="20"/>
                <w:color w:val="auto"/>
              </w:rPr>
            </w:pPr>
          </w:p>
        </w:tc>
        <w:tc>
          <w:tcPr>
            <w:tcW w:w="3280" w:type="dxa"/>
            <w:vAlign w:val="bottom"/>
            <w:gridSpan w:val="9"/>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Sarbanes-Oxley Act of 2002.</w:t>
              </w:r>
            </w:hyperlink>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91"/>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1"/>
              </w:rPr>
              <w:t>32.1</w:t>
            </w:r>
          </w:p>
        </w:tc>
        <w:tc>
          <w:tcPr>
            <w:tcW w:w="3280" w:type="dxa"/>
            <w:vAlign w:val="bottom"/>
            <w:gridSpan w:val="9"/>
          </w:tcPr>
          <w:p>
            <w:pPr>
              <w:spacing w:after="0"/>
              <w:rPr>
                <w:rFonts w:ascii="Arial" w:cs="Arial" w:eastAsia="Arial" w:hAnsi="Arial"/>
                <w:sz w:val="18"/>
                <w:szCs w:val="18"/>
                <w:color w:val="0000EE"/>
                <w:w w:val="98"/>
              </w:rPr>
            </w:pPr>
            <w:hyperlink w:anchor="page142">
              <w:r>
                <w:rPr>
                  <w:rFonts w:ascii="Arial" w:cs="Arial" w:eastAsia="Arial" w:hAnsi="Arial"/>
                  <w:sz w:val="18"/>
                  <w:szCs w:val="18"/>
                  <w:color w:val="0000EE"/>
                  <w:w w:val="98"/>
                </w:rPr>
                <w:t>Certification of Principal Executive Officer</w:t>
              </w:r>
            </w:hyperlink>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42">
              <w:r>
                <w:rPr>
                  <w:rFonts w:ascii="Arial" w:cs="Arial" w:eastAsia="Arial" w:hAnsi="Arial"/>
                  <w:sz w:val="18"/>
                  <w:szCs w:val="18"/>
                  <w:color w:val="0000EE"/>
                  <w:w w:val="88"/>
                </w:rPr>
                <w:t>Pursuant to 18 U.S.C. Section 1350, as</w:t>
              </w:r>
            </w:hyperlink>
          </w:p>
        </w:tc>
        <w:tc>
          <w:tcPr>
            <w:tcW w:w="320" w:type="dxa"/>
            <w:vAlign w:val="bottom"/>
            <w:tcBorders>
              <w:top w:val="single" w:sz="8" w:color="0000EE"/>
            </w:tcBorders>
            <w:gridSpan w:val="5"/>
          </w:tcPr>
          <w:p>
            <w:pPr>
              <w:spacing w:after="0"/>
              <w:rPr>
                <w:sz w:val="17"/>
                <w:szCs w:val="17"/>
                <w:color w:val="auto"/>
              </w:rPr>
            </w:pPr>
          </w:p>
        </w:tc>
        <w:tc>
          <w:tcPr>
            <w:tcW w:w="1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42">
              <w:r>
                <w:rPr>
                  <w:rFonts w:ascii="Arial" w:cs="Arial" w:eastAsia="Arial" w:hAnsi="Arial"/>
                  <w:sz w:val="18"/>
                  <w:szCs w:val="18"/>
                  <w:color w:val="0000EE"/>
                  <w:w w:val="89"/>
                </w:rPr>
                <w:t>Adopted Pursuant to Section 906 of the</w:t>
              </w:r>
            </w:hyperlink>
          </w:p>
        </w:tc>
        <w:tc>
          <w:tcPr>
            <w:tcW w:w="44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7"/>
        </w:trPr>
        <w:tc>
          <w:tcPr>
            <w:tcW w:w="840" w:type="dxa"/>
            <w:vAlign w:val="bottom"/>
          </w:tcPr>
          <w:p>
            <w:pPr>
              <w:spacing w:after="0"/>
              <w:rPr>
                <w:sz w:val="20"/>
                <w:szCs w:val="20"/>
                <w:color w:val="auto"/>
              </w:rPr>
            </w:pPr>
          </w:p>
        </w:tc>
        <w:tc>
          <w:tcPr>
            <w:tcW w:w="3280" w:type="dxa"/>
            <w:vAlign w:val="bottom"/>
            <w:gridSpan w:val="9"/>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Sarbanes-Oxley Act of 2002.</w:t>
              </w:r>
            </w:hyperlink>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91"/>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1"/>
              </w:rPr>
              <w:t>32.2</w:t>
            </w:r>
          </w:p>
        </w:tc>
        <w:tc>
          <w:tcPr>
            <w:tcW w:w="310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143">
              <w:r>
                <w:rPr>
                  <w:rFonts w:ascii="Arial" w:cs="Arial" w:eastAsia="Arial" w:hAnsi="Arial"/>
                  <w:sz w:val="18"/>
                  <w:szCs w:val="18"/>
                  <w:color w:val="0000EE"/>
                  <w:w w:val="95"/>
                </w:rPr>
                <w:t>Certification of Principal Financial Officer</w:t>
              </w:r>
            </w:hyperlink>
          </w:p>
        </w:tc>
        <w:tc>
          <w:tcPr>
            <w:tcW w:w="18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8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Pursuant to 18 U.S.C. Section 1350, as</w:t>
              </w:r>
            </w:hyperlink>
          </w:p>
        </w:tc>
        <w:tc>
          <w:tcPr>
            <w:tcW w:w="48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Adopted Pursuant to Section 906 of the</w:t>
              </w:r>
            </w:hyperlink>
          </w:p>
        </w:tc>
        <w:tc>
          <w:tcPr>
            <w:tcW w:w="44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7"/>
        </w:trPr>
        <w:tc>
          <w:tcPr>
            <w:tcW w:w="840" w:type="dxa"/>
            <w:vAlign w:val="bottom"/>
          </w:tcPr>
          <w:p>
            <w:pPr>
              <w:spacing w:after="0"/>
              <w:rPr>
                <w:sz w:val="20"/>
                <w:szCs w:val="20"/>
                <w:color w:val="auto"/>
              </w:rPr>
            </w:pPr>
          </w:p>
        </w:tc>
        <w:tc>
          <w:tcPr>
            <w:tcW w:w="3280" w:type="dxa"/>
            <w:vAlign w:val="bottom"/>
            <w:gridSpan w:val="9"/>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Sarbanes-Oxley Act of 2002.</w:t>
              </w:r>
            </w:hyperlink>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2"/>
              </w:rPr>
              <w:t>101.INS</w:t>
            </w:r>
          </w:p>
        </w:tc>
        <w:tc>
          <w:tcPr>
            <w:tcW w:w="328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3"/>
              </w:rPr>
              <w:t>101.SCH</w:t>
            </w:r>
          </w:p>
        </w:tc>
        <w:tc>
          <w:tcPr>
            <w:tcW w:w="328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328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8"/>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7"/>
              </w:rPr>
              <w:t>101.CAL</w:t>
            </w:r>
          </w:p>
        </w:tc>
        <w:tc>
          <w:tcPr>
            <w:tcW w:w="3280" w:type="dxa"/>
            <w:vAlign w:val="bottom"/>
            <w:gridSpan w:val="9"/>
          </w:tcPr>
          <w:p>
            <w:pPr>
              <w:spacing w:after="0"/>
              <w:rPr>
                <w:sz w:val="20"/>
                <w:szCs w:val="20"/>
                <w:color w:val="auto"/>
              </w:rPr>
            </w:pPr>
            <w:r>
              <w:rPr>
                <w:rFonts w:ascii="Arial" w:cs="Arial" w:eastAsia="Arial" w:hAnsi="Arial"/>
                <w:sz w:val="18"/>
                <w:szCs w:val="18"/>
                <w:color w:val="auto"/>
              </w:rPr>
              <w:t>XBRL Taxonomy Extension Calculation</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328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8"/>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0"/>
              </w:rPr>
              <w:t>101.DEF</w:t>
            </w:r>
          </w:p>
        </w:tc>
        <w:tc>
          <w:tcPr>
            <w:tcW w:w="3280" w:type="dxa"/>
            <w:vAlign w:val="bottom"/>
            <w:gridSpan w:val="9"/>
          </w:tcPr>
          <w:p>
            <w:pPr>
              <w:spacing w:after="0"/>
              <w:rPr>
                <w:sz w:val="20"/>
                <w:szCs w:val="20"/>
                <w:color w:val="auto"/>
              </w:rPr>
            </w:pPr>
            <w:r>
              <w:rPr>
                <w:rFonts w:ascii="Arial" w:cs="Arial" w:eastAsia="Arial" w:hAnsi="Arial"/>
                <w:sz w:val="18"/>
                <w:szCs w:val="18"/>
                <w:color w:val="auto"/>
              </w:rPr>
              <w:t>XBRL Taxonomy Extension Definition</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328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t>
      </w:r>
    </w:p>
    <w:p>
      <w:pPr>
        <w:spacing w:after="0" w:line="335" w:lineRule="exact"/>
        <w:rPr>
          <w:sz w:val="20"/>
          <w:szCs w:val="20"/>
          <w:color w:val="auto"/>
        </w:rPr>
      </w:pPr>
    </w:p>
    <w:p>
      <w:pPr>
        <w:sectPr>
          <w:pgSz w:w="11900" w:h="16838" w:orient="portrait"/>
          <w:cols w:equalWidth="0" w:num="2">
            <w:col w:w="7380" w:space="660"/>
            <w:col w:w="979"/>
          </w:cols>
          <w:pgMar w:left="1440" w:top="517" w:right="1440"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8"/>
        </w:trPr>
        <w:tc>
          <w:tcPr>
            <w:tcW w:w="860" w:type="dxa"/>
            <w:vAlign w:val="bottom"/>
            <w:gridSpan w:val="2"/>
            <w:vMerge w:val="continue"/>
          </w:tcPr>
          <w:p>
            <w:pPr>
              <w:spacing w:after="0"/>
              <w:rPr>
                <w:sz w:val="12"/>
                <w:szCs w:val="12"/>
                <w:color w:val="auto"/>
              </w:rPr>
            </w:pPr>
          </w:p>
        </w:tc>
        <w:tc>
          <w:tcPr>
            <w:tcW w:w="3360" w:type="dxa"/>
            <w:vAlign w:val="bottom"/>
            <w:gridSpan w:val="2"/>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Form</w:t>
            </w: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File No.</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Filing Date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33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95"/>
        </w:trPr>
        <w:tc>
          <w:tcPr>
            <w:tcW w:w="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101.LAB</w:t>
            </w:r>
          </w:p>
        </w:tc>
        <w:tc>
          <w:tcPr>
            <w:tcW w:w="140" w:type="dxa"/>
            <w:vAlign w:val="bottom"/>
          </w:tcPr>
          <w:p>
            <w:pPr>
              <w:spacing w:after="0"/>
              <w:rPr>
                <w:sz w:val="16"/>
                <w:szCs w:val="16"/>
                <w:color w:val="auto"/>
              </w:rPr>
            </w:pPr>
          </w:p>
        </w:tc>
        <w:tc>
          <w:tcPr>
            <w:tcW w:w="3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XBRL Taxonomy Extension Label</w:t>
            </w:r>
          </w:p>
        </w:tc>
        <w:tc>
          <w:tcPr>
            <w:tcW w:w="1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Linkbase Document</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36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101.PRE</w:t>
            </w:r>
          </w:p>
        </w:tc>
        <w:tc>
          <w:tcPr>
            <w:tcW w:w="33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Linkbase Document</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36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82" w:lineRule="exact"/>
        <w:rPr>
          <w:sz w:val="20"/>
          <w:szCs w:val="20"/>
          <w:color w:val="auto"/>
        </w:rPr>
      </w:pPr>
    </w:p>
    <w:p>
      <w:pPr>
        <w:ind w:left="360" w:hanging="310"/>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360" w:hanging="310"/>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9" w:lineRule="exact"/>
        <w:rPr>
          <w:sz w:val="20"/>
          <w:szCs w:val="20"/>
          <w:color w:val="auto"/>
        </w:rPr>
      </w:pPr>
    </w:p>
    <w:p>
      <w:pPr>
        <w:ind w:left="380" w:right="139" w:hanging="330"/>
        <w:spacing w:after="0" w:line="250" w:lineRule="auto"/>
        <w:tabs>
          <w:tab w:leader="none" w:pos="371"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omitted from this exhibit and those portions have been separately filed with the Securities and Exchange Commission.</w:t>
      </w:r>
    </w:p>
    <w:p>
      <w:pPr>
        <w:spacing w:after="0" w:line="1" w:lineRule="exact"/>
        <w:rPr>
          <w:sz w:val="20"/>
          <w:szCs w:val="20"/>
          <w:color w:val="auto"/>
        </w:rPr>
      </w:pPr>
    </w:p>
    <w:p>
      <w:pPr>
        <w:ind w:left="360" w:hanging="310"/>
        <w:spacing w:after="0"/>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3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March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March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520"/>
        <w:spacing w:after="0"/>
        <w:rPr>
          <w:sz w:val="20"/>
          <w:szCs w:val="20"/>
          <w:color w:val="auto"/>
        </w:rPr>
      </w:pPr>
      <w:r>
        <w:rPr>
          <w:rFonts w:ascii="Arial" w:cs="Arial" w:eastAsia="Arial" w:hAnsi="Arial"/>
          <w:sz w:val="13"/>
          <w:szCs w:val="13"/>
          <w:b w:val="1"/>
          <w:bCs w:val="1"/>
          <w:color w:val="auto"/>
        </w:rPr>
        <w:t>Signature</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83185</wp:posOffset>
            </wp:positionV>
            <wp:extent cx="21602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Vimal Mehta, Ph.D.</w:t>
      </w: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83185</wp:posOffset>
            </wp:positionV>
            <wp:extent cx="21602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Richard Steinhart</w:t>
      </w: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PETER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83185</wp:posOffset>
            </wp:positionV>
            <wp:extent cx="21602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Peter Mueller, Ph.D.</w:t>
      </w: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JUNE 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83185</wp:posOffset>
            </wp:positionV>
            <wp:extent cx="21602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June Bray</w:t>
      </w: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SANDEEP LAUMAS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83185</wp:posOffset>
            </wp:positionV>
            <wp:extent cx="21602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Sandeep Laumas, M.D.</w:t>
      </w:r>
    </w:p>
    <w:p>
      <w:pPr>
        <w:spacing w:after="0" w:line="200" w:lineRule="exact"/>
        <w:rPr>
          <w:sz w:val="20"/>
          <w:szCs w:val="20"/>
          <w:color w:val="auto"/>
        </w:rPr>
      </w:pPr>
    </w:p>
    <w:p>
      <w:pPr>
        <w:spacing w:after="0" w:line="241"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KRISHNAN NANDABALAN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83185</wp:posOffset>
            </wp:positionV>
            <wp:extent cx="21602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Krishnan Nandabalan, Ph.D.</w:t>
      </w:r>
    </w:p>
    <w:p>
      <w:pPr>
        <w:spacing w:after="0" w:line="200" w:lineRule="exact"/>
        <w:rPr>
          <w:sz w:val="20"/>
          <w:szCs w:val="20"/>
          <w:color w:val="auto"/>
        </w:rPr>
      </w:pPr>
    </w:p>
    <w:p>
      <w:pPr>
        <w:spacing w:after="0" w:line="280"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MICHAL VOTRUBA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216027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43"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Michal Votruba</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BioXcel Therapeutics, Inc.</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 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5715</wp:posOffset>
            </wp:positionV>
            <wp:extent cx="28200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Vimal Mehta</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5715</wp:posOffset>
            </wp:positionV>
            <wp:extent cx="28200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Richard Steinhart, Chief Financial Officer</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(Principal Financial Officer)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80" w:type="dxa"/>
            <w:vAlign w:val="bottom"/>
          </w:tcPr>
          <w:p>
            <w:pPr>
              <w:ind w:left="1560"/>
              <w:spacing w:after="0"/>
              <w:rPr>
                <w:sz w:val="20"/>
                <w:szCs w:val="20"/>
                <w:color w:val="auto"/>
              </w:rPr>
            </w:pPr>
            <w:r>
              <w:rPr>
                <w:rFonts w:ascii="Arial" w:cs="Arial" w:eastAsia="Arial" w:hAnsi="Arial"/>
                <w:sz w:val="13"/>
                <w:szCs w:val="13"/>
                <w:b w:val="1"/>
                <w:bCs w:val="1"/>
                <w:color w:val="auto"/>
              </w:rPr>
              <w:t>Title</w:t>
            </w:r>
          </w:p>
        </w:tc>
        <w:tc>
          <w:tcPr>
            <w:tcW w:w="1300" w:type="dxa"/>
            <w:vAlign w:val="bottom"/>
          </w:tcPr>
          <w:p>
            <w:pPr>
              <w:ind w:left="900"/>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540"/>
        </w:trPr>
        <w:tc>
          <w:tcPr>
            <w:tcW w:w="3380" w:type="dxa"/>
            <w:vAlign w:val="bottom"/>
          </w:tcPr>
          <w:p>
            <w:pPr>
              <w:spacing w:after="0"/>
              <w:rPr>
                <w:sz w:val="20"/>
                <w:szCs w:val="20"/>
                <w:color w:val="auto"/>
              </w:rPr>
            </w:pPr>
            <w:r>
              <w:rPr>
                <w:rFonts w:ascii="Arial" w:cs="Arial" w:eastAsia="Arial" w:hAnsi="Arial"/>
                <w:sz w:val="18"/>
                <w:szCs w:val="18"/>
                <w:color w:val="auto"/>
              </w:rPr>
              <w:t>Chief Executive Officer, President, and</w:t>
            </w:r>
          </w:p>
        </w:tc>
        <w:tc>
          <w:tcPr>
            <w:tcW w:w="1300" w:type="dxa"/>
            <w:vAlign w:val="bottom"/>
            <w:vMerge w:val="restart"/>
          </w:tcPr>
          <w:p>
            <w:pPr>
              <w:ind w:left="160"/>
              <w:spacing w:after="0"/>
              <w:rPr>
                <w:sz w:val="20"/>
                <w:szCs w:val="20"/>
                <w:color w:val="auto"/>
              </w:rPr>
            </w:pPr>
            <w:r>
              <w:rPr>
                <w:rFonts w:ascii="Arial" w:cs="Arial" w:eastAsia="Arial" w:hAnsi="Arial"/>
                <w:sz w:val="18"/>
                <w:szCs w:val="18"/>
                <w:color w:val="auto"/>
                <w:w w:val="89"/>
              </w:rPr>
              <w:t>March 12, 2021</w:t>
            </w:r>
          </w:p>
        </w:tc>
        <w:tc>
          <w:tcPr>
            <w:tcW w:w="0" w:type="dxa"/>
            <w:vAlign w:val="bottom"/>
          </w:tcPr>
          <w:p>
            <w:pPr>
              <w:spacing w:after="0"/>
              <w:rPr>
                <w:sz w:val="1"/>
                <w:szCs w:val="1"/>
                <w:color w:val="auto"/>
              </w:rPr>
            </w:pPr>
          </w:p>
        </w:tc>
      </w:tr>
      <w:tr>
        <w:trPr>
          <w:trHeight w:val="122"/>
        </w:trPr>
        <w:tc>
          <w:tcPr>
            <w:tcW w:w="3380" w:type="dxa"/>
            <w:vAlign w:val="bottom"/>
            <w:vMerge w:val="restart"/>
          </w:tcPr>
          <w:p>
            <w:pPr>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8"/>
                <w:szCs w:val="18"/>
                <w:i w:val="1"/>
                <w:iCs w:val="1"/>
                <w:color w:val="auto"/>
              </w:rPr>
              <w:t>(Principal Executive Officer)</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4"/>
        </w:trPr>
        <w:tc>
          <w:tcPr>
            <w:tcW w:w="3380" w:type="dxa"/>
            <w:vAlign w:val="bottom"/>
          </w:tcPr>
          <w:p>
            <w:pPr>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w:t>
            </w:r>
          </w:p>
        </w:tc>
        <w:tc>
          <w:tcPr>
            <w:tcW w:w="1300" w:type="dxa"/>
            <w:vAlign w:val="bottom"/>
            <w:vMerge w:val="restart"/>
          </w:tcPr>
          <w:p>
            <w:pPr>
              <w:ind w:left="160"/>
              <w:spacing w:after="0"/>
              <w:rPr>
                <w:sz w:val="20"/>
                <w:szCs w:val="20"/>
                <w:color w:val="auto"/>
              </w:rPr>
            </w:pPr>
            <w:r>
              <w:rPr>
                <w:rFonts w:ascii="Arial" w:cs="Arial" w:eastAsia="Arial" w:hAnsi="Arial"/>
                <w:sz w:val="18"/>
                <w:szCs w:val="18"/>
                <w:color w:val="auto"/>
                <w:w w:val="89"/>
              </w:rPr>
              <w:t>March 12, 2021</w:t>
            </w:r>
          </w:p>
        </w:tc>
        <w:tc>
          <w:tcPr>
            <w:tcW w:w="0" w:type="dxa"/>
            <w:vAlign w:val="bottom"/>
          </w:tcPr>
          <w:p>
            <w:pPr>
              <w:spacing w:after="0"/>
              <w:rPr>
                <w:sz w:val="1"/>
                <w:szCs w:val="1"/>
                <w:color w:val="auto"/>
              </w:rPr>
            </w:pPr>
          </w:p>
        </w:tc>
      </w:tr>
      <w:tr>
        <w:trPr>
          <w:trHeight w:val="122"/>
        </w:trPr>
        <w:tc>
          <w:tcPr>
            <w:tcW w:w="3380" w:type="dxa"/>
            <w:vAlign w:val="bottom"/>
            <w:vMerge w:val="restart"/>
          </w:tcPr>
          <w:p>
            <w:pPr>
              <w:spacing w:after="0"/>
              <w:rPr>
                <w:sz w:val="20"/>
                <w:szCs w:val="20"/>
                <w:color w:val="auto"/>
              </w:rPr>
            </w:pPr>
            <w:r>
              <w:rPr>
                <w:rFonts w:ascii="Arial" w:cs="Arial" w:eastAsia="Arial" w:hAnsi="Arial"/>
                <w:sz w:val="18"/>
                <w:szCs w:val="18"/>
                <w:i w:val="1"/>
                <w:iCs w:val="1"/>
                <w:color w:val="auto"/>
              </w:rPr>
              <w:t>Officer and Principal Accounting Officer)</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338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12, 2021</w:t>
            </w:r>
          </w:p>
        </w:tc>
        <w:tc>
          <w:tcPr>
            <w:tcW w:w="0" w:type="dxa"/>
            <w:vAlign w:val="bottom"/>
          </w:tcPr>
          <w:p>
            <w:pPr>
              <w:spacing w:after="0"/>
              <w:rPr>
                <w:sz w:val="1"/>
                <w:szCs w:val="1"/>
                <w:color w:val="auto"/>
              </w:rPr>
            </w:pPr>
          </w:p>
        </w:tc>
      </w:tr>
      <w:tr>
        <w:trPr>
          <w:trHeight w:val="756"/>
        </w:trPr>
        <w:tc>
          <w:tcPr>
            <w:tcW w:w="3380" w:type="dxa"/>
            <w:vAlign w:val="bottom"/>
          </w:tcPr>
          <w:p>
            <w:pPr>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12, 2021</w:t>
            </w:r>
          </w:p>
        </w:tc>
        <w:tc>
          <w:tcPr>
            <w:tcW w:w="0" w:type="dxa"/>
            <w:vAlign w:val="bottom"/>
          </w:tcPr>
          <w:p>
            <w:pPr>
              <w:spacing w:after="0"/>
              <w:rPr>
                <w:sz w:val="1"/>
                <w:szCs w:val="1"/>
                <w:color w:val="auto"/>
              </w:rPr>
            </w:pPr>
          </w:p>
        </w:tc>
      </w:tr>
      <w:tr>
        <w:trPr>
          <w:trHeight w:val="972"/>
        </w:trPr>
        <w:tc>
          <w:tcPr>
            <w:tcW w:w="3380" w:type="dxa"/>
            <w:vAlign w:val="bottom"/>
          </w:tcPr>
          <w:p>
            <w:pPr>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12, 2021</w:t>
            </w:r>
          </w:p>
        </w:tc>
        <w:tc>
          <w:tcPr>
            <w:tcW w:w="0" w:type="dxa"/>
            <w:vAlign w:val="bottom"/>
          </w:tcPr>
          <w:p>
            <w:pPr>
              <w:spacing w:after="0"/>
              <w:rPr>
                <w:sz w:val="1"/>
                <w:szCs w:val="1"/>
                <w:color w:val="auto"/>
              </w:rPr>
            </w:pPr>
          </w:p>
        </w:tc>
      </w:tr>
      <w:tr>
        <w:trPr>
          <w:trHeight w:val="972"/>
        </w:trPr>
        <w:tc>
          <w:tcPr>
            <w:tcW w:w="3380" w:type="dxa"/>
            <w:vAlign w:val="bottom"/>
          </w:tcPr>
          <w:p>
            <w:pPr>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12, 2021</w:t>
            </w:r>
          </w:p>
        </w:tc>
        <w:tc>
          <w:tcPr>
            <w:tcW w:w="0" w:type="dxa"/>
            <w:vAlign w:val="bottom"/>
          </w:tcPr>
          <w:p>
            <w:pPr>
              <w:spacing w:after="0"/>
              <w:rPr>
                <w:sz w:val="1"/>
                <w:szCs w:val="1"/>
                <w:color w:val="auto"/>
              </w:rPr>
            </w:pPr>
          </w:p>
        </w:tc>
      </w:tr>
      <w:tr>
        <w:trPr>
          <w:trHeight w:val="1012"/>
        </w:trPr>
        <w:tc>
          <w:tcPr>
            <w:tcW w:w="3380" w:type="dxa"/>
            <w:vAlign w:val="bottom"/>
          </w:tcPr>
          <w:p>
            <w:pPr>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12, 2021</w:t>
            </w:r>
          </w:p>
        </w:tc>
        <w:tc>
          <w:tcPr>
            <w:tcW w:w="0" w:type="dxa"/>
            <w:vAlign w:val="bottom"/>
          </w:tcPr>
          <w:p>
            <w:pPr>
              <w:spacing w:after="0"/>
              <w:rPr>
                <w:sz w:val="1"/>
                <w:szCs w:val="1"/>
                <w:color w:val="auto"/>
              </w:rPr>
            </w:pPr>
          </w:p>
        </w:tc>
      </w:tr>
    </w:tbl>
    <w:p>
      <w:pPr>
        <w:spacing w:after="0" w:line="433" w:lineRule="exact"/>
        <w:rPr>
          <w:sz w:val="20"/>
          <w:szCs w:val="20"/>
          <w:color w:val="auto"/>
        </w:rPr>
      </w:pPr>
    </w:p>
    <w:p>
      <w:pPr>
        <w:sectPr>
          <w:pgSz w:w="11900" w:h="16838" w:orient="portrait"/>
          <w:cols w:equalWidth="0" w:num="2">
            <w:col w:w="2980" w:space="660"/>
            <w:col w:w="5379"/>
          </w:cols>
          <w:pgMar w:left="1440" w:top="517"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BioXcel Therapeutics, Inc.</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Haven, CT</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have audited the accompanying balance sheets of BioXcel Therapeutics, Inc. (the “Company”) as of December 31, 2020 and 2019, the related statements of operations, changes in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two years in the period ended December 31, 2020</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Stamford, Connecticut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120" w:type="dxa"/>
            <w:vAlign w:val="bottom"/>
            <w:gridSpan w:val="3"/>
          </w:tcPr>
          <w:p>
            <w:pPr>
              <w:ind w:left="240"/>
              <w:spacing w:after="0"/>
              <w:rPr>
                <w:sz w:val="20"/>
                <w:szCs w:val="20"/>
                <w:color w:val="auto"/>
              </w:rPr>
            </w:pPr>
            <w:r>
              <w:rPr>
                <w:rFonts w:ascii="Arial" w:cs="Arial" w:eastAsia="Arial" w:hAnsi="Arial"/>
                <w:sz w:val="14"/>
                <w:szCs w:val="14"/>
                <w:b w:val="1"/>
                <w:bCs w:val="1"/>
                <w:color w:val="auto"/>
                <w:w w:val="94"/>
              </w:rPr>
              <w:t>December 31,</w:t>
            </w:r>
          </w:p>
        </w:tc>
        <w:tc>
          <w:tcPr>
            <w:tcW w:w="2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213,119</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right-of-use asset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219,936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Parent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Long-term portion of operating lease liability</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Common stock, $0.001 par value, 50,000 shares authorized; 24,417 and 18,087 shares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issued and outstanding as of December 31, 2020 and December 31, 2019, respectively</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345,529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(138,857)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206,696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219,936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57,995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24,302</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82,297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and interest income</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Interest expense</w:t>
            </w:r>
          </w:p>
        </w:tc>
        <w:tc>
          <w:tcPr>
            <w:tcW w:w="1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(82,169)</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(32,968)</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12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(3.79)</w:t>
            </w:r>
          </w:p>
        </w:tc>
        <w:tc>
          <w:tcPr>
            <w:tcW w:w="240" w:type="dxa"/>
            <w:vAlign w:val="bottom"/>
            <w:vMerge w:val="continue"/>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94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Paid in</w:t>
            </w:r>
          </w:p>
        </w:tc>
        <w:tc>
          <w:tcPr>
            <w:tcW w:w="10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2"/>
                <w:szCs w:val="12"/>
                <w:color w:val="auto"/>
              </w:rPr>
            </w:pPr>
          </w:p>
        </w:tc>
        <w:tc>
          <w:tcPr>
            <w:tcW w:w="9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2"/>
                <w:szCs w:val="12"/>
                <w:color w:val="auto"/>
              </w:rPr>
            </w:pPr>
          </w:p>
        </w:tc>
        <w:tc>
          <w:tcPr>
            <w:tcW w:w="68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38,889</w:t>
            </w:r>
          </w:p>
        </w:tc>
        <w:tc>
          <w:tcPr>
            <w:tcW w:w="0" w:type="dxa"/>
            <w:vAlign w:val="bottom"/>
          </w:tcPr>
          <w:p>
            <w:pPr>
              <w:spacing w:after="0"/>
              <w:rPr>
                <w:sz w:val="1"/>
                <w:szCs w:val="1"/>
                <w:color w:val="auto"/>
              </w:rPr>
            </w:pPr>
          </w:p>
        </w:tc>
      </w:tr>
      <w:tr>
        <w:trPr>
          <w:trHeight w:val="202"/>
        </w:trPr>
        <w:tc>
          <w:tcPr>
            <w:tcW w:w="4060" w:type="dxa"/>
            <w:vAlign w:val="bottom"/>
          </w:tcPr>
          <w:p>
            <w:pPr>
              <w:ind w:left="220"/>
              <w:spacing w:after="0" w:line="201" w:lineRule="exact"/>
              <w:rPr>
                <w:sz w:val="20"/>
                <w:szCs w:val="20"/>
                <w:color w:val="auto"/>
              </w:rPr>
            </w:pPr>
            <w:r>
              <w:rPr>
                <w:rFonts w:ascii="Arial" w:cs="Arial" w:eastAsia="Arial" w:hAnsi="Arial"/>
                <w:sz w:val="18"/>
                <w:szCs w:val="18"/>
                <w:color w:val="auto"/>
                <w:w w:val="94"/>
              </w:rPr>
              <w:t>Issuance of common shares, net of issuance costs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of $1,991</w:t>
            </w:r>
          </w:p>
        </w:tc>
        <w:tc>
          <w:tcPr>
            <w:tcW w:w="780" w:type="dxa"/>
            <w:vAlign w:val="bottom"/>
          </w:tcPr>
          <w:p>
            <w:pPr>
              <w:jc w:val="right"/>
              <w:spacing w:after="0"/>
              <w:rPr>
                <w:sz w:val="20"/>
                <w:szCs w:val="20"/>
                <w:color w:val="auto"/>
              </w:rPr>
            </w:pPr>
            <w:r>
              <w:rPr>
                <w:rFonts w:ascii="Arial" w:cs="Arial" w:eastAsia="Arial" w:hAnsi="Arial"/>
                <w:sz w:val="18"/>
                <w:szCs w:val="18"/>
                <w:color w:val="auto"/>
              </w:rPr>
              <w:t>2,369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17,808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17,810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(32,968)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(32,968)</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18,087</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83,565</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(56,688)</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26,895</w:t>
            </w:r>
          </w:p>
        </w:tc>
        <w:tc>
          <w:tcPr>
            <w:tcW w:w="0" w:type="dxa"/>
            <w:vAlign w:val="bottom"/>
          </w:tcPr>
          <w:p>
            <w:pPr>
              <w:spacing w:after="0"/>
              <w:rPr>
                <w:sz w:val="1"/>
                <w:szCs w:val="1"/>
                <w:color w:val="auto"/>
              </w:rPr>
            </w:pPr>
          </w:p>
        </w:tc>
      </w:tr>
      <w:tr>
        <w:trPr>
          <w:trHeight w:val="155"/>
        </w:trPr>
        <w:tc>
          <w:tcPr>
            <w:tcW w:w="4060" w:type="dxa"/>
            <w:vAlign w:val="bottom"/>
            <w:shd w:val="clear" w:color="auto" w:fill="CCEEFF"/>
          </w:tcPr>
          <w:p>
            <w:pPr>
              <w:ind w:left="220"/>
              <w:spacing w:after="0" w:line="155" w:lineRule="exact"/>
              <w:rPr>
                <w:sz w:val="20"/>
                <w:szCs w:val="20"/>
                <w:color w:val="auto"/>
              </w:rPr>
            </w:pPr>
            <w:r>
              <w:rPr>
                <w:rFonts w:ascii="Arial" w:cs="Arial" w:eastAsia="Arial" w:hAnsi="Arial"/>
                <w:sz w:val="17"/>
                <w:szCs w:val="17"/>
                <w:color w:val="auto"/>
              </w:rPr>
              <w:t>Issuance of common shares, net of issuance costs</w:t>
            </w: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$17,815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255,779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255,785</w:t>
            </w:r>
          </w:p>
        </w:tc>
        <w:tc>
          <w:tcPr>
            <w:tcW w:w="0" w:type="dxa"/>
            <w:vAlign w:val="bottom"/>
          </w:tcPr>
          <w:p>
            <w:pPr>
              <w:spacing w:after="0"/>
              <w:rPr>
                <w:sz w:val="1"/>
                <w:szCs w:val="1"/>
                <w:color w:val="auto"/>
              </w:rPr>
            </w:pPr>
          </w:p>
        </w:tc>
      </w:tr>
      <w:tr>
        <w:trPr>
          <w:trHeight w:val="202"/>
        </w:trPr>
        <w:tc>
          <w:tcPr>
            <w:tcW w:w="4060" w:type="dxa"/>
            <w:vAlign w:val="bottom"/>
          </w:tcPr>
          <w:p>
            <w:pPr>
              <w:ind w:left="220"/>
              <w:spacing w:after="0" w:line="201" w:lineRule="exact"/>
              <w:rPr>
                <w:sz w:val="20"/>
                <w:szCs w:val="20"/>
                <w:color w:val="auto"/>
              </w:rPr>
            </w:pPr>
            <w:r>
              <w:rPr>
                <w:rFonts w:ascii="Arial" w:cs="Arial" w:eastAsia="Arial" w:hAnsi="Arial"/>
                <w:sz w:val="18"/>
                <w:szCs w:val="18"/>
                <w:color w:val="auto"/>
                <w:w w:val="96"/>
              </w:rPr>
              <w:t>Purchase and cancellation of shares from BioXcel</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Corporation</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(9,024)</w:t>
            </w:r>
          </w:p>
        </w:tc>
        <w:tc>
          <w:tcPr>
            <w:tcW w:w="1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(82,169)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(82,169)</w:t>
            </w: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24,417</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345,529</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(138,857)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206,696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80"/>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(82,169)</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other assets and right of use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Accounts payable, accrued expenses, lease liabilities and other liabilities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Purchases of equipment and leasehold improvements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80"/>
              <w:spacing w:after="0"/>
              <w:rPr>
                <w:sz w:val="20"/>
                <w:szCs w:val="20"/>
                <w:color w:val="auto"/>
              </w:rPr>
            </w:pPr>
            <w:r>
              <w:rPr>
                <w:rFonts w:ascii="Arial" w:cs="Arial" w:eastAsia="Arial" w:hAnsi="Arial"/>
                <w:sz w:val="18"/>
                <w:szCs w:val="18"/>
                <w:color w:val="auto"/>
              </w:rPr>
              <w:t>Proceeds from issuance of common stock, net of issuance costs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255,785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 and cancellation of shares from BioXcel Corporation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Exercise of options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the period</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213,119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Purchases of equipment and leasehold improvements in accounts payable and accrued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w w:val="94"/>
              </w:rPr>
              <w:t>Operating right of use lease assets obtained in exchange for operating lease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right of use asset and liability (non-cash adoption balances)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Nature of the Business</w:t>
      </w:r>
    </w:p>
    <w:p>
      <w:pPr>
        <w:spacing w:after="0" w:line="229" w:lineRule="exact"/>
        <w:rPr>
          <w:sz w:val="20"/>
          <w:szCs w:val="20"/>
          <w:color w:val="auto"/>
        </w:rPr>
      </w:pPr>
    </w:p>
    <w:p>
      <w:pPr>
        <w:ind w:left="60" w:right="59" w:firstLine="324"/>
        <w:spacing w:after="0" w:line="271" w:lineRule="auto"/>
        <w:rPr>
          <w:sz w:val="20"/>
          <w:szCs w:val="20"/>
          <w:color w:val="auto"/>
        </w:rPr>
      </w:pPr>
      <w:r>
        <w:rPr>
          <w:rFonts w:ascii="Arial" w:cs="Arial" w:eastAsia="Arial" w:hAnsi="Arial"/>
          <w:sz w:val="17"/>
          <w:szCs w:val="17"/>
          <w:color w:val="auto"/>
        </w:rPr>
        <w:t>BioXcel Therapeutics, Inc. is a clinical stage biopharmaceutical company focused on drug development that utilizes artificial intelligence to identify improved therapies in neuroscience and immuno-oncology. BTI's drug re-innovation approach leverages existing approved drugs and/or clinically validated product candidates together with big data and proprietary machine learning algorithms to identify new therapeutic indices. BTI's two most advanced clinical development programs are BXCL501, a proprietary, orally dissolving, sublingual thin film formulation of the adrenergic receptor agonist dexmedetomidine (“Dex”), for the treatment of agitation and opioid withdrawal symptoms, and BXCL701, an orally administered, systemic innate immune activator for the treatment of aggressive forms of prostate cancer and advanced solid tumors that are refractory or treatment naïve to checkpoint inhibitors.</w:t>
      </w:r>
    </w:p>
    <w:p>
      <w:pPr>
        <w:spacing w:after="0" w:line="178" w:lineRule="exact"/>
        <w:rPr>
          <w:sz w:val="20"/>
          <w:szCs w:val="20"/>
          <w:color w:val="auto"/>
        </w:rPr>
      </w:pPr>
    </w:p>
    <w:p>
      <w:pPr>
        <w:ind w:left="60" w:right="599" w:firstLine="324"/>
        <w:spacing w:after="0" w:line="263" w:lineRule="auto"/>
        <w:rPr>
          <w:sz w:val="20"/>
          <w:szCs w:val="20"/>
          <w:color w:val="auto"/>
        </w:rPr>
      </w:pPr>
      <w:r>
        <w:rPr>
          <w:rFonts w:ascii="Arial" w:cs="Arial" w:eastAsia="Arial" w:hAnsi="Arial"/>
          <w:sz w:val="18"/>
          <w:szCs w:val="18"/>
          <w:color w:val="auto"/>
        </w:rPr>
        <w:t>As used in these financial statements, unless otherwise specified or the context otherwise requires, the terms the “Company” or “BTI” refer to BioXcel Therapeutics, Inc., and “BioXcel” or “Parent” refer to BioXcel LLC and, its predecessor, BioXcel Corporation.</w:t>
      </w:r>
    </w:p>
    <w:p>
      <w:pPr>
        <w:spacing w:after="0" w:line="184" w:lineRule="exact"/>
        <w:rPr>
          <w:sz w:val="20"/>
          <w:szCs w:val="20"/>
          <w:color w:val="auto"/>
        </w:rPr>
      </w:pPr>
    </w:p>
    <w:p>
      <w:pPr>
        <w:ind w:left="60" w:right="759" w:firstLine="324"/>
        <w:spacing w:after="0" w:line="308" w:lineRule="auto"/>
        <w:rPr>
          <w:sz w:val="20"/>
          <w:szCs w:val="20"/>
          <w:color w:val="auto"/>
        </w:rPr>
      </w:pPr>
      <w:r>
        <w:rPr>
          <w:rFonts w:ascii="Arial" w:cs="Arial" w:eastAsia="Arial" w:hAnsi="Arial"/>
          <w:sz w:val="17"/>
          <w:szCs w:val="17"/>
          <w:color w:val="auto"/>
        </w:rPr>
        <w:t>The Company is a minority-owned subsidiary of BioXcel and was incorporated under the laws of the State of Delaware on March 29, 2017. The Company’s principal office is in New Haven, Connecticut.</w:t>
      </w:r>
    </w:p>
    <w:p>
      <w:pPr>
        <w:spacing w:after="0" w:line="146"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The Company incurred losses of $82,169 and $32,968 for the years ended December 31, 2020 and 2019, respectively. The Company had an accumulated deficit of $138,857 as of December 31, 2020. The Company has funded its operations primarily through the sale of equity securities.</w:t>
      </w:r>
    </w:p>
    <w:p>
      <w:pPr>
        <w:spacing w:after="0" w:line="184"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Certain reclassifications have been made to the prior year financial information to conform to the current period presentation. These reclassifications had no effect on the reported results of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2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In March 2020, the World Health Organization declared the outbreak of COVID-19, a novel strain of coronavirus, a global pandemic. This outbreak has caused and is continuing to cause major disruptions to businesses and financial markets worldwide. This may affect the Company’s operations and those of third parties on which the Company relies, including causing disruptions in the supply of the Company’s product candidates and the conduct of current and planned preclinical and clinical studies. The Company may need to limit its operations and may experience limitations in employee resources. There are risks that the COVID-19 pandemic may be more difficult to contain than currently anticipated in which case the risks described herein could increase significantly. The extent to which the COVID-19 pandemic impacts the Company’s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8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Additionally, while the potential economic impact brought by, and the duration of, the COVID-19 pandemic is difficult to assess or predict, the impact of the coronavirus on the global financial markets may reduce the Company’s ability to access capital, which could negatively impact the Company’s short-term and long-term liquidity, and the Company’s ability to complete its preclinical and clinical studies on a timely basis, or at all. The ultimate impact of COVID-19 is highly uncertain and subject to change. The Company does not yet know the full extent of potential delays or impacts on its business, financing, preclinical and clinical trial activities or the global economy as a whole. However, these effects could have a material, adverse impact on the Company’s liquidity, capital resources, operations and business and those of the third parties on which the Company relies.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The Company’s financial statements are prepared in accordance with Generally Accepted Accounting Principles in the United States of America (“GAAP”).</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The Company’s financial statements are prepared in accordance with GAAP. The preparation of the Company’s financial statements requires it to make estimates and assumptions that impact the reported amounts of assets, liabilities and expenses in its financial statements and the accompanying notes. Although these estimates are based on the Company’s knowledge of current events and actions it may undertake in the future, actual results may ultimately materially differ from these estimates.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0" w:right="99" w:firstLine="324"/>
        <w:spacing w:after="0" w:line="279"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at the date of purchase to be cash equivalents. As of December 31, 2020, and 2019, cash equivalents were comprised primarily of money market funds. Cash and cash equivalents held at financial institutions may at times exceed federally insured amounts. We believe we mitigate such risk by investing in or through major financial institutions.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Property and equipment are recorded at cost and depreciated and amortized over the shorter of their remaining lease term or their estimated useful life on a straight-line basis as follows:</w:t>
      </w:r>
    </w:p>
    <w:p>
      <w:pPr>
        <w:spacing w:after="0" w:line="170"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Equipment</w:t>
            </w:r>
          </w:p>
        </w:tc>
        <w:tc>
          <w:tcPr>
            <w:tcW w:w="4000" w:type="dxa"/>
            <w:vAlign w:val="bottom"/>
          </w:tcPr>
          <w:p>
            <w:pPr>
              <w:jc w:val="right"/>
              <w:spacing w:after="0"/>
              <w:rPr>
                <w:sz w:val="20"/>
                <w:szCs w:val="20"/>
                <w:color w:val="auto"/>
              </w:rPr>
            </w:pPr>
            <w:r>
              <w:rPr>
                <w:rFonts w:ascii="Arial" w:cs="Arial" w:eastAsia="Arial" w:hAnsi="Arial"/>
                <w:sz w:val="18"/>
                <w:szCs w:val="18"/>
                <w:color w:val="auto"/>
              </w:rPr>
              <w:t>3-5 years</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Furniture</w:t>
            </w:r>
          </w:p>
        </w:tc>
        <w:tc>
          <w:tcPr>
            <w:tcW w:w="400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000" w:type="dxa"/>
            <w:vAlign w:val="bottom"/>
          </w:tcPr>
          <w:p>
            <w:pPr>
              <w:jc w:val="right"/>
              <w:spacing w:after="0"/>
              <w:rPr>
                <w:sz w:val="20"/>
                <w:szCs w:val="20"/>
                <w:color w:val="auto"/>
              </w:rPr>
            </w:pPr>
            <w:r>
              <w:rPr>
                <w:rFonts w:ascii="Arial" w:cs="Arial" w:eastAsia="Arial" w:hAnsi="Arial"/>
                <w:sz w:val="18"/>
                <w:szCs w:val="18"/>
                <w:color w:val="auto"/>
              </w:rPr>
              <w:t>Lesser of life of improvement or lease term</w:t>
            </w:r>
          </w:p>
        </w:tc>
      </w:tr>
    </w:tbl>
    <w:p>
      <w:pPr>
        <w:spacing w:after="0" w:line="202"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7"/>
          <w:szCs w:val="17"/>
          <w:color w:val="auto"/>
        </w:rPr>
        <w:t>Expenditures for maintenance and repairs which do not improve or extend the useful lives of respective assets are expensed as incurred. When assets are sold or retired, the related cost and accumulated depreciation are removed from their respective accounts and any resulting gain or loss is include income (loss) from operations.</w:t>
      </w:r>
    </w:p>
    <w:p>
      <w:pPr>
        <w:spacing w:after="0" w:line="165"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 xml:space="preserve">The Company follows the guidance provided by FASB ASC Topic 360-10,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Company accounts for stock-based compensation in accordance with ASC 718,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which requires the measurement and recognition of compensation expense based on estimated fair market</w:t>
      </w:r>
      <w:r>
        <w:rPr>
          <w:rFonts w:ascii="Arial" w:cs="Arial" w:eastAsia="Arial" w:hAnsi="Arial"/>
          <w:sz w:val="16"/>
          <w:szCs w:val="16"/>
          <w:i w:val="1"/>
          <w:iCs w:val="1"/>
          <w:color w:val="auto"/>
        </w:rPr>
        <w:t xml:space="preserve"> </w:t>
      </w:r>
      <w:r>
        <w:rPr>
          <w:rFonts w:ascii="Arial" w:cs="Arial" w:eastAsia="Arial" w:hAnsi="Arial"/>
          <w:sz w:val="16"/>
          <w:szCs w:val="16"/>
          <w:color w:val="auto"/>
        </w:rPr>
        <w:t>values for all share-based awards made to employees and directors, including stock options. The Company’s 2017 Equity Incentive Plan became effective in August 2017. The Company’s 2020 Stock Plan became effective in May 2020. Following the effective date of the Company's 2020 Stock Plan, the Company ceased granting awards under the 2017 Plan, however the terms and conditions of the 2017 Plan continue to govern any outstanding awards granted thereunder.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2" w:name="page113"/>
    <w:bookmarkEnd w:id="11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Both BioXcel and the Company’s stock option awards are valued at fair value on the date of grant and that fair value is recognized over the requisite service period. The estimated fair value of stock option awards was determined using the Black-Scholes option pricing model on the date of grant. Significant judgment and estimates were used to estimate the fair value of these awards, as they were not publicly traded. Stock awards granted by the Company subsequent to the IPO are valued using market prices at the date of grant.</w:t>
      </w:r>
    </w:p>
    <w:p>
      <w:pPr>
        <w:spacing w:after="0" w:line="188" w:lineRule="exact"/>
        <w:rPr>
          <w:sz w:val="20"/>
          <w:szCs w:val="20"/>
          <w:color w:val="auto"/>
        </w:rPr>
      </w:pPr>
    </w:p>
    <w:p>
      <w:pPr>
        <w:ind w:left="60" w:right="739" w:firstLine="324"/>
        <w:spacing w:after="0" w:line="277" w:lineRule="auto"/>
        <w:rPr>
          <w:sz w:val="20"/>
          <w:szCs w:val="20"/>
          <w:color w:val="auto"/>
        </w:rPr>
      </w:pPr>
      <w:r>
        <w:rPr>
          <w:rFonts w:ascii="Arial" w:cs="Arial" w:eastAsia="Arial" w:hAnsi="Arial"/>
          <w:sz w:val="18"/>
          <w:szCs w:val="18"/>
          <w:color w:val="auto"/>
        </w:rPr>
        <w:t>The Company adopted FASB ASU 2018-07 as of January 1, 2019 which allowed non-employee options to be expensed using the adoption date fair value.</w:t>
      </w:r>
    </w:p>
    <w:p>
      <w:pPr>
        <w:spacing w:after="0" w:line="170"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ASC 718 requires companies to estimate the fair value of share-based awards on the date of grant using an option-pricing model. The Black-Scholes option-pricing model was used as its method of determining fair value. This model is affected by the Company’s stock price as well as assumptions regarding a number of subjective variables. These subjective variables include, but are not limited to, the expected stock price volatility over the term of the awards, and actual and projected employee stock option exercise behaviors. The value of the award is recognized as an expense in the statement of operations over the requisite service period. The periodic expense is then determined based on the valuation of the options. The Company has elected to account for forfeitures as they occur, by reversing compensation cost when the award is forfeited.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Research and development expenses include wages, benefits, facilities, supplies, external services, clinical study and manufacturing costs and other expenses that are directly related to the Company’s research and development activities. At the end of the reporting period, the Company compares payments made to third party service providers to the estimated progress toward completion of the research or development objectives. Depending on the timing of payments to the service providers and the progress that the Company estimates has been made as a result of the service provided, the Company may record net prepaid or accrued expense relating to these costs. Such estimates are subject to change as additional information becomes available. The Company expenses research and development costs as incurred.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Costs related to filing and pursuing patent applications are expensed as incurred as general and administrative costs as recoverability of such expenditures is uncertain.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The Company applies the provisions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for financial assets and liabilities measured on a recurring basis which requires disclosure that establishes a framework for measuring fair value.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or observable inputs, and (2) an 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ASC 820 requires that fair value measurements be classified and disclosed in one of three categories:</w:t>
      </w:r>
    </w:p>
    <w:p>
      <w:pPr>
        <w:spacing w:after="0" w:line="185" w:lineRule="exact"/>
        <w:rPr>
          <w:sz w:val="20"/>
          <w:szCs w:val="20"/>
          <w:color w:val="auto"/>
        </w:rPr>
      </w:pPr>
    </w:p>
    <w:p>
      <w:pPr>
        <w:ind w:left="60" w:right="719" w:firstLine="324"/>
        <w:spacing w:after="0" w:line="277" w:lineRule="auto"/>
        <w:rPr>
          <w:sz w:val="20"/>
          <w:szCs w:val="20"/>
          <w:color w:val="auto"/>
        </w:rPr>
      </w:pPr>
      <w:r>
        <w:rPr>
          <w:rFonts w:ascii="Arial" w:cs="Arial" w:eastAsia="Arial" w:hAnsi="Arial"/>
          <w:sz w:val="18"/>
          <w:szCs w:val="18"/>
          <w:color w:val="auto"/>
        </w:rPr>
        <w:t>Level 1: Quoted prices (unadjusted)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are corroborated by readily observable data from actively quoted markets for substantially the full term of the financial instrument.</w:t>
      </w:r>
    </w:p>
    <w:p>
      <w:pPr>
        <w:spacing w:after="0" w:line="170"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4"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84"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The carrying amounts of cash and accounts payable approximate fair value due to the short-term nature of these instruments.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Basic earnings (loss) per share (“EPS”) is calculated 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by dividing net income or loss attributable to common stockholders by the weighted average common stock outstanding. Diluted EPS is calculated by adjusting weighted average common shares outstanding for the dilutive effect of common stock options and warrants.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left="60" w:right="239" w:firstLine="324"/>
        <w:spacing w:after="0" w:line="279" w:lineRule="auto"/>
        <w:rPr>
          <w:sz w:val="20"/>
          <w:szCs w:val="20"/>
          <w:color w:val="auto"/>
        </w:rPr>
      </w:pPr>
      <w:r>
        <w:rPr>
          <w:rFonts w:ascii="Arial" w:cs="Arial" w:eastAsia="Arial" w:hAnsi="Arial"/>
          <w:sz w:val="17"/>
          <w:szCs w:val="17"/>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our chief operating decision maker has made such decisions and assessed performance at the company level as one segment.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Debt—Debt with Conversion and Other Options (Subtopic 470-</w:t>
      </w:r>
    </w:p>
    <w:p>
      <w:pPr>
        <w:spacing w:after="0" w:line="46" w:lineRule="exact"/>
        <w:rPr>
          <w:sz w:val="20"/>
          <w:szCs w:val="20"/>
          <w:color w:val="auto"/>
        </w:rPr>
      </w:pPr>
    </w:p>
    <w:p>
      <w:pPr>
        <w:ind w:left="60" w:right="79" w:hanging="10"/>
        <w:spacing w:after="0" w:line="267" w:lineRule="auto"/>
        <w:tabs>
          <w:tab w:leader="none" w:pos="345" w:val="left"/>
        </w:tabs>
        <w:numPr>
          <w:ilvl w:val="0"/>
          <w:numId w:val="6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and Derivatives and Hedging – Contracts in Entity’s Own Equity (Subtopic: 815-40): Accounting for Convertible Instruments and Contracts in an Entity’s Own Equity (“ASU 2020-06”). </w:t>
      </w:r>
      <w:r>
        <w:rPr>
          <w:rFonts w:ascii="Arial" w:cs="Arial" w:eastAsia="Arial" w:hAnsi="Arial"/>
          <w:sz w:val="17"/>
          <w:szCs w:val="17"/>
          <w:color w:val="auto"/>
        </w:rPr>
        <w:t>ASU No. 2020-06 simplifies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financial instruments with characteristics of liabilities and equity, including convertible instruments and contracts on an entity’s own equity. Key provisions include (i) the removal of separation models in ASC 470-20 for convertible instruments; (ii) expanded disclosures about the terms and features of convertible instruments; (iii) removed certain conditions for equity classification; and (iv) updated earnings per share calculation with respects to convertible instruments, share settlement presumption, down round features and the earnings per share denominator. ASU No. 2020-06 is effective for annual and interim reporting periods beginning after December 15, 2021, and the guidance is to be applied using the full or modified retrospective approach. Earlier adoption is permitted for annual and interim reporting periods beginning after December 15, 2020. The Company does not expect that the adoption of ASU No. 2020-06 new guidance will have a material impact on the Company’s financial statements.</w:t>
      </w:r>
    </w:p>
    <w:p>
      <w:pPr>
        <w:spacing w:after="0" w:line="186" w:lineRule="exact"/>
        <w:rPr>
          <w:sz w:val="20"/>
          <w:szCs w:val="20"/>
          <w:color w:val="auto"/>
        </w:rPr>
      </w:pPr>
    </w:p>
    <w:p>
      <w:pPr>
        <w:ind w:left="60" w:right="59" w:firstLine="324"/>
        <w:spacing w:after="0" w:line="273" w:lineRule="auto"/>
        <w:rPr>
          <w:sz w:val="20"/>
          <w:szCs w:val="20"/>
          <w:color w:val="auto"/>
        </w:rPr>
      </w:pPr>
      <w:r>
        <w:rPr>
          <w:rFonts w:ascii="Arial" w:cs="Arial" w:eastAsia="Arial" w:hAnsi="Arial"/>
          <w:sz w:val="17"/>
          <w:szCs w:val="17"/>
          <w:color w:val="auto"/>
        </w:rPr>
        <w:t>In December 2019, the FASB issued ASU No. 2019-12</w:t>
      </w:r>
      <w:r>
        <w:rPr>
          <w:rFonts w:ascii="Arial" w:cs="Arial" w:eastAsia="Arial" w:hAnsi="Arial"/>
          <w:sz w:val="17"/>
          <w:szCs w:val="17"/>
          <w:i w:val="1"/>
          <w:iCs w:val="1"/>
          <w:color w:val="auto"/>
        </w:rPr>
        <w:t>, Income Taxes (Topic 740)</w:t>
      </w:r>
      <w:r>
        <w:rPr>
          <w:rFonts w:ascii="Arial" w:cs="Arial" w:eastAsia="Arial" w:hAnsi="Arial"/>
          <w:sz w:val="17"/>
          <w:szCs w:val="17"/>
          <w:color w:val="auto"/>
        </w:rPr>
        <w:t xml:space="preserve"> which amends the existing guidance relating to the accounting for income taxes. ASU No. 2019-12 is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ASU No. 2019-12 is effective for fiscal years beginning after December 15, 2020. The Company does not expect that the adoption of ASU No. 2019-12 will have a material impact on the Company’s financial statements.</w:t>
      </w:r>
    </w:p>
    <w:p>
      <w:pPr>
        <w:spacing w:after="0" w:line="178" w:lineRule="exact"/>
        <w:rPr>
          <w:sz w:val="20"/>
          <w:szCs w:val="20"/>
          <w:color w:val="auto"/>
        </w:rPr>
      </w:pPr>
    </w:p>
    <w:p>
      <w:pPr>
        <w:jc w:val="center"/>
        <w:ind w:left="50" w:right="310"/>
        <w:spacing w:after="0" w:line="342"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350-40): Customer’s Accounting for Implementation Costs Incurred in a Cloud Computing Arrangement That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i w:val="1"/>
          <w:iCs w:val="1"/>
          <w:color w:val="auto"/>
        </w:rPr>
        <w:t>Is a Service Contract</w:t>
      </w:r>
      <w:r>
        <w:rPr>
          <w:rFonts w:ascii="Arial" w:cs="Arial" w:eastAsia="Arial" w:hAnsi="Arial"/>
          <w:sz w:val="18"/>
          <w:szCs w:val="18"/>
          <w:color w:val="auto"/>
        </w:rPr>
        <w:t>. We adopted this standard effective January 1, 2020 on a prospective basis. ASU No. 2018-15</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that certain implementation costs for cloud computing arrangements are capitalized and amortized over the term of associated hosted cloud computing arrangement service and that capitalized implementation costs are classified in prepaid expenses and other assets. ASO No. 2018-15 also provides classification guidance on these implementation costs as well as additional quantitative and qualitative disclosures. The adoption of ASU No. 2018-15 did not have an effect on the Company’s financial statements.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Financing Activities</w:t>
      </w:r>
    </w:p>
    <w:p>
      <w:pPr>
        <w:spacing w:after="0" w:line="229"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In May 2019, the Company entered into an Open Market Sale Agreement (the “Sale Agreement”) with Jefferies LLC (“Jefferies”) pursuant to which the Company could offer and sell shares of its common stock, par value $0.001 per share (the “Common Stock”), having an initial offering price no greater than $20.0 million (the “Shares”), from time to time, through an “at the market offering” program under which Jefferies will act as sales agent. The Company sold 66 shares under the Sale Agreement for proceeds of $387, net of issuance costs of $350. The Sale Agreement was terminated by the Company on September 22, 2019.</w:t>
      </w:r>
    </w:p>
    <w:p>
      <w:pPr>
        <w:spacing w:after="0" w:line="192"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In September 2019, the Company entered into an underwriting agreement with several underwriters in connection with the issuance and sale by the Company in a public offering of 2,303 shares of the Company’s common stock at a public offering price of $8.25 per share, less underwriting discounts and commissions, pursuant to an effective shelf registration statement on Form S-3 (Registration No. 333-230674) and a related prospectus supplement filed with the SEC (the “September 2019 Offering”). The September 2019 Offering closed on September 30, 2019. The Company received proceeds of approximately $17,423, net of issuance costs of $1,577 from the September 2019 Offering.</w:t>
      </w:r>
    </w:p>
    <w:p>
      <w:pPr>
        <w:spacing w:after="0" w:line="178"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7"/>
          <w:szCs w:val="17"/>
          <w:color w:val="auto"/>
        </w:rPr>
        <w:t>In February 2020, the Company sold in a registered offering 2,300 shares of its common stock at a public offering price of $32.00 per share. The Company received proceeds of $68,811, net of issuance costs of $4,789. The Company used $9,024 of the proceeds to purchase and cancel 300 shares of common stock from BioXcel.</w:t>
      </w:r>
    </w:p>
    <w:p>
      <w:pPr>
        <w:spacing w:after="0" w:line="165"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In July 2020, the Company sold in a registered offering 4,000 shares of its common stock at a public offering price of $50.00. The Company received proceeds of approximately $186,974, net of issuance costs of $13,026. Under the terms of the Underwriting Agreement entered into by the Company in connection with the July 2020 offering, certain stockholders of the Company granted the underwriters an option exercisable for thirty days to purchase up to an additional 600 shares of common stock at the public offering price less underwriting discounts and commissions, which was not exercised. The Company intends to use the net proceeds of the offering to fund ongoing clinical trials, commercialization preparation and for general corporate purposes.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Transactions with BioXcel</w:t>
      </w:r>
    </w:p>
    <w:p>
      <w:pPr>
        <w:spacing w:after="0" w:line="229"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The Company has entered into the Amended and Restated Asset Contribution Agreement, pursuant to which BioXcel agreed to contribute BioXcel’s rights, title and interest in BXCL501, BXCL701, BXCL502 and BXCL702, and all of the assets and liabilities associated in consideration for (i) 9,480 shares of our common stock, (ii) $1,000 upon completion of an initial public offering, (iii) $500 upon the later of the 12 month anniversary of an initial public offering and the first dosing of a patient in the bridging bioavailability/ bioequivalence study for the BXCL501 program, (iv) $500 upon the later of the 12 month anniversary of an initial public offering and the first dosing of a patient in the Phase 2 proof of concept open label monotherapy or combination trial with Keytruda for the BXCL701 program and (v) a one-time payment of $5,000 within 60 days after the achievement of $50,000 in cumulative net sales of any product or combination of products resulting from the development and commercialization of any one of the Candidates or a product derived therefrom. Upon the completion of the Company’s IPO in March 2018, $1,000 was charged to Research and Development costs in connection with (ii) above and was paid on April 5, 2018. The Company paid $500 to BioXcel in connection with (iii) above in April 2019. In July 2019, the Company completed the first dosing of a patient in the combination trial of BXCL701 with Keytruda, and as a result the Company paid $500 to BioXcel in connection with (iv) above in July 2019.</w:t>
      </w:r>
    </w:p>
    <w:p>
      <w:pPr>
        <w:spacing w:after="0" w:line="174" w:lineRule="exact"/>
        <w:rPr>
          <w:sz w:val="20"/>
          <w:szCs w:val="20"/>
          <w:color w:val="auto"/>
        </w:rPr>
      </w:pPr>
    </w:p>
    <w:p>
      <w:pPr>
        <w:ind w:left="60" w:right="419" w:firstLine="324"/>
        <w:spacing w:after="0" w:line="342" w:lineRule="auto"/>
        <w:rPr>
          <w:sz w:val="20"/>
          <w:szCs w:val="20"/>
          <w:color w:val="auto"/>
        </w:rPr>
      </w:pPr>
      <w:r>
        <w:rPr>
          <w:rFonts w:ascii="Arial" w:cs="Arial" w:eastAsia="Arial" w:hAnsi="Arial"/>
          <w:sz w:val="16"/>
          <w:szCs w:val="16"/>
          <w:color w:val="auto"/>
        </w:rPr>
        <w:t>The Company entered into a Separation and Shared Services Agreement with BioXcel that took effect on June 30, 2017, as amended and restated, or the Services Agreement, pursuit to which services provided by BioXcel through its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311" w:lineRule="auto"/>
        <w:rPr>
          <w:sz w:val="20"/>
          <w:szCs w:val="20"/>
          <w:color w:val="auto"/>
        </w:rPr>
      </w:pPr>
      <w:r>
        <w:rPr>
          <w:rFonts w:ascii="Arial" w:cs="Arial" w:eastAsia="Arial" w:hAnsi="Arial"/>
          <w:sz w:val="16"/>
          <w:szCs w:val="16"/>
          <w:color w:val="auto"/>
        </w:rPr>
        <w:t>subsidiaries in India and the United States will continue indefinitely, as agreed upon by the parties. These services are primarily for drug discovery, chemical, manufacturing and controls cost, and administrative support. Service charges recorded under this agreement were $1,262 and $862 for the years ended December 31, 2020 and 2019, respectively.</w:t>
      </w:r>
    </w:p>
    <w:p>
      <w:pPr>
        <w:spacing w:after="0" w:line="149"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Under the Services Agreement, the Company has an option, exercisable until March 12, 2023, to enter into a collaborative services agreement with BioXcel pursuant to which BioXcel shall perform product identification and related services for us utilizing EvolverAI. The parties are obligated to negotiate the collaborative services agreement in good faith and to incorporate reasonable market-based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at least September 30, 2024.</w:t>
      </w:r>
    </w:p>
    <w:p>
      <w:pPr>
        <w:spacing w:after="0" w:line="181" w:lineRule="exact"/>
        <w:rPr>
          <w:sz w:val="20"/>
          <w:szCs w:val="20"/>
          <w:color w:val="auto"/>
        </w:rPr>
      </w:pPr>
    </w:p>
    <w:p>
      <w:pPr>
        <w:ind w:left="60" w:right="419" w:firstLine="324"/>
        <w:spacing w:after="0" w:line="277" w:lineRule="auto"/>
        <w:rPr>
          <w:sz w:val="20"/>
          <w:szCs w:val="20"/>
          <w:color w:val="auto"/>
        </w:rPr>
      </w:pPr>
      <w:r>
        <w:rPr>
          <w:rFonts w:ascii="Arial" w:cs="Arial" w:eastAsia="Arial" w:hAnsi="Arial"/>
          <w:sz w:val="18"/>
          <w:szCs w:val="18"/>
          <w:color w:val="auto"/>
        </w:rPr>
        <w:t>The Company paid $9,024 in February 2020 for the purchase and subsequent cancellation of 300 shares owned by BioXcel.</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Note 6. Earnings (Loss) Per Share</w:t>
      </w:r>
    </w:p>
    <w:p>
      <w:pPr>
        <w:spacing w:after="0" w:line="229"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Basic earnings (loss) per share (“EPS”) is calculated in accordance with ASC 260, “Earnings Per Share,” by dividing net income or loss attributable to common stockholders by the weighted average common stock outstanding. Diluted EPS is calculated by adjusting weighted average common shares outstanding for the dilutive effect of common stock options and warrants.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 (in thousands, except per share amounts):</w:t>
      </w:r>
    </w:p>
    <w:p>
      <w:pPr>
        <w:spacing w:after="0" w:line="18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5715</wp:posOffset>
            </wp:positionV>
            <wp:extent cx="15005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ind w:left="6940"/>
        <w:spacing w:after="0"/>
        <w:tabs>
          <w:tab w:leader="none" w:pos="82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(numerator)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(82,169)</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(32,968)</w:t>
            </w:r>
          </w:p>
        </w:tc>
        <w:tc>
          <w:tcPr>
            <w:tcW w:w="20" w:type="dxa"/>
            <w:vAlign w:val="bottom"/>
          </w:tcPr>
          <w:p>
            <w:pPr>
              <w:spacing w:after="0"/>
              <w:rPr>
                <w:sz w:val="18"/>
                <w:szCs w:val="18"/>
                <w:color w:val="auto"/>
              </w:rPr>
            </w:pPr>
          </w:p>
        </w:tc>
      </w:tr>
      <w:tr>
        <w:trPr>
          <w:trHeight w:val="216"/>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Weighted-average share, in thousands (denominator)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21,683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16,289</w:t>
            </w:r>
          </w:p>
        </w:tc>
        <w:tc>
          <w:tcPr>
            <w:tcW w:w="2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r>
      <w:tr>
        <w:trPr>
          <w:trHeight w:val="662"/>
        </w:trPr>
        <w:tc>
          <w:tcPr>
            <w:tcW w:w="6540" w:type="dxa"/>
            <w:vAlign w:val="bottom"/>
            <w:gridSpan w:val="2"/>
          </w:tcPr>
          <w:p>
            <w:pPr>
              <w:ind w:left="20"/>
              <w:spacing w:after="0"/>
              <w:rPr>
                <w:sz w:val="20"/>
                <w:szCs w:val="20"/>
                <w:color w:val="auto"/>
              </w:rPr>
            </w:pPr>
            <w:r>
              <w:rPr>
                <w:rFonts w:ascii="Arial" w:cs="Arial" w:eastAsia="Arial" w:hAnsi="Arial"/>
                <w:sz w:val="18"/>
                <w:szCs w:val="18"/>
                <w:b w:val="1"/>
                <w:bCs w:val="1"/>
                <w:color w:val="auto"/>
              </w:rPr>
              <w:t>Note 7. Property and Equipment, net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rPr>
              <w:t>A summary of property and equipment is as follows: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5"/>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Computers and related equipment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Furniture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Work in Process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356</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(362)</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(174)</w:t>
            </w:r>
          </w:p>
        </w:tc>
      </w:tr>
      <w:tr>
        <w:trPr>
          <w:trHeight w:val="209"/>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1,273</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expense was $188 and $155 for the years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Accrued Expenses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expenses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Accrued taxes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Capital Structure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The Company is authorized to issue up to 10,000 preferred shares with a par value of $0.001 per share of which no shares were issued and outstanding as of December 31, 2020 and 2019.</w:t>
      </w:r>
    </w:p>
    <w:p>
      <w:pPr>
        <w:spacing w:after="0" w:line="170"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The Company is authorized to issue up to 50,000 shares of common stock with a par value of $0.001 per share. The Company had 24,417 and 18,087 shares of common stock outstanding as of December 31, 2020 and December 31, 2019,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Each share of common stock has the right to one vote. The holders of common stock are entitled to dividends when funds are legally available and when declared by the board of directors.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Stock-Based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2017 Equity Incentive Plan</w:t>
      </w:r>
    </w:p>
    <w:p>
      <w:pPr>
        <w:spacing w:after="0" w:line="229" w:lineRule="exact"/>
        <w:rPr>
          <w:sz w:val="20"/>
          <w:szCs w:val="20"/>
          <w:color w:val="auto"/>
        </w:rPr>
      </w:pPr>
    </w:p>
    <w:p>
      <w:pPr>
        <w:ind w:left="60" w:right="219" w:firstLine="324"/>
        <w:spacing w:after="0" w:line="311" w:lineRule="auto"/>
        <w:rPr>
          <w:sz w:val="20"/>
          <w:szCs w:val="20"/>
          <w:color w:val="auto"/>
        </w:rPr>
      </w:pPr>
      <w:r>
        <w:rPr>
          <w:rFonts w:ascii="Arial" w:cs="Arial" w:eastAsia="Arial" w:hAnsi="Arial"/>
          <w:sz w:val="16"/>
          <w:szCs w:val="16"/>
          <w:color w:val="auto"/>
        </w:rPr>
        <w:t>The Company’s 2017 Equity Incentive Plan (the “2017 Plan”) became effective in August 2017. Following the effective date of the Company's 2020 Plan (as defined below), the Company ceased granting awards under the 2017 Plan, however the terms and conditions of the 2017 Plan continue to govern any outstanding awards granted thereunder.</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Incentive Award Plan</w:t>
      </w:r>
    </w:p>
    <w:p>
      <w:pPr>
        <w:spacing w:after="0" w:line="229"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The Company’s 2020 Incentive Award Plan (the “2020 Plan”) was approved and became effective at the Company’s 2020 annual meeting of Shareholders on May 20, 2020 and unless, earlier terminated by the Board of Directors, will remain in effect until March 26, 2030. The 2020 Plan originally authorized for issuance the sum of (i) 911 shares of the Company’s common stock authorized for issuance and (ii) 233 shares of the Company’s common stock, which represents the number of shares that remained available for issuance under the 2017 Plan as of immediately prior to the approval of the 2020 Plan by the Company’s shareholders. Any shares of Common Stock which, as of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is determined by the Board of Directors. On January 1, 2021, the shares available for issuance under the 2020 Plan increased by 977 shares.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7" w:name="page118"/>
    <w:bookmarkEnd w:id="11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Options granted under the 2020 Plan have a term of ten years with the vesting schedule determined by the Board of Directors, which is generally four years.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2020, there were 158 shares available to be granted under the 2020 Plan.</w:t>
      </w:r>
    </w:p>
    <w:p>
      <w:pPr>
        <w:spacing w:after="0" w:line="225"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A summary of the status of the Company’s stock option activity for the year ended December 31, 2020 is presented below (in thousands, except per share amounts):</w:t>
      </w:r>
    </w:p>
    <w:p>
      <w:pPr>
        <w:spacing w:after="0" w:line="31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center"/>
              <w:ind w:right="1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3"/>
              </w:rPr>
              <w:t>Price per Share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1,149</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9"/>
        </w:trPr>
        <w:tc>
          <w:tcPr>
            <w:tcW w:w="5820" w:type="dxa"/>
            <w:vAlign w:val="bottom"/>
            <w:gridSpan w:val="2"/>
          </w:tcPr>
          <w:p>
            <w:pPr>
              <w:spacing w:after="0"/>
              <w:rPr>
                <w:sz w:val="20"/>
                <w:szCs w:val="20"/>
                <w:color w:val="auto"/>
              </w:rPr>
            </w:pPr>
            <w:r>
              <w:rPr>
                <w:rFonts w:ascii="Arial" w:cs="Arial" w:eastAsia="Arial" w:hAnsi="Arial"/>
                <w:sz w:val="18"/>
                <w:szCs w:val="18"/>
                <w:color w:val="auto"/>
              </w:rPr>
              <w:t>Outstanding as of December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3,798</w:t>
            </w:r>
          </w:p>
        </w:tc>
        <w:tc>
          <w:tcPr>
            <w:tcW w:w="2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Options vested and exercisable as of December 31, 2020</w:t>
            </w:r>
          </w:p>
        </w:tc>
        <w:tc>
          <w:tcPr>
            <w:tcW w:w="940" w:type="dxa"/>
            <w:vAlign w:val="bottom"/>
          </w:tcPr>
          <w:p>
            <w:pPr>
              <w:jc w:val="right"/>
              <w:spacing w:after="0"/>
              <w:rPr>
                <w:sz w:val="20"/>
                <w:szCs w:val="20"/>
                <w:color w:val="auto"/>
              </w:rPr>
            </w:pPr>
            <w:r>
              <w:rPr>
                <w:rFonts w:ascii="Arial" w:cs="Arial" w:eastAsia="Arial" w:hAnsi="Arial"/>
                <w:sz w:val="18"/>
                <w:szCs w:val="18"/>
                <w:color w:val="auto"/>
              </w:rPr>
              <w:t>2,275</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399" w:firstLine="324"/>
        <w:spacing w:after="0" w:line="263" w:lineRule="auto"/>
        <w:rPr>
          <w:sz w:val="20"/>
          <w:szCs w:val="20"/>
          <w:color w:val="auto"/>
        </w:rPr>
      </w:pPr>
      <w:r>
        <w:rPr>
          <w:rFonts w:ascii="Arial" w:cs="Arial" w:eastAsia="Arial" w:hAnsi="Arial"/>
          <w:sz w:val="18"/>
          <w:szCs w:val="18"/>
          <w:color w:val="auto"/>
        </w:rPr>
        <w:t>As of December 31, 2020, the intrinsic value of options outstanding was $117,298. The intrinsic value for stock options is calculated based on the difference between the exercise prices of the underlying awards and the quoted stock price of the Company’s common stock as of the reporting date.</w:t>
      </w:r>
    </w:p>
    <w:p>
      <w:pPr>
        <w:spacing w:after="0" w:line="184"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The total intrinsic value of stock options exercised for the years ended December 31, 2020 and 2019 was $11,629 and $565, respectively.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weighted average grant date fair value of options granted in 2020 and 2019 was $32.71 and $9.68, respectively.</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 average grant date fair value of options vested at December 31, 2020 was $2.61.</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 average remaining contractual life is 6.9 years for options exercisable.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The fair value of options granted during the years ended December 31, 2020 and 2019 was estimated using the Black-Scholes option-pricing model with the following assumptions.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gridSpan w:val="2"/>
          </w:tcPr>
          <w:p>
            <w:pPr>
              <w:jc w:val="center"/>
              <w:ind w:right="570"/>
              <w:spacing w:after="0"/>
              <w:rPr>
                <w:sz w:val="20"/>
                <w:szCs w:val="20"/>
                <w:color w:val="auto"/>
              </w:rPr>
            </w:pPr>
            <w:r>
              <w:rPr>
                <w:rFonts w:ascii="Arial" w:cs="Arial" w:eastAsia="Arial" w:hAnsi="Arial"/>
                <w:sz w:val="14"/>
                <w:szCs w:val="14"/>
                <w:b w:val="1"/>
                <w:bCs w:val="1"/>
                <w:color w:val="auto"/>
                <w:w w:val="96"/>
              </w:rPr>
              <w:t>For the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tcPr>
          <w:p>
            <w:pPr>
              <w:jc w:val="center"/>
              <w:ind w:right="590"/>
              <w:spacing w:after="0"/>
              <w:rPr>
                <w:sz w:val="20"/>
                <w:szCs w:val="20"/>
                <w:color w:val="auto"/>
              </w:rPr>
            </w:pPr>
            <w:r>
              <w:rPr>
                <w:rFonts w:ascii="Arial" w:cs="Arial" w:eastAsia="Arial" w:hAnsi="Arial"/>
                <w:sz w:val="14"/>
                <w:szCs w:val="14"/>
                <w:b w:val="1"/>
                <w:bCs w:val="1"/>
                <w:color w:val="auto"/>
                <w:w w:val="96"/>
              </w:rPr>
              <w:t>For the</w:t>
            </w:r>
          </w:p>
        </w:tc>
      </w:tr>
      <w:tr>
        <w:trPr>
          <w:trHeight w:val="148"/>
        </w:trPr>
        <w:tc>
          <w:tcPr>
            <w:tcW w:w="512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71"/>
        </w:trPr>
        <w:tc>
          <w:tcPr>
            <w:tcW w:w="512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2019</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2"/>
              </w:rPr>
              <w:t>5.50 years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6.25 years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6"/>
              </w:rPr>
              <w:t>5.50 years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6.25 years</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40" w:type="dxa"/>
            <w:vAlign w:val="bottom"/>
          </w:tcPr>
          <w:p>
            <w:pPr>
              <w:jc w:val="right"/>
              <w:spacing w:after="0"/>
              <w:rPr>
                <w:sz w:val="20"/>
                <w:szCs w:val="20"/>
                <w:color w:val="auto"/>
              </w:rPr>
            </w:pPr>
            <w:r>
              <w:rPr>
                <w:rFonts w:ascii="Arial" w:cs="Arial" w:eastAsia="Arial" w:hAnsi="Arial"/>
                <w:sz w:val="18"/>
                <w:szCs w:val="18"/>
                <w:color w:val="auto"/>
                <w:w w:val="87"/>
              </w:rPr>
              <w:t>79.02 %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-86.71 %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78.53 %</w:t>
            </w: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- 79.42 %</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0.33 %</w:t>
            </w:r>
          </w:p>
        </w:tc>
        <w:tc>
          <w:tcPr>
            <w:tcW w:w="34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2.34 %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36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2.50 %</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Expected dividend</w:t>
            </w:r>
          </w:p>
        </w:tc>
        <w:tc>
          <w:tcPr>
            <w:tcW w:w="640" w:type="dxa"/>
            <w:vAlign w:val="bottom"/>
          </w:tcPr>
          <w:p>
            <w:pPr>
              <w:jc w:val="right"/>
              <w:spacing w:after="0"/>
              <w:rPr>
                <w:sz w:val="20"/>
                <w:szCs w:val="20"/>
                <w:color w:val="auto"/>
              </w:rPr>
            </w:pPr>
            <w:r>
              <w:rPr>
                <w:rFonts w:ascii="Arial" w:cs="Arial" w:eastAsia="Arial" w:hAnsi="Arial"/>
                <w:sz w:val="18"/>
                <w:szCs w:val="18"/>
                <w:color w:val="auto"/>
              </w:rPr>
              <w:t>0.0 %</w:t>
            </w:r>
          </w:p>
        </w:tc>
        <w:tc>
          <w:tcPr>
            <w:tcW w:w="340" w:type="dxa"/>
            <w:vAlign w:val="bottom"/>
          </w:tcPr>
          <w:p>
            <w:pPr>
              <w:jc w:val="center"/>
              <w:ind w:left="75"/>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0.0 %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360" w:type="dxa"/>
            <w:vAlign w:val="bottom"/>
          </w:tcPr>
          <w:p>
            <w:pPr>
              <w:jc w:val="center"/>
              <w:ind w:left="95"/>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0.0 %</w:t>
            </w:r>
          </w:p>
        </w:tc>
      </w:tr>
    </w:tbl>
    <w:p>
      <w:pPr>
        <w:spacing w:after="0" w:line="187"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Prior to the Company’s IPO, it did not have a history of market prices of its common stock and, as such, volatility is estimated using historical volatilities of similar public companies. The expected term of the employee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dividend yield is 0% as the Company has no history of paying dividends nor does management expect to pay dividends over the contractual terms of these options. The risk-free interest rates are based on the United States Treasury yield curve in effect at the time of grant, with maturities approximating the expected term of the stock options.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Company recognized stock-based compensation expense of $14,590 and $3,070 for the years ended December 31, 2020 and 2019, respectively.</w:t>
      </w:r>
    </w:p>
    <w:p>
      <w:pPr>
        <w:spacing w:after="0" w:line="170" w:lineRule="exact"/>
        <w:rPr>
          <w:sz w:val="20"/>
          <w:szCs w:val="20"/>
          <w:color w:val="auto"/>
        </w:rPr>
      </w:pPr>
    </w:p>
    <w:p>
      <w:pPr>
        <w:jc w:val="both"/>
        <w:ind w:left="60" w:right="359" w:firstLine="324"/>
        <w:spacing w:after="0" w:line="263" w:lineRule="auto"/>
        <w:rPr>
          <w:sz w:val="20"/>
          <w:szCs w:val="20"/>
          <w:color w:val="auto"/>
        </w:rPr>
      </w:pPr>
      <w:r>
        <w:rPr>
          <w:rFonts w:ascii="Arial" w:cs="Arial" w:eastAsia="Arial" w:hAnsi="Arial"/>
          <w:sz w:val="18"/>
          <w:szCs w:val="18"/>
          <w:color w:val="auto"/>
        </w:rPr>
        <w:t>Unrecognized compensation expense related to unvested awards as of December 31, 2020 was $24,599 and will be recognized over the remaining vesting periods of the underlying awards. The weighted-average period over which such compensation is expected to be recognized is 1.7 years.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BioXcel Charges</w:t>
      </w:r>
    </w:p>
    <w:p>
      <w:pPr>
        <w:spacing w:after="0" w:line="229" w:lineRule="exact"/>
        <w:rPr>
          <w:sz w:val="20"/>
          <w:szCs w:val="20"/>
          <w:color w:val="auto"/>
        </w:rPr>
      </w:pPr>
    </w:p>
    <w:p>
      <w:pPr>
        <w:ind w:left="60" w:right="159" w:firstLine="324"/>
        <w:spacing w:after="0" w:line="272" w:lineRule="auto"/>
        <w:rPr>
          <w:sz w:val="20"/>
          <w:szCs w:val="20"/>
          <w:color w:val="auto"/>
        </w:rPr>
      </w:pPr>
      <w:r>
        <w:rPr>
          <w:rFonts w:ascii="Arial" w:cs="Arial" w:eastAsia="Arial" w:hAnsi="Arial"/>
          <w:sz w:val="17"/>
          <w:szCs w:val="17"/>
          <w:color w:val="auto"/>
        </w:rPr>
        <w:t>BioXcel has granted stock options to Company employees under its own Equity Incentive Plan (“BioXcel Plan”). Stock-based compensation expense from the BioXcel Plan is allocated to the Company over the period over which those stock option awards vest and are based the on the percentage of time spent on Company activities compared to BioXcel activities. The BioXcel stock option awards are valued at fair value on the date of grant and that fair value is recognized over the requisite service period. The estimated fair value of these BioXcel stock option awards was determined using the Black Scholes option pricing model on the date of grant. Significant judgment and estimates were used to estimate the fair value of these awards, as they are not publicly traded.</w:t>
      </w:r>
    </w:p>
    <w:p>
      <w:pPr>
        <w:spacing w:after="0" w:line="177" w:lineRule="exact"/>
        <w:rPr>
          <w:sz w:val="20"/>
          <w:szCs w:val="20"/>
          <w:color w:val="auto"/>
        </w:rPr>
      </w:pPr>
    </w:p>
    <w:p>
      <w:pPr>
        <w:jc w:val="both"/>
        <w:ind w:left="60" w:right="419" w:firstLine="324"/>
        <w:spacing w:after="0" w:line="263" w:lineRule="auto"/>
        <w:rPr>
          <w:sz w:val="20"/>
          <w:szCs w:val="20"/>
          <w:color w:val="auto"/>
        </w:rPr>
      </w:pPr>
      <w:r>
        <w:rPr>
          <w:rFonts w:ascii="Arial" w:cs="Arial" w:eastAsia="Arial" w:hAnsi="Arial"/>
          <w:sz w:val="18"/>
          <w:szCs w:val="18"/>
          <w:color w:val="auto"/>
        </w:rPr>
        <w:t>Stock-based compensation expense, net of forfeitures, recognized by the Company in its statements of operations related to BioXcel equity awards totaled approximately $21 and $72 for the years ended December 31, 2020 and 2019, respectively.</w:t>
      </w:r>
    </w:p>
    <w:p>
      <w:pPr>
        <w:spacing w:after="0" w:line="184" w:lineRule="exact"/>
        <w:rPr>
          <w:sz w:val="20"/>
          <w:szCs w:val="20"/>
          <w:color w:val="auto"/>
        </w:rPr>
      </w:pPr>
    </w:p>
    <w:p>
      <w:pPr>
        <w:ind w:left="60" w:right="319" w:firstLine="324"/>
        <w:spacing w:after="0" w:line="301" w:lineRule="auto"/>
        <w:rPr>
          <w:sz w:val="20"/>
          <w:szCs w:val="20"/>
          <w:color w:val="auto"/>
        </w:rPr>
      </w:pPr>
      <w:r>
        <w:rPr>
          <w:rFonts w:ascii="Arial" w:cs="Arial" w:eastAsia="Arial" w:hAnsi="Arial"/>
          <w:sz w:val="16"/>
          <w:szCs w:val="16"/>
          <w:color w:val="auto"/>
        </w:rPr>
        <w:t>Total stock-based compensation charges were approximately $14,611 and $3,142 for the years ended December 31, 2020 and 2019, respectively. The Company charged $6,020 and $8,591 to research and development and general and administrative expense for the year ended December 31, 2020, respectively. The Company charged $1,791 and 1,351 to research and development and general and administrative expense for the year ended December 31, 2019, respectively.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Employee Stock Purchase Plan</w:t>
      </w:r>
    </w:p>
    <w:p>
      <w:pPr>
        <w:spacing w:after="0" w:line="229"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6"/>
          <w:szCs w:val="16"/>
          <w:color w:val="auto"/>
        </w:rPr>
        <w:t>The Company’s 2020 Employee Stock Purchase Plan (the “ESPP”) was also approved and became effective at the Company’s 2020 annual meeting of Shareholders on May 20, 2020. The ESPP is designed to assist eligible employees of the Company with the opportunity to purchase the Company’s common stock at a discount through accumulated payroll deductions during successive offering periods. The aggregate number of Shares that may be issued pursuant to rights granted under the ESPP is 100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The number of shares that may be issued or transferred pursuant to rights granted under the component of the ESPP that is intended to qualify for favorable U.S. federal tax treatment under Section 423 of the Internal Revenue Code (the “Section 423 Component”) shall not exceed 500 shares. The purchase price will be determined by the administrator of the ESPP and, for purposes of the Section 423 Component, shall not be less than 85% of the fair market value of a share on the first trading day or on the last trading day of the applicable offering period, whichever is lower. On January 1, 2021, the shares available for issuance under the 2020 ESPP increased by 244 shares. To date, no shares have been sold under the ESPP.</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Leases</w:t>
      </w:r>
    </w:p>
    <w:p>
      <w:pPr>
        <w:spacing w:after="0" w:line="229" w:lineRule="exact"/>
        <w:rPr>
          <w:sz w:val="20"/>
          <w:szCs w:val="20"/>
          <w:color w:val="auto"/>
        </w:rPr>
      </w:pPr>
    </w:p>
    <w:p>
      <w:pPr>
        <w:ind w:left="60" w:right="59" w:firstLine="324"/>
        <w:spacing w:after="0" w:line="235" w:lineRule="auto"/>
        <w:rPr>
          <w:sz w:val="20"/>
          <w:szCs w:val="20"/>
          <w:color w:val="auto"/>
        </w:rPr>
      </w:pPr>
      <w:r>
        <w:rPr>
          <w:rFonts w:ascii="Arial" w:cs="Arial" w:eastAsia="Arial" w:hAnsi="Arial"/>
          <w:sz w:val="18"/>
          <w:szCs w:val="18"/>
          <w:color w:val="auto"/>
        </w:rPr>
        <w:t>In August 2018, the Company entered into an agreement to lease approximately 11,040 square feet of space on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the building located at 555 Long Wharf Drive, New Haven, Connecticut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which was effective February 22, 2019.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expires in February 2026.</w:t>
      </w:r>
    </w:p>
    <w:p>
      <w:pPr>
        <w:spacing w:after="0" w:line="76" w:lineRule="exact"/>
        <w:rPr>
          <w:sz w:val="20"/>
          <w:szCs w:val="20"/>
          <w:color w:val="auto"/>
        </w:rPr>
      </w:pPr>
    </w:p>
    <w:p>
      <w:pPr>
        <w:ind w:left="60" w:right="459" w:firstLine="324"/>
        <w:spacing w:after="0" w:line="238" w:lineRule="auto"/>
        <w:rPr>
          <w:sz w:val="20"/>
          <w:szCs w:val="20"/>
          <w:color w:val="auto"/>
        </w:rPr>
      </w:pPr>
      <w:r>
        <w:rPr>
          <w:rFonts w:ascii="Arial" w:cs="Arial" w:eastAsia="Arial" w:hAnsi="Arial"/>
          <w:sz w:val="16"/>
          <w:szCs w:val="16"/>
          <w:color w:val="auto"/>
        </w:rPr>
        <w:t>In August 2020, the Company entered into an amendment to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Lease wherein the Company leased an additional 7,245 square feet of space on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of the building located at 555 Long Wharf Drive, New Haven, Connecticut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Lease Amendment”).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Lease Amendment expires in February 2026.</w:t>
      </w:r>
    </w:p>
    <w:p>
      <w:pPr>
        <w:sectPr>
          <w:pgSz w:w="11900" w:h="16838" w:orient="portrait"/>
          <w:cols w:equalWidth="0" w:num="1">
            <w:col w:w="9019"/>
          </w:cols>
          <w:pgMar w:left="1440" w:top="517" w:right="1440"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future minimum annual lease payments under these operating leases as of December 31, 2020 are as follows:</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Amount</w:t>
            </w: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09"/>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r>
      <w:tr>
        <w:trPr>
          <w:trHeight w:val="216"/>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09"/>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r>
      <w:tr>
        <w:trPr>
          <w:trHeight w:val="216"/>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 of lease liability</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r>
      <w:tr>
        <w:trPr>
          <w:trHeight w:val="209"/>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operating lease liability</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r>
      <w:tr>
        <w:trPr>
          <w:trHeight w:val="20"/>
        </w:trPr>
        <w:tc>
          <w:tcPr>
            <w:tcW w:w="7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The current portion of the Company’s operating lease liability of $237 as of December 31, 2020 is included in other current liabilities on the balance sheet.</w:t>
      </w:r>
    </w:p>
    <w:p>
      <w:pPr>
        <w:spacing w:after="0" w:line="170"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The Company recorded lease expense related to its operating lease right-of-use asset of $345 and $155 for the years ended December 31, 2020 and 2019, respectively.</w:t>
      </w:r>
    </w:p>
    <w:p>
      <w:pPr>
        <w:spacing w:after="0" w:line="170"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The Company has an option to renew the lease for one additional five-year term at 95% of the then-prevailing market rates but not less than the rental rate at the end of the initial lease term.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ind w:left="60" w:right="499" w:firstLine="324"/>
        <w:spacing w:after="0" w:line="313" w:lineRule="auto"/>
        <w:rPr>
          <w:sz w:val="20"/>
          <w:szCs w:val="20"/>
          <w:color w:val="auto"/>
        </w:rPr>
      </w:pPr>
      <w:r>
        <w:rPr>
          <w:rFonts w:ascii="Arial" w:cs="Arial" w:eastAsia="Arial" w:hAnsi="Arial"/>
          <w:sz w:val="16"/>
          <w:szCs w:val="16"/>
          <w:color w:val="auto"/>
        </w:rPr>
        <w:t>From time to time, in the ordinary course of business, the Company may be subject to litigation and regulatory examinations as well as information gathering requests, inquiries and/or investigations. The Company is not currently subject to any matters where it believes there is a reasonable possibility that a material loss may be incurred. As of December 31, 2020, there were no matters which would have a material impact on the Company’s financial results.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There is no provision for income taxes because the Company has historically incurred operating losses and maintains a full valuation allowance against its net deferred tax assets. The reported amount of income tax expense for the years differs from the amount that would result from applying domestic federal statutory tax rates to pretax losses primarily because of changes in valuation allowance.</w:t>
      </w:r>
    </w:p>
    <w:p>
      <w:pPr>
        <w:spacing w:after="0" w:line="187" w:lineRule="exact"/>
        <w:rPr>
          <w:sz w:val="20"/>
          <w:szCs w:val="20"/>
          <w:color w:val="auto"/>
        </w:rPr>
      </w:pPr>
    </w:p>
    <w:p>
      <w:pPr>
        <w:jc w:val="both"/>
        <w:ind w:left="60" w:right="219" w:firstLine="324"/>
        <w:spacing w:after="0" w:line="259" w:lineRule="auto"/>
        <w:rPr>
          <w:sz w:val="20"/>
          <w:szCs w:val="20"/>
          <w:color w:val="auto"/>
        </w:rPr>
      </w:pPr>
      <w:r>
        <w:rPr>
          <w:rFonts w:ascii="Arial" w:cs="Arial" w:eastAsia="Arial" w:hAnsi="Arial"/>
          <w:sz w:val="18"/>
          <w:szCs w:val="18"/>
          <w:color w:val="auto"/>
        </w:rPr>
        <w:t>Pursuant to incorporation of the Company as a C corporation on March 29, 2017, BioXcel became the sole owner of the Company, and contributed certain assets to the Company in a tax free transaction. From the date of incorporation, the Company is a standalone C corporation subject to corporate income tax and the deferred taxes of the Company have been calculated accordingly.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0" w:name="page121"/>
    <w:bookmarkEnd w:id="12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color w:val="auto"/>
        </w:rPr>
        <w:t>The significant components of the Company’s net deferred tax assets at December 31, 2020 and 2019 are shown below. In determining the realizability of the Company’s net deferred tax asset, the Company considered numerous factors, including historical profitability, estimated future taxable income, and the industry in which it operates. Based on this information the Company has provided a valuation allowance for the full amount of its net deferred tax asset because the Company has determined that it is more likely than not that it will not be realized.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r>
      <w:tr>
        <w:trPr>
          <w:trHeight w:val="20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net operating losses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State net operating losses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972</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Federal and state tax credits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1,254</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research and development costs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Accrued expense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Lease Accounting - ROU</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Accounting - Liability</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09"/>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41,721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15,252</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(41,721)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(15,252)</w:t>
            </w:r>
          </w:p>
        </w:tc>
      </w:tr>
      <w:tr>
        <w:trPr>
          <w:trHeight w:val="210"/>
        </w:trPr>
        <w:tc>
          <w:tcPr>
            <w:tcW w:w="6940" w:type="dxa"/>
            <w:vAlign w:val="bottom"/>
          </w:tcPr>
          <w:p>
            <w:pPr>
              <w:ind w:left="120"/>
              <w:spacing w:after="0"/>
              <w:rPr>
                <w:sz w:val="20"/>
                <w:szCs w:val="20"/>
                <w:color w:val="auto"/>
              </w:rPr>
            </w:pPr>
            <w:r>
              <w:rPr>
                <w:rFonts w:ascii="Arial" w:cs="Arial" w:eastAsia="Arial" w:hAnsi="Arial"/>
                <w:sz w:val="18"/>
                <w:szCs w:val="18"/>
                <w:color w:val="auto"/>
              </w:rPr>
              <w:t>Net deferred tax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A reconciliation between the Company’s effective tax rate and the federal statutory rate for the years ended December 31, 2020 and 2019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16"/>
        </w:trPr>
        <w:tc>
          <w:tcPr>
            <w:tcW w:w="692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0.9 %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state credits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16"/>
        </w:trPr>
        <w:tc>
          <w:tcPr>
            <w:tcW w:w="6920" w:type="dxa"/>
            <w:vAlign w:val="bottom"/>
          </w:tcPr>
          <w:p>
            <w:pPr>
              <w:ind w:left="20"/>
              <w:spacing w:after="0"/>
              <w:rPr>
                <w:sz w:val="20"/>
                <w:szCs w:val="20"/>
                <w:color w:val="auto"/>
              </w:rPr>
            </w:pPr>
            <w:r>
              <w:rPr>
                <w:rFonts w:ascii="Arial" w:cs="Arial" w:eastAsia="Arial" w:hAnsi="Arial"/>
                <w:sz w:val="18"/>
                <w:szCs w:val="18"/>
                <w:color w:val="auto"/>
              </w:rPr>
              <w:t>State taxes</w:t>
            </w:r>
          </w:p>
        </w:tc>
        <w:tc>
          <w:tcPr>
            <w:tcW w:w="900" w:type="dxa"/>
            <w:vAlign w:val="bottom"/>
          </w:tcPr>
          <w:p>
            <w:pPr>
              <w:jc w:val="right"/>
              <w:spacing w:after="0"/>
              <w:rPr>
                <w:sz w:val="20"/>
                <w:szCs w:val="20"/>
                <w:color w:val="auto"/>
              </w:rPr>
            </w:pPr>
            <w:r>
              <w:rPr>
                <w:rFonts w:ascii="Arial" w:cs="Arial" w:eastAsia="Arial" w:hAnsi="Arial"/>
                <w:sz w:val="18"/>
                <w:szCs w:val="18"/>
                <w:color w:val="auto"/>
              </w:rPr>
              <w:t>6.8 %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09"/>
        </w:trPr>
        <w:tc>
          <w:tcPr>
            <w:tcW w:w="69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0"/>
        </w:trPr>
        <w:tc>
          <w:tcPr>
            <w:tcW w:w="6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firstLine="324"/>
        <w:spacing w:after="0" w:line="293" w:lineRule="auto"/>
        <w:rPr>
          <w:sz w:val="20"/>
          <w:szCs w:val="20"/>
          <w:color w:val="auto"/>
        </w:rPr>
      </w:pPr>
      <w:r>
        <w:rPr>
          <w:rFonts w:ascii="Arial" w:cs="Arial" w:eastAsia="Arial" w:hAnsi="Arial"/>
          <w:sz w:val="16"/>
          <w:szCs w:val="16"/>
          <w:color w:val="auto"/>
        </w:rPr>
        <w:t>At December 31, 2020, the Company had approximately $40,700 of gross federal and $40,700 of gross state net operating loss carry-forwards. If not utilized, the federal and state net operating loss carry-forwards will begin to expire in 2037. The federal net operating loss of 38,100 incurred after December 31, 2017 will be carried forward indefinitely. The utilization of such net operating loss carry-forwards and realization of tax benefits in future years depends predominantly upon having taxable income. The Company also has approximately $4,324 of federal research and development credits which will begin to expire in 2037 if not utilized. Our NOLs or credits may also be impaired under state law.</w:t>
      </w:r>
    </w:p>
    <w:p>
      <w:pPr>
        <w:spacing w:after="0" w:line="164"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On March 27, 2020, the Coronavirus Aid Relief and Economic Security (“CARES”) Act was signed into law. The Act contains several new or changed income tax provisions, including but not limited to the following: increased limitation threshold for determining deductible interest expense, class life changes to qualified improvements (in general, from 39 years to 15 years) and the ability to carry back net operating losses incurred from tax years 2018 through 2020 up to the five preceding tax years. Most of these provisions are either not applicable or have no material effect on the Company.</w:t>
      </w:r>
    </w:p>
    <w:p>
      <w:pPr>
        <w:spacing w:after="0" w:line="161"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Utilization of the net operating loss, or NOL, and research tax credit carryforwards may be subject to a substantial annual limitation due to ownership change limitations that has occurred or that could occur in the future, as required by Section 382 of the Code, as well as similar state and foreign provisions. These ownership changes may limit the amount of NOL and research tax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 Furthermore, under the Tax Cuts and Jobs Act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301" w:lineRule="auto"/>
        <w:rPr>
          <w:sz w:val="20"/>
          <w:szCs w:val="20"/>
          <w:color w:val="auto"/>
        </w:rPr>
      </w:pPr>
      <w:r>
        <w:rPr>
          <w:rFonts w:ascii="Arial" w:cs="Arial" w:eastAsia="Arial" w:hAnsi="Arial"/>
          <w:sz w:val="16"/>
          <w:szCs w:val="16"/>
          <w:color w:val="auto"/>
        </w:rPr>
        <w:t>of 2017 and modified by the CARES Act signed on March 27, 2020, although the treatment of NOLs arising on or before December 31, 2017 has generally not changed, NOLs arising on or after January 1, 2018 and beyond may only be used to offset 80% of taxable income for tax years beginning after December 31, 2020. This change may require us to pay federal income taxes in future years despite generating a loss for federal income tax purposes in prior years.</w:t>
      </w:r>
    </w:p>
    <w:p>
      <w:pPr>
        <w:spacing w:after="0" w:line="157"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Entities are also required to evaluate, measure, recognize and disclose any uncertain income tax provisions taken on their income tax returns. The Company has analyzed its tax positions and has concluded that as of December 31, 2020 there were no uncertain positions. Interest and penalties, if any, as they relate to income taxes assessed, are included in the income tax provision. There was no income tax related interest and penalties included in the income tax provision. The Company's U.S. federal and state net operating losses have occurred since its inception in 2017 and as such, tax years subject to potential tax examination could apply from that date because the utilization of net operating losses from prior years opens the relevant year to audit by the IRS and/or state taxing authorities.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2" w:name="page123"/>
    <w:bookmarkEnd w:id="122"/>
    <w:p>
      <w:pPr>
        <w:ind w:left="8240"/>
        <w:spacing w:after="0"/>
        <w:rPr>
          <w:sz w:val="20"/>
          <w:szCs w:val="20"/>
          <w:color w:val="auto"/>
        </w:rPr>
      </w:pPr>
      <w:r>
        <w:rPr>
          <w:rFonts w:ascii="Arial" w:cs="Arial" w:eastAsia="Arial" w:hAnsi="Arial"/>
          <w:sz w:val="18"/>
          <w:szCs w:val="18"/>
          <w:b w:val="1"/>
          <w:bCs w:val="1"/>
          <w:color w:val="auto"/>
        </w:rPr>
        <w:t>EXHIBIT 10.3</w:t>
      </w:r>
    </w:p>
    <w:p>
      <w:pPr>
        <w:spacing w:after="0" w:line="243"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FIRST AMENDMENT TO SECOND AMENDED &amp; RESTATED SEPARATION AND SHARED SERVICES AGREEMENT</w:t>
      </w: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First Amendment to Second Amended &amp; Restated Separation and Shared Services Agreement (“</w:t>
      </w:r>
      <w:r>
        <w:rPr>
          <w:rFonts w:ascii="Arial" w:cs="Arial" w:eastAsia="Arial" w:hAnsi="Arial"/>
          <w:sz w:val="19"/>
          <w:szCs w:val="19"/>
          <w:b w:val="1"/>
          <w:bCs w:val="1"/>
          <w:i w:val="1"/>
          <w:iCs w:val="1"/>
          <w:color w:val="auto"/>
        </w:rPr>
        <w:t>First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effective as of March 3, 2021 (the “</w:t>
      </w:r>
      <w:r>
        <w:rPr>
          <w:rFonts w:ascii="Arial" w:cs="Arial" w:eastAsia="Arial" w:hAnsi="Arial"/>
          <w:sz w:val="19"/>
          <w:szCs w:val="19"/>
          <w:b w:val="1"/>
          <w:bCs w:val="1"/>
          <w:i w:val="1"/>
          <w:iCs w:val="1"/>
          <w:color w:val="auto"/>
        </w:rPr>
        <w:t>First Amendment Effective Date</w:t>
      </w:r>
      <w:r>
        <w:rPr>
          <w:rFonts w:ascii="Arial" w:cs="Arial" w:eastAsia="Arial" w:hAnsi="Arial"/>
          <w:sz w:val="19"/>
          <w:szCs w:val="19"/>
          <w:color w:val="auto"/>
        </w:rPr>
        <w:t>”), is made by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between BioXcel LLC, a Delaware corporation located at 2614 Boston Post Road Guilford CT 06437 (“</w:t>
      </w:r>
      <w:r>
        <w:rPr>
          <w:rFonts w:ascii="Arial" w:cs="Arial" w:eastAsia="Arial" w:hAnsi="Arial"/>
          <w:sz w:val="19"/>
          <w:szCs w:val="19"/>
          <w:b w:val="1"/>
          <w:bCs w:val="1"/>
          <w:i w:val="1"/>
          <w:iCs w:val="1"/>
          <w:color w:val="auto"/>
        </w:rPr>
        <w:t>BioXcel</w:t>
      </w:r>
      <w:r>
        <w:rPr>
          <w:rFonts w:ascii="Arial" w:cs="Arial" w:eastAsia="Arial" w:hAnsi="Arial"/>
          <w:sz w:val="19"/>
          <w:szCs w:val="19"/>
          <w:color w:val="auto"/>
        </w:rPr>
        <w:t>”), and BioXcel Therapeutics, Inc., a Delaware corporation located at 555 Long Wharf Drive New Haven, CT 06511 (“</w:t>
      </w:r>
      <w:r>
        <w:rPr>
          <w:rFonts w:ascii="Arial" w:cs="Arial" w:eastAsia="Arial" w:hAnsi="Arial"/>
          <w:sz w:val="19"/>
          <w:szCs w:val="19"/>
          <w:b w:val="1"/>
          <w:bCs w:val="1"/>
          <w:i w:val="1"/>
          <w:iCs w:val="1"/>
          <w:color w:val="auto"/>
        </w:rPr>
        <w:t>BTI</w:t>
      </w:r>
      <w:r>
        <w:rPr>
          <w:rFonts w:ascii="Arial" w:cs="Arial" w:eastAsia="Arial" w:hAnsi="Arial"/>
          <w:sz w:val="19"/>
          <w:szCs w:val="19"/>
          <w:color w:val="auto"/>
        </w:rPr>
        <w:t>”). BioXcel and BTI may be referred to herein individually as a “</w:t>
      </w:r>
      <w:r>
        <w:rPr>
          <w:rFonts w:ascii="Arial" w:cs="Arial" w:eastAsia="Arial" w:hAnsi="Arial"/>
          <w:sz w:val="19"/>
          <w:szCs w:val="19"/>
          <w:b w:val="1"/>
          <w:bCs w:val="1"/>
          <w:i w:val="1"/>
          <w:iCs w:val="1"/>
          <w:color w:val="auto"/>
        </w:rPr>
        <w:t>Party</w:t>
      </w:r>
      <w:r>
        <w:rPr>
          <w:rFonts w:ascii="Arial" w:cs="Arial" w:eastAsia="Arial" w:hAnsi="Arial"/>
          <w:sz w:val="19"/>
          <w:szCs w:val="19"/>
          <w:color w:val="auto"/>
        </w:rPr>
        <w:t>”, or collectively as the “</w:t>
      </w:r>
      <w:r>
        <w:rPr>
          <w:rFonts w:ascii="Arial" w:cs="Arial" w:eastAsia="Arial" w:hAnsi="Arial"/>
          <w:sz w:val="19"/>
          <w:szCs w:val="19"/>
          <w:b w:val="1"/>
          <w:bCs w:val="1"/>
          <w:i w:val="1"/>
          <w:iCs w:val="1"/>
          <w:color w:val="auto"/>
        </w:rPr>
        <w:t>Parties</w:t>
      </w:r>
      <w:r>
        <w:rPr>
          <w:rFonts w:ascii="Arial" w:cs="Arial" w:eastAsia="Arial" w:hAnsi="Arial"/>
          <w:sz w:val="19"/>
          <w:szCs w:val="19"/>
          <w:color w:val="auto"/>
        </w:rPr>
        <w:t>.” Capitalized terms used herein without definition shall have the respective meanings ascribed to such terms under the Shared Services Agreement (as defined below).</w:t>
      </w:r>
    </w:p>
    <w:p>
      <w:pPr>
        <w:spacing w:after="0" w:line="173" w:lineRule="exact"/>
        <w:rPr>
          <w:sz w:val="20"/>
          <w:szCs w:val="20"/>
          <w:color w:val="auto"/>
        </w:rPr>
      </w:pPr>
    </w:p>
    <w:p>
      <w:pPr>
        <w:ind w:right="240"/>
        <w:spacing w:after="0" w:line="24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BioXcel (as successor in interest to BioXcel Corporation) and BTI are parties to that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Second Amended &amp; Restated Shared Services Agreement, dated March 6, 2020 (the “</w:t>
      </w:r>
      <w:r>
        <w:rPr>
          <w:rFonts w:ascii="Arial" w:cs="Arial" w:eastAsia="Arial" w:hAnsi="Arial"/>
          <w:sz w:val="22"/>
          <w:szCs w:val="22"/>
          <w:b w:val="1"/>
          <w:bCs w:val="1"/>
          <w:i w:val="1"/>
          <w:iCs w:val="1"/>
          <w:color w:val="auto"/>
        </w:rPr>
        <w:t>Shared Services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w:t>
      </w:r>
    </w:p>
    <w:p>
      <w:pPr>
        <w:spacing w:after="0" w:line="204" w:lineRule="exact"/>
        <w:rPr>
          <w:sz w:val="20"/>
          <w:szCs w:val="20"/>
          <w:color w:val="auto"/>
        </w:rPr>
      </w:pPr>
    </w:p>
    <w:p>
      <w:pPr>
        <w:ind w:right="220"/>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BioXcel and BTI desire to amend the Shared Services Agreement in respect of BTI’s option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thereunder to enter into a Collaborative Services Agreement with BioXcel.</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the Parties hereby agree as follows:</w:t>
      </w:r>
    </w:p>
    <w:p>
      <w:pPr>
        <w:spacing w:after="0" w:line="233" w:lineRule="exact"/>
        <w:rPr>
          <w:sz w:val="20"/>
          <w:szCs w:val="20"/>
          <w:color w:val="auto"/>
        </w:rPr>
      </w:pPr>
    </w:p>
    <w:p>
      <w:pPr>
        <w:ind w:left="640" w:right="300" w:hanging="323"/>
        <w:spacing w:after="0" w:line="256" w:lineRule="auto"/>
        <w:tabs>
          <w:tab w:leader="none" w:pos="64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Amendments. </w:t>
      </w:r>
      <w:r>
        <w:rPr>
          <w:rFonts w:ascii="Arial" w:cs="Arial" w:eastAsia="Arial" w:hAnsi="Arial"/>
          <w:sz w:val="22"/>
          <w:szCs w:val="22"/>
          <w:color w:val="auto"/>
        </w:rPr>
        <w:t>The Shared Services Agreement is hereby amended as follows, effective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Amendment Effective Date:</w:t>
      </w:r>
    </w:p>
    <w:p>
      <w:pPr>
        <w:spacing w:after="0" w:line="60" w:lineRule="exact"/>
        <w:rPr>
          <w:rFonts w:ascii="Arial" w:cs="Arial" w:eastAsia="Arial" w:hAnsi="Arial"/>
          <w:sz w:val="22"/>
          <w:szCs w:val="22"/>
          <w:b w:val="1"/>
          <w:bCs w:val="1"/>
          <w:color w:val="auto"/>
        </w:rPr>
      </w:pPr>
    </w:p>
    <w:p>
      <w:pPr>
        <w:ind w:left="800" w:right="20" w:hanging="240"/>
        <w:spacing w:after="0" w:line="250" w:lineRule="auto"/>
        <w:tabs>
          <w:tab w:leader="none" w:pos="800" w:val="left"/>
        </w:tabs>
        <w:numPr>
          <w:ilvl w:val="1"/>
          <w:numId w:val="62"/>
        </w:numPr>
        <w:rPr>
          <w:rFonts w:ascii="Arial" w:cs="Arial" w:eastAsia="Arial" w:hAnsi="Arial"/>
          <w:sz w:val="22"/>
          <w:szCs w:val="22"/>
          <w:color w:val="auto"/>
        </w:rPr>
      </w:pPr>
      <w:r>
        <w:rPr>
          <w:rFonts w:ascii="Arial" w:cs="Arial" w:eastAsia="Arial" w:hAnsi="Arial"/>
          <w:sz w:val="22"/>
          <w:szCs w:val="22"/>
          <w:color w:val="auto"/>
        </w:rPr>
        <w:t>Section 2(d) of the Shared Services Agreement shall be deleted in its entirety and replaced with the following:</w:t>
      </w:r>
    </w:p>
    <w:p>
      <w:pPr>
        <w:spacing w:after="0" w:line="66" w:lineRule="exact"/>
        <w:rPr>
          <w:rFonts w:ascii="Arial" w:cs="Arial" w:eastAsia="Arial" w:hAnsi="Arial"/>
          <w:sz w:val="22"/>
          <w:szCs w:val="22"/>
          <w:color w:val="auto"/>
        </w:rPr>
      </w:pPr>
    </w:p>
    <w:p>
      <w:pPr>
        <w:jc w:val="both"/>
        <w:ind w:left="1280" w:firstLine="9"/>
        <w:spacing w:after="0" w:line="272" w:lineRule="auto"/>
        <w:tabs>
          <w:tab w:leader="none" w:pos="1523" w:val="left"/>
        </w:tabs>
        <w:numPr>
          <w:ilvl w:val="2"/>
          <w:numId w:val="62"/>
        </w:numPr>
        <w:rPr>
          <w:rFonts w:ascii="Arial" w:cs="Arial" w:eastAsia="Arial" w:hAnsi="Arial"/>
          <w:sz w:val="19"/>
          <w:szCs w:val="19"/>
          <w:color w:val="auto"/>
        </w:rPr>
      </w:pPr>
      <w:r>
        <w:rPr>
          <w:rFonts w:ascii="Arial" w:cs="Arial" w:eastAsia="Arial" w:hAnsi="Arial"/>
          <w:sz w:val="19"/>
          <w:szCs w:val="19"/>
          <w:u w:val="single" w:color="auto"/>
          <w:color w:val="auto"/>
        </w:rPr>
        <w:t>EvolverAI Collaborative Services</w:t>
      </w:r>
      <w:r>
        <w:rPr>
          <w:rFonts w:ascii="Arial" w:cs="Arial" w:eastAsia="Arial" w:hAnsi="Arial"/>
          <w:sz w:val="19"/>
          <w:szCs w:val="19"/>
          <w:color w:val="auto"/>
        </w:rPr>
        <w:t>. On or before March 12, 2023, BTI shall have the option to enter into a Collaborative Services Agreement with BioXcel by which BioXcel shall perform product identification and related services for BTI utilizing the EvolverAI Platform. The Parties agree to negotiate the terms of such Collaborative Services Agreement in good faith and that such agreement will incorporate reasonable market based terms, including consideration for BioXcel reflecting a low, single-digit royalty on net sales and reasonable development and commercialization milestone payments, provided that (i) development milestones shall not exceed $10 million in the aggregate and shall not be payable prior to proof of concept in humans and (ii) commercialization milestones shall be based on reaching annual net sales levels, be limited to 3% of the applicable net sales level, and not exceed $30M in the aggregate. BioXcel shall continue to make such product identification and related services available to BTI until at least September 30, 2024.</w:t>
      </w:r>
    </w:p>
    <w:p>
      <w:pPr>
        <w:spacing w:after="0" w:line="181" w:lineRule="exact"/>
        <w:rPr>
          <w:rFonts w:ascii="Arial" w:cs="Arial" w:eastAsia="Arial" w:hAnsi="Arial"/>
          <w:sz w:val="19"/>
          <w:szCs w:val="19"/>
          <w:color w:val="auto"/>
        </w:rPr>
      </w:pPr>
    </w:p>
    <w:p>
      <w:pPr>
        <w:ind w:left="640" w:hanging="323"/>
        <w:spacing w:after="0"/>
        <w:tabs>
          <w:tab w:leader="none" w:pos="64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104" w:lineRule="exact"/>
        <w:rPr>
          <w:rFonts w:ascii="Arial" w:cs="Arial" w:eastAsia="Arial" w:hAnsi="Arial"/>
          <w:sz w:val="22"/>
          <w:szCs w:val="22"/>
          <w:b w:val="1"/>
          <w:bCs w:val="1"/>
          <w:color w:val="auto"/>
        </w:rPr>
      </w:pPr>
    </w:p>
    <w:p>
      <w:pPr>
        <w:jc w:val="both"/>
        <w:ind w:left="780" w:right="20" w:hanging="220"/>
        <w:spacing w:after="0"/>
        <w:tabs>
          <w:tab w:leader="none" w:pos="780" w:val="left"/>
        </w:tabs>
        <w:numPr>
          <w:ilvl w:val="1"/>
          <w:numId w:val="62"/>
        </w:numPr>
        <w:rPr>
          <w:rFonts w:ascii="Arial" w:cs="Arial" w:eastAsia="Arial" w:hAnsi="Arial"/>
          <w:sz w:val="22"/>
          <w:szCs w:val="22"/>
          <w:color w:val="auto"/>
        </w:rPr>
      </w:pPr>
      <w:r>
        <w:rPr>
          <w:rFonts w:ascii="Arial" w:cs="Arial" w:eastAsia="Arial" w:hAnsi="Arial"/>
          <w:sz w:val="22"/>
          <w:szCs w:val="22"/>
          <w:color w:val="auto"/>
        </w:rPr>
        <w:t>Except to the extent amended by this First Amendment, all of the definitions, terms, provisions and conditions set forth in the Shared Services Agreement are ratified and confirmed and shall remain in full force and effect.</w:t>
      </w:r>
    </w:p>
    <w:p>
      <w:pPr>
        <w:spacing w:after="0" w:line="78" w:lineRule="exact"/>
        <w:rPr>
          <w:rFonts w:ascii="Arial" w:cs="Arial" w:eastAsia="Arial" w:hAnsi="Arial"/>
          <w:sz w:val="22"/>
          <w:szCs w:val="22"/>
          <w:color w:val="auto"/>
        </w:rPr>
      </w:pPr>
    </w:p>
    <w:p>
      <w:pPr>
        <w:jc w:val="both"/>
        <w:ind w:left="780" w:right="20" w:hanging="220"/>
        <w:spacing w:after="0" w:line="297" w:lineRule="auto"/>
        <w:tabs>
          <w:tab w:leader="none" w:pos="780" w:val="left"/>
        </w:tabs>
        <w:numPr>
          <w:ilvl w:val="1"/>
          <w:numId w:val="62"/>
        </w:numPr>
        <w:rPr>
          <w:rFonts w:ascii="Arial" w:cs="Arial" w:eastAsia="Arial" w:hAnsi="Arial"/>
          <w:sz w:val="19"/>
          <w:szCs w:val="19"/>
          <w:color w:val="auto"/>
        </w:rPr>
      </w:pPr>
      <w:r>
        <w:rPr>
          <w:rFonts w:ascii="Arial" w:cs="Arial" w:eastAsia="Arial" w:hAnsi="Arial"/>
          <w:sz w:val="19"/>
          <w:szCs w:val="19"/>
          <w:color w:val="auto"/>
        </w:rPr>
        <w:t>As of the First Amendment Effective Date, the Shared Services Agreement and this First Amendment shall be read and construed together as a single agreement, and any and all references in the Shared Services Agreement to “this Agreement”, “hereunder”, “herein”, “hereof” or words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444500</wp:posOffset>
            </wp:positionV>
            <wp:extent cx="59575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80"/>
          </w:cols>
          <w:pgMar w:left="1260" w:top="364" w:right="1259" w:bottom="1440" w:gutter="0" w:footer="0" w:header="0"/>
        </w:sectPr>
      </w:pPr>
    </w:p>
    <w:bookmarkStart w:id="123" w:name="page124"/>
    <w:bookmarkEnd w:id="123"/>
    <w:p>
      <w:pPr>
        <w:ind w:left="600"/>
        <w:spacing w:after="0" w:line="250" w:lineRule="auto"/>
        <w:rPr>
          <w:sz w:val="20"/>
          <w:szCs w:val="20"/>
          <w:color w:val="auto"/>
        </w:rPr>
      </w:pPr>
      <w:r>
        <w:rPr>
          <w:rFonts w:ascii="Arial" w:cs="Arial" w:eastAsia="Arial" w:hAnsi="Arial"/>
          <w:sz w:val="22"/>
          <w:szCs w:val="22"/>
          <w:color w:val="auto"/>
        </w:rPr>
        <w:t>of like import referring to the Shared Services Agreement shall be deemed a reference to the Shared Services Agreement as amended by this First Amendment.</w:t>
      </w:r>
    </w:p>
    <w:p>
      <w:pPr>
        <w:spacing w:after="0" w:line="67" w:lineRule="exact"/>
        <w:rPr>
          <w:sz w:val="20"/>
          <w:szCs w:val="20"/>
          <w:color w:val="auto"/>
        </w:rPr>
      </w:pPr>
    </w:p>
    <w:p>
      <w:pPr>
        <w:jc w:val="both"/>
        <w:ind w:left="600" w:hanging="220"/>
        <w:spacing w:after="0" w:line="238" w:lineRule="auto"/>
        <w:tabs>
          <w:tab w:leader="none" w:pos="6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This First Amendment may be signed in any number of counterparts (facsimile and electronic transmission included), each of which shall be deemed an original, but all of which shall constitute one and the same instrument. Signatures to this First Amendment may be provided by PDF file and shall be deemed to be original signatures.</w:t>
      </w:r>
    </w:p>
    <w:p>
      <w:pPr>
        <w:spacing w:after="0" w:line="200" w:lineRule="exact"/>
        <w:rPr>
          <w:sz w:val="20"/>
          <w:szCs w:val="20"/>
          <w:color w:val="auto"/>
        </w:rPr>
      </w:pPr>
    </w:p>
    <w:p>
      <w:pPr>
        <w:spacing w:after="0" w:line="228"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49"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444500</wp:posOffset>
            </wp:positionV>
            <wp:extent cx="595757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180"/>
          </w:cols>
          <w:pgMar w:left="1440" w:top="726" w:right="1279" w:bottom="1440" w:gutter="0" w:footer="0" w:header="0"/>
        </w:sectPr>
      </w:pPr>
    </w:p>
    <w:bookmarkStart w:id="124" w:name="page125"/>
    <w:bookmarkEnd w:id="124"/>
    <w:p>
      <w:pPr>
        <w:ind w:right="699"/>
        <w:spacing w:after="0" w:line="250" w:lineRule="auto"/>
        <w:rPr>
          <w:sz w:val="20"/>
          <w:szCs w:val="20"/>
          <w:color w:val="auto"/>
        </w:rPr>
      </w:pPr>
      <w:r>
        <w:rPr>
          <w:rFonts w:ascii="Arial" w:cs="Arial" w:eastAsia="Arial" w:hAnsi="Arial"/>
          <w:sz w:val="22"/>
          <w:szCs w:val="22"/>
          <w:color w:val="auto"/>
        </w:rPr>
        <w:t>IN WITNESS WHEREOF, BioXcel and BTI, intending to be legally bound, have caused this First Amendment to be signed by their duly authorized representatives.</w:t>
      </w:r>
    </w:p>
    <w:p>
      <w:pPr>
        <w:sectPr>
          <w:pgSz w:w="11900" w:h="16838" w:orient="portrait"/>
          <w:cols w:equalWidth="0" w:num="1">
            <w:col w:w="9199"/>
          </w:cols>
          <w:pgMar w:left="1260" w:top="6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BIOXCEL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BIOXCEL THERAPEUTICS, INC.</w:t>
      </w:r>
    </w:p>
    <w:p>
      <w:pPr>
        <w:spacing w:after="0" w:line="211" w:lineRule="exact"/>
        <w:rPr>
          <w:sz w:val="20"/>
          <w:szCs w:val="20"/>
          <w:color w:val="auto"/>
        </w:rPr>
      </w:pPr>
    </w:p>
    <w:p>
      <w:pPr>
        <w:sectPr>
          <w:pgSz w:w="11900" w:h="16838" w:orient="portrait"/>
          <w:cols w:equalWidth="0" w:num="2">
            <w:col w:w="4240" w:space="720"/>
            <w:col w:w="4239"/>
          </w:cols>
          <w:pgMar w:left="1260" w:top="618" w:right="1440" w:bottom="1440" w:gutter="0" w:footer="0" w:header="0"/>
          <w:type w:val="continuous"/>
        </w:sectPr>
      </w:pPr>
    </w:p>
    <w:p>
      <w:pPr>
        <w:spacing w:after="0" w:line="1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By: /s/ Ankush Sethi</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Ankush Sethi</w:t>
      </w:r>
    </w:p>
    <w:p>
      <w:pPr>
        <w:ind w:left="100"/>
        <w:spacing w:after="0"/>
        <w:rPr>
          <w:sz w:val="20"/>
          <w:szCs w:val="20"/>
          <w:color w:val="auto"/>
        </w:rPr>
      </w:pPr>
      <w:r>
        <w:rPr>
          <w:rFonts w:ascii="Arial" w:cs="Arial" w:eastAsia="Arial" w:hAnsi="Arial"/>
          <w:sz w:val="22"/>
          <w:szCs w:val="22"/>
          <w:color w:val="auto"/>
        </w:rPr>
        <w:t>Title: COO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By: /s/ Peter Mueller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Name: Peter Mueller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Title: Chairman</w:t>
      </w:r>
    </w:p>
    <w:p>
      <w:pPr>
        <w:spacing w:after="0" w:line="200" w:lineRule="exact"/>
        <w:rPr>
          <w:sz w:val="20"/>
          <w:szCs w:val="20"/>
          <w:color w:val="auto"/>
        </w:rPr>
      </w:pPr>
    </w:p>
    <w:p>
      <w:pPr>
        <w:sectPr>
          <w:pgSz w:w="11900" w:h="16838" w:orient="portrait"/>
          <w:cols w:equalWidth="0" w:num="2">
            <w:col w:w="4240" w:space="720"/>
            <w:col w:w="4239"/>
          </w:cols>
          <w:pgMar w:left="1260" w:top="618" w:right="1440"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480695</wp:posOffset>
            </wp:positionV>
            <wp:extent cx="595757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199"/>
          </w:cols>
          <w:pgMar w:left="1260" w:top="618" w:right="1440" w:bottom="1440" w:gutter="0" w:footer="0" w:header="0"/>
          <w:type w:val="continuous"/>
        </w:sectPr>
      </w:pPr>
    </w:p>
    <w:bookmarkStart w:id="125" w:name="page126"/>
    <w:bookmarkEnd w:id="125"/>
    <w:p>
      <w:pPr>
        <w:jc w:val="right"/>
        <w:ind w:right="119"/>
        <w:spacing w:after="0"/>
        <w:rPr>
          <w:sz w:val="20"/>
          <w:szCs w:val="20"/>
          <w:color w:val="auto"/>
        </w:rPr>
      </w:pPr>
      <w:r>
        <w:rPr>
          <w:rFonts w:ascii="Arial" w:cs="Arial" w:eastAsia="Arial" w:hAnsi="Arial"/>
          <w:sz w:val="22"/>
          <w:szCs w:val="22"/>
          <w:b w:val="1"/>
          <w:bCs w:val="1"/>
          <w:color w:val="auto"/>
        </w:rPr>
        <w:t>Exhibit 10.19</w:t>
      </w:r>
    </w:p>
    <w:p>
      <w:pPr>
        <w:spacing w:after="0" w:line="172" w:lineRule="exact"/>
        <w:rPr>
          <w:sz w:val="20"/>
          <w:szCs w:val="20"/>
          <w:color w:val="auto"/>
        </w:rPr>
      </w:pPr>
    </w:p>
    <w:p>
      <w:pPr>
        <w:jc w:val="right"/>
        <w:ind w:right="119"/>
        <w:spacing w:after="0"/>
        <w:rPr>
          <w:sz w:val="20"/>
          <w:szCs w:val="20"/>
          <w:color w:val="auto"/>
        </w:rPr>
      </w:pPr>
      <w:r>
        <w:rPr>
          <w:rFonts w:ascii="Arial" w:cs="Arial" w:eastAsia="Arial" w:hAnsi="Arial"/>
          <w:sz w:val="22"/>
          <w:szCs w:val="22"/>
          <w:color w:val="auto"/>
        </w:rPr>
        <w:t>EXECUTION VERSION</w:t>
      </w:r>
    </w:p>
    <w:p>
      <w:pPr>
        <w:spacing w:after="0" w:line="173"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auto"/>
        </w:rPr>
        <w:t>EXECUTIVE EMPLOYMENT AGREEMENT</w:t>
      </w:r>
    </w:p>
    <w:p>
      <w:pPr>
        <w:spacing w:after="0" w:line="172" w:lineRule="exact"/>
        <w:rPr>
          <w:sz w:val="20"/>
          <w:szCs w:val="20"/>
          <w:color w:val="auto"/>
        </w:rPr>
      </w:pPr>
    </w:p>
    <w:p>
      <w:pPr>
        <w:jc w:val="both"/>
        <w:ind w:left="120" w:right="119" w:firstLine="648"/>
        <w:spacing w:after="0"/>
        <w:rPr>
          <w:sz w:val="20"/>
          <w:szCs w:val="20"/>
          <w:color w:val="auto"/>
        </w:rPr>
      </w:pPr>
      <w:r>
        <w:rPr>
          <w:rFonts w:ascii="Arial" w:cs="Arial" w:eastAsia="Arial" w:hAnsi="Arial"/>
          <w:sz w:val="22"/>
          <w:szCs w:val="22"/>
          <w:color w:val="auto"/>
        </w:rPr>
        <w:t>This Executive Employment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February 15, 2021, by and between Javier Rodriguez (the “</w:t>
      </w:r>
      <w:r>
        <w:rPr>
          <w:rFonts w:ascii="Arial" w:cs="Arial" w:eastAsia="Arial" w:hAnsi="Arial"/>
          <w:sz w:val="22"/>
          <w:szCs w:val="22"/>
          <w:u w:val="single" w:color="auto"/>
          <w:color w:val="auto"/>
        </w:rPr>
        <w:t>Executive</w:t>
      </w:r>
      <w:r>
        <w:rPr>
          <w:rFonts w:ascii="Arial" w:cs="Arial" w:eastAsia="Arial" w:hAnsi="Arial"/>
          <w:sz w:val="22"/>
          <w:szCs w:val="22"/>
          <w:color w:val="auto"/>
        </w:rPr>
        <w:t>”) and BioXcel Therapeutics,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85" w:lineRule="exact"/>
        <w:rPr>
          <w:sz w:val="20"/>
          <w:szCs w:val="20"/>
          <w:color w:val="auto"/>
        </w:rPr>
      </w:pPr>
    </w:p>
    <w:p>
      <w:pPr>
        <w:jc w:val="both"/>
        <w:ind w:left="120" w:right="119" w:firstLine="648"/>
        <w:spacing w:after="0" w:line="328" w:lineRule="auto"/>
        <w:rPr>
          <w:sz w:val="20"/>
          <w:szCs w:val="20"/>
          <w:color w:val="auto"/>
        </w:rPr>
      </w:pPr>
      <w:r>
        <w:rPr>
          <w:rFonts w:ascii="Arial" w:cs="Arial" w:eastAsia="Arial" w:hAnsi="Arial"/>
          <w:sz w:val="19"/>
          <w:szCs w:val="19"/>
          <w:color w:val="auto"/>
        </w:rPr>
        <w:t>WHEREAS, the Company wishes to retain Executive as its Senior Vice President, Chief Legal Officer and Corporate Secretary commencing on February 22, 2021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and</w:t>
      </w:r>
    </w:p>
    <w:p>
      <w:pPr>
        <w:spacing w:after="0" w:line="64" w:lineRule="exact"/>
        <w:rPr>
          <w:sz w:val="20"/>
          <w:szCs w:val="20"/>
          <w:color w:val="auto"/>
        </w:rPr>
      </w:pPr>
    </w:p>
    <w:p>
      <w:pPr>
        <w:jc w:val="both"/>
        <w:ind w:left="120" w:right="119" w:firstLine="648"/>
        <w:spacing w:after="0"/>
        <w:rPr>
          <w:sz w:val="20"/>
          <w:szCs w:val="20"/>
          <w:color w:val="auto"/>
        </w:rPr>
      </w:pPr>
      <w:r>
        <w:rPr>
          <w:rFonts w:ascii="Arial" w:cs="Arial" w:eastAsia="Arial" w:hAnsi="Arial"/>
          <w:sz w:val="22"/>
          <w:szCs w:val="22"/>
          <w:color w:val="auto"/>
        </w:rPr>
        <w:t>WHEREAS, the Company wishes to secure the services of Executive upon the terms and conditions hereinafter set forth, and Executive wishes to render such services to the Company upon the terms and conditions hereinafter set forth.</w:t>
      </w:r>
    </w:p>
    <w:p>
      <w:pPr>
        <w:spacing w:after="0" w:line="146" w:lineRule="exact"/>
        <w:rPr>
          <w:sz w:val="20"/>
          <w:szCs w:val="20"/>
          <w:color w:val="auto"/>
        </w:rPr>
      </w:pPr>
    </w:p>
    <w:p>
      <w:pPr>
        <w:jc w:val="both"/>
        <w:ind w:left="120" w:right="119" w:firstLine="648"/>
        <w:spacing w:after="0" w:line="297" w:lineRule="auto"/>
        <w:rPr>
          <w:sz w:val="20"/>
          <w:szCs w:val="20"/>
          <w:color w:val="auto"/>
        </w:rPr>
      </w:pPr>
      <w:r>
        <w:rPr>
          <w:rFonts w:ascii="Arial" w:cs="Arial" w:eastAsia="Arial" w:hAnsi="Arial"/>
          <w:sz w:val="19"/>
          <w:szCs w:val="19"/>
          <w:color w:val="auto"/>
        </w:rPr>
        <w:t>NOW, THEREFORE, in consideration of the foregoing and the mutual covenants herein contained and for other good and valuable consideration, the receipt and adequacy of which are hereby acknowledged, the parties hereto, intending to be legally bound, agree as follows:</w:t>
      </w:r>
    </w:p>
    <w:p>
      <w:pPr>
        <w:spacing w:after="0" w:line="107" w:lineRule="exact"/>
        <w:rPr>
          <w:sz w:val="20"/>
          <w:szCs w:val="20"/>
          <w:color w:val="auto"/>
        </w:rPr>
      </w:pPr>
    </w:p>
    <w:p>
      <w:pPr>
        <w:ind w:left="120" w:right="119" w:firstLine="646"/>
        <w:spacing w:after="0" w:line="250" w:lineRule="auto"/>
        <w:tabs>
          <w:tab w:leader="none" w:pos="141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Definition of Terms</w:t>
      </w:r>
      <w:r>
        <w:rPr>
          <w:rFonts w:ascii="Arial" w:cs="Arial" w:eastAsia="Arial" w:hAnsi="Arial"/>
          <w:sz w:val="22"/>
          <w:szCs w:val="22"/>
          <w:color w:val="auto"/>
        </w:rPr>
        <w:t>. The following terms referred to in this Agreement shall have the following meanings:</w:t>
      </w:r>
    </w:p>
    <w:p>
      <w:pPr>
        <w:spacing w:after="0" w:line="134" w:lineRule="exact"/>
        <w:rPr>
          <w:rFonts w:ascii="Arial" w:cs="Arial" w:eastAsia="Arial" w:hAnsi="Arial"/>
          <w:sz w:val="22"/>
          <w:szCs w:val="22"/>
          <w:color w:val="auto"/>
        </w:rPr>
      </w:pPr>
    </w:p>
    <w:p>
      <w:pPr>
        <w:jc w:val="both"/>
        <w:ind w:left="120" w:right="119" w:firstLine="1294"/>
        <w:spacing w:after="0" w:line="270" w:lineRule="auto"/>
        <w:tabs>
          <w:tab w:leader="none" w:pos="2064" w:val="left"/>
        </w:tabs>
        <w:numPr>
          <w:ilvl w:val="1"/>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shall mean any of the following: (i) a material breach or material default (including, without limitation, any material dereliction of duty) by Executive of this Agreement or any agreement between Executive and the Company, or a repeated failure by Executive to follow the direction of the Company; (ii) Executive’s gross negligence, willful misfeasance or breach of fiduciary duty to the Company or its affiliates; (iii) the commission by Executive of an act or omission involving fraud, embezzlement, misappropriation or dishonesty in connection with Executive’s duties to the Company or its affiliates or that is otherwise likely to be materially injurious to the business or reputation of the Company or its affiliates; or (iv) Executive’s conviction of, indictment for, or pleading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any felony or other crime involving fraud or moral turpitude. For purposes of this subsection, no act or failure to act on Executive’s part shall be considered “willful” unless done, or omitted to be done, by Executive not in good faith and without reasonable belief that Executive’s action or omission was in the best interest of the Company. Any determination of whether Cause exists shall be made by the Company in its sole and absolute discretion. Provided, however, that before a termination for Cause pursuant to Section 1(a)(iii) or (iv) is effective, Executive will be given written notice of the particular circumstances constituting the basis for the termination for Cause and thirty (30) calendar days to cure those particular circumstances (the “</w:t>
      </w:r>
      <w:r>
        <w:rPr>
          <w:rFonts w:ascii="Arial" w:cs="Arial" w:eastAsia="Arial" w:hAnsi="Arial"/>
          <w:sz w:val="19"/>
          <w:szCs w:val="19"/>
          <w:u w:val="single" w:color="auto"/>
          <w:color w:val="auto"/>
        </w:rPr>
        <w:t>Executive’s Cure Period</w:t>
      </w:r>
      <w:r>
        <w:rPr>
          <w:rFonts w:ascii="Arial" w:cs="Arial" w:eastAsia="Arial" w:hAnsi="Arial"/>
          <w:sz w:val="19"/>
          <w:szCs w:val="19"/>
          <w:color w:val="auto"/>
        </w:rPr>
        <w:t>”). Any determination as to whether Executive successfully cured the circumstances at issue shall be made by the Company in its sole and absolute discretion. Failing such cure, Executive’s termination for Cause pursuant to Section 1(a)(iii) or (iv) shall be effective on the day immediately following the expiration of Executive’s Cure Period.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US-DOCS\115509506.5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346710</wp:posOffset>
            </wp:positionV>
            <wp:extent cx="558038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6" w:name="page127"/>
    <w:bookmarkEnd w:id="126"/>
    <w:p>
      <w:pPr>
        <w:ind w:left="2060" w:hanging="647"/>
        <w:spacing w:after="0"/>
        <w:tabs>
          <w:tab w:leader="none" w:pos="2060"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shall mean the occurrence of any of the following events:</w:t>
      </w:r>
    </w:p>
    <w:p>
      <w:pPr>
        <w:spacing w:after="0" w:line="200" w:lineRule="exact"/>
        <w:rPr>
          <w:rFonts w:ascii="Arial" w:cs="Arial" w:eastAsia="Arial" w:hAnsi="Arial"/>
          <w:sz w:val="19"/>
          <w:szCs w:val="19"/>
          <w:color w:val="auto"/>
        </w:rPr>
      </w:pPr>
    </w:p>
    <w:p>
      <w:pPr>
        <w:jc w:val="both"/>
        <w:ind w:left="120" w:right="119" w:firstLine="1941"/>
        <w:spacing w:after="0" w:line="236" w:lineRule="auto"/>
        <w:tabs>
          <w:tab w:leader="none" w:pos="2712"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date on which any “person” (as such term is used in Sections 13(d) and 14(d) of the Securities Exchange Act of 1934, as amended (the “</w:t>
      </w:r>
      <w:r>
        <w:rPr>
          <w:rFonts w:ascii="Arial" w:cs="Arial" w:eastAsia="Arial" w:hAnsi="Arial"/>
          <w:sz w:val="22"/>
          <w:szCs w:val="22"/>
          <w:u w:val="single" w:color="auto"/>
          <w:color w:val="auto"/>
        </w:rPr>
        <w:t>Exchange Act</w:t>
      </w:r>
      <w:r>
        <w:rPr>
          <w:rFonts w:ascii="Arial" w:cs="Arial" w:eastAsia="Arial" w:hAnsi="Arial"/>
          <w:sz w:val="22"/>
          <w:szCs w:val="22"/>
          <w:color w:val="auto"/>
        </w:rPr>
        <w:t>”)) obtains “beneficial ownership” (as defined in Rule 13d-3 of the Exchange Act) or a pecuniary interest in fifty percent (50%) or more of the combined voting power of the Company’s then outstanding securities (“</w:t>
      </w:r>
      <w:r>
        <w:rPr>
          <w:rFonts w:ascii="Arial" w:cs="Arial" w:eastAsia="Arial" w:hAnsi="Arial"/>
          <w:sz w:val="22"/>
          <w:szCs w:val="22"/>
          <w:u w:val="single" w:color="auto"/>
          <w:color w:val="auto"/>
        </w:rPr>
        <w:t>Voting Stock</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120" w:right="119" w:firstLine="1941"/>
        <w:spacing w:after="0" w:line="233" w:lineRule="auto"/>
        <w:tabs>
          <w:tab w:leader="none" w:pos="2712"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consummation of a merger, consolidation, reorganization, or similar transaction involving the Company, other than a transaction: (1) in which substantially all of the holders of the Voting Stock immediately prior to such transaction hold or receive directly or indirectly fifty percent (50%) or more of the voting stock of the resulting entity or a parent company thereof, in substantially the same proportions as their ownership of the Company immediately prior to the transaction; or (2) in which the holders of the Company’s capital stock immediately before such transaction will, immediately after such transaction, hold as a group on a fully diluted basis the ability to elect at least a majority of the authorized directors of the surviving entity (or a parent company); or</w:t>
      </w:r>
    </w:p>
    <w:p>
      <w:pPr>
        <w:spacing w:after="0" w:line="152" w:lineRule="exact"/>
        <w:rPr>
          <w:rFonts w:ascii="Arial" w:cs="Arial" w:eastAsia="Arial" w:hAnsi="Arial"/>
          <w:sz w:val="22"/>
          <w:szCs w:val="22"/>
          <w:color w:val="auto"/>
        </w:rPr>
      </w:pPr>
    </w:p>
    <w:p>
      <w:pPr>
        <w:jc w:val="both"/>
        <w:ind w:left="120" w:right="119" w:firstLine="1941"/>
        <w:spacing w:after="0" w:line="279" w:lineRule="auto"/>
        <w:tabs>
          <w:tab w:leader="none" w:pos="2712" w:val="left"/>
        </w:tabs>
        <w:numPr>
          <w:ilvl w:val="1"/>
          <w:numId w:val="65"/>
        </w:numPr>
        <w:rPr>
          <w:rFonts w:ascii="Arial" w:cs="Arial" w:eastAsia="Arial" w:hAnsi="Arial"/>
          <w:sz w:val="19"/>
          <w:szCs w:val="19"/>
          <w:color w:val="auto"/>
        </w:rPr>
      </w:pPr>
      <w:r>
        <w:rPr>
          <w:rFonts w:ascii="Arial" w:cs="Arial" w:eastAsia="Arial" w:hAnsi="Arial"/>
          <w:sz w:val="19"/>
          <w:szCs w:val="19"/>
          <w:color w:val="auto"/>
        </w:rPr>
        <w:t>there is consummated a sale, lease, license or disposition of all or substantially all of the consolidated assets of the Company and its subsidiaries, other than a sale, lease, license or disposition of all or substantially all of the consolidated assets of the Company and its subsidiaries to an entity, fifty percent (50%) or more of the combined voting power of the voting securities of which are owned by stockholders of the Company in substantially the same proportions as their ownership of the Company immediately prior to such sale, lease, license or disposition.</w:t>
      </w:r>
    </w:p>
    <w:p>
      <w:pPr>
        <w:spacing w:after="0" w:line="109" w:lineRule="exact"/>
        <w:rPr>
          <w:rFonts w:ascii="Arial" w:cs="Arial" w:eastAsia="Arial" w:hAnsi="Arial"/>
          <w:sz w:val="19"/>
          <w:szCs w:val="19"/>
          <w:color w:val="auto"/>
        </w:rPr>
      </w:pPr>
    </w:p>
    <w:p>
      <w:pPr>
        <w:jc w:val="both"/>
        <w:ind w:left="120" w:right="119" w:firstLine="1293"/>
        <w:spacing w:after="0" w:line="297" w:lineRule="auto"/>
        <w:tabs>
          <w:tab w:leader="none" w:pos="2064"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means a physical or mental disability, which prevents Executive from performing Executive’s duties under this Agreement for a period of at least 120 consecutive days in any twelve month period or 150 non-consecutive days in any twelve month period.</w:t>
      </w:r>
    </w:p>
    <w:p>
      <w:pPr>
        <w:spacing w:after="0" w:line="106" w:lineRule="exact"/>
        <w:rPr>
          <w:rFonts w:ascii="Arial" w:cs="Arial" w:eastAsia="Arial" w:hAnsi="Arial"/>
          <w:sz w:val="19"/>
          <w:szCs w:val="19"/>
          <w:color w:val="auto"/>
        </w:rPr>
      </w:pPr>
    </w:p>
    <w:p>
      <w:pPr>
        <w:jc w:val="both"/>
        <w:ind w:left="120" w:right="119" w:firstLine="1293"/>
        <w:spacing w:after="0" w:line="271" w:lineRule="auto"/>
        <w:tabs>
          <w:tab w:leader="none" w:pos="2064"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without Executive’s express written consent any of the following: (i) a significant reduction of Executive’s duties, position or responsibilities relative to Executive’s duties, position or responsibilities in effect immediately prior to such reduction, or the removal of Executive from such position, duties or responsibilities; (ii) the relocation of Executive to a facility or a location more than twenty-five (25) miles from the Company’s then current principal location (other than a relocation from the Executive’s primary residence to a location within twenty-five (25) miles of the Company’s headquarters); or (iii) any action or inaction that constitutes a material breach by the Company or any successor to the Company of its obligations to Executive under this Agreement. Provided, however, that before a termination for Good Reason is effective, Executive will provide the Company with written notice of the particular circumstances constituting the basis for Executive’s termination with Good Reason within sixty (60) calendar days of the occurrence of the event giving rise to Good Reason and thirty (30) calendar days to cure these particular circumstances (the “</w:t>
      </w:r>
      <w:r>
        <w:rPr>
          <w:rFonts w:ascii="Arial" w:cs="Arial" w:eastAsia="Arial" w:hAnsi="Arial"/>
          <w:sz w:val="19"/>
          <w:szCs w:val="19"/>
          <w:u w:val="single" w:color="auto"/>
          <w:color w:val="auto"/>
        </w:rPr>
        <w:t>Company’s Cure Period</w:t>
      </w:r>
      <w:r>
        <w:rPr>
          <w:rFonts w:ascii="Arial" w:cs="Arial" w:eastAsia="Arial" w:hAnsi="Arial"/>
          <w:sz w:val="19"/>
          <w:szCs w:val="19"/>
          <w:color w:val="auto"/>
        </w:rPr>
        <w:t>”). Failing such cure, Executive’s termination of employment for Good Reason shall be effective on the day immediately following the expiration of the Company’s Cure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US-DOCS\115509506.5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347980</wp:posOffset>
            </wp:positionV>
            <wp:extent cx="558038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7" w:name="page128"/>
    <w:bookmarkEnd w:id="127"/>
    <w:p>
      <w:pPr>
        <w:jc w:val="both"/>
        <w:ind w:left="120" w:right="119" w:firstLine="645"/>
        <w:spacing w:after="0" w:line="243" w:lineRule="auto"/>
        <w:tabs>
          <w:tab w:leader="none" w:pos="1416"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Duties and Scope of Position</w:t>
      </w:r>
      <w:r>
        <w:rPr>
          <w:rFonts w:ascii="Arial" w:cs="Arial" w:eastAsia="Arial" w:hAnsi="Arial"/>
          <w:sz w:val="21"/>
          <w:szCs w:val="21"/>
          <w:color w:val="auto"/>
        </w:rPr>
        <w:t>. During the Employment Term (as defined below), Executive will serve as Senior Vice President, Chief Legal Officer and Corporate Secretary of the Company, reporting to the Chief Executive Officer, and assuming and discharging such responsibilities as are commensurate with Executive’s position. During the Employment Term, Executive will provide services in a manner that will faithfully and diligently further the business of the Company and will devote all of Executive’s business time, attention and energy thereto. Executive’s primary place of work shall be the Company’s principal place of business in Connecticut; provided, however, that the Company acknowledges and agrees that Executive may temporarily work at Executive’s home office located in Richmond, Virginia or such other location(s) agreed upon in writing by the Chief Executive Officer as long as Executive spends a substantial amount of time at the Company’s principal place of business in Connecticut; provided, further, Executive agrees to relocate (with Company assistance) to Connecticut prior to the end of June, 2022. Executive may not serve as a director on any entity’s board of directors without prior written consent of the Company, which consent may be withheld by the Company in its sole and absolute discretion.</w:t>
      </w:r>
    </w:p>
    <w:p>
      <w:pPr>
        <w:spacing w:after="0" w:line="153" w:lineRule="exact"/>
        <w:rPr>
          <w:rFonts w:ascii="Arial" w:cs="Arial" w:eastAsia="Arial" w:hAnsi="Arial"/>
          <w:sz w:val="21"/>
          <w:szCs w:val="21"/>
          <w:color w:val="auto"/>
        </w:rPr>
      </w:pPr>
    </w:p>
    <w:p>
      <w:pPr>
        <w:jc w:val="both"/>
        <w:ind w:left="120" w:right="119" w:firstLine="645"/>
        <w:spacing w:after="0" w:line="245" w:lineRule="auto"/>
        <w:tabs>
          <w:tab w:leader="none" w:pos="1416"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Employment Term</w:t>
      </w:r>
      <w:r>
        <w:rPr>
          <w:rFonts w:ascii="Arial" w:cs="Arial" w:eastAsia="Arial" w:hAnsi="Arial"/>
          <w:sz w:val="21"/>
          <w:szCs w:val="21"/>
          <w:color w:val="auto"/>
        </w:rPr>
        <w:t>. The term of Executive’s employment under this Agreement shall commence on the Effective Date and shall continue for a period of two (2) years thereafter, unless earlier terminated in accordance with Section 7 hereof. The term of Executive’s employment shall be automatically renewed for successive one (1) year periods until Executive or the Company delivers to the other party a written notice of their intent not to renew the “Employment Term,” such written notice to be delivered at least ninety (90) days prior to the expiration of the then-effective “Employment Term” (as that term is defined below). The period commencing as of the Effective Date and ending two (2) years from the Effective Date or such later date to which the term of Executive’s employment under this Agreement shall have been extended is referred to herein as the “</w:t>
      </w:r>
      <w:r>
        <w:rPr>
          <w:rFonts w:ascii="Arial" w:cs="Arial" w:eastAsia="Arial" w:hAnsi="Arial"/>
          <w:sz w:val="21"/>
          <w:szCs w:val="21"/>
          <w:u w:val="single" w:color="auto"/>
          <w:color w:val="auto"/>
        </w:rPr>
        <w:t>Employment Term</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jc w:val="both"/>
        <w:ind w:left="120" w:right="119" w:firstLine="645"/>
        <w:spacing w:after="0" w:line="246" w:lineRule="auto"/>
        <w:tabs>
          <w:tab w:leader="none" w:pos="1416"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Base Compensation</w:t>
      </w:r>
      <w:r>
        <w:rPr>
          <w:rFonts w:ascii="Arial" w:cs="Arial" w:eastAsia="Arial" w:hAnsi="Arial"/>
          <w:sz w:val="21"/>
          <w:szCs w:val="21"/>
          <w:color w:val="auto"/>
        </w:rPr>
        <w:t>. During the Employment Term, the Company shall pay to Executive a base compensation (the “</w:t>
      </w:r>
      <w:r>
        <w:rPr>
          <w:rFonts w:ascii="Arial" w:cs="Arial" w:eastAsia="Arial" w:hAnsi="Arial"/>
          <w:sz w:val="21"/>
          <w:szCs w:val="21"/>
          <w:u w:val="single" w:color="auto"/>
          <w:color w:val="auto"/>
        </w:rPr>
        <w:t>Base Compensation</w:t>
      </w:r>
      <w:r>
        <w:rPr>
          <w:rFonts w:ascii="Arial" w:cs="Arial" w:eastAsia="Arial" w:hAnsi="Arial"/>
          <w:sz w:val="21"/>
          <w:szCs w:val="21"/>
          <w:color w:val="auto"/>
        </w:rPr>
        <w:t>”) of $390,000 per year (prorated for any partial year), payable in accordance with the Company’s regular payroll practices and shall be subject to all applicable tax withholdings and deductions. The Company shall review Executive’s performance from time to time for purposes of, among other things, determining the appropriateness of increasing or decreasing Executive’s Base Compensation hereunder. For purposes of the Agreement, the term “</w:t>
      </w:r>
      <w:r>
        <w:rPr>
          <w:rFonts w:ascii="Arial" w:cs="Arial" w:eastAsia="Arial" w:hAnsi="Arial"/>
          <w:sz w:val="21"/>
          <w:szCs w:val="21"/>
          <w:u w:val="single" w:color="auto"/>
          <w:color w:val="auto"/>
        </w:rPr>
        <w:t>Base Compensation</w:t>
      </w:r>
      <w:r>
        <w:rPr>
          <w:rFonts w:ascii="Arial" w:cs="Arial" w:eastAsia="Arial" w:hAnsi="Arial"/>
          <w:sz w:val="21"/>
          <w:szCs w:val="21"/>
          <w:color w:val="auto"/>
        </w:rPr>
        <w:t>” as of any point in time shall refer to the Base Compensation as adjusted pursuant to this Section 4.</w:t>
      </w:r>
    </w:p>
    <w:p>
      <w:pPr>
        <w:spacing w:after="0" w:line="139" w:lineRule="exact"/>
        <w:rPr>
          <w:rFonts w:ascii="Arial" w:cs="Arial" w:eastAsia="Arial" w:hAnsi="Arial"/>
          <w:sz w:val="21"/>
          <w:szCs w:val="21"/>
          <w:color w:val="auto"/>
        </w:rPr>
      </w:pPr>
    </w:p>
    <w:p>
      <w:pPr>
        <w:jc w:val="both"/>
        <w:ind w:left="120" w:right="119" w:firstLine="645"/>
        <w:spacing w:after="0" w:line="273" w:lineRule="auto"/>
        <w:tabs>
          <w:tab w:leader="none" w:pos="1416"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During the Employment Term, Executive may be eligible to receive an annual bonus (the “</w:t>
      </w:r>
      <w:r>
        <w:rPr>
          <w:rFonts w:ascii="Arial" w:cs="Arial" w:eastAsia="Arial" w:hAnsi="Arial"/>
          <w:sz w:val="19"/>
          <w:szCs w:val="19"/>
          <w:u w:val="single" w:color="auto"/>
          <w:color w:val="auto"/>
        </w:rPr>
        <w:t>Bonus</w:t>
      </w:r>
      <w:r>
        <w:rPr>
          <w:rFonts w:ascii="Arial" w:cs="Arial" w:eastAsia="Arial" w:hAnsi="Arial"/>
          <w:sz w:val="19"/>
          <w:szCs w:val="19"/>
          <w:color w:val="auto"/>
        </w:rPr>
        <w:t>”) targeted at 35% of Base Compensation. The actual amount of such Bonus, if any, will be determined by the Board of Directors of the Company or an authorized committee thereof (in either case, the “</w:t>
      </w:r>
      <w:r>
        <w:rPr>
          <w:rFonts w:ascii="Arial" w:cs="Arial" w:eastAsia="Arial" w:hAnsi="Arial"/>
          <w:sz w:val="19"/>
          <w:szCs w:val="19"/>
          <w:u w:val="single" w:color="auto"/>
          <w:color w:val="auto"/>
        </w:rPr>
        <w:t>Board</w:t>
      </w:r>
      <w:r>
        <w:rPr>
          <w:rFonts w:ascii="Arial" w:cs="Arial" w:eastAsia="Arial" w:hAnsi="Arial"/>
          <w:sz w:val="19"/>
          <w:szCs w:val="19"/>
          <w:color w:val="auto"/>
        </w:rPr>
        <w:t>”) in its sole and absolute discretion based upon, among other things, the Company’s achievement of performance milestones for each fiscal year (in each case, the “</w:t>
      </w:r>
      <w:r>
        <w:rPr>
          <w:rFonts w:ascii="Arial" w:cs="Arial" w:eastAsia="Arial" w:hAnsi="Arial"/>
          <w:sz w:val="19"/>
          <w:szCs w:val="19"/>
          <w:u w:val="single" w:color="auto"/>
          <w:color w:val="auto"/>
        </w:rPr>
        <w:t>Target Year</w:t>
      </w:r>
      <w:r>
        <w:rPr>
          <w:rFonts w:ascii="Arial" w:cs="Arial" w:eastAsia="Arial" w:hAnsi="Arial"/>
          <w:sz w:val="19"/>
          <w:szCs w:val="19"/>
          <w:color w:val="auto"/>
        </w:rPr>
        <w:t>”). The performance milestones referenced in this Section 5 for each Target Year shall be determined by the Board. The Bonus, if any, shall be paid no later than March 15 of the fiscal year immediately following the Target Year and will be pro-rated for Target Year 2021 based on the number of days Executive is employed by the Company in 2021. Executive must be continuously employed by the Company through the end of the Target Year for which the Bonus is calculated in order to receive such payment. Except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US-DOCS\115509506.5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339090</wp:posOffset>
            </wp:positionV>
            <wp:extent cx="558038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8" w:name="page129"/>
    <w:bookmarkEnd w:id="128"/>
    <w:p>
      <w:pPr>
        <w:jc w:val="both"/>
        <w:ind w:left="120" w:right="119"/>
        <w:spacing w:after="0" w:line="282" w:lineRule="auto"/>
        <w:rPr>
          <w:sz w:val="20"/>
          <w:szCs w:val="20"/>
          <w:color w:val="auto"/>
        </w:rPr>
      </w:pPr>
      <w:r>
        <w:rPr>
          <w:rFonts w:ascii="Arial" w:cs="Arial" w:eastAsia="Arial" w:hAnsi="Arial"/>
          <w:sz w:val="19"/>
          <w:szCs w:val="19"/>
          <w:color w:val="auto"/>
        </w:rPr>
        <w:t>the case of termination by the Company without Cause or due to Executive’s Disability, termination due to Executive’s death, or termination by the Executive for Good Reason, Executive must be employed by the Company on the Bonus payment date in order to be eligible for any such payment. For purposes of clarity, upon a termination by the Company for Cause or Executive’s termination without Good Reason, Executive will not be eligible to receive any Bonus.</w:t>
      </w:r>
    </w:p>
    <w:p>
      <w:pPr>
        <w:spacing w:after="0" w:line="107" w:lineRule="exact"/>
        <w:rPr>
          <w:sz w:val="20"/>
          <w:szCs w:val="20"/>
          <w:color w:val="auto"/>
        </w:rPr>
      </w:pPr>
    </w:p>
    <w:p>
      <w:pPr>
        <w:ind w:left="1420" w:hanging="655"/>
        <w:spacing w:after="0"/>
        <w:tabs>
          <w:tab w:leader="none" w:pos="1420"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Equity; Benefits; Vacation Days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20" w:right="119" w:firstLine="1293"/>
        <w:spacing w:after="0" w:line="245" w:lineRule="auto"/>
        <w:tabs>
          <w:tab w:leader="none" w:pos="2064" w:val="left"/>
        </w:tabs>
        <w:numPr>
          <w:ilvl w:val="2"/>
          <w:numId w:val="67"/>
        </w:numPr>
        <w:rPr>
          <w:rFonts w:ascii="Arial" w:cs="Arial" w:eastAsia="Arial" w:hAnsi="Arial"/>
          <w:sz w:val="21"/>
          <w:szCs w:val="21"/>
          <w:color w:val="auto"/>
        </w:rPr>
      </w:pPr>
      <w:r>
        <w:rPr>
          <w:rFonts w:ascii="Arial" w:cs="Arial" w:eastAsia="Arial" w:hAnsi="Arial"/>
          <w:sz w:val="21"/>
          <w:szCs w:val="21"/>
          <w:u w:val="single" w:color="auto"/>
          <w:color w:val="auto"/>
        </w:rPr>
        <w:t>Option</w:t>
      </w:r>
      <w:r>
        <w:rPr>
          <w:rFonts w:ascii="Arial" w:cs="Arial" w:eastAsia="Arial" w:hAnsi="Arial"/>
          <w:sz w:val="21"/>
          <w:szCs w:val="21"/>
          <w:color w:val="auto"/>
        </w:rPr>
        <w:t>. On or as soon as practicable following the Effective Date, Executive will be granted an option to purchase thirty-two thousand (32,000) shares of common stock of the Company with an exercise price per share equal to the closing price per share of the Company’s common stock on the date of grant or the last trading day preceding the date of grant if the date of grant is not a trading day (the “</w:t>
      </w:r>
      <w:r>
        <w:rPr>
          <w:rFonts w:ascii="Arial" w:cs="Arial" w:eastAsia="Arial" w:hAnsi="Arial"/>
          <w:sz w:val="21"/>
          <w:szCs w:val="21"/>
          <w:u w:val="single" w:color="auto"/>
          <w:color w:val="auto"/>
        </w:rPr>
        <w:t>Option</w:t>
      </w:r>
      <w:r>
        <w:rPr>
          <w:rFonts w:ascii="Arial" w:cs="Arial" w:eastAsia="Arial" w:hAnsi="Arial"/>
          <w:sz w:val="21"/>
          <w:szCs w:val="21"/>
          <w:color w:val="auto"/>
        </w:rPr>
        <w:t>”). Subject to Executive’s continued employment with the Company, the Option shall vest over a four-year period, with 25% vesting on the first anniversary of the Effective Date and the remaining 75% vesting in 36 equal monthly installments following the first anniversary of the Effective Date. The Option will be subject to the terms of the Company’s equity incentive plan under which it is granted and the applicable award agreement evidencing such award.</w:t>
      </w:r>
    </w:p>
    <w:p>
      <w:pPr>
        <w:spacing w:after="0" w:line="140" w:lineRule="exact"/>
        <w:rPr>
          <w:rFonts w:ascii="Arial" w:cs="Arial" w:eastAsia="Arial" w:hAnsi="Arial"/>
          <w:sz w:val="21"/>
          <w:szCs w:val="21"/>
          <w:color w:val="auto"/>
        </w:rPr>
      </w:pPr>
    </w:p>
    <w:p>
      <w:pPr>
        <w:jc w:val="both"/>
        <w:ind w:left="120" w:right="119" w:firstLine="1293"/>
        <w:spacing w:after="0" w:line="279" w:lineRule="auto"/>
        <w:tabs>
          <w:tab w:leader="none" w:pos="2064" w:val="left"/>
        </w:tabs>
        <w:numPr>
          <w:ilvl w:val="2"/>
          <w:numId w:val="67"/>
        </w:numPr>
        <w:rPr>
          <w:rFonts w:ascii="Arial" w:cs="Arial" w:eastAsia="Arial" w:hAnsi="Arial"/>
          <w:sz w:val="19"/>
          <w:szCs w:val="19"/>
          <w:color w:val="auto"/>
        </w:rPr>
      </w:pPr>
      <w:r>
        <w:rPr>
          <w:rFonts w:ascii="Arial" w:cs="Arial" w:eastAsia="Arial" w:hAnsi="Arial"/>
          <w:sz w:val="19"/>
          <w:szCs w:val="19"/>
          <w:u w:val="single" w:color="auto"/>
          <w:color w:val="auto"/>
        </w:rPr>
        <w:t>Employee Benefits</w:t>
      </w:r>
      <w:r>
        <w:rPr>
          <w:rFonts w:ascii="Arial" w:cs="Arial" w:eastAsia="Arial" w:hAnsi="Arial"/>
          <w:sz w:val="19"/>
          <w:szCs w:val="19"/>
          <w:color w:val="auto"/>
        </w:rPr>
        <w:t>. During the Employment Term, Executive shall be entitled to participate in all employee benefit plans and programs that the Company decides, in its sole and absolute discretion, to make available to the Company’s senior level executives as a group or to its employees generally, consistent with the terms thereof and as such plans or programs may be in effect from time to time. In no event shall Executive be eligible to participate in any severance plan or program of the Company, except as set forth in Section 8 of this Agreement.</w:t>
      </w:r>
    </w:p>
    <w:p>
      <w:pPr>
        <w:spacing w:after="0" w:line="109" w:lineRule="exact"/>
        <w:rPr>
          <w:rFonts w:ascii="Arial" w:cs="Arial" w:eastAsia="Arial" w:hAnsi="Arial"/>
          <w:sz w:val="19"/>
          <w:szCs w:val="19"/>
          <w:color w:val="auto"/>
        </w:rPr>
      </w:pPr>
    </w:p>
    <w:p>
      <w:pPr>
        <w:ind w:left="2060" w:hanging="647"/>
        <w:spacing w:after="0"/>
        <w:tabs>
          <w:tab w:leader="none" w:pos="2060" w:val="left"/>
        </w:tabs>
        <w:numPr>
          <w:ilvl w:val="2"/>
          <w:numId w:val="67"/>
        </w:numPr>
        <w:rPr>
          <w:rFonts w:ascii="Arial" w:cs="Arial" w:eastAsia="Arial" w:hAnsi="Arial"/>
          <w:sz w:val="19"/>
          <w:szCs w:val="19"/>
          <w:color w:val="auto"/>
        </w:rPr>
      </w:pPr>
      <w:r>
        <w:rPr>
          <w:rFonts w:ascii="Arial" w:cs="Arial" w:eastAsia="Arial" w:hAnsi="Arial"/>
          <w:sz w:val="19"/>
          <w:szCs w:val="19"/>
          <w:u w:val="single" w:color="auto"/>
          <w:color w:val="auto"/>
        </w:rPr>
        <w:t>Vacation</w:t>
      </w:r>
      <w:r>
        <w:rPr>
          <w:rFonts w:ascii="Arial" w:cs="Arial" w:eastAsia="Arial" w:hAnsi="Arial"/>
          <w:sz w:val="19"/>
          <w:szCs w:val="19"/>
          <w:color w:val="auto"/>
        </w:rPr>
        <w:t>. During the Employment Period, Employee shall be entitled to three</w:t>
      </w:r>
    </w:p>
    <w:p>
      <w:pPr>
        <w:spacing w:after="0" w:line="42" w:lineRule="exact"/>
        <w:rPr>
          <w:rFonts w:ascii="Arial" w:cs="Arial" w:eastAsia="Arial" w:hAnsi="Arial"/>
          <w:sz w:val="19"/>
          <w:szCs w:val="19"/>
          <w:color w:val="auto"/>
        </w:rPr>
      </w:pPr>
    </w:p>
    <w:p>
      <w:pPr>
        <w:jc w:val="both"/>
        <w:ind w:left="120" w:right="119" w:hanging="3"/>
        <w:spacing w:after="0" w:line="275" w:lineRule="auto"/>
        <w:tabs>
          <w:tab w:leader="none" w:pos="476" w:val="left"/>
        </w:tabs>
        <w:numPr>
          <w:ilvl w:val="0"/>
          <w:numId w:val="68"/>
        </w:numPr>
        <w:rPr>
          <w:rFonts w:ascii="Arial" w:cs="Arial" w:eastAsia="Arial" w:hAnsi="Arial"/>
          <w:sz w:val="19"/>
          <w:szCs w:val="19"/>
          <w:color w:val="auto"/>
        </w:rPr>
      </w:pPr>
      <w:r>
        <w:rPr>
          <w:rFonts w:ascii="Arial" w:cs="Arial" w:eastAsia="Arial" w:hAnsi="Arial"/>
          <w:sz w:val="19"/>
          <w:szCs w:val="19"/>
          <w:color w:val="auto"/>
        </w:rPr>
        <w:t>weeks of vacation per year (pro-rated for 2021 based on the number of days Executive is employed by the Company), as well as holidays, sick days and personal days in accordance with the Company’s policies, as such policies may be amended from time to time. Any unused vacation, holiday, sick or personal days earned in one calendar year may not be used in any subsequent calendar year. Upon the termination of the Executive’s employment with the Company, no cash shall be paid in lieu of accrued but unused vacation, holiday, sick or personal days.</w:t>
      </w:r>
    </w:p>
    <w:p>
      <w:pPr>
        <w:spacing w:after="0" w:line="126" w:lineRule="exact"/>
        <w:rPr>
          <w:rFonts w:ascii="Arial" w:cs="Arial" w:eastAsia="Arial" w:hAnsi="Arial"/>
          <w:sz w:val="19"/>
          <w:szCs w:val="19"/>
          <w:color w:val="auto"/>
        </w:rPr>
      </w:pPr>
    </w:p>
    <w:p>
      <w:pPr>
        <w:ind w:left="1420" w:hanging="655"/>
        <w:spacing w:after="0"/>
        <w:tabs>
          <w:tab w:leader="none" w:pos="1420"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120" w:right="119" w:firstLine="1293"/>
        <w:spacing w:after="0" w:line="234" w:lineRule="auto"/>
        <w:tabs>
          <w:tab w:leader="none" w:pos="2064" w:val="left"/>
        </w:tabs>
        <w:numPr>
          <w:ilvl w:val="2"/>
          <w:numId w:val="68"/>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w:t>
      </w:r>
      <w:r>
        <w:rPr>
          <w:rFonts w:ascii="Arial" w:cs="Arial" w:eastAsia="Arial" w:hAnsi="Arial"/>
          <w:sz w:val="22"/>
          <w:szCs w:val="22"/>
          <w:color w:val="auto"/>
        </w:rPr>
        <w:t>. The Company may terminate Executive’s employment immediately for Cause. Provided, however, that if the Company seeks to terminate Executive’s employment for Cause as defined in Section 1(a)(iii) or (iv), then Executive’s termination shall not be effective until the day immediately following the expiration of the Executive’s Cure Period. Except as otherwise set forth in Section 7(c) below, the Company must provide Executive with thirty (30) days advance written notice of its decision to terminate Executive’s employment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US-DOCS\115509506.5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339090</wp:posOffset>
            </wp:positionV>
            <wp:extent cx="558038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9" w:name="page130"/>
    <w:bookmarkEnd w:id="129"/>
    <w:p>
      <w:pPr>
        <w:jc w:val="both"/>
        <w:ind w:left="120" w:right="119" w:firstLine="1293"/>
        <w:spacing w:after="0" w:line="274" w:lineRule="auto"/>
        <w:tabs>
          <w:tab w:leader="none" w:pos="2064" w:val="left"/>
        </w:tabs>
        <w:numPr>
          <w:ilvl w:val="2"/>
          <w:numId w:val="69"/>
        </w:numPr>
        <w:rPr>
          <w:rFonts w:ascii="Arial" w:cs="Arial" w:eastAsia="Arial" w:hAnsi="Arial"/>
          <w:sz w:val="19"/>
          <w:szCs w:val="19"/>
          <w:color w:val="auto"/>
        </w:rPr>
      </w:pPr>
      <w:r>
        <w:rPr>
          <w:rFonts w:ascii="Arial" w:cs="Arial" w:eastAsia="Arial" w:hAnsi="Arial"/>
          <w:sz w:val="19"/>
          <w:szCs w:val="19"/>
          <w:u w:val="single" w:color="auto"/>
          <w:color w:val="auto"/>
        </w:rPr>
        <w:t>Termination by Executive</w:t>
      </w:r>
      <w:r>
        <w:rPr>
          <w:rFonts w:ascii="Arial" w:cs="Arial" w:eastAsia="Arial" w:hAnsi="Arial"/>
          <w:sz w:val="19"/>
          <w:szCs w:val="19"/>
          <w:color w:val="auto"/>
        </w:rPr>
        <w:t>. Executive may terminate Executive’s employment for Good Reason, provided that, if Executive seeks to terminate Executive’s employment for Good Reason, then such termination for Good Reason shall not be effective until the day immediately following the expiration of the Company’s Cure Period. Executive must provide the Company with ninety (90) days advance written notice of Executive’s decision to terminate Executive’s employment without Good Reason. Following its receipt of Executive’s advance written notice of Executive’s decision to terminate Executive’s employment without Good Reason, the Company may, in its sole and absolute discretion, decide to render Executive’s termination without Good Reason effective at any time prior to the expiration of the ninety (90) day notice period set forth in this Section 7(b).</w:t>
      </w:r>
    </w:p>
    <w:p>
      <w:pPr>
        <w:spacing w:after="0" w:line="118" w:lineRule="exact"/>
        <w:rPr>
          <w:rFonts w:ascii="Arial" w:cs="Arial" w:eastAsia="Arial" w:hAnsi="Arial"/>
          <w:sz w:val="19"/>
          <w:szCs w:val="19"/>
          <w:color w:val="auto"/>
        </w:rPr>
      </w:pPr>
    </w:p>
    <w:p>
      <w:pPr>
        <w:ind w:left="120" w:right="119" w:firstLine="1293"/>
        <w:spacing w:after="0" w:line="328" w:lineRule="auto"/>
        <w:tabs>
          <w:tab w:leader="none" w:pos="2064" w:val="left"/>
        </w:tabs>
        <w:numPr>
          <w:ilvl w:val="2"/>
          <w:numId w:val="69"/>
        </w:numPr>
        <w:rPr>
          <w:rFonts w:ascii="Arial" w:cs="Arial" w:eastAsia="Arial" w:hAnsi="Arial"/>
          <w:sz w:val="19"/>
          <w:szCs w:val="19"/>
          <w:color w:val="auto"/>
        </w:rPr>
      </w:pPr>
      <w:r>
        <w:rPr>
          <w:rFonts w:ascii="Arial" w:cs="Arial" w:eastAsia="Arial" w:hAnsi="Arial"/>
          <w:sz w:val="19"/>
          <w:szCs w:val="19"/>
          <w:u w:val="single" w:color="auto"/>
          <w:color w:val="auto"/>
        </w:rPr>
        <w:t>Termination for Death or Disability</w:t>
      </w:r>
      <w:r>
        <w:rPr>
          <w:rFonts w:ascii="Arial" w:cs="Arial" w:eastAsia="Arial" w:hAnsi="Arial"/>
          <w:sz w:val="19"/>
          <w:szCs w:val="19"/>
          <w:color w:val="auto"/>
        </w:rPr>
        <w:t>. Executive’s employment shall terminate automatically upon Executive’s death. The Company must provide Executive with ten</w:t>
      </w:r>
    </w:p>
    <w:p>
      <w:pPr>
        <w:spacing w:after="0" w:line="77" w:lineRule="exact"/>
        <w:rPr>
          <w:rFonts w:ascii="Arial" w:cs="Arial" w:eastAsia="Arial" w:hAnsi="Arial"/>
          <w:sz w:val="19"/>
          <w:szCs w:val="19"/>
          <w:color w:val="auto"/>
        </w:rPr>
      </w:pPr>
    </w:p>
    <w:p>
      <w:pPr>
        <w:ind w:left="120" w:right="119" w:hanging="3"/>
        <w:spacing w:after="0" w:line="250" w:lineRule="auto"/>
        <w:tabs>
          <w:tab w:leader="none" w:pos="551" w:val="left"/>
        </w:tabs>
        <w:numPr>
          <w:ilvl w:val="0"/>
          <w:numId w:val="70"/>
        </w:numPr>
        <w:rPr>
          <w:rFonts w:ascii="Arial" w:cs="Arial" w:eastAsia="Arial" w:hAnsi="Arial"/>
          <w:sz w:val="22"/>
          <w:szCs w:val="22"/>
          <w:color w:val="auto"/>
        </w:rPr>
      </w:pPr>
      <w:r>
        <w:rPr>
          <w:rFonts w:ascii="Arial" w:cs="Arial" w:eastAsia="Arial" w:hAnsi="Arial"/>
          <w:sz w:val="22"/>
          <w:szCs w:val="22"/>
          <w:color w:val="auto"/>
        </w:rPr>
        <w:t>days advance written notice of its decision to terminate Executive’s employment as a result of Executive’s Disability.</w:t>
      </w:r>
    </w:p>
    <w:p>
      <w:pPr>
        <w:spacing w:after="0" w:line="134" w:lineRule="exact"/>
        <w:rPr>
          <w:rFonts w:ascii="Arial" w:cs="Arial" w:eastAsia="Arial" w:hAnsi="Arial"/>
          <w:sz w:val="22"/>
          <w:szCs w:val="22"/>
          <w:color w:val="auto"/>
        </w:rPr>
      </w:pPr>
    </w:p>
    <w:p>
      <w:pPr>
        <w:jc w:val="both"/>
        <w:ind w:left="120" w:right="119" w:firstLine="1293"/>
        <w:spacing w:after="0"/>
        <w:tabs>
          <w:tab w:leader="none" w:pos="2064" w:val="left"/>
        </w:tabs>
        <w:numPr>
          <w:ilvl w:val="2"/>
          <w:numId w:val="70"/>
        </w:numPr>
        <w:rPr>
          <w:rFonts w:ascii="Arial" w:cs="Arial" w:eastAsia="Arial" w:hAnsi="Arial"/>
          <w:sz w:val="22"/>
          <w:szCs w:val="22"/>
          <w:color w:val="auto"/>
        </w:rPr>
      </w:pPr>
      <w:r>
        <w:rPr>
          <w:rFonts w:ascii="Arial" w:cs="Arial" w:eastAsia="Arial" w:hAnsi="Arial"/>
          <w:sz w:val="22"/>
          <w:szCs w:val="22"/>
          <w:u w:val="single" w:color="auto"/>
          <w:color w:val="auto"/>
        </w:rPr>
        <w:t>Deemed Resignation</w:t>
      </w:r>
      <w:r>
        <w:rPr>
          <w:rFonts w:ascii="Arial" w:cs="Arial" w:eastAsia="Arial" w:hAnsi="Arial"/>
          <w:sz w:val="22"/>
          <w:szCs w:val="22"/>
          <w:color w:val="auto"/>
        </w:rPr>
        <w:t>. Upon termination of Executive’s employment for any reason, Executive shall be deemed to have resigned from all offices and directorships, if any, then held with the Company or any of its subsidiaries.</w:t>
      </w:r>
    </w:p>
    <w:p>
      <w:pPr>
        <w:spacing w:after="0" w:line="145" w:lineRule="exact"/>
        <w:rPr>
          <w:rFonts w:ascii="Arial" w:cs="Arial" w:eastAsia="Arial" w:hAnsi="Arial"/>
          <w:sz w:val="22"/>
          <w:szCs w:val="22"/>
          <w:color w:val="auto"/>
        </w:rPr>
      </w:pPr>
    </w:p>
    <w:p>
      <w:pPr>
        <w:ind w:left="1420" w:hanging="655"/>
        <w:spacing w:after="0"/>
        <w:tabs>
          <w:tab w:leader="none" w:pos="1420"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Payments upon Termination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20" w:right="119" w:firstLine="1293"/>
        <w:spacing w:after="0" w:line="270" w:lineRule="auto"/>
        <w:tabs>
          <w:tab w:leader="none" w:pos="2064" w:val="left"/>
        </w:tabs>
        <w:numPr>
          <w:ilvl w:val="2"/>
          <w:numId w:val="71"/>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for Cause, Death or Disability or by Executive Without Good Reason</w:t>
      </w:r>
      <w:r>
        <w:rPr>
          <w:rFonts w:ascii="Arial" w:cs="Arial" w:eastAsia="Arial" w:hAnsi="Arial"/>
          <w:sz w:val="19"/>
          <w:szCs w:val="19"/>
          <w:color w:val="auto"/>
        </w:rPr>
        <w:t>. In the event that Executive’s employment hereunder is terminated: (i) by the Company for Cause; (ii) as a result of Executive’s death or by the Company due to Executive’s Disability; (iii) by Executive without Good Reason; or (iv) as a result of either the Company or Executive providing the other with notice of its intent not to renew the Employment Term pursuant to Section 3, then the Company shall pay to Executive (or in the case of death, Executive’s estate) (x) any portion of Executive’s unpaid Base Compensation then due for periods prior to the effective date of Executive’s termination; and (y) any vested amounts accrued and arising from Executive’s participation in, or vested benefits accrued under any employee benefit plans, programs or arrangements, which amounts shall be payable in accordance with the terms and conditions of such employee benefit plans, programs or arrangements. In addition, the Company shall reimburse Executive for all expenses reasonably and necessarily incurred by Executive in connection with the business of the Company prior to the effective date of termination, provided that Executive (or Executive’s estate) submit proper expense reports to the Company no later than fourteen (14) days after the effective date of Executive’s termination. Except as otherwise expressly required by law (e.g., COBRA) or as specifically provided in a benefit plan or herein, all of Executive’s rights to salary, severance, benefits, bonuses and other compensatory amounts hereunder (if any) shall cease upon the termination of Executive’s employment hereunder.</w:t>
      </w:r>
    </w:p>
    <w:p>
      <w:pPr>
        <w:spacing w:after="0" w:line="370" w:lineRule="exact"/>
        <w:rPr>
          <w:rFonts w:ascii="Arial" w:cs="Arial" w:eastAsia="Arial" w:hAnsi="Arial"/>
          <w:sz w:val="19"/>
          <w:szCs w:val="19"/>
          <w:color w:val="auto"/>
        </w:rPr>
      </w:pPr>
    </w:p>
    <w:p>
      <w:pPr>
        <w:jc w:val="both"/>
        <w:ind w:left="120" w:right="119" w:firstLine="1293"/>
        <w:spacing w:after="0" w:line="282" w:lineRule="auto"/>
        <w:tabs>
          <w:tab w:leader="none" w:pos="2064" w:val="left"/>
        </w:tabs>
        <w:numPr>
          <w:ilvl w:val="2"/>
          <w:numId w:val="71"/>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by Executive With Good Reason</w:t>
      </w:r>
      <w:r>
        <w:rPr>
          <w:rFonts w:ascii="Arial" w:cs="Arial" w:eastAsia="Arial" w:hAnsi="Arial"/>
          <w:sz w:val="19"/>
          <w:szCs w:val="19"/>
          <w:color w:val="auto"/>
        </w:rPr>
        <w:t>. In the event that Executive’s employment hereunder is terminated by the Company without Cause or by Executive with Good Reason, then the Company shall provide Executive with the same payments and benefits set forth in Section 8(a). Further, provided Executive timely executes a general release of all claims against the Company in a form acceptable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US-DOCS\115509506.5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339090</wp:posOffset>
            </wp:positionV>
            <wp:extent cx="558038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0" w:name="page131"/>
    <w:bookmarkEnd w:id="130"/>
    <w:p>
      <w:pPr>
        <w:jc w:val="both"/>
        <w:ind w:left="120" w:right="119"/>
        <w:spacing w:after="0" w:line="269" w:lineRule="auto"/>
        <w:rPr>
          <w:sz w:val="20"/>
          <w:szCs w:val="20"/>
          <w:color w:val="auto"/>
        </w:rPr>
      </w:pPr>
      <w:r>
        <w:rPr>
          <w:rFonts w:ascii="Arial" w:cs="Arial" w:eastAsia="Arial" w:hAnsi="Arial"/>
          <w:sz w:val="19"/>
          <w:szCs w:val="19"/>
          <w:color w:val="auto"/>
        </w:rPr>
        <w:t>Company (a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and the Release becomes effective within 60 days following the date of Executive’s termination, then Executive shall also receive: (i)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Bonus for the Target Year in which Executive’s termination became effective, payable on the same date that bonuses are payable to other executives of the Company in the year following such Target Year; (ii) continued payment of Executive’s Base Compensation during the six (6) month period immediately following Executive’s termination on the Company’s regularly scheduled payroll dates and (iii) reimbursement for Executive’s payment of COBRA premiums under the Company’s medical benefit plan during the six</w:t>
      </w:r>
    </w:p>
    <w:p>
      <w:pPr>
        <w:spacing w:after="0" w:line="5" w:lineRule="exact"/>
        <w:rPr>
          <w:sz w:val="20"/>
          <w:szCs w:val="20"/>
          <w:color w:val="auto"/>
        </w:rPr>
      </w:pPr>
    </w:p>
    <w:p>
      <w:pPr>
        <w:jc w:val="both"/>
        <w:ind w:left="120" w:right="119" w:hanging="3"/>
        <w:spacing w:after="0" w:line="233" w:lineRule="auto"/>
        <w:tabs>
          <w:tab w:leader="none" w:pos="446" w:val="left"/>
        </w:tabs>
        <w:numPr>
          <w:ilvl w:val="0"/>
          <w:numId w:val="72"/>
        </w:numPr>
        <w:rPr>
          <w:rFonts w:ascii="Arial" w:cs="Arial" w:eastAsia="Arial" w:hAnsi="Arial"/>
          <w:sz w:val="22"/>
          <w:szCs w:val="22"/>
          <w:color w:val="auto"/>
        </w:rPr>
      </w:pPr>
      <w:r>
        <w:rPr>
          <w:rFonts w:ascii="Arial" w:cs="Arial" w:eastAsia="Arial" w:hAnsi="Arial"/>
          <w:sz w:val="22"/>
          <w:szCs w:val="22"/>
          <w:color w:val="auto"/>
        </w:rPr>
        <w:t>month period immediately following Executive’s termination; provided, however, that if the 60 day period for the Release to become effective begins in one calendar year and ends in a second calendar year, the first installment of the payments made under (ii) hereof shall not be paid until the second calendar year and shall include all amounts that would have been paid prior to such date if such delay had not applied.</w:t>
      </w:r>
    </w:p>
    <w:p>
      <w:pPr>
        <w:spacing w:after="0" w:line="144" w:lineRule="exact"/>
        <w:rPr>
          <w:rFonts w:ascii="Arial" w:cs="Arial" w:eastAsia="Arial" w:hAnsi="Arial"/>
          <w:sz w:val="22"/>
          <w:szCs w:val="22"/>
          <w:color w:val="auto"/>
        </w:rPr>
      </w:pPr>
    </w:p>
    <w:p>
      <w:pPr>
        <w:jc w:val="both"/>
        <w:ind w:left="120" w:right="119" w:firstLine="1293"/>
        <w:spacing w:after="0" w:line="272" w:lineRule="auto"/>
        <w:tabs>
          <w:tab w:leader="none" w:pos="2064"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Termination Prior to a Change of Control</w:t>
      </w:r>
      <w:r>
        <w:rPr>
          <w:rFonts w:ascii="Arial" w:cs="Arial" w:eastAsia="Arial" w:hAnsi="Arial"/>
          <w:sz w:val="19"/>
          <w:szCs w:val="19"/>
          <w:color w:val="auto"/>
        </w:rPr>
        <w:t>. In the event that the Company terminates Executive’s employment without Cause or Executive terminates Executive’s employment with Good Reason and a Change of Control is consummated no more than six (6) months following the effective date of Executive’s termination, then, in addition to the payments and benefits set forth in Section 8(b), Executive shall also receive a lump sum payment equal to six (6) months of Executive’s Base Compensation. In order to receive the payment set forth in this Section 8(c): (i) the Change of Control must have been Pending on the effective date of Executive’s termination; and (ii) Executive must execute the Release and the Release must become effective within 60 days following the date of Executive’s termination. The payment shall be made on the first regularly scheduled payroll date following the later of (x) the Change of Control, and (y) the effective date of the Release; provided, however, that if the 60 day period for the Release to become effective begins in one calendar year and ends in a second calendar year, the payment shall not be paid until the second calendar year.</w:t>
      </w:r>
    </w:p>
    <w:p>
      <w:pPr>
        <w:spacing w:after="0" w:line="376" w:lineRule="exact"/>
        <w:rPr>
          <w:rFonts w:ascii="Arial" w:cs="Arial" w:eastAsia="Arial" w:hAnsi="Arial"/>
          <w:sz w:val="19"/>
          <w:szCs w:val="19"/>
          <w:color w:val="auto"/>
        </w:rPr>
      </w:pPr>
    </w:p>
    <w:p>
      <w:pPr>
        <w:jc w:val="both"/>
        <w:ind w:left="120" w:right="119" w:firstLine="1293"/>
        <w:spacing w:after="0" w:line="273" w:lineRule="auto"/>
        <w:tabs>
          <w:tab w:leader="none" w:pos="2064"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Termination Subsequent to a Change of Control</w:t>
      </w:r>
      <w:r>
        <w:rPr>
          <w:rFonts w:ascii="Arial" w:cs="Arial" w:eastAsia="Arial" w:hAnsi="Arial"/>
          <w:sz w:val="19"/>
          <w:szCs w:val="19"/>
          <w:color w:val="auto"/>
        </w:rPr>
        <w:t>. In the event that the Company terminates Executive’s employment without Cause or Executive terminates Executive’s employment with Good Reason and a Change of Control is consummated no more than twelve (12) months prior to the effective date of Executive’s termination, then, in addition to the payments and benefits set forth in Section 8(b), Executive shall also receive a lump sum payment equal to six (6) months of Executive’s Base Compensation. In order to receive the payment set forth in this Section 8(d), Executive must execute the Release and the Release must become effective within 60 days following the date of Executive’s termination. The payment shall be made on the first regularly scheduled payroll date following the effective date of the Release; provided, however, that if the 60 day period for the Release to become effective begins in one calendar year and ends in a second calendar year, the payment shall not be paid until the second calendar year.</w:t>
      </w:r>
    </w:p>
    <w:p>
      <w:pPr>
        <w:spacing w:after="0" w:line="114" w:lineRule="exact"/>
        <w:rPr>
          <w:rFonts w:ascii="Arial" w:cs="Arial" w:eastAsia="Arial" w:hAnsi="Arial"/>
          <w:sz w:val="19"/>
          <w:szCs w:val="19"/>
          <w:color w:val="auto"/>
        </w:rPr>
      </w:pPr>
    </w:p>
    <w:p>
      <w:pPr>
        <w:jc w:val="both"/>
        <w:ind w:left="120" w:right="119" w:firstLine="1293"/>
        <w:spacing w:after="0" w:line="234" w:lineRule="auto"/>
        <w:tabs>
          <w:tab w:leader="none" w:pos="2064"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Definition of “Pending</w:t>
      </w:r>
      <w:r>
        <w:rPr>
          <w:rFonts w:ascii="Arial" w:cs="Arial" w:eastAsia="Arial" w:hAnsi="Arial"/>
          <w:sz w:val="22"/>
          <w:szCs w:val="22"/>
          <w:color w:val="auto"/>
        </w:rPr>
        <w:t>.” For purposes of Section 8(c), a Change of Control transaction shall be deemed to be “</w:t>
      </w:r>
      <w:r>
        <w:rPr>
          <w:rFonts w:ascii="Arial" w:cs="Arial" w:eastAsia="Arial" w:hAnsi="Arial"/>
          <w:sz w:val="22"/>
          <w:szCs w:val="22"/>
          <w:u w:val="single" w:color="auto"/>
          <w:color w:val="auto"/>
        </w:rPr>
        <w:t>Pending</w:t>
      </w:r>
      <w:r>
        <w:rPr>
          <w:rFonts w:ascii="Arial" w:cs="Arial" w:eastAsia="Arial" w:hAnsi="Arial"/>
          <w:sz w:val="22"/>
          <w:szCs w:val="22"/>
          <w:color w:val="auto"/>
        </w:rPr>
        <w:t>” each time any of the following circumstances exist: (A) the Company and a third party have entered into a confidentiality agreement that has been signed by a duly-authorized officer of the Company and that is related to a potential Change of Control transaction; or (B) the Company has received a written expression of interest from a third party, including a binding or non-binding term sheet or letter of intent, related to a potential Change of Control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US-DOCS\115509506.5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339090</wp:posOffset>
            </wp:positionV>
            <wp:extent cx="558038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1" w:name="page132"/>
    <w:bookmarkEnd w:id="131"/>
    <w:p>
      <w:pPr>
        <w:jc w:val="both"/>
        <w:ind w:left="120" w:right="119" w:firstLine="645"/>
        <w:spacing w:after="0" w:line="238" w:lineRule="auto"/>
        <w:tabs>
          <w:tab w:leader="none" w:pos="1416"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Directors &amp; Officers Liability Insurance</w:t>
      </w:r>
      <w:r>
        <w:rPr>
          <w:rFonts w:ascii="Arial" w:cs="Arial" w:eastAsia="Arial" w:hAnsi="Arial"/>
          <w:sz w:val="22"/>
          <w:szCs w:val="22"/>
          <w:color w:val="auto"/>
        </w:rPr>
        <w:t>. The Company further agrees to maintain a directors and officers liability insurance policy covering Executive in an amount and on terms no less favorable to Executive than the coverage the Company provides other senior executives and directors.</w:t>
      </w:r>
    </w:p>
    <w:p>
      <w:pPr>
        <w:spacing w:after="0" w:line="144" w:lineRule="exact"/>
        <w:rPr>
          <w:rFonts w:ascii="Arial" w:cs="Arial" w:eastAsia="Arial" w:hAnsi="Arial"/>
          <w:sz w:val="22"/>
          <w:szCs w:val="22"/>
          <w:color w:val="auto"/>
        </w:rPr>
      </w:pPr>
    </w:p>
    <w:p>
      <w:pPr>
        <w:jc w:val="both"/>
        <w:ind w:left="120" w:right="119" w:firstLine="645"/>
        <w:spacing w:after="0" w:line="244" w:lineRule="auto"/>
        <w:tabs>
          <w:tab w:leader="none" w:pos="1416"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This Agreement shall be binding upon and inure to the benefit of the heirs and representatives of Executive and the assigns and successors of the Company, but neither this Agreement nor any rights or obligations hereunder shall be assignable or otherwise subject to hypothecation by Executive (except by will or by operation of the laws of intestate succession or by Executive notifying the Company that cash payment be made to an affiliated investment partnership in which Executive is a control person) or by Company, except that Company may assign this Agreement to any successor (whether by merger, purchase or otherwise) to all or substantially all of the stock, assets or businesses of Company, and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w:t>
      </w:r>
    </w:p>
    <w:p>
      <w:pPr>
        <w:spacing w:after="0" w:line="158" w:lineRule="exact"/>
        <w:rPr>
          <w:rFonts w:ascii="Arial" w:cs="Arial" w:eastAsia="Arial" w:hAnsi="Arial"/>
          <w:sz w:val="21"/>
          <w:szCs w:val="21"/>
          <w:color w:val="auto"/>
        </w:rPr>
      </w:pPr>
    </w:p>
    <w:p>
      <w:pPr>
        <w:jc w:val="both"/>
        <w:ind w:left="120" w:right="119" w:firstLine="645"/>
        <w:spacing w:after="0" w:line="248" w:lineRule="auto"/>
        <w:tabs>
          <w:tab w:leader="none" w:pos="1416"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Notices and all other communications contemplated by this Agreement shall be in writing and shall be deemed to have been duly given when personally delivered (if to the Company, addressed to its Secretary at the Company’s principal place of business on a non- holiday weekday between the hours of 9 a.m. and 5 p.m.; if to Executive, via personal service to Executive’s last known residence) or three business days following the date it is mailed by U.S. registered or certified mail, return receipt requested and postage prepaid.</w:t>
      </w:r>
    </w:p>
    <w:p>
      <w:pPr>
        <w:spacing w:after="0" w:line="136" w:lineRule="exact"/>
        <w:rPr>
          <w:rFonts w:ascii="Arial" w:cs="Arial" w:eastAsia="Arial" w:hAnsi="Arial"/>
          <w:sz w:val="21"/>
          <w:szCs w:val="21"/>
          <w:color w:val="auto"/>
        </w:rPr>
      </w:pPr>
    </w:p>
    <w:p>
      <w:pPr>
        <w:ind w:left="1420" w:hanging="655"/>
        <w:spacing w:after="0"/>
        <w:tabs>
          <w:tab w:leader="none" w:pos="142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120" w:right="119" w:firstLine="1293"/>
        <w:spacing w:after="0" w:line="270" w:lineRule="auto"/>
        <w:tabs>
          <w:tab w:leader="none" w:pos="2064" w:val="left"/>
        </w:tabs>
        <w:numPr>
          <w:ilvl w:val="1"/>
          <w:numId w:val="73"/>
        </w:numPr>
        <w:rPr>
          <w:rFonts w:ascii="Arial" w:cs="Arial" w:eastAsia="Arial" w:hAnsi="Arial"/>
          <w:sz w:val="19"/>
          <w:szCs w:val="19"/>
          <w:color w:val="auto"/>
        </w:rPr>
      </w:pPr>
      <w:r>
        <w:rPr>
          <w:rFonts w:ascii="Arial" w:cs="Arial" w:eastAsia="Arial" w:hAnsi="Arial"/>
          <w:sz w:val="19"/>
          <w:szCs w:val="19"/>
          <w:color w:val="auto"/>
        </w:rPr>
        <w:t>Executive recognizes and acknowledges that by reason of Executive’s employment by and service to the Company before, during and, if applicable, after the Employment Term, Executive will have access to certain confidential and proprietary information relating to the business of the Company or its affiliates, which may include, but is not limited to, trade secrets, trade “know-how,” product development techniques and plans, formulas, customer lists and addresses, financing services, funding programs, cost and pricing information, marketing and sales techniques, strategy and programs, computer programs and software and financial information (collectively referred to herein as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Executive acknowledges that such Confidential Information is a valuable and unique asset of the Company and its affiliates and Executive covenants that Executive will not, unless expressly authorized in writing by the Company, at any time during the course of Executive’s employment use any Confidential Information or divulge or disclose any Confidential Information to any person, firm or corporation except in connection with the performance of Executive’s duties for and on behalf of the Company and in a manner consistent with the policies of the Company or its affiliates regarding Confidential Information. Executive also covenants that at any time after the termination of such employment, directly or indirectly, Executive will not use any Confidential Information or divulge or disclose any Confidential Information to any person, firm or corporation, unless such information is in the public domain through no fault of Executive or except when required to do so by a court of law, by any governmental agency having supervisory authority over the business of the Company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US-DOCS\115509506.5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339090</wp:posOffset>
            </wp:positionV>
            <wp:extent cx="558038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2" w:name="page133"/>
    <w:bookmarkEnd w:id="132"/>
    <w:p>
      <w:pPr>
        <w:jc w:val="both"/>
        <w:ind w:left="120" w:right="119"/>
        <w:spacing w:after="0" w:line="272" w:lineRule="auto"/>
        <w:rPr>
          <w:sz w:val="20"/>
          <w:szCs w:val="20"/>
          <w:color w:val="auto"/>
        </w:rPr>
      </w:pPr>
      <w:r>
        <w:rPr>
          <w:rFonts w:ascii="Arial" w:cs="Arial" w:eastAsia="Arial" w:hAnsi="Arial"/>
          <w:sz w:val="19"/>
          <w:szCs w:val="19"/>
          <w:color w:val="auto"/>
        </w:rPr>
        <w:t>affiliates or by any administrative or legislative body (including a committee thereof) with apparent jurisdiction to order Executive to divulge, disclose or make accessible such information. All written Confidential Information (including, without limitation, in any computer or other electronic format) which comes into Executive’s possession during the course of Executive’s employment shall remain the property of the Company or its affiliates, as applicable. Unless expressly authorized in writing by the Company, Executive shall not remove any written Confidential Information from the premises of the Company or its affiliates, except in connection with the performance of Executive’s duties for and on behalf of the Company and in a manner consistent with the policies of the Company or its affiliates regarding Confidential Information. Upon termination of Executive’s employment, the Executive agrees to immediately return to the Company and its affiliates all written Confidential Information (including, without limitation, in any computer or other electronic format) in Executive’s possession.</w:t>
      </w:r>
    </w:p>
    <w:p>
      <w:pPr>
        <w:spacing w:after="0" w:line="368" w:lineRule="exact"/>
        <w:rPr>
          <w:sz w:val="20"/>
          <w:szCs w:val="20"/>
          <w:color w:val="auto"/>
        </w:rPr>
      </w:pPr>
    </w:p>
    <w:p>
      <w:pPr>
        <w:jc w:val="both"/>
        <w:ind w:left="120" w:right="119" w:firstLine="1293"/>
        <w:spacing w:after="0" w:line="269" w:lineRule="auto"/>
        <w:tabs>
          <w:tab w:leader="none" w:pos="2064" w:val="left"/>
        </w:tabs>
        <w:numPr>
          <w:ilvl w:val="2"/>
          <w:numId w:val="74"/>
        </w:numPr>
        <w:rPr>
          <w:rFonts w:ascii="Arial" w:cs="Arial" w:eastAsia="Arial" w:hAnsi="Arial"/>
          <w:sz w:val="19"/>
          <w:szCs w:val="19"/>
          <w:color w:val="auto"/>
        </w:rPr>
      </w:pPr>
      <w:r>
        <w:rPr>
          <w:rFonts w:ascii="Arial" w:cs="Arial" w:eastAsia="Arial" w:hAnsi="Arial"/>
          <w:sz w:val="19"/>
          <w:szCs w:val="19"/>
          <w:color w:val="auto"/>
        </w:rPr>
        <w:t>Notwithstanding anything to the contrary herein, nothing in this Agreement is intended to or will be used by the Company in any way to prohibit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w:t>
      </w:r>
    </w:p>
    <w:p>
      <w:pPr>
        <w:spacing w:after="0" w:line="4" w:lineRule="exact"/>
        <w:rPr>
          <w:rFonts w:ascii="Arial" w:cs="Arial" w:eastAsia="Arial" w:hAnsi="Arial"/>
          <w:sz w:val="19"/>
          <w:szCs w:val="19"/>
          <w:color w:val="auto"/>
        </w:rPr>
      </w:pPr>
    </w:p>
    <w:p>
      <w:pPr>
        <w:jc w:val="both"/>
        <w:ind w:left="120" w:right="119" w:hanging="3"/>
        <w:spacing w:after="0" w:line="271" w:lineRule="auto"/>
        <w:tabs>
          <w:tab w:leader="none" w:pos="306" w:val="left"/>
        </w:tabs>
        <w:numPr>
          <w:ilvl w:val="0"/>
          <w:numId w:val="74"/>
        </w:numPr>
        <w:rPr>
          <w:rFonts w:ascii="Arial" w:cs="Arial" w:eastAsia="Arial" w:hAnsi="Arial"/>
          <w:sz w:val="19"/>
          <w:szCs w:val="19"/>
          <w:color w:val="auto"/>
        </w:rPr>
      </w:pPr>
      <w:r>
        <w:rPr>
          <w:rFonts w:ascii="Arial" w:cs="Arial" w:eastAsia="Arial" w:hAnsi="Arial"/>
          <w:sz w:val="19"/>
          <w:szCs w:val="19"/>
          <w:color w:val="auto"/>
        </w:rPr>
        <w:t>1833, notwithstanding anything to the contrary in this Agreement: (A)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33" w:lineRule="exact"/>
        <w:rPr>
          <w:rFonts w:ascii="Arial" w:cs="Arial" w:eastAsia="Arial" w:hAnsi="Arial"/>
          <w:sz w:val="19"/>
          <w:szCs w:val="19"/>
          <w:color w:val="auto"/>
        </w:rPr>
      </w:pPr>
    </w:p>
    <w:p>
      <w:pPr>
        <w:ind w:left="1420" w:hanging="655"/>
        <w:spacing w:after="0"/>
        <w:tabs>
          <w:tab w:leader="none" w:pos="1420"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Non-Competition; Non-Solicitation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120" w:right="119" w:firstLine="1293"/>
        <w:spacing w:after="0" w:line="272" w:lineRule="auto"/>
        <w:tabs>
          <w:tab w:leader="none" w:pos="2064" w:val="left"/>
        </w:tabs>
        <w:numPr>
          <w:ilvl w:val="2"/>
          <w:numId w:val="75"/>
        </w:numPr>
        <w:rPr>
          <w:rFonts w:ascii="Arial" w:cs="Arial" w:eastAsia="Arial" w:hAnsi="Arial"/>
          <w:sz w:val="19"/>
          <w:szCs w:val="19"/>
          <w:color w:val="auto"/>
        </w:rPr>
      </w:pPr>
      <w:r>
        <w:rPr>
          <w:rFonts w:ascii="Arial" w:cs="Arial" w:eastAsia="Arial" w:hAnsi="Arial"/>
          <w:sz w:val="19"/>
          <w:szCs w:val="19"/>
          <w:u w:val="single" w:color="auto"/>
          <w:color w:val="auto"/>
        </w:rPr>
        <w:t>Non-Compete</w:t>
      </w:r>
      <w:r>
        <w:rPr>
          <w:rFonts w:ascii="Arial" w:cs="Arial" w:eastAsia="Arial" w:hAnsi="Arial"/>
          <w:sz w:val="19"/>
          <w:szCs w:val="19"/>
          <w:color w:val="auto"/>
        </w:rPr>
        <w:t>. Except to the extent the following restrictions would prevent Executive from practicing law or otherwise violate any rules of professional conduct to which Executive is bound, Executive hereby covenants and agrees that during the Employment Term and for a period of one (1) year following the termination of Executive’s employment, regardless of the reason for such termination, Executive will not, without the prior written consent of the Company, directly or indirectly, on Executive’s own behalf or in the service or on behalf of others, whether or not for compensation, engage in any business activity, or have any interest in any person, firm, corporation or business, through a subsidiary or parent entity or other entity (whether as a shareholder, agent, joint venturer, security holder, trustee, partner, Executive, creditor lending credit or money for the purpose of establishing or operating any such business, partner or otherwise) with any Competing Business in the Covered Area. For the purpose of this Section 13(a), “</w:t>
      </w:r>
      <w:r>
        <w:rPr>
          <w:rFonts w:ascii="Arial" w:cs="Arial" w:eastAsia="Arial" w:hAnsi="Arial"/>
          <w:sz w:val="19"/>
          <w:szCs w:val="19"/>
          <w:u w:val="single" w:color="auto"/>
          <w:color w:val="auto"/>
        </w:rPr>
        <w:t>Competing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Business</w:t>
      </w:r>
      <w:r>
        <w:rPr>
          <w:rFonts w:ascii="Arial" w:cs="Arial" w:eastAsia="Arial" w:hAnsi="Arial"/>
          <w:sz w:val="19"/>
          <w:szCs w:val="19"/>
          <w:color w:val="auto"/>
        </w:rPr>
        <w:t>” means any business competing with any products and/or services of the Company or its affiliates that exist or are in the process of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US-DOCS\115509506.5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339090</wp:posOffset>
            </wp:positionV>
            <wp:extent cx="558038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3" w:name="page134"/>
    <w:bookmarkEnd w:id="133"/>
    <w:p>
      <w:pPr>
        <w:jc w:val="both"/>
        <w:ind w:left="120" w:right="119"/>
        <w:spacing w:after="0" w:line="247" w:lineRule="auto"/>
        <w:rPr>
          <w:sz w:val="20"/>
          <w:szCs w:val="20"/>
          <w:color w:val="auto"/>
        </w:rPr>
      </w:pPr>
      <w:r>
        <w:rPr>
          <w:rFonts w:ascii="Arial" w:cs="Arial" w:eastAsia="Arial" w:hAnsi="Arial"/>
          <w:sz w:val="21"/>
          <w:szCs w:val="21"/>
          <w:color w:val="auto"/>
        </w:rPr>
        <w:t>actively developed or acquired as of or within the six month period prior to the effective date of Executive’s termination. For the purpose of this Section 13(a), “</w:t>
      </w:r>
      <w:r>
        <w:rPr>
          <w:rFonts w:ascii="Arial" w:cs="Arial" w:eastAsia="Arial" w:hAnsi="Arial"/>
          <w:sz w:val="21"/>
          <w:szCs w:val="21"/>
          <w:u w:val="single" w:color="auto"/>
          <w:color w:val="auto"/>
        </w:rPr>
        <w:t>Covered Area</w:t>
      </w:r>
      <w:r>
        <w:rPr>
          <w:rFonts w:ascii="Arial" w:cs="Arial" w:eastAsia="Arial" w:hAnsi="Arial"/>
          <w:sz w:val="21"/>
          <w:szCs w:val="21"/>
          <w:color w:val="auto"/>
        </w:rPr>
        <w:t>” means all geographical areas of the United States and other foreign jurisdictions where the Company has offices and/or sells its products directly or indirectly through distributors and/or other sales agents. Notwithstanding the foregoing, Executive may own shares of companies whose securities are publicly traded, so long as ownership of such securities do not constitute more than one percent (1%) of the outstanding securities of any such company.</w:t>
      </w:r>
    </w:p>
    <w:p>
      <w:pPr>
        <w:spacing w:after="0" w:line="137" w:lineRule="exact"/>
        <w:rPr>
          <w:sz w:val="20"/>
          <w:szCs w:val="20"/>
          <w:color w:val="auto"/>
        </w:rPr>
      </w:pPr>
    </w:p>
    <w:p>
      <w:pPr>
        <w:jc w:val="both"/>
        <w:ind w:left="120" w:right="119" w:firstLine="1293"/>
        <w:spacing w:after="0" w:line="275" w:lineRule="auto"/>
        <w:tabs>
          <w:tab w:leader="none" w:pos="2064"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Executive further agrees that during the Employment Term and for a period of one (1) year following the termination of Executive’s employment, regardless of the reason for such termination, Executive will not divert any business of the Company and/or its affiliates or any customers or suppliers of the Company and/or the Company’s and/or its affiliates’ business to any other person, entity or competitor, or induce or attempt to induce, directly or indirectly, any person to leave his or her employment with the Company and/or its affiliates; provided, however, that the foregoing provisions shall not apply to a general advertisement or solicitation program that is not specifically targeted at such employees.</w:t>
      </w:r>
    </w:p>
    <w:p>
      <w:pPr>
        <w:spacing w:after="0" w:line="130" w:lineRule="exact"/>
        <w:rPr>
          <w:rFonts w:ascii="Arial" w:cs="Arial" w:eastAsia="Arial" w:hAnsi="Arial"/>
          <w:sz w:val="19"/>
          <w:szCs w:val="19"/>
          <w:color w:val="auto"/>
        </w:rPr>
      </w:pPr>
    </w:p>
    <w:p>
      <w:pPr>
        <w:jc w:val="both"/>
        <w:ind w:left="120" w:right="119" w:firstLine="1293"/>
        <w:spacing w:after="0" w:line="271" w:lineRule="auto"/>
        <w:tabs>
          <w:tab w:leader="none" w:pos="2064"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Injunctive Relief; Modification</w:t>
      </w:r>
      <w:r>
        <w:rPr>
          <w:rFonts w:ascii="Arial" w:cs="Arial" w:eastAsia="Arial" w:hAnsi="Arial"/>
          <w:sz w:val="19"/>
          <w:szCs w:val="19"/>
          <w:color w:val="auto"/>
        </w:rPr>
        <w:t>. Executive acknowledges and agrees that Executive’s obligations provided herein are necessary and reasonable in order to protect the Company and its affiliates and their respective business and the Executive expressly agrees that monetary damages would be inadequate to compensate the Company and/or its affiliates for any breach by the Executive of Executive’s covenants and agreements set forth herein. Accordingly, Executive agrees and acknowledges that any such violation or threatened violation of Section 12 or 13 will cause irreparable injury to the Company and that, in addition to any other remedies that may be available, in law, in equity or otherwise, the Company and its affiliates shall be entitled to obtain injunctive relief against the threatened breach or the continuation of any such breach by the Executive of Section 12 or 13 without the necessity of proving actual damages. If, at the time of enforcement of Sections 12 or 13, a court shall hold that the duration, scope or area restrictions stated therein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therein to cover the maximum period, scope and area permitted by law.</w:t>
      </w:r>
    </w:p>
    <w:p>
      <w:pPr>
        <w:spacing w:after="0" w:line="119" w:lineRule="exact"/>
        <w:rPr>
          <w:rFonts w:ascii="Arial" w:cs="Arial" w:eastAsia="Arial" w:hAnsi="Arial"/>
          <w:sz w:val="19"/>
          <w:szCs w:val="19"/>
          <w:color w:val="auto"/>
        </w:rPr>
      </w:pPr>
    </w:p>
    <w:p>
      <w:pPr>
        <w:ind w:left="1420" w:hanging="655"/>
        <w:spacing w:after="0"/>
        <w:tabs>
          <w:tab w:leader="none" w:pos="142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120" w:right="119" w:firstLine="1293"/>
        <w:spacing w:after="0" w:line="235" w:lineRule="auto"/>
        <w:tabs>
          <w:tab w:leader="none" w:pos="2064"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Modifications; No Waiver</w:t>
      </w:r>
      <w:r>
        <w:rPr>
          <w:rFonts w:ascii="Arial" w:cs="Arial" w:eastAsia="Arial" w:hAnsi="Arial"/>
          <w:sz w:val="22"/>
          <w:szCs w:val="22"/>
          <w:color w:val="auto"/>
        </w:rPr>
        <w:t>. No provision of this Agreement may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60" w:lineRule="exact"/>
        <w:rPr>
          <w:rFonts w:ascii="Arial" w:cs="Arial" w:eastAsia="Arial" w:hAnsi="Arial"/>
          <w:sz w:val="22"/>
          <w:szCs w:val="22"/>
          <w:color w:val="auto"/>
        </w:rPr>
      </w:pPr>
    </w:p>
    <w:p>
      <w:pPr>
        <w:jc w:val="both"/>
        <w:ind w:left="120" w:right="119" w:firstLine="1293"/>
        <w:spacing w:after="0" w:line="297" w:lineRule="auto"/>
        <w:tabs>
          <w:tab w:leader="none" w:pos="2064"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supersedes all prior agreements and understandings between the parties, oral or written, including, without limitation, that certain letter agreement from the Company to Executive regarding the Company’s offer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US-DOCS\115509506.5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347980</wp:posOffset>
            </wp:positionV>
            <wp:extent cx="558038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4" w:name="page135"/>
    <w:bookmarkEnd w:id="134"/>
    <w:p>
      <w:pPr>
        <w:ind w:left="120" w:right="119"/>
        <w:spacing w:after="0" w:line="251" w:lineRule="auto"/>
        <w:rPr>
          <w:sz w:val="20"/>
          <w:szCs w:val="20"/>
          <w:color w:val="auto"/>
        </w:rPr>
      </w:pPr>
      <w:r>
        <w:rPr>
          <w:rFonts w:ascii="Arial" w:cs="Arial" w:eastAsia="Arial" w:hAnsi="Arial"/>
          <w:sz w:val="22"/>
          <w:szCs w:val="22"/>
          <w:color w:val="auto"/>
        </w:rPr>
        <w:t>No modification, termination or attempted waiver shall be valid unless in writing, signed by the party against whom such modification, termination or waiver is sought to be enforced.</w:t>
      </w:r>
    </w:p>
    <w:p>
      <w:pPr>
        <w:spacing w:after="0" w:line="133" w:lineRule="exact"/>
        <w:rPr>
          <w:sz w:val="20"/>
          <w:szCs w:val="20"/>
          <w:color w:val="auto"/>
        </w:rPr>
      </w:pPr>
    </w:p>
    <w:p>
      <w:pPr>
        <w:jc w:val="both"/>
        <w:ind w:left="120" w:right="119" w:firstLine="1293"/>
        <w:spacing w:after="0"/>
        <w:tabs>
          <w:tab w:leader="none" w:pos="2064"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Agreement shall be governed by the internal substantive laws, but not the conflicts of law rules, of the State of Connecticut.</w:t>
      </w:r>
    </w:p>
    <w:p>
      <w:pPr>
        <w:spacing w:after="0" w:line="159" w:lineRule="exact"/>
        <w:rPr>
          <w:rFonts w:ascii="Arial" w:cs="Arial" w:eastAsia="Arial" w:hAnsi="Arial"/>
          <w:sz w:val="22"/>
          <w:szCs w:val="22"/>
          <w:color w:val="auto"/>
        </w:rPr>
      </w:pPr>
    </w:p>
    <w:p>
      <w:pPr>
        <w:jc w:val="both"/>
        <w:ind w:left="120" w:right="119" w:firstLine="1293"/>
        <w:spacing w:after="0"/>
        <w:tabs>
          <w:tab w:leader="none" w:pos="2064"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shall not affect the validity or enforceability of any other provision hereof, which shall remain in full force and effect.</w:t>
      </w:r>
    </w:p>
    <w:p>
      <w:pPr>
        <w:spacing w:after="0" w:line="145" w:lineRule="exact"/>
        <w:rPr>
          <w:rFonts w:ascii="Arial" w:cs="Arial" w:eastAsia="Arial" w:hAnsi="Arial"/>
          <w:sz w:val="22"/>
          <w:szCs w:val="22"/>
          <w:color w:val="auto"/>
        </w:rPr>
      </w:pPr>
    </w:p>
    <w:p>
      <w:pPr>
        <w:jc w:val="both"/>
        <w:ind w:left="120" w:right="119" w:firstLine="1293"/>
        <w:spacing w:after="0" w:line="238" w:lineRule="auto"/>
        <w:tabs>
          <w:tab w:leader="none" w:pos="2064"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separate counterparts, any one of which need not contain signatures of more than one party, and may be delivered by facsimile or other electronic means, but all of which shall be deemed originals and taken together will constitute one and the same Agreement.</w:t>
      </w:r>
    </w:p>
    <w:p>
      <w:pPr>
        <w:spacing w:after="0" w:line="144" w:lineRule="exact"/>
        <w:rPr>
          <w:rFonts w:ascii="Arial" w:cs="Arial" w:eastAsia="Arial" w:hAnsi="Arial"/>
          <w:sz w:val="22"/>
          <w:szCs w:val="22"/>
          <w:color w:val="auto"/>
        </w:rPr>
      </w:pPr>
    </w:p>
    <w:p>
      <w:pPr>
        <w:ind w:left="120" w:right="119" w:firstLine="1293"/>
        <w:spacing w:after="0" w:line="328" w:lineRule="auto"/>
        <w:tabs>
          <w:tab w:leader="none" w:pos="2064"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of the Sections hereof are inserted for convenience only and shall not be deemed to constitute a part hereof nor to affect the meaning thereof.</w:t>
      </w:r>
    </w:p>
    <w:p>
      <w:pPr>
        <w:spacing w:after="0" w:line="77" w:lineRule="exact"/>
        <w:rPr>
          <w:rFonts w:ascii="Arial" w:cs="Arial" w:eastAsia="Arial" w:hAnsi="Arial"/>
          <w:sz w:val="19"/>
          <w:szCs w:val="19"/>
          <w:color w:val="auto"/>
        </w:rPr>
      </w:pPr>
    </w:p>
    <w:p>
      <w:pPr>
        <w:jc w:val="both"/>
        <w:ind w:left="120" w:right="119" w:firstLine="1293"/>
        <w:spacing w:after="0"/>
        <w:tabs>
          <w:tab w:leader="none" w:pos="2064"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Construction of Agreement</w:t>
      </w:r>
      <w:r>
        <w:rPr>
          <w:rFonts w:ascii="Arial" w:cs="Arial" w:eastAsia="Arial" w:hAnsi="Arial"/>
          <w:sz w:val="22"/>
          <w:szCs w:val="22"/>
          <w:color w:val="auto"/>
        </w:rPr>
        <w:t>. In the event of a conflict between the text of the Agreement and any summary, description or other information regarding the Agreement, the text of the Agreement shall control.</w:t>
      </w:r>
    </w:p>
    <w:p>
      <w:pPr>
        <w:spacing w:after="0" w:line="145" w:lineRule="exact"/>
        <w:rPr>
          <w:rFonts w:ascii="Arial" w:cs="Arial" w:eastAsia="Arial" w:hAnsi="Arial"/>
          <w:sz w:val="22"/>
          <w:szCs w:val="22"/>
          <w:color w:val="auto"/>
        </w:rPr>
      </w:pPr>
    </w:p>
    <w:p>
      <w:pPr>
        <w:jc w:val="both"/>
        <w:ind w:left="120" w:right="119" w:firstLine="1293"/>
        <w:spacing w:after="0" w:line="238" w:lineRule="auto"/>
        <w:tabs>
          <w:tab w:leader="none" w:pos="2064"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be entitled to withhold from any amounts to be paid or benefits provided to Executive hereunder any federal, state, local or foreign withholding, FICA and FUTA contributions, or other taxes, charges or deductions which it is from time to time required to withhold.</w:t>
      </w:r>
    </w:p>
    <w:p>
      <w:pPr>
        <w:spacing w:after="0" w:line="144" w:lineRule="exact"/>
        <w:rPr>
          <w:rFonts w:ascii="Arial" w:cs="Arial" w:eastAsia="Arial" w:hAnsi="Arial"/>
          <w:sz w:val="22"/>
          <w:szCs w:val="22"/>
          <w:color w:val="auto"/>
        </w:rPr>
      </w:pPr>
    </w:p>
    <w:p>
      <w:pPr>
        <w:ind w:left="2060" w:hanging="647"/>
        <w:spacing w:after="0"/>
        <w:tabs>
          <w:tab w:leader="none" w:pos="206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20" w:right="119" w:firstLine="1941"/>
        <w:spacing w:after="0" w:line="246" w:lineRule="auto"/>
        <w:tabs>
          <w:tab w:leader="none" w:pos="2712" w:val="left"/>
        </w:tabs>
        <w:numPr>
          <w:ilvl w:val="1"/>
          <w:numId w:val="78"/>
        </w:numPr>
        <w:rPr>
          <w:rFonts w:ascii="Arial" w:cs="Arial" w:eastAsia="Arial" w:hAnsi="Arial"/>
          <w:sz w:val="21"/>
          <w:szCs w:val="21"/>
          <w:color w:val="auto"/>
        </w:rPr>
      </w:pPr>
      <w:r>
        <w:rPr>
          <w:rFonts w:ascii="Arial" w:cs="Arial" w:eastAsia="Arial" w:hAnsi="Arial"/>
          <w:sz w:val="21"/>
          <w:szCs w:val="21"/>
          <w:color w:val="auto"/>
        </w:rPr>
        <w:t>The parties agree that this Agreement shall be interpreted to comply with or be exempt from Section 409A of the Internal Revenue Code of 1986, as amended, and the regulations and guidance promulgated thereunder (collectively “</w:t>
      </w:r>
      <w:r>
        <w:rPr>
          <w:rFonts w:ascii="Arial" w:cs="Arial" w:eastAsia="Arial" w:hAnsi="Arial"/>
          <w:sz w:val="21"/>
          <w:szCs w:val="21"/>
          <w:u w:val="single" w:color="auto"/>
          <w:color w:val="auto"/>
        </w:rPr>
        <w:t>Section 409A</w:t>
      </w:r>
      <w:r>
        <w:rPr>
          <w:rFonts w:ascii="Arial" w:cs="Arial" w:eastAsia="Arial" w:hAnsi="Arial"/>
          <w:sz w:val="21"/>
          <w:szCs w:val="21"/>
          <w:color w:val="auto"/>
        </w:rPr>
        <w:t>”), and all provisions of this Agreement shall be construed in a manner consistent with the requirements for avoiding taxes or penalties under Section 409A. In no event whatsoever will the Company be liable for any additional tax, interest or penalties that may be imposed on Executive under Section 409A or any damages for failing to comply with Section 409A.</w:t>
      </w:r>
    </w:p>
    <w:p>
      <w:pPr>
        <w:spacing w:after="0" w:line="143" w:lineRule="exact"/>
        <w:rPr>
          <w:rFonts w:ascii="Arial" w:cs="Arial" w:eastAsia="Arial" w:hAnsi="Arial"/>
          <w:sz w:val="21"/>
          <w:szCs w:val="21"/>
          <w:color w:val="auto"/>
        </w:rPr>
      </w:pPr>
    </w:p>
    <w:p>
      <w:pPr>
        <w:jc w:val="both"/>
        <w:ind w:left="120" w:right="119" w:firstLine="1941"/>
        <w:spacing w:after="0" w:line="275" w:lineRule="auto"/>
        <w:tabs>
          <w:tab w:leader="none" w:pos="2712" w:val="left"/>
        </w:tabs>
        <w:numPr>
          <w:ilvl w:val="1"/>
          <w:numId w:val="78"/>
        </w:numPr>
        <w:rPr>
          <w:rFonts w:ascii="Arial" w:cs="Arial" w:eastAsia="Arial" w:hAnsi="Arial"/>
          <w:sz w:val="19"/>
          <w:szCs w:val="19"/>
          <w:color w:val="auto"/>
        </w:rPr>
      </w:pPr>
      <w:r>
        <w:rPr>
          <w:rFonts w:ascii="Arial" w:cs="Arial" w:eastAsia="Arial" w:hAnsi="Arial"/>
          <w:sz w:val="19"/>
          <w:szCs w:val="19"/>
          <w:color w:val="auto"/>
        </w:rPr>
        <w:t>A termination of employment shall not be deemed to have occurred for purposes of any provision of this Agreement providing for the payment of any amounts or benefits considered “nonqualified deferred compensation” under Section 409A upon or following a termination of employment unless and until such termination is also a “separation from service” within the meaning of Section 409A and, for purposes of any such provision of this Agreement, references to a “</w:t>
      </w:r>
      <w:r>
        <w:rPr>
          <w:rFonts w:ascii="Arial" w:cs="Arial" w:eastAsia="Arial" w:hAnsi="Arial"/>
          <w:sz w:val="19"/>
          <w:szCs w:val="19"/>
          <w:u w:val="single" w:color="auto"/>
          <w:color w:val="auto"/>
        </w:rPr>
        <w:t>termination</w:t>
      </w:r>
      <w:r>
        <w:rPr>
          <w:rFonts w:ascii="Arial" w:cs="Arial" w:eastAsia="Arial" w:hAnsi="Arial"/>
          <w:sz w:val="19"/>
          <w:szCs w:val="19"/>
          <w:color w:val="auto"/>
        </w:rPr>
        <w:t>,” “</w:t>
      </w: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or like terms shall mean “</w:t>
      </w:r>
      <w:r>
        <w:rPr>
          <w:rFonts w:ascii="Arial" w:cs="Arial" w:eastAsia="Arial" w:hAnsi="Arial"/>
          <w:sz w:val="19"/>
          <w:szCs w:val="19"/>
          <w:u w:val="single" w:color="auto"/>
          <w:color w:val="auto"/>
        </w:rPr>
        <w:t>separation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from service</w:t>
      </w:r>
      <w:r>
        <w:rPr>
          <w:rFonts w:ascii="Arial" w:cs="Arial" w:eastAsia="Arial" w:hAnsi="Arial"/>
          <w:sz w:val="19"/>
          <w:szCs w:val="19"/>
          <w:color w:val="auto"/>
        </w:rPr>
        <w:t>.” If Executive is deemed on the date of termination to be a “specified employee” within the meaning of that term under Section 409A(a)(2)(B), then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US-DOCS\115509506.5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339090</wp:posOffset>
            </wp:positionV>
            <wp:extent cx="558038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5" w:name="page136"/>
    <w:bookmarkEnd w:id="135"/>
    <w:p>
      <w:pPr>
        <w:jc w:val="both"/>
        <w:ind w:left="120" w:right="119"/>
        <w:spacing w:after="0" w:line="273" w:lineRule="auto"/>
        <w:rPr>
          <w:sz w:val="20"/>
          <w:szCs w:val="20"/>
          <w:color w:val="auto"/>
        </w:rPr>
      </w:pPr>
      <w:r>
        <w:rPr>
          <w:rFonts w:ascii="Arial" w:cs="Arial" w:eastAsia="Arial" w:hAnsi="Arial"/>
          <w:sz w:val="19"/>
          <w:szCs w:val="19"/>
          <w:color w:val="auto"/>
        </w:rPr>
        <w:t>regard to any payment or the provision of any benefit that is considered nonqualified deferred compensation under Section 409A payable on account of a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such payment or benefit shall be made or provided at the date which is the earlier of (i) the expiration of the six (6)-month period measured from the date of such “separation from service” of Executive, and (ii) the date of Executive’s death (the “</w:t>
      </w:r>
      <w:r>
        <w:rPr>
          <w:rFonts w:ascii="Arial" w:cs="Arial" w:eastAsia="Arial" w:hAnsi="Arial"/>
          <w:sz w:val="19"/>
          <w:szCs w:val="19"/>
          <w:u w:val="single" w:color="auto"/>
          <w:color w:val="auto"/>
        </w:rPr>
        <w:t>Delay Period</w:t>
      </w:r>
      <w:r>
        <w:rPr>
          <w:rFonts w:ascii="Arial" w:cs="Arial" w:eastAsia="Arial" w:hAnsi="Arial"/>
          <w:sz w:val="19"/>
          <w:szCs w:val="19"/>
          <w:color w:val="auto"/>
        </w:rPr>
        <w:t>”). Upon the expiration of the Delay Period, all payments and benefits delayed pursuant to this Section 14(i)(ii) (whether they would have otherwise been payable in a single sum or in installments in the absence of such delay) shall be paid or reimbursed on the first business day following the expiration of the Delay Period to Executive in a lump sum and any remaining payments and benefits due under this Agreement shall be paid or provided in accordance with the normal payment dates specified for them herein.</w:t>
      </w:r>
    </w:p>
    <w:p>
      <w:pPr>
        <w:spacing w:after="0" w:line="121" w:lineRule="exact"/>
        <w:rPr>
          <w:sz w:val="20"/>
          <w:szCs w:val="20"/>
          <w:color w:val="auto"/>
        </w:rPr>
      </w:pPr>
    </w:p>
    <w:p>
      <w:pPr>
        <w:jc w:val="both"/>
        <w:ind w:left="120" w:right="119" w:firstLine="1941"/>
        <w:spacing w:after="0" w:line="273" w:lineRule="auto"/>
        <w:tabs>
          <w:tab w:leader="none" w:pos="2712" w:val="left"/>
        </w:tabs>
        <w:numPr>
          <w:ilvl w:val="1"/>
          <w:numId w:val="79"/>
        </w:numPr>
        <w:rPr>
          <w:rFonts w:ascii="Arial" w:cs="Arial" w:eastAsia="Arial" w:hAnsi="Arial"/>
          <w:sz w:val="19"/>
          <w:szCs w:val="19"/>
          <w:color w:val="auto"/>
        </w:rPr>
      </w:pPr>
      <w:r>
        <w:rPr>
          <w:rFonts w:ascii="Arial" w:cs="Arial" w:eastAsia="Arial" w:hAnsi="Arial"/>
          <w:sz w:val="19"/>
          <w:szCs w:val="19"/>
          <w:color w:val="auto"/>
        </w:rPr>
        <w:t>With regard to any provision herein that provides for reimbursement of costs and expenses or in-kind benefits, except as permitted by Section 409A, (x) the right to reimbursement or in-kind benefits shall not be subject to liquidation or exchange for another benefit,</w:t>
      </w:r>
    </w:p>
    <w:p>
      <w:pPr>
        <w:spacing w:after="0" w:line="1" w:lineRule="exact"/>
        <w:rPr>
          <w:rFonts w:ascii="Arial" w:cs="Arial" w:eastAsia="Arial" w:hAnsi="Arial"/>
          <w:sz w:val="19"/>
          <w:szCs w:val="19"/>
          <w:color w:val="auto"/>
        </w:rPr>
      </w:pPr>
    </w:p>
    <w:p>
      <w:pPr>
        <w:jc w:val="both"/>
        <w:ind w:left="120" w:right="119" w:hanging="3"/>
        <w:spacing w:after="0" w:line="232" w:lineRule="auto"/>
        <w:tabs>
          <w:tab w:leader="none" w:pos="466"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amount of expenses eligible for reimbursement, or in-kind benefits, provided during any taxable year shall not affect the expenses eligible for reimbursement or in-kind benefits, to be provided in any other taxable year, provided, that, this clause (y) shall not be violated with regard to expenses reimbursed under any arrangement covered by Code Section 105(b) solely because such expenses are subject to a limit related to the period the arrangement is in effect and (z) such payments shall be made on or before the last day of Executive’s taxable year following the taxable year in which the expense occurred.</w:t>
      </w:r>
    </w:p>
    <w:p>
      <w:pPr>
        <w:spacing w:after="0" w:line="160" w:lineRule="exact"/>
        <w:rPr>
          <w:sz w:val="20"/>
          <w:szCs w:val="20"/>
          <w:color w:val="auto"/>
        </w:rPr>
      </w:pPr>
    </w:p>
    <w:p>
      <w:pPr>
        <w:jc w:val="both"/>
        <w:ind w:left="120" w:right="119" w:firstLine="1941"/>
        <w:spacing w:after="0" w:line="235" w:lineRule="auto"/>
        <w:tabs>
          <w:tab w:leader="none" w:pos="2432" w:val="left"/>
        </w:tabs>
        <w:numPr>
          <w:ilvl w:val="0"/>
          <w:numId w:val="81"/>
        </w:numPr>
        <w:rPr>
          <w:rFonts w:ascii="Arial" w:cs="Arial" w:eastAsia="Arial" w:hAnsi="Arial"/>
          <w:sz w:val="22"/>
          <w:szCs w:val="22"/>
          <w:color w:val="auto"/>
        </w:rPr>
      </w:pPr>
      <w:r>
        <w:rPr>
          <w:rFonts w:ascii="Arial" w:cs="Arial" w:eastAsia="Arial" w:hAnsi="Arial"/>
          <w:sz w:val="22"/>
          <w:szCs w:val="22"/>
          <w:color w:val="auto"/>
        </w:rPr>
        <w:t>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US-DOCS\115509506.5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347980</wp:posOffset>
            </wp:positionV>
            <wp:extent cx="558038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6" w:name="page137"/>
    <w:bookmarkEnd w:id="136"/>
    <w:p>
      <w:pPr>
        <w:ind w:left="6680"/>
        <w:spacing w:after="0"/>
        <w:rPr>
          <w:sz w:val="20"/>
          <w:szCs w:val="20"/>
          <w:color w:val="auto"/>
        </w:rPr>
      </w:pPr>
      <w:r>
        <w:rPr>
          <w:rFonts w:ascii="Arial" w:cs="Arial" w:eastAsia="Arial" w:hAnsi="Arial"/>
          <w:sz w:val="19"/>
          <w:szCs w:val="19"/>
          <w:color w:val="auto"/>
        </w:rPr>
        <w:t>EXECUTION VERSION</w:t>
      </w:r>
    </w:p>
    <w:p>
      <w:pPr>
        <w:spacing w:after="0" w:line="201" w:lineRule="exact"/>
        <w:rPr>
          <w:sz w:val="20"/>
          <w:szCs w:val="20"/>
          <w:color w:val="auto"/>
        </w:rPr>
      </w:pPr>
    </w:p>
    <w:p>
      <w:pPr>
        <w:jc w:val="both"/>
        <w:ind w:left="120" w:right="139" w:firstLine="648"/>
        <w:spacing w:after="0" w:line="250" w:lineRule="auto"/>
        <w:rPr>
          <w:sz w:val="20"/>
          <w:szCs w:val="20"/>
          <w:color w:val="auto"/>
        </w:rPr>
      </w:pPr>
      <w:r>
        <w:rPr>
          <w:rFonts w:ascii="Arial" w:cs="Arial" w:eastAsia="Arial" w:hAnsi="Arial"/>
          <w:sz w:val="22"/>
          <w:szCs w:val="22"/>
          <w:color w:val="auto"/>
        </w:rPr>
        <w:t>IN WITNESS WHEREOF, the undersigned, intending to be legally bound, have executed this Agreement as of the date first written above.</w:t>
      </w:r>
    </w:p>
    <w:p>
      <w:pPr>
        <w:spacing w:after="0" w:line="155"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BIOXCEL THERAPEUTICS, INC.</w:t>
      </w:r>
    </w:p>
    <w:p>
      <w:pPr>
        <w:spacing w:after="0" w:line="200" w:lineRule="exact"/>
        <w:rPr>
          <w:sz w:val="20"/>
          <w:szCs w:val="20"/>
          <w:color w:val="auto"/>
        </w:rPr>
      </w:pPr>
    </w:p>
    <w:p>
      <w:pPr>
        <w:spacing w:after="0" w:line="28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Vimal Mehta,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6985</wp:posOffset>
            </wp:positionV>
            <wp:extent cx="25203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22"/>
          <w:szCs w:val="22"/>
          <w:color w:val="auto"/>
        </w:rPr>
        <w:t>Name: Vimal Mehta, Ph.D.</w:t>
      </w:r>
    </w:p>
    <w:p>
      <w:pPr>
        <w:ind w:left="4920"/>
        <w:spacing w:after="0"/>
        <w:tabs>
          <w:tab w:leader="none" w:pos="5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52"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EXECUTIVE</w:t>
      </w:r>
    </w:p>
    <w:p>
      <w:pPr>
        <w:spacing w:after="0" w:line="23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Javier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6985</wp:posOffset>
            </wp:positionV>
            <wp:extent cx="27686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Javier Rodriguez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US-DOCS\115509506.5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346710</wp:posOffset>
            </wp:positionV>
            <wp:extent cx="558038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BioXcel Therapeutics, Inc. has no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8" w:name="page139"/>
    <w:bookmarkEnd w:id="138"/>
    <w:p>
      <w:pPr>
        <w:ind w:left="7860"/>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300"/>
        <w:spacing w:after="0"/>
        <w:rPr>
          <w:sz w:val="20"/>
          <w:szCs w:val="20"/>
          <w:color w:val="auto"/>
        </w:rPr>
      </w:pPr>
      <w:r>
        <w:rPr>
          <w:rFonts w:ascii="Arial" w:cs="Arial" w:eastAsia="Arial" w:hAnsi="Arial"/>
          <w:sz w:val="20"/>
          <w:szCs w:val="20"/>
          <w:u w:val="single" w:color="auto"/>
          <w:color w:val="auto"/>
        </w:rPr>
        <w:t>Consent of Independent Registered Public Accounting Firm</w:t>
      </w:r>
    </w:p>
    <w:p>
      <w:pPr>
        <w:spacing w:after="0" w:line="2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BioXcel Therapeutics, Inc.</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Haven, CT</w:t>
      </w:r>
    </w:p>
    <w:p>
      <w:pPr>
        <w:spacing w:after="0" w:line="211" w:lineRule="exact"/>
        <w:rPr>
          <w:sz w:val="20"/>
          <w:szCs w:val="20"/>
          <w:color w:val="auto"/>
        </w:rPr>
      </w:pPr>
    </w:p>
    <w:p>
      <w:pPr>
        <w:jc w:val="both"/>
        <w:ind w:left="540" w:right="219"/>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333-240118) and Form S-8 (Nos. 333-235282 and 333-238580) of BioXcel Therapeutics, Inc. of our report dated March 12, 2021, relating to the financial statements of BioXcel Therapeutics, Inc., which appear in this Annual Report on Form 10-K.</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Stamford, CT</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March 12, 2021</w:t>
      </w:r>
    </w:p>
    <w:p>
      <w:pPr>
        <w:spacing w:after="0" w:line="22" w:lineRule="exact"/>
        <w:rPr>
          <w:sz w:val="20"/>
          <w:szCs w:val="20"/>
          <w:color w:val="auto"/>
        </w:rPr>
      </w:pPr>
    </w:p>
    <w:p>
      <w:pPr>
        <w:ind w:left="540" w:right="159"/>
        <w:spacing w:after="0" w:line="236" w:lineRule="auto"/>
        <w:rPr>
          <w:sz w:val="20"/>
          <w:szCs w:val="20"/>
          <w:color w:val="auto"/>
        </w:rPr>
      </w:pPr>
      <w:r>
        <w:rPr>
          <w:rFonts w:ascii="Arial" w:cs="Arial" w:eastAsia="Arial" w:hAnsi="Arial"/>
          <w:sz w:val="11"/>
          <w:szCs w:val="11"/>
          <w:color w:val="685040"/>
        </w:rPr>
        <w:t>BDO USA, LLP, a Delaware limited liability partnership, is the U.S. member of BDO International Limited, a UK company limited by guarantee, and forms part of the international BDO network of independent member firms.</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1"/>
          <w:szCs w:val="11"/>
          <w:color w:val="685040"/>
        </w:rPr>
        <w:t>BDO is the brand name for the BDO network and for each of the BDO Member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620395</wp:posOffset>
            </wp:positionV>
            <wp:extent cx="524637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524637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9" w:name="page140"/>
    <w:bookmarkEnd w:id="139"/>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Vimal Mehta, Ph.D., certify that:</w:t>
      </w:r>
    </w:p>
    <w:p>
      <w:pPr>
        <w:spacing w:after="0" w:line="212" w:lineRule="exact"/>
        <w:rPr>
          <w:sz w:val="20"/>
          <w:szCs w:val="20"/>
          <w:color w:val="auto"/>
        </w:rPr>
      </w:pPr>
    </w:p>
    <w:p>
      <w:pPr>
        <w:ind w:left="540" w:right="759" w:hanging="318"/>
        <w:spacing w:after="0" w:line="277"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2020 of BioXcel Therapeutics, Inc.;</w:t>
      </w:r>
    </w:p>
    <w:p>
      <w:pPr>
        <w:spacing w:after="0" w:line="156" w:lineRule="exact"/>
        <w:rPr>
          <w:rFonts w:ascii="Arial" w:cs="Arial" w:eastAsia="Arial" w:hAnsi="Arial"/>
          <w:sz w:val="18"/>
          <w:szCs w:val="18"/>
          <w:color w:val="auto"/>
        </w:rPr>
      </w:pPr>
    </w:p>
    <w:p>
      <w:pPr>
        <w:ind w:left="540" w:right="459" w:hanging="318"/>
        <w:spacing w:after="0" w:line="263"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540" w:right="339" w:hanging="318"/>
        <w:spacing w:after="0" w:line="263"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40" w:right="359" w:hanging="318"/>
        <w:spacing w:after="0" w:line="311" w:lineRule="auto"/>
        <w:tabs>
          <w:tab w:leader="none" w:pos="5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1040" w:right="299" w:hanging="332"/>
        <w:spacing w:after="0" w:line="259" w:lineRule="auto"/>
        <w:tabs>
          <w:tab w:leader="none" w:pos="10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1040" w:right="299" w:hanging="332"/>
        <w:spacing w:after="0" w:line="259" w:lineRule="auto"/>
        <w:tabs>
          <w:tab w:leader="none" w:pos="10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ind w:left="1040" w:right="219" w:hanging="332"/>
        <w:spacing w:after="0" w:line="263" w:lineRule="auto"/>
        <w:tabs>
          <w:tab w:leader="none" w:pos="10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040" w:right="279" w:hanging="332"/>
        <w:spacing w:after="0" w:line="259" w:lineRule="auto"/>
        <w:tabs>
          <w:tab w:leader="none" w:pos="10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540" w:right="519" w:hanging="318"/>
        <w:spacing w:after="0" w:line="263"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040" w:right="279" w:hanging="332"/>
        <w:spacing w:after="0" w:line="263" w:lineRule="auto"/>
        <w:tabs>
          <w:tab w:leader="none" w:pos="10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040" w:right="399" w:hanging="332"/>
        <w:spacing w:after="0" w:line="277" w:lineRule="auto"/>
        <w:tabs>
          <w:tab w:leader="none" w:pos="10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Date: March 12, 2021</w:t>
            </w:r>
          </w:p>
        </w:tc>
        <w:tc>
          <w:tcPr>
            <w:tcW w:w="5660" w:type="dxa"/>
            <w:vAlign w:val="bottom"/>
            <w:gridSpan w:val="2"/>
          </w:tcPr>
          <w:p>
            <w:pPr>
              <w:ind w:left="1360"/>
              <w:spacing w:after="0"/>
              <w:rPr>
                <w:sz w:val="20"/>
                <w:szCs w:val="20"/>
                <w:color w:val="auto"/>
              </w:rPr>
            </w:pPr>
            <w:r>
              <w:rPr>
                <w:rFonts w:ascii="Arial" w:cs="Arial" w:eastAsia="Arial" w:hAnsi="Arial"/>
                <w:sz w:val="18"/>
                <w:szCs w:val="18"/>
                <w:color w:val="auto"/>
              </w:rPr>
              <w:t>By: /s/ Vimal Mehta</w:t>
            </w:r>
          </w:p>
        </w:tc>
      </w:t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40" w:name="page141"/>
    <w:bookmarkEnd w:id="140"/>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Richard Steinhart, certify that:</w:t>
      </w:r>
    </w:p>
    <w:p>
      <w:pPr>
        <w:spacing w:after="0" w:line="212" w:lineRule="exact"/>
        <w:rPr>
          <w:sz w:val="20"/>
          <w:szCs w:val="20"/>
          <w:color w:val="auto"/>
        </w:rPr>
      </w:pPr>
    </w:p>
    <w:p>
      <w:pPr>
        <w:ind w:left="540" w:right="759" w:hanging="318"/>
        <w:spacing w:after="0" w:line="277"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2020 of BioXcel Therapeutics, Inc.;</w:t>
      </w:r>
    </w:p>
    <w:p>
      <w:pPr>
        <w:spacing w:after="0" w:line="170" w:lineRule="exact"/>
        <w:rPr>
          <w:rFonts w:ascii="Arial" w:cs="Arial" w:eastAsia="Arial" w:hAnsi="Arial"/>
          <w:sz w:val="18"/>
          <w:szCs w:val="18"/>
          <w:color w:val="auto"/>
        </w:rPr>
      </w:pPr>
    </w:p>
    <w:p>
      <w:pPr>
        <w:ind w:left="540" w:right="459" w:hanging="318"/>
        <w:spacing w:after="0" w:line="263"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540" w:right="339" w:hanging="318"/>
        <w:spacing w:after="0" w:line="263"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40" w:right="359" w:hanging="318"/>
        <w:spacing w:after="0" w:line="311" w:lineRule="auto"/>
        <w:tabs>
          <w:tab w:leader="none" w:pos="5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1180" w:right="239" w:hanging="323"/>
        <w:spacing w:after="0" w:line="259" w:lineRule="auto"/>
        <w:tabs>
          <w:tab w:leader="none" w:pos="11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1180" w:right="239" w:hanging="323"/>
        <w:spacing w:after="0" w:line="259" w:lineRule="auto"/>
        <w:tabs>
          <w:tab w:leader="none" w:pos="11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ind w:left="1180" w:right="339" w:hanging="323"/>
        <w:spacing w:after="0" w:line="263" w:lineRule="auto"/>
        <w:tabs>
          <w:tab w:leader="none" w:pos="11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180" w:right="279" w:hanging="323"/>
        <w:spacing w:after="0" w:line="259" w:lineRule="auto"/>
        <w:tabs>
          <w:tab w:leader="none" w:pos="11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540" w:right="519" w:hanging="318"/>
        <w:spacing w:after="0" w:line="263"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180" w:right="479" w:hanging="323"/>
        <w:spacing w:after="0" w:line="263" w:lineRule="auto"/>
        <w:tabs>
          <w:tab w:leader="none" w:pos="11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180" w:right="259" w:hanging="323"/>
        <w:spacing w:after="0" w:line="277" w:lineRule="auto"/>
        <w:tabs>
          <w:tab w:leader="none" w:pos="11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Date: March 12, 2021</w:t>
            </w:r>
          </w:p>
        </w:tc>
        <w:tc>
          <w:tcPr>
            <w:tcW w:w="5660" w:type="dxa"/>
            <w:vAlign w:val="bottom"/>
            <w:gridSpan w:val="2"/>
          </w:tcPr>
          <w:p>
            <w:pPr>
              <w:ind w:left="1360"/>
              <w:spacing w:after="0"/>
              <w:rPr>
                <w:sz w:val="20"/>
                <w:szCs w:val="20"/>
                <w:color w:val="auto"/>
              </w:rPr>
            </w:pPr>
            <w:r>
              <w:rPr>
                <w:rFonts w:ascii="Arial" w:cs="Arial" w:eastAsia="Arial" w:hAnsi="Arial"/>
                <w:sz w:val="18"/>
                <w:szCs w:val="18"/>
                <w:color w:val="auto"/>
              </w:rPr>
              <w:t>By: /s/ Richard Steinhart</w:t>
            </w:r>
          </w:p>
        </w:tc>
      </w:t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41" w:name="page142"/>
    <w:bookmarkEnd w:id="141"/>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72" w:lineRule="exact"/>
        <w:rPr>
          <w:sz w:val="20"/>
          <w:szCs w:val="20"/>
          <w:color w:val="auto"/>
        </w:rPr>
      </w:pPr>
    </w:p>
    <w:p>
      <w:pPr>
        <w:ind w:left="200" w:right="279" w:firstLine="648"/>
        <w:spacing w:after="0" w:line="243" w:lineRule="auto"/>
        <w:rPr>
          <w:sz w:val="20"/>
          <w:szCs w:val="20"/>
          <w:color w:val="auto"/>
        </w:rPr>
      </w:pPr>
      <w:r>
        <w:rPr>
          <w:rFonts w:ascii="Arial" w:cs="Arial" w:eastAsia="Arial" w:hAnsi="Arial"/>
          <w:sz w:val="18"/>
          <w:szCs w:val="18"/>
          <w:color w:val="auto"/>
        </w:rPr>
        <w:t>In connection with the Annual Report on Form 10-K of BioXcel Therapeutics, Inc. (the “Company”) for the fiscal year ended December 31, 2020,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4" w:lineRule="exact"/>
        <w:rPr>
          <w:sz w:val="20"/>
          <w:szCs w:val="20"/>
          <w:color w:val="auto"/>
        </w:rPr>
      </w:pPr>
    </w:p>
    <w:p>
      <w:pPr>
        <w:ind w:left="1040" w:right="899" w:hanging="332"/>
        <w:spacing w:after="0" w:line="277" w:lineRule="auto"/>
        <w:tabs>
          <w:tab w:leader="none" w:pos="10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56" w:lineRule="exact"/>
        <w:rPr>
          <w:rFonts w:ascii="Arial" w:cs="Arial" w:eastAsia="Arial" w:hAnsi="Arial"/>
          <w:sz w:val="18"/>
          <w:szCs w:val="18"/>
          <w:color w:val="auto"/>
        </w:rPr>
      </w:pPr>
    </w:p>
    <w:p>
      <w:pPr>
        <w:ind w:left="1040" w:right="339" w:hanging="332"/>
        <w:spacing w:after="0" w:line="277" w:lineRule="auto"/>
        <w:tabs>
          <w:tab w:leader="none" w:pos="10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ind w:left="200"/>
        <w:spacing w:after="0"/>
        <w:tabs>
          <w:tab w:leader="none" w:pos="4300" w:val="left"/>
          <w:tab w:leader="none" w:pos="4720" w:val="left"/>
        </w:tabs>
        <w:rPr>
          <w:sz w:val="20"/>
          <w:szCs w:val="20"/>
          <w:color w:val="auto"/>
        </w:rPr>
      </w:pPr>
      <w:r>
        <w:rPr>
          <w:rFonts w:ascii="Arial" w:cs="Arial" w:eastAsia="Arial" w:hAnsi="Arial"/>
          <w:sz w:val="18"/>
          <w:szCs w:val="18"/>
          <w:color w:val="auto"/>
        </w:rPr>
        <w:t>Date: March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25717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Vimal Mehta, Ph.D.</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2" w:name="page143"/>
    <w:bookmarkEnd w:id="142"/>
    <w:p>
      <w:pPr>
        <w:jc w:val="right"/>
        <w:ind w:right="219"/>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1"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72" w:lineRule="exact"/>
        <w:rPr>
          <w:sz w:val="20"/>
          <w:szCs w:val="20"/>
          <w:color w:val="auto"/>
        </w:rPr>
      </w:pPr>
    </w:p>
    <w:p>
      <w:pPr>
        <w:ind w:left="200" w:right="279" w:firstLine="648"/>
        <w:spacing w:after="0" w:line="243" w:lineRule="auto"/>
        <w:rPr>
          <w:sz w:val="20"/>
          <w:szCs w:val="20"/>
          <w:color w:val="auto"/>
        </w:rPr>
      </w:pPr>
      <w:r>
        <w:rPr>
          <w:rFonts w:ascii="Arial" w:cs="Arial" w:eastAsia="Arial" w:hAnsi="Arial"/>
          <w:sz w:val="18"/>
          <w:szCs w:val="18"/>
          <w:color w:val="auto"/>
        </w:rPr>
        <w:t>In connection with the Annual Report on Form 10-K of BioXcel Therapeutics, Inc. (the “Company”) for the fiscal year ended December 31, 2020,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4" w:lineRule="exact"/>
        <w:rPr>
          <w:sz w:val="20"/>
          <w:szCs w:val="20"/>
          <w:color w:val="auto"/>
        </w:rPr>
      </w:pPr>
    </w:p>
    <w:p>
      <w:pPr>
        <w:ind w:left="1040" w:right="899" w:hanging="332"/>
        <w:spacing w:after="0" w:line="277"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56" w:lineRule="exact"/>
        <w:rPr>
          <w:rFonts w:ascii="Arial" w:cs="Arial" w:eastAsia="Arial" w:hAnsi="Arial"/>
          <w:sz w:val="18"/>
          <w:szCs w:val="18"/>
          <w:color w:val="auto"/>
        </w:rPr>
      </w:pPr>
    </w:p>
    <w:p>
      <w:pPr>
        <w:ind w:left="1040" w:right="339" w:hanging="332"/>
        <w:spacing w:after="0" w:line="277"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9" w:lineRule="exact"/>
        <w:rPr>
          <w:sz w:val="20"/>
          <w:szCs w:val="20"/>
          <w:color w:val="auto"/>
        </w:rPr>
      </w:pPr>
    </w:p>
    <w:p>
      <w:pPr>
        <w:ind w:left="200"/>
        <w:spacing w:after="0"/>
        <w:tabs>
          <w:tab w:leader="none" w:pos="4480" w:val="left"/>
        </w:tabs>
        <w:rPr>
          <w:sz w:val="20"/>
          <w:szCs w:val="20"/>
          <w:color w:val="auto"/>
        </w:rPr>
      </w:pPr>
      <w:r>
        <w:rPr>
          <w:rFonts w:ascii="Arial" w:cs="Arial" w:eastAsia="Arial" w:hAnsi="Arial"/>
          <w:sz w:val="18"/>
          <w:szCs w:val="18"/>
          <w:color w:val="auto"/>
        </w:rPr>
        <w:t>Date: March 12, 2021</w:t>
      </w:r>
      <w:r>
        <w:rPr>
          <w:sz w:val="20"/>
          <w:szCs w:val="20"/>
          <w:color w:val="auto"/>
        </w:rPr>
        <w:tab/>
      </w:r>
      <w:r>
        <w:rPr>
          <w:rFonts w:ascii="Arial" w:cs="Arial" w:eastAsia="Arial" w:hAnsi="Arial"/>
          <w:sz w:val="17"/>
          <w:szCs w:val="17"/>
          <w:color w:val="auto"/>
        </w:rPr>
        <w:t>By: /s/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25031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Richard Steinhart</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lvl w:ilvl="1">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amp;"/>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1)"/>
      <w:numFmt w:val="decimal"/>
      <w:start w:val="2"/>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1)"/>
      <w:numFmt w:val="lowerRoman"/>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1)"/>
      <w:numFmt w:val="decimal"/>
      <w:start w:val="20"/>
    </w:lvl>
  </w:abstractNum>
  <w:abstractNum w:abstractNumId="61">
    <w:nsid w:val="661E3F1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62">
    <w:nsid w:val="5DC79EA8"/>
    <w:multiLevelType w:val="hybridMultilevel"/>
    <w:lvl w:ilvl="0">
      <w:lvlJc w:val="left"/>
      <w:lvlText w:val="%1."/>
      <w:numFmt w:val="decimal"/>
      <w:start w:val="3"/>
    </w:lvl>
  </w:abstractNum>
  <w:abstractNum w:abstractNumId="63">
    <w:nsid w:val="540A471C"/>
    <w:multiLevelType w:val="hybridMultilevel"/>
    <w:lvl w:ilvl="0">
      <w:lvlJc w:val="left"/>
      <w:lvlText w:val="%1."/>
      <w:numFmt w:val="decimal"/>
      <w:start w:val="1"/>
    </w:lvl>
    <w:lvl w:ilvl="1">
      <w:lvlJc w:val="left"/>
      <w:lvlText w:val="(%2)"/>
      <w:numFmt w:val="lowerLetter"/>
      <w:start w:val="1"/>
    </w:lvl>
  </w:abstractNum>
  <w:abstractNum w:abstractNumId="64">
    <w:nsid w:val="7BD3EE7B"/>
    <w:multiLevelType w:val="hybridMultilevel"/>
    <w:lvl w:ilvl="0">
      <w:lvlJc w:val="left"/>
      <w:lvlText w:val="(%1)"/>
      <w:numFmt w:val="lowerLetter"/>
      <w:start w:val="2"/>
    </w:lvl>
    <w:lvl w:ilvl="1">
      <w:lvlJc w:val="left"/>
      <w:lvlText w:val="(%2)"/>
      <w:numFmt w:val="lowerRoman"/>
      <w:start w:val="1"/>
    </w:lvl>
  </w:abstractNum>
  <w:abstractNum w:abstractNumId="65">
    <w:nsid w:val="51D9C564"/>
    <w:multiLevelType w:val="hybridMultilevel"/>
    <w:lvl w:ilvl="0">
      <w:lvlJc w:val="left"/>
      <w:lvlText w:val="%1."/>
      <w:numFmt w:val="decimal"/>
      <w:start w:val="2"/>
    </w:lvl>
  </w:abstractNum>
  <w:abstractNum w:abstractNumId="66">
    <w:nsid w:val="613EFDC5"/>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67">
    <w:nsid w:val="BF72B14"/>
    <w:multiLevelType w:val="hybridMultilevel"/>
    <w:lvl w:ilvl="0">
      <w:lvlJc w:val="left"/>
      <w:lvlText w:val="(%1)"/>
      <w:numFmt w:val="decimal"/>
      <w:start w:val="3"/>
    </w:lvl>
    <w:lvl w:ilvl="1">
      <w:lvlJc w:val="left"/>
      <w:lvlText w:val="%2."/>
      <w:numFmt w:val="decimal"/>
      <w:start w:val="7"/>
    </w:lvl>
    <w:lvl w:ilvl="2">
      <w:lvlJc w:val="left"/>
      <w:lvlText w:val="(%3)"/>
      <w:numFmt w:val="lowerLetter"/>
      <w:start w:val="1"/>
    </w:lvl>
  </w:abstractNum>
  <w:abstractNum w:abstractNumId="68">
    <w:nsid w:val="11447B73"/>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69">
    <w:nsid w:val="42963E5A"/>
    <w:multiLevelType w:val="hybridMultilevel"/>
    <w:lvl w:ilvl="0">
      <w:lvlJc w:val="left"/>
      <w:lvlText w:val="(%1)"/>
      <w:numFmt w:val="decimal"/>
      <w:start w:val="10"/>
    </w:lvl>
    <w:lvl w:ilvl="1">
      <w:lvlJc w:val="left"/>
      <w:lvlText w:val="%2."/>
      <w:numFmt w:val="decimal"/>
      <w:start w:val="7"/>
    </w:lvl>
    <w:lvl w:ilvl="2">
      <w:lvlJc w:val="left"/>
      <w:lvlText w:val="(%3)"/>
      <w:numFmt w:val="lowerLetter"/>
      <w:start w:val="4"/>
    </w:lvl>
  </w:abstractNum>
  <w:abstractNum w:abstractNumId="70">
    <w:nsid w:val="A0382C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1">
    <w:nsid w:val="8F2B15E"/>
    <w:multiLevelType w:val="hybridMultilevel"/>
    <w:lvl w:ilvl="0">
      <w:lvlJc w:val="left"/>
      <w:lvlText w:val="(%1)"/>
      <w:numFmt w:val="decimal"/>
      <w:start w:val="6"/>
    </w:lvl>
    <w:lvl w:ilvl="1">
      <w:lvlJc w:val="left"/>
      <w:lvlText w:val="(%2)"/>
      <w:numFmt w:val="lowerLetter"/>
      <w:start w:val="3"/>
    </w:lvl>
  </w:abstractNum>
  <w:abstractNum w:abstractNumId="72">
    <w:nsid w:val="1A32234B"/>
    <w:multiLevelType w:val="hybridMultilevel"/>
    <w:lvl w:ilvl="0">
      <w:lvlJc w:val="left"/>
      <w:lvlText w:val="%1."/>
      <w:numFmt w:val="decimal"/>
      <w:start w:val="9"/>
    </w:lvl>
    <w:lvl w:ilvl="1">
      <w:lvlJc w:val="left"/>
      <w:lvlText w:val="(%2)"/>
      <w:numFmt w:val="lowerLetter"/>
      <w:start w:val="1"/>
    </w:lvl>
  </w:abstractNum>
  <w:abstractNum w:abstractNumId="73">
    <w:nsid w:val="3B0FD379"/>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74">
    <w:nsid w:val="68EB2F63"/>
    <w:multiLevelType w:val="hybridMultilevel"/>
    <w:lvl w:ilvl="0">
      <w:lvlJc w:val="left"/>
      <w:lvlText w:val="§"/>
      <w:numFmt w:val="bullet"/>
      <w:start w:val="1"/>
    </w:lvl>
    <w:lvl w:ilvl="1">
      <w:lvlJc w:val="left"/>
      <w:lvlText w:val="%2."/>
      <w:numFmt w:val="decimal"/>
      <w:start w:val="13"/>
    </w:lvl>
    <w:lvl w:ilvl="2">
      <w:lvlJc w:val="left"/>
      <w:lvlText w:val="(%3)"/>
      <w:numFmt w:val="lowerLetter"/>
      <w:start w:val="1"/>
    </w:lvl>
  </w:abstractNum>
  <w:abstractNum w:abstractNumId="75">
    <w:nsid w:val="4962813B"/>
    <w:multiLevelType w:val="hybridMultilevel"/>
    <w:lvl w:ilvl="0">
      <w:lvlJc w:val="left"/>
      <w:lvlText w:val="%1"/>
      <w:numFmt w:val="decimal"/>
      <w:start w:val="1"/>
    </w:lvl>
    <w:lvl w:ilvl="1">
      <w:lvlJc w:val="left"/>
      <w:lvlText w:val="(%2)"/>
      <w:numFmt w:val="lowerLetter"/>
      <w:start w:val="2"/>
    </w:lvl>
  </w:abstractNum>
  <w:abstractNum w:abstractNumId="76">
    <w:nsid w:val="60B6DF70"/>
    <w:multiLevelType w:val="hybridMultilevel"/>
    <w:lvl w:ilvl="0">
      <w:lvlJc w:val="left"/>
      <w:lvlText w:val="%1."/>
      <w:numFmt w:val="decimal"/>
      <w:start w:val="14"/>
    </w:lvl>
    <w:lvl w:ilvl="1">
      <w:lvlJc w:val="left"/>
      <w:lvlText w:val="(%2)"/>
      <w:numFmt w:val="lowerLetter"/>
      <w:start w:val="1"/>
    </w:lvl>
  </w:abstractNum>
  <w:abstractNum w:abstractNumId="77">
    <w:nsid w:val="6A5EE64"/>
    <w:multiLevelType w:val="hybridMultilevel"/>
    <w:lvl w:ilvl="0">
      <w:lvlJc w:val="left"/>
      <w:lvlText w:val="(%1)"/>
      <w:numFmt w:val="lowerLetter"/>
      <w:start w:val="3"/>
    </w:lvl>
    <w:lvl w:ilvl="1">
      <w:lvlJc w:val="left"/>
      <w:lvlText w:val="(%2)"/>
      <w:numFmt w:val="lowerRoman"/>
      <w:start w:val="1"/>
    </w:lvl>
  </w:abstractNum>
  <w:abstractNum w:abstractNumId="78">
    <w:nsid w:val="14330624"/>
    <w:multiLevelType w:val="hybridMultilevel"/>
    <w:lvl w:ilvl="0">
      <w:lvlJc w:val="left"/>
      <w:lvlText w:val="%1"/>
      <w:numFmt w:val="lowerLetter"/>
      <w:start w:val="1"/>
    </w:lvl>
    <w:lvl w:ilvl="1">
      <w:lvlJc w:val="left"/>
      <w:lvlText w:val="(%2)"/>
      <w:numFmt w:val="lowerLetter"/>
      <w:start w:val="61"/>
    </w:lvl>
  </w:abstractNum>
  <w:abstractNum w:abstractNumId="79">
    <w:nsid w:val="7FFFCA11"/>
    <w:multiLevelType w:val="hybridMultilevel"/>
    <w:lvl w:ilvl="0">
      <w:lvlJc w:val="left"/>
      <w:lvlText w:val="(%1)"/>
      <w:numFmt w:val="lowerLetter"/>
      <w:start w:val="25"/>
    </w:lvl>
    <w:lvl w:ilvl="1">
      <w:lvlJc w:val="left"/>
      <w:lvlText w:val="%2"/>
      <w:numFmt w:val="lowerLetter"/>
      <w:start w:val="1"/>
    </w:lvl>
  </w:abstractNum>
  <w:abstractNum w:abstractNumId="80">
    <w:nsid w:val="1A27709E"/>
    <w:multiLevelType w:val="hybridMultilevel"/>
    <w:lvl w:ilvl="0">
      <w:lvlJc w:val="left"/>
      <w:lvlText w:val="(%1)"/>
      <w:numFmt w:val="lowerRoman"/>
      <w:start w:val="4"/>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3" Type="http://schemas.openxmlformats.org/officeDocument/2006/relationships/image" Target="media/image110.png"/><Relationship Id="rId137"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17" Type="http://schemas.openxmlformats.org/officeDocument/2006/relationships/hyperlink" Target="http://www.sec.gov/Archives/edgar/data/1720893/000110465918016770/a18-8090_1ex3d1.htm" TargetMode="External"/><Relationship Id="rId118" Type="http://schemas.openxmlformats.org/officeDocument/2006/relationships/hyperlink" Target="http://www.sec.gov/Archives/edgar/data/1720893/000110465918016770/a18-8090_1ex3d2.htm" TargetMode="External"/><Relationship Id="rId119" Type="http://schemas.openxmlformats.org/officeDocument/2006/relationships/hyperlink" Target="https://www.sec.gov/Archives/edgar/data/1720893/000155837020002196/btai-20191231ex41bb8e5e8.htm" TargetMode="External"/><Relationship Id="rId120" Type="http://schemas.openxmlformats.org/officeDocument/2006/relationships/hyperlink" Target="http://www.sec.gov/Archives/edgar/data/1720893/000104746918001032/a2234645zex-4_2.htm" TargetMode="External"/><Relationship Id="rId121" Type="http://schemas.openxmlformats.org/officeDocument/2006/relationships/hyperlink" Target="http://www.sec.gov/Archives/edgar/data/1720893/000110465920023567/tm209375d4_ex10-1.htm" TargetMode="External"/><Relationship Id="rId122" Type="http://schemas.openxmlformats.org/officeDocument/2006/relationships/hyperlink" Target="https://www.sec.gov/Archives/edgar/data/1720893/000155837020002196/btai-20191231ex102ae7793.htm" TargetMode="External"/><Relationship Id="rId124" Type="http://schemas.openxmlformats.org/officeDocument/2006/relationships/hyperlink" Target="http://www.sec.gov/Archives/edgar/data/1720893/000104746918000756/a2234454zex-10_2.htm" TargetMode="External"/><Relationship Id="rId125" Type="http://schemas.openxmlformats.org/officeDocument/2006/relationships/hyperlink" Target="http://www.sec.gov/Archives/edgar/data/1720893/000110465918053383/a18-21149_1ex10d1.htm" TargetMode="External"/><Relationship Id="rId126" Type="http://schemas.openxmlformats.org/officeDocument/2006/relationships/hyperlink" Target="https://www.sec.gov/Archives/edgar/data/1720893/000155837020013632/btai-20200930ex1018d184a.htm" TargetMode="External"/><Relationship Id="rId127" Type="http://schemas.openxmlformats.org/officeDocument/2006/relationships/hyperlink" Target="http://www.sec.gov/Archives/edgar/data/1720893/000104746918000756/a2234454zex-10_3.htm" TargetMode="External"/><Relationship Id="rId128" Type="http://schemas.openxmlformats.org/officeDocument/2006/relationships/hyperlink" Target="http://www.sec.gov/Archives/edgar/data/1720893/000104746918000756/a2234454zex-10_4.htm" TargetMode="External"/><Relationship Id="rId129" Type="http://schemas.openxmlformats.org/officeDocument/2006/relationships/hyperlink" Target="http://www.sec.gov/Archives/edgar/data/1720893/000104746918000756/a2234454zex-10_5.htm" TargetMode="External"/><Relationship Id="rId130" Type="http://schemas.openxmlformats.org/officeDocument/2006/relationships/hyperlink" Target="https://www.sec.gov/Archives/edgar/data/1720893/000155837020010611/btai-20200630ex101dd8d33.htm" TargetMode="External"/><Relationship Id="rId131" Type="http://schemas.openxmlformats.org/officeDocument/2006/relationships/hyperlink" Target="https://www.sec.gov/Archives/edgar/data/1720893/000110465920064759/tm2020394d1_ex10-2.htm" TargetMode="External"/><Relationship Id="rId132" Type="http://schemas.openxmlformats.org/officeDocument/2006/relationships/hyperlink" Target="http://www.sec.gov/Archives/edgar/data/1720893/000104746918000756/a2234454zex-10_6.htm" TargetMode="External"/><Relationship Id="rId133" Type="http://schemas.openxmlformats.org/officeDocument/2006/relationships/hyperlink" Target="http://www.sec.gov/Archives/edgar/data/1720893/000110465918016770/a18-8090_1ex10d1.htm" TargetMode="External"/><Relationship Id="rId134" Type="http://schemas.openxmlformats.org/officeDocument/2006/relationships/hyperlink" Target="http://www.sec.gov/Archives/edgar/data/1720893/000104746918000756/a2234454zex-10_11.htm" TargetMode="External"/><Relationship Id="rId135" Type="http://schemas.openxmlformats.org/officeDocument/2006/relationships/hyperlink" Target="http://www.sec.gov/Archives/edgar/data/1720893/000104746918000756/a2234454zex-10_12.htm" TargetMode="External"/><Relationship Id="rId136" Type="http://schemas.openxmlformats.org/officeDocument/2006/relationships/hyperlink" Target="http://www.sec.gov/Archives/edgar/data/1720893/000110465918038902/a18-14962_1ex10d1.htm" TargetMode="External"/><Relationship Id="rId138" Type="http://schemas.openxmlformats.org/officeDocument/2006/relationships/hyperlink" Target="https://www.sec.gov/Archives/edgar/data/1720893/000155837020010611/btai-20200630ex103a23b2e.htm" TargetMode="External"/><Relationship Id="rId139" Type="http://schemas.openxmlformats.org/officeDocument/2006/relationships/hyperlink" Target="https://www.sec.gov/Archives/edgar/data/1720893/000155837020010611/btai-20200630ex104551247.htm" TargetMode="External"/><Relationship Id="rId140" Type="http://schemas.openxmlformats.org/officeDocument/2006/relationships/hyperlink" Target="https://www.sec.gov/Archives/edgar/data/1720893/000155837020006435/btai-20200331ex10168477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2021-03-12T15:46:40Z</dcterms:created>
  <dcterms:modified xsi:type="dcterms:W3CDTF">2021-03-12T15:46:40Z</dcterms:modified>
</cp:coreProperties>
</file>