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122" w:lineRule="exact"/>
        <w:rPr>
          <w:sz w:val="24"/>
          <w:szCs w:val="24"/>
          <w:color w:val="auto"/>
        </w:rPr>
      </w:pPr>
    </w:p>
    <w:p>
      <w:pPr>
        <w:ind w:left="40"/>
        <w:spacing w:after="0"/>
        <w:rPr>
          <w:sz w:val="20"/>
          <w:szCs w:val="20"/>
          <w:color w:val="auto"/>
        </w:rPr>
      </w:pPr>
      <w:r>
        <w:rPr>
          <w:rFonts w:ascii="Arial" w:cs="Arial" w:eastAsia="Arial" w:hAnsi="Arial"/>
          <w:sz w:val="11"/>
          <w:szCs w:val="11"/>
          <w:b w:val="1"/>
          <w:bCs w:val="1"/>
          <w:color w:val="auto"/>
        </w:rPr>
        <w:t>(Mark one)</w:t>
      </w:r>
    </w:p>
    <w:p>
      <w:pPr>
        <w:spacing w:after="0" w:line="2" w:lineRule="exact"/>
        <w:rPr>
          <w:sz w:val="24"/>
          <w:szCs w:val="24"/>
          <w:color w:val="auto"/>
        </w:rPr>
      </w:pPr>
    </w:p>
    <w:p>
      <w:pPr>
        <w:jc w:val="right"/>
        <w:ind w:left="3320" w:right="3339" w:hanging="3170"/>
        <w:spacing w:after="0" w:line="281" w:lineRule="auto"/>
        <w:tabs>
          <w:tab w:leader="none" w:pos="382"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year ended December 31, 2019</w:t>
      </w:r>
    </w:p>
    <w:p>
      <w:pPr>
        <w:ind w:left="4440"/>
        <w:spacing w:after="0" w:line="221" w:lineRule="auto"/>
        <w:rPr>
          <w:rFonts w:ascii="MS PGothic" w:cs="MS PGothic" w:eastAsia="MS PGothic" w:hAnsi="MS PGothic"/>
          <w:sz w:val="12"/>
          <w:szCs w:val="12"/>
          <w:color w:val="auto"/>
        </w:rPr>
      </w:pPr>
      <w:r>
        <w:rPr>
          <w:rFonts w:ascii="Arial" w:cs="Arial" w:eastAsia="Arial" w:hAnsi="Arial"/>
          <w:sz w:val="14"/>
          <w:szCs w:val="14"/>
          <w:b w:val="1"/>
          <w:bCs w:val="1"/>
          <w:color w:val="auto"/>
        </w:rPr>
        <w:t>or</w:t>
      </w:r>
    </w:p>
    <w:p>
      <w:pPr>
        <w:ind w:left="380" w:hanging="230"/>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9019"/>
          </w:cols>
          <w:pgMar w:left="1440" w:top="233" w:right="1440" w:bottom="1440" w:gutter="0" w:footer="0" w:header="0"/>
        </w:sectPr>
      </w:pPr>
    </w:p>
    <w:p>
      <w:pPr>
        <w:spacing w:after="0" w:line="24" w:lineRule="exact"/>
        <w:rPr>
          <w:sz w:val="24"/>
          <w:szCs w:val="24"/>
          <w:color w:val="auto"/>
        </w:rPr>
      </w:pPr>
    </w:p>
    <w:p>
      <w:pPr>
        <w:ind w:left="3020"/>
        <w:spacing w:after="0"/>
        <w:tabs>
          <w:tab w:leader="none" w:pos="53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3" w:lineRule="exact"/>
        <w:rPr>
          <w:sz w:val="24"/>
          <w:szCs w:val="24"/>
          <w:color w:val="auto"/>
        </w:rPr>
      </w:pPr>
    </w:p>
    <w:p>
      <w:pPr>
        <w:sectPr>
          <w:pgSz w:w="11900" w:h="16838" w:orient="portrait"/>
          <w:cols w:equalWidth="0" w:num="2">
            <w:col w:w="5500" w:space="460"/>
            <w:col w:w="3059"/>
          </w:cols>
          <w:pgMar w:left="1440" w:top="233" w:right="1440" w:bottom="1440" w:gutter="0" w:footer="0" w:header="0"/>
          <w:type w:val="continuous"/>
        </w:sectPr>
      </w:pPr>
    </w:p>
    <w:p>
      <w:pPr>
        <w:jc w:val="center"/>
        <w:ind w:right="19"/>
        <w:spacing w:after="0" w:line="138" w:lineRule="exact"/>
        <w:rPr>
          <w:sz w:val="20"/>
          <w:szCs w:val="20"/>
          <w:color w:val="auto"/>
        </w:rPr>
      </w:pPr>
      <w:r>
        <w:rPr>
          <w:rFonts w:ascii="Arial" w:cs="Arial" w:eastAsia="Arial" w:hAnsi="Arial"/>
          <w:sz w:val="12"/>
          <w:szCs w:val="12"/>
          <w:b w:val="1"/>
          <w:bCs w:val="1"/>
          <w:color w:val="auto"/>
        </w:rPr>
        <w:t>Commission file number 001</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38410</w:t>
      </w:r>
    </w:p>
    <w:p>
      <w:pPr>
        <w:sectPr>
          <w:pgSz w:w="11900" w:h="16838" w:orient="portrait"/>
          <w:cols w:equalWidth="0" w:num="1">
            <w:col w:w="9019"/>
          </w:cols>
          <w:pgMar w:left="1440" w:top="233" w:right="1440"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BioXcel Therapeutics,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2" w:lineRule="exact"/>
        <w:rPr>
          <w:sz w:val="24"/>
          <w:szCs w:val="24"/>
          <w:color w:val="auto"/>
        </w:rPr>
      </w:pPr>
    </w:p>
    <w:tbl>
      <w:tblPr>
        <w:tblLayout w:type="fixed"/>
        <w:tblInd w:w="1340" w:type="dxa"/>
        <w:tblCellMar>
          <w:top w:w="0" w:type="dxa"/>
          <w:left w:w="0" w:type="dxa"/>
          <w:bottom w:w="0" w:type="dxa"/>
          <w:right w:w="0" w:type="dxa"/>
        </w:tblCellMar>
      </w:tblPr>
      <w:tr>
        <w:trPr>
          <w:trHeight w:val="149"/>
        </w:trPr>
        <w:tc>
          <w:tcPr>
            <w:tcW w:w="3460" w:type="dxa"/>
            <w:vAlign w:val="bottom"/>
          </w:tcPr>
          <w:p>
            <w:pPr>
              <w:jc w:val="center"/>
              <w:ind w:right="1517"/>
              <w:spacing w:after="0"/>
              <w:rPr>
                <w:sz w:val="20"/>
                <w:szCs w:val="20"/>
                <w:color w:val="auto"/>
              </w:rPr>
            </w:pPr>
            <w:r>
              <w:rPr>
                <w:rFonts w:ascii="Arial" w:cs="Arial" w:eastAsia="Arial" w:hAnsi="Arial"/>
                <w:sz w:val="13"/>
                <w:szCs w:val="13"/>
                <w:b w:val="1"/>
                <w:bCs w:val="1"/>
                <w:color w:val="auto"/>
                <w:w w:val="91"/>
              </w:rPr>
              <w:t>Delaware</w:t>
            </w:r>
          </w:p>
        </w:tc>
        <w:tc>
          <w:tcPr>
            <w:tcW w:w="2400" w:type="dxa"/>
            <w:vAlign w:val="bottom"/>
          </w:tcPr>
          <w:p>
            <w:pPr>
              <w:jc w:val="center"/>
              <w:ind w:left="1397"/>
              <w:spacing w:after="0" w:line="150" w:lineRule="exact"/>
              <w:rPr>
                <w:sz w:val="20"/>
                <w:szCs w:val="20"/>
                <w:color w:val="auto"/>
              </w:rPr>
            </w:pPr>
            <w:r>
              <w:rPr>
                <w:rFonts w:ascii="Arial" w:cs="Arial" w:eastAsia="Arial" w:hAnsi="Arial"/>
                <w:sz w:val="13"/>
                <w:szCs w:val="13"/>
                <w:b w:val="1"/>
                <w:bCs w:val="1"/>
                <w:color w:val="auto"/>
                <w:w w:val="89"/>
              </w:rPr>
              <w:t>82</w:t>
            </w:r>
            <w:r>
              <w:rPr>
                <w:rFonts w:ascii="MS PGothic" w:cs="MS PGothic" w:eastAsia="MS PGothic" w:hAnsi="MS PGothic"/>
                <w:sz w:val="13"/>
                <w:szCs w:val="13"/>
                <w:b w:val="1"/>
                <w:bCs w:val="1"/>
                <w:color w:val="auto"/>
                <w:w w:val="89"/>
              </w:rPr>
              <w:t>‑</w:t>
            </w:r>
            <w:r>
              <w:rPr>
                <w:rFonts w:ascii="Arial" w:cs="Arial" w:eastAsia="Arial" w:hAnsi="Arial"/>
                <w:sz w:val="13"/>
                <w:szCs w:val="13"/>
                <w:b w:val="1"/>
                <w:bCs w:val="1"/>
                <w:color w:val="auto"/>
                <w:w w:val="89"/>
              </w:rPr>
              <w:t>1386754</w:t>
            </w:r>
          </w:p>
        </w:tc>
      </w:tr>
      <w:tr>
        <w:trPr>
          <w:trHeight w:val="135"/>
        </w:trPr>
        <w:tc>
          <w:tcPr>
            <w:tcW w:w="3460" w:type="dxa"/>
            <w:vAlign w:val="bottom"/>
          </w:tcPr>
          <w:p>
            <w:pPr>
              <w:jc w:val="center"/>
              <w:ind w:right="1377"/>
              <w:spacing w:after="0" w:line="135" w:lineRule="exact"/>
              <w:rPr>
                <w:sz w:val="20"/>
                <w:szCs w:val="20"/>
                <w:color w:val="auto"/>
              </w:rPr>
            </w:pPr>
            <w:r>
              <w:rPr>
                <w:rFonts w:ascii="Arial" w:cs="Arial" w:eastAsia="Arial" w:hAnsi="Arial"/>
                <w:sz w:val="13"/>
                <w:szCs w:val="13"/>
                <w:color w:val="auto"/>
                <w:w w:val="89"/>
              </w:rPr>
              <w:t>(State or other jurisdiction of</w:t>
            </w:r>
          </w:p>
        </w:tc>
        <w:tc>
          <w:tcPr>
            <w:tcW w:w="2400" w:type="dxa"/>
            <w:vAlign w:val="bottom"/>
          </w:tcPr>
          <w:p>
            <w:pPr>
              <w:jc w:val="center"/>
              <w:ind w:left="1397"/>
              <w:spacing w:after="0" w:line="135" w:lineRule="exact"/>
              <w:rPr>
                <w:sz w:val="20"/>
                <w:szCs w:val="20"/>
                <w:color w:val="auto"/>
              </w:rPr>
            </w:pPr>
            <w:r>
              <w:rPr>
                <w:rFonts w:ascii="Arial" w:cs="Arial" w:eastAsia="Arial" w:hAnsi="Arial"/>
                <w:sz w:val="13"/>
                <w:szCs w:val="13"/>
                <w:color w:val="auto"/>
                <w:w w:val="90"/>
              </w:rPr>
              <w:t>(I.R.S. Employer</w:t>
            </w:r>
          </w:p>
        </w:tc>
      </w:tr>
      <w:tr>
        <w:trPr>
          <w:trHeight w:val="131"/>
        </w:trPr>
        <w:tc>
          <w:tcPr>
            <w:tcW w:w="3460" w:type="dxa"/>
            <w:vAlign w:val="bottom"/>
          </w:tcPr>
          <w:p>
            <w:pPr>
              <w:jc w:val="center"/>
              <w:ind w:right="1397"/>
              <w:spacing w:after="0" w:line="131" w:lineRule="exact"/>
              <w:rPr>
                <w:sz w:val="20"/>
                <w:szCs w:val="20"/>
                <w:color w:val="auto"/>
              </w:rPr>
            </w:pPr>
            <w:r>
              <w:rPr>
                <w:rFonts w:ascii="Arial" w:cs="Arial" w:eastAsia="Arial" w:hAnsi="Arial"/>
                <w:sz w:val="13"/>
                <w:szCs w:val="13"/>
                <w:color w:val="auto"/>
                <w:w w:val="89"/>
              </w:rPr>
              <w:t>incorporation or organization)</w:t>
            </w:r>
          </w:p>
        </w:tc>
        <w:tc>
          <w:tcPr>
            <w:tcW w:w="2400" w:type="dxa"/>
            <w:vAlign w:val="bottom"/>
          </w:tcPr>
          <w:p>
            <w:pPr>
              <w:jc w:val="center"/>
              <w:ind w:left="1397"/>
              <w:spacing w:after="0" w:line="131" w:lineRule="exact"/>
              <w:rPr>
                <w:sz w:val="20"/>
                <w:szCs w:val="20"/>
                <w:color w:val="auto"/>
              </w:rPr>
            </w:pPr>
            <w:r>
              <w:rPr>
                <w:rFonts w:ascii="Arial" w:cs="Arial" w:eastAsia="Arial" w:hAnsi="Arial"/>
                <w:sz w:val="13"/>
                <w:szCs w:val="13"/>
                <w:color w:val="auto"/>
                <w:w w:val="92"/>
              </w:rPr>
              <w:t>Identification No.)</w:t>
            </w:r>
          </w:p>
        </w:tc>
      </w:tr>
      <w:tr>
        <w:trPr>
          <w:trHeight w:val="135"/>
        </w:trPr>
        <w:tc>
          <w:tcPr>
            <w:tcW w:w="3460" w:type="dxa"/>
            <w:vAlign w:val="bottom"/>
          </w:tcPr>
          <w:p>
            <w:pPr>
              <w:jc w:val="center"/>
              <w:ind w:right="1537"/>
              <w:spacing w:after="0" w:line="135" w:lineRule="exact"/>
              <w:rPr>
                <w:sz w:val="20"/>
                <w:szCs w:val="20"/>
                <w:color w:val="auto"/>
              </w:rPr>
            </w:pPr>
            <w:r>
              <w:rPr>
                <w:rFonts w:ascii="Arial" w:cs="Arial" w:eastAsia="Arial" w:hAnsi="Arial"/>
                <w:sz w:val="13"/>
                <w:szCs w:val="13"/>
                <w:b w:val="1"/>
                <w:bCs w:val="1"/>
                <w:color w:val="auto"/>
                <w:w w:val="91"/>
              </w:rPr>
              <w:t>555 Long Wharf Drive</w:t>
            </w:r>
          </w:p>
        </w:tc>
        <w:tc>
          <w:tcPr>
            <w:tcW w:w="24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06511</w:t>
            </w:r>
          </w:p>
        </w:tc>
      </w:tr>
      <w:tr>
        <w:trPr>
          <w:trHeight w:val="139"/>
        </w:trPr>
        <w:tc>
          <w:tcPr>
            <w:tcW w:w="3460" w:type="dxa"/>
            <w:vAlign w:val="bottom"/>
          </w:tcPr>
          <w:p>
            <w:pPr>
              <w:jc w:val="center"/>
              <w:ind w:right="1537"/>
              <w:spacing w:after="0" w:line="139" w:lineRule="exact"/>
              <w:rPr>
                <w:sz w:val="20"/>
                <w:szCs w:val="20"/>
                <w:color w:val="auto"/>
              </w:rPr>
            </w:pPr>
            <w:r>
              <w:rPr>
                <w:rFonts w:ascii="Arial" w:cs="Arial" w:eastAsia="Arial" w:hAnsi="Arial"/>
                <w:sz w:val="13"/>
                <w:szCs w:val="13"/>
                <w:b w:val="1"/>
                <w:bCs w:val="1"/>
                <w:color w:val="auto"/>
                <w:w w:val="90"/>
              </w:rPr>
              <w:t>New Haven CT</w:t>
            </w:r>
          </w:p>
        </w:tc>
        <w:tc>
          <w:tcPr>
            <w:tcW w:w="2400" w:type="dxa"/>
            <w:vAlign w:val="bottom"/>
          </w:tcPr>
          <w:p>
            <w:pPr>
              <w:jc w:val="center"/>
              <w:ind w:left="1397"/>
              <w:spacing w:after="0" w:line="139" w:lineRule="exact"/>
              <w:rPr>
                <w:sz w:val="20"/>
                <w:szCs w:val="20"/>
                <w:color w:val="auto"/>
              </w:rPr>
            </w:pPr>
            <w:r>
              <w:rPr>
                <w:rFonts w:ascii="Arial" w:cs="Arial" w:eastAsia="Arial" w:hAnsi="Arial"/>
                <w:sz w:val="13"/>
                <w:szCs w:val="13"/>
                <w:color w:val="auto"/>
                <w:w w:val="87"/>
              </w:rPr>
              <w:t>(Zip Code)</w:t>
            </w:r>
          </w:p>
        </w:tc>
      </w:tr>
      <w:tr>
        <w:trPr>
          <w:trHeight w:val="160"/>
        </w:trPr>
        <w:tc>
          <w:tcPr>
            <w:tcW w:w="3460" w:type="dxa"/>
            <w:vAlign w:val="bottom"/>
          </w:tcPr>
          <w:p>
            <w:pPr>
              <w:jc w:val="center"/>
              <w:ind w:right="1397"/>
              <w:spacing w:after="0"/>
              <w:rPr>
                <w:sz w:val="20"/>
                <w:szCs w:val="20"/>
                <w:color w:val="auto"/>
              </w:rPr>
            </w:pPr>
            <w:r>
              <w:rPr>
                <w:rFonts w:ascii="Arial" w:cs="Arial" w:eastAsia="Arial" w:hAnsi="Arial"/>
                <w:sz w:val="13"/>
                <w:szCs w:val="13"/>
                <w:color w:val="auto"/>
                <w:w w:val="89"/>
              </w:rPr>
              <w:t>(Address of principal executive offices)</w:t>
            </w:r>
          </w:p>
        </w:tc>
        <w:tc>
          <w:tcPr>
            <w:tcW w:w="2400" w:type="dxa"/>
            <w:vAlign w:val="bottom"/>
          </w:tcPr>
          <w:p>
            <w:pPr>
              <w:spacing w:after="0"/>
              <w:rPr>
                <w:sz w:val="13"/>
                <w:szCs w:val="13"/>
                <w:color w:val="auto"/>
              </w:rPr>
            </w:pPr>
          </w:p>
        </w:tc>
      </w:tr>
    </w:tbl>
    <w:p>
      <w:pPr>
        <w:spacing w:after="0" w:line="182"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(475) 238</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6837</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73" w:lineRule="exact"/>
        <w:rPr>
          <w:sz w:val="24"/>
          <w:szCs w:val="24"/>
          <w:color w:val="auto"/>
        </w:rPr>
      </w:pPr>
    </w:p>
    <w:tbl>
      <w:tblPr>
        <w:tblLayout w:type="fixed"/>
        <w:tblInd w:w="70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2060" w:type="dxa"/>
            <w:vAlign w:val="bottom"/>
            <w:gridSpan w:val="2"/>
          </w:tcPr>
          <w:p>
            <w:pPr>
              <w:jc w:val="center"/>
              <w:ind w:right="1088"/>
              <w:spacing w:after="0"/>
              <w:rPr>
                <w:sz w:val="20"/>
                <w:szCs w:val="20"/>
                <w:color w:val="auto"/>
              </w:rPr>
            </w:pPr>
            <w:r>
              <w:rPr>
                <w:rFonts w:ascii="Arial" w:cs="Arial" w:eastAsia="Arial" w:hAnsi="Arial"/>
                <w:sz w:val="13"/>
                <w:szCs w:val="13"/>
                <w:color w:val="auto"/>
                <w:w w:val="86"/>
              </w:rPr>
              <w:t>Title of each class</w:t>
            </w:r>
          </w:p>
        </w:tc>
        <w:tc>
          <w:tcPr>
            <w:tcW w:w="1880" w:type="dxa"/>
            <w:vAlign w:val="bottom"/>
          </w:tcPr>
          <w:p>
            <w:pPr>
              <w:jc w:val="center"/>
              <w:spacing w:after="0"/>
              <w:rPr>
                <w:sz w:val="20"/>
                <w:szCs w:val="20"/>
                <w:color w:val="auto"/>
              </w:rPr>
            </w:pPr>
            <w:r>
              <w:rPr>
                <w:rFonts w:ascii="Arial" w:cs="Arial" w:eastAsia="Arial" w:hAnsi="Arial"/>
                <w:sz w:val="13"/>
                <w:szCs w:val="13"/>
                <w:color w:val="auto"/>
                <w:w w:val="90"/>
              </w:rPr>
              <w:t>Trading Symbol(s)</w:t>
            </w:r>
          </w:p>
        </w:tc>
        <w:tc>
          <w:tcPr>
            <w:tcW w:w="2920" w:type="dxa"/>
            <w:vAlign w:val="bottom"/>
            <w:gridSpan w:val="3"/>
          </w:tcPr>
          <w:p>
            <w:pPr>
              <w:jc w:val="center"/>
              <w:spacing w:after="0"/>
              <w:rPr>
                <w:sz w:val="20"/>
                <w:szCs w:val="20"/>
                <w:color w:val="auto"/>
              </w:rPr>
            </w:pPr>
            <w:r>
              <w:rPr>
                <w:rFonts w:ascii="Arial" w:cs="Arial" w:eastAsia="Arial" w:hAnsi="Arial"/>
                <w:sz w:val="13"/>
                <w:szCs w:val="13"/>
                <w:color w:val="auto"/>
                <w:w w:val="87"/>
              </w:rPr>
              <w:t>Name of exchange on which registered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BTAI</w:t>
            </w:r>
          </w:p>
        </w:tc>
        <w:tc>
          <w:tcPr>
            <w:tcW w:w="480" w:type="dxa"/>
            <w:vAlign w:val="bottom"/>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980" w:type="dxa"/>
            <w:vAlign w:val="bottom"/>
            <w:gridSpan w:val="3"/>
          </w:tcPr>
          <w:p>
            <w:pPr>
              <w:jc w:val="center"/>
              <w:ind w:right="148"/>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18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0"/>
              </w:rPr>
              <w:t>Nasdaq Capital Market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320" w:type="dxa"/>
            <w:vAlign w:val="bottom"/>
            <w:gridSpan w:val="6"/>
          </w:tcPr>
          <w:p>
            <w:pPr>
              <w:spacing w:after="0" w:line="161" w:lineRule="exact"/>
              <w:rPr>
                <w:sz w:val="20"/>
                <w:szCs w:val="20"/>
                <w:color w:val="auto"/>
              </w:rPr>
            </w:pPr>
            <w:r>
              <w:rPr>
                <w:rFonts w:ascii="Arial" w:cs="Arial" w:eastAsia="Arial" w:hAnsi="Arial"/>
                <w:sz w:val="14"/>
                <w:szCs w:val="14"/>
                <w:color w:val="auto"/>
                <w:w w:val="94"/>
              </w:rPr>
              <w:t>Indicate by check mark if the registrant is a well</w:t>
            </w: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known seasoned issuer, as defined in Rule 405 of the Securities Act. Yes </w:t>
            </w:r>
            <w:r>
              <w:rPr>
                <w:rFonts w:ascii="MS PGothic" w:cs="MS PGothic" w:eastAsia="MS PGothic" w:hAnsi="MS PGothic"/>
                <w:sz w:val="14"/>
                <w:szCs w:val="14"/>
                <w:color w:val="auto"/>
                <w:w w:val="94"/>
              </w:rPr>
              <w:t>☐</w:t>
            </w:r>
          </w:p>
        </w:tc>
        <w:tc>
          <w:tcPr>
            <w:tcW w:w="46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0"/>
        </w:trPr>
        <w:tc>
          <w:tcPr>
            <w:tcW w:w="7320" w:type="dxa"/>
            <w:vAlign w:val="bottom"/>
            <w:gridSpan w:val="6"/>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460" w:type="dxa"/>
            <w:vAlign w:val="bottom"/>
          </w:tcPr>
          <w:p>
            <w:pPr>
              <w:ind w:left="12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left="40" w:right="259"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40" w:right="359" w:firstLine="64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w:t>
      </w:r>
    </w:p>
    <w:p>
      <w:pPr>
        <w:spacing w:after="0" w:line="1"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left="40" w:right="519" w:firstLine="648"/>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9019"/>
          </w:cols>
          <w:pgMar w:left="1440" w:top="233" w:right="1440" w:bottom="1440" w:gutter="0" w:footer="0" w:header="0"/>
          <w:type w:val="continuous"/>
        </w:sectPr>
      </w:pPr>
    </w:p>
    <w:p>
      <w:pPr>
        <w:spacing w:after="0" w:line="54" w:lineRule="exact"/>
        <w:rPr>
          <w:sz w:val="24"/>
          <w:szCs w:val="24"/>
          <w:color w:val="auto"/>
        </w:rPr>
      </w:pPr>
    </w:p>
    <w:p>
      <w:pPr>
        <w:ind w:left="4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Non</w:t>
      </w:r>
      <w:r>
        <w:rPr>
          <w:rFonts w:ascii="MS PGothic" w:cs="MS PGothic" w:eastAsia="MS PGothic" w:hAnsi="MS PGothic"/>
          <w:sz w:val="10"/>
          <w:szCs w:val="10"/>
          <w:color w:val="auto"/>
        </w:rPr>
        <w:t>‑</w:t>
      </w: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both"/>
        <w:ind w:right="59" w:hanging="1"/>
        <w:spacing w:after="0" w:line="174"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10"/>
          <w:szCs w:val="10"/>
          <w:color w:val="auto"/>
        </w:rPr>
        <w:t>☒</w:t>
      </w:r>
    </w:p>
    <w:p>
      <w:pPr>
        <w:spacing w:after="0" w:line="38" w:lineRule="exact"/>
        <w:rPr>
          <w:sz w:val="24"/>
          <w:szCs w:val="24"/>
          <w:color w:val="auto"/>
        </w:rPr>
      </w:pPr>
    </w:p>
    <w:p>
      <w:pPr>
        <w:sectPr>
          <w:pgSz w:w="11900" w:h="16838" w:orient="portrait"/>
          <w:cols w:equalWidth="0" w:num="4">
            <w:col w:w="2120" w:space="720"/>
            <w:col w:w="1220" w:space="720"/>
            <w:col w:w="1940" w:space="720"/>
            <w:col w:w="1579"/>
          </w:cols>
          <w:pgMar w:left="1440" w:top="233" w:right="1440" w:bottom="1440" w:gutter="0" w:footer="0" w:header="0"/>
          <w:type w:val="continuous"/>
        </w:sectPr>
      </w:pPr>
    </w:p>
    <w:p>
      <w:pPr>
        <w:ind w:left="40" w:right="299"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9019"/>
          </w:cols>
          <w:pgMar w:left="1440" w:top="233" w:right="1440" w:bottom="1440" w:gutter="0" w:footer="0" w:header="0"/>
          <w:type w:val="continuous"/>
        </w:sectPr>
      </w:pPr>
    </w:p>
    <w:p>
      <w:pPr>
        <w:spacing w:after="0" w:line="59" w:lineRule="exact"/>
        <w:rPr>
          <w:sz w:val="24"/>
          <w:szCs w:val="24"/>
          <w:color w:val="auto"/>
        </w:rPr>
      </w:pPr>
    </w:p>
    <w:p>
      <w:pPr>
        <w:ind w:left="700"/>
        <w:spacing w:after="0" w:line="150"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2 of the Act). Yes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3">
            <w:col w:w="6860" w:space="40"/>
            <w:col w:w="120" w:space="160"/>
            <w:col w:w="1839"/>
          </w:cols>
          <w:pgMar w:left="1440" w:top="233" w:right="1440" w:bottom="1440" w:gutter="0" w:footer="0" w:header="0"/>
          <w:type w:val="continuous"/>
        </w:sectPr>
      </w:pPr>
    </w:p>
    <w:p>
      <w:pPr>
        <w:jc w:val="both"/>
        <w:ind w:left="40" w:right="139"/>
        <w:spacing w:after="0" w:line="233" w:lineRule="auto"/>
        <w:rPr>
          <w:sz w:val="20"/>
          <w:szCs w:val="20"/>
          <w:color w:val="auto"/>
        </w:rPr>
      </w:pPr>
      <w:r>
        <w:rPr>
          <w:rFonts w:ascii="Arial" w:cs="Arial" w:eastAsia="Arial" w:hAnsi="Arial"/>
          <w:sz w:val="14"/>
          <w:szCs w:val="14"/>
          <w:color w:val="auto"/>
        </w:rPr>
        <w:t>As of June 28, 2019, the last business day of the registrant's most recently completed second fiscal quarter, the aggregate market value of the registrant’s common stock held by non-affiliates of the registrant was approximately $63,469,644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spacing w:after="0" w:line="212" w:lineRule="exact"/>
        <w:rPr>
          <w:sz w:val="24"/>
          <w:szCs w:val="24"/>
          <w:color w:val="auto"/>
        </w:rPr>
      </w:pPr>
    </w:p>
    <w:p>
      <w:pPr>
        <w:ind w:left="700"/>
        <w:spacing w:after="0"/>
        <w:rPr>
          <w:sz w:val="20"/>
          <w:szCs w:val="20"/>
          <w:color w:val="auto"/>
        </w:rPr>
      </w:pPr>
      <w:r>
        <w:rPr>
          <w:rFonts w:ascii="Arial" w:cs="Arial" w:eastAsia="Arial" w:hAnsi="Arial"/>
          <w:sz w:val="14"/>
          <w:szCs w:val="14"/>
          <w:color w:val="auto"/>
        </w:rPr>
        <w:t>There were 20,182,382 shares of our common stock outstanding at March 9, 2020.</w:t>
      </w:r>
    </w:p>
    <w:p>
      <w:pPr>
        <w:spacing w:after="0" w:line="10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40" w:right="139" w:firstLine="648"/>
        <w:spacing w:after="0" w:line="238"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which the registrant intends to file pursuant to Regulation 14A with the Securities and Exchange Commission not later than 120 days after the registrant’s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196215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222250</wp:posOffset>
            </wp:positionV>
            <wp:extent cx="5657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864870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20" w:type="dxa"/>
            <w:vAlign w:val="bottom"/>
            <w:gridSpan w:val="10"/>
          </w:tcPr>
          <w:p>
            <w:pPr>
              <w:ind w:left="600"/>
              <w:spacing w:after="0"/>
              <w:rPr>
                <w:sz w:val="20"/>
                <w:szCs w:val="20"/>
                <w:color w:val="auto"/>
              </w:rPr>
            </w:pPr>
            <w:r>
              <w:rPr>
                <w:rFonts w:ascii="Arial" w:cs="Arial" w:eastAsia="Arial" w:hAnsi="Arial"/>
                <w:sz w:val="20"/>
                <w:szCs w:val="20"/>
                <w:b w:val="1"/>
                <w:bCs w:val="1"/>
                <w:color w:val="auto"/>
              </w:rPr>
              <w:t>TABLE OF CONTENTS</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2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70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320" w:type="dxa"/>
            <w:vAlign w:val="bottom"/>
            <w:gridSpan w:val="22"/>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00" w:type="dxa"/>
            <w:vAlign w:val="bottom"/>
            <w:gridSpan w:val="7"/>
            <w:vMerge w:val="continue"/>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200" w:type="dxa"/>
            <w:vAlign w:val="bottom"/>
            <w:gridSpan w:val="5"/>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680" w:type="dxa"/>
            <w:vAlign w:val="bottom"/>
            <w:gridSpan w:val="21"/>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gridSpan w:val="6"/>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1A.</w:t>
              </w:r>
            </w:hyperlink>
          </w:p>
        </w:tc>
        <w:tc>
          <w:tcPr>
            <w:tcW w:w="40" w:type="dxa"/>
            <w:vAlign w:val="bottom"/>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6"/>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Item 1B.</w:t>
              </w:r>
            </w:hyperlink>
          </w:p>
        </w:tc>
        <w:tc>
          <w:tcPr>
            <w:tcW w:w="40" w:type="dxa"/>
            <w:vAlign w:val="bottom"/>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Unresolved Staff Comments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78">
              <w:r>
                <w:rPr>
                  <w:rFonts w:ascii="Arial" w:cs="Arial" w:eastAsia="Arial" w:hAnsi="Arial"/>
                  <w:sz w:val="18"/>
                  <w:szCs w:val="18"/>
                  <w:color w:val="0000EE"/>
                  <w:w w:val="83"/>
                </w:rPr>
                <w:t>Item 2.</w:t>
              </w:r>
            </w:hyperlink>
          </w:p>
        </w:tc>
        <w:tc>
          <w:tcPr>
            <w:tcW w:w="16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Properties</w:t>
              </w:r>
            </w:hyperlink>
          </w:p>
        </w:tc>
        <w:tc>
          <w:tcPr>
            <w:tcW w:w="5240" w:type="dxa"/>
            <w:vAlign w:val="bottom"/>
            <w:gridSpan w:val="11"/>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78">
              <w:r>
                <w:rPr>
                  <w:rFonts w:ascii="Arial" w:cs="Arial" w:eastAsia="Arial" w:hAnsi="Arial"/>
                  <w:sz w:val="18"/>
                  <w:szCs w:val="18"/>
                  <w:color w:val="0000EE"/>
                  <w:w w:val="83"/>
                </w:rPr>
                <w:t>Item 3.</w:t>
              </w:r>
            </w:hyperlink>
          </w:p>
        </w:tc>
        <w:tc>
          <w:tcPr>
            <w:tcW w:w="200" w:type="dxa"/>
            <w:vAlign w:val="bottom"/>
            <w:gridSpan w:val="5"/>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Legal Proceedings</w:t>
              </w:r>
            </w:hyperlink>
          </w:p>
        </w:tc>
        <w:tc>
          <w:tcPr>
            <w:tcW w:w="598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78">
              <w:r>
                <w:rPr>
                  <w:rFonts w:ascii="Arial" w:cs="Arial" w:eastAsia="Arial" w:hAnsi="Arial"/>
                  <w:sz w:val="18"/>
                  <w:szCs w:val="18"/>
                  <w:color w:val="0000EE"/>
                  <w:w w:val="83"/>
                </w:rPr>
                <w:t>Item 4.</w:t>
              </w:r>
            </w:hyperlink>
          </w:p>
        </w:tc>
        <w:tc>
          <w:tcPr>
            <w:tcW w:w="200" w:type="dxa"/>
            <w:vAlign w:val="bottom"/>
            <w:gridSpan w:val="5"/>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Mine Safety Disclosures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2"/>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Part II.</w:t>
              </w:r>
            </w:hyperlink>
          </w:p>
        </w:tc>
        <w:tc>
          <w:tcPr>
            <w:tcW w:w="20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7320" w:type="dxa"/>
            <w:vAlign w:val="bottom"/>
            <w:gridSpan w:val="22"/>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Market for Registrant’s Common Equity, Related Stockholder Matters and Issuer Purchases of Equity</w:t>
              </w:r>
            </w:hyperlink>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Securities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79">
              <w:r>
                <w:rPr>
                  <w:rFonts w:ascii="Arial" w:cs="Arial" w:eastAsia="Arial" w:hAnsi="Arial"/>
                  <w:sz w:val="18"/>
                  <w:szCs w:val="18"/>
                  <w:color w:val="0000EE"/>
                  <w:w w:val="83"/>
                </w:rPr>
                <w:t>Item 6.</w:t>
              </w:r>
            </w:hyperlink>
          </w:p>
        </w:tc>
        <w:tc>
          <w:tcPr>
            <w:tcW w:w="200" w:type="dxa"/>
            <w:vAlign w:val="bottom"/>
            <w:gridSpan w:val="5"/>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Selected Financial Data</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81">
              <w:r>
                <w:rPr>
                  <w:rFonts w:ascii="Arial" w:cs="Arial" w:eastAsia="Arial" w:hAnsi="Arial"/>
                  <w:sz w:val="18"/>
                  <w:szCs w:val="18"/>
                  <w:color w:val="0000EE"/>
                  <w:w w:val="83"/>
                </w:rPr>
                <w:t>Item 7.</w:t>
              </w:r>
            </w:hyperlink>
          </w:p>
        </w:tc>
        <w:tc>
          <w:tcPr>
            <w:tcW w:w="200" w:type="dxa"/>
            <w:vAlign w:val="bottom"/>
            <w:gridSpan w:val="5"/>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Management’s Discussion and Analysis of Financial Condition and Results of Operations</w:t>
              </w:r>
            </w:hyperlink>
          </w:p>
        </w:tc>
        <w:tc>
          <w:tcPr>
            <w:tcW w:w="86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Item 7A.</w:t>
              </w:r>
            </w:hyperlink>
          </w:p>
        </w:tc>
        <w:tc>
          <w:tcPr>
            <w:tcW w:w="4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Quantitative and Qualitative Disclosures About Market Risk</w:t>
              </w:r>
            </w:hyperlink>
          </w:p>
        </w:tc>
        <w:tc>
          <w:tcPr>
            <w:tcW w:w="296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94">
              <w:r>
                <w:rPr>
                  <w:rFonts w:ascii="Arial" w:cs="Arial" w:eastAsia="Arial" w:hAnsi="Arial"/>
                  <w:sz w:val="18"/>
                  <w:szCs w:val="18"/>
                  <w:color w:val="0000EE"/>
                  <w:w w:val="83"/>
                </w:rPr>
                <w:t>Item 8.</w:t>
              </w:r>
            </w:hyperlink>
          </w:p>
        </w:tc>
        <w:tc>
          <w:tcPr>
            <w:tcW w:w="200" w:type="dxa"/>
            <w:vAlign w:val="bottom"/>
            <w:gridSpan w:val="5"/>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94">
              <w:r>
                <w:rPr>
                  <w:rFonts w:ascii="Arial" w:cs="Arial" w:eastAsia="Arial" w:hAnsi="Arial"/>
                  <w:sz w:val="18"/>
                  <w:szCs w:val="18"/>
                  <w:color w:val="0000EE"/>
                  <w:w w:val="83"/>
                </w:rPr>
                <w:t>Item 9.</w:t>
              </w:r>
            </w:hyperlink>
          </w:p>
        </w:tc>
        <w:tc>
          <w:tcPr>
            <w:tcW w:w="200" w:type="dxa"/>
            <w:vAlign w:val="bottom"/>
            <w:gridSpan w:val="5"/>
          </w:tcPr>
          <w:p>
            <w:pPr>
              <w:spacing w:after="0"/>
              <w:rPr>
                <w:sz w:val="17"/>
                <w:szCs w:val="17"/>
                <w:color w:val="auto"/>
              </w:rPr>
            </w:pP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Changes in and Disagreements with Accountants on Accounting and Financial Disclosure</w:t>
              </w:r>
            </w:hyperlink>
          </w:p>
        </w:tc>
        <w:tc>
          <w:tcPr>
            <w:tcW w:w="84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60" w:type="dxa"/>
            <w:vAlign w:val="bottom"/>
            <w:gridSpan w:val="6"/>
          </w:tcPr>
          <w:p>
            <w:pPr>
              <w:spacing w:after="0" w:line="19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Item 9A.</w:t>
              </w:r>
            </w:hyperlink>
          </w:p>
        </w:tc>
        <w:tc>
          <w:tcPr>
            <w:tcW w:w="40" w:type="dxa"/>
            <w:vAlign w:val="bottom"/>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Item 9B</w:t>
              </w:r>
            </w:hyperlink>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17"/>
                <w:szCs w:val="17"/>
                <w:color w:val="auto"/>
              </w:rPr>
            </w:pPr>
          </w:p>
        </w:tc>
        <w:tc>
          <w:tcPr>
            <w:tcW w:w="5560" w:type="dxa"/>
            <w:vAlign w:val="bottom"/>
            <w:gridSpan w:val="1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12"/>
        </w:trPr>
        <w:tc>
          <w:tcPr>
            <w:tcW w:w="58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Part III.</w:t>
              </w:r>
            </w:hyperlink>
          </w:p>
        </w:tc>
        <w:tc>
          <w:tcPr>
            <w:tcW w:w="1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10.</w:t>
              </w:r>
            </w:hyperlink>
          </w:p>
        </w:tc>
        <w:tc>
          <w:tcPr>
            <w:tcW w:w="7320" w:type="dxa"/>
            <w:vAlign w:val="bottom"/>
            <w:gridSpan w:val="2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5"/>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Item 11.</w:t>
              </w:r>
            </w:hyperlink>
          </w:p>
        </w:tc>
        <w:tc>
          <w:tcPr>
            <w:tcW w:w="100" w:type="dxa"/>
            <w:vAlign w:val="bottom"/>
            <w:gridSpan w:val="2"/>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5"/>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Item 12.</w:t>
              </w:r>
            </w:hyperlink>
          </w:p>
        </w:tc>
        <w:tc>
          <w:tcPr>
            <w:tcW w:w="100" w:type="dxa"/>
            <w:vAlign w:val="bottom"/>
            <w:gridSpan w:val="2"/>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Security Ownership of Certain Beneficial Owners and Management and Related Stockholder Matters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5"/>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Item 13.</w:t>
              </w:r>
            </w:hyperlink>
          </w:p>
        </w:tc>
        <w:tc>
          <w:tcPr>
            <w:tcW w:w="100" w:type="dxa"/>
            <w:vAlign w:val="bottom"/>
            <w:gridSpan w:val="2"/>
          </w:tcPr>
          <w:p>
            <w:pPr>
              <w:spacing w:after="0"/>
              <w:rPr>
                <w:sz w:val="17"/>
                <w:szCs w:val="17"/>
                <w:color w:val="auto"/>
              </w:rPr>
            </w:pPr>
          </w:p>
        </w:tc>
        <w:tc>
          <w:tcPr>
            <w:tcW w:w="7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4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5"/>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Item 14.</w:t>
              </w:r>
            </w:hyperlink>
          </w:p>
        </w:tc>
        <w:tc>
          <w:tcPr>
            <w:tcW w:w="100" w:type="dxa"/>
            <w:vAlign w:val="bottom"/>
            <w:gridSpan w:val="2"/>
          </w:tcPr>
          <w:p>
            <w:pPr>
              <w:spacing w:after="0"/>
              <w:rPr>
                <w:sz w:val="17"/>
                <w:szCs w:val="17"/>
                <w:color w:val="auto"/>
              </w:rPr>
            </w:pPr>
          </w:p>
        </w:tc>
        <w:tc>
          <w:tcPr>
            <w:tcW w:w="5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188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12"/>
        </w:trPr>
        <w:tc>
          <w:tcPr>
            <w:tcW w:w="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Part IV.</w:t>
              </w:r>
            </w:hyperlink>
          </w:p>
        </w:tc>
        <w:tc>
          <w:tcPr>
            <w:tcW w:w="40" w:type="dxa"/>
            <w:vAlign w:val="bottom"/>
            <w:tcBorders>
              <w:top w:val="single" w:sz="8" w:color="0000EE"/>
            </w:tcBorders>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Item 15.</w:t>
              </w:r>
            </w:hyperlink>
          </w:p>
        </w:tc>
        <w:tc>
          <w:tcPr>
            <w:tcW w:w="100" w:type="dxa"/>
            <w:vAlign w:val="bottom"/>
            <w:gridSpan w:val="2"/>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Exhibits and Financial Statement Schedules</w:t>
              </w:r>
            </w:hyperlink>
          </w:p>
        </w:tc>
        <w:tc>
          <w:tcPr>
            <w:tcW w:w="4160" w:type="dxa"/>
            <w:vAlign w:val="bottom"/>
            <w:gridSpan w:val="8"/>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700" w:type="dxa"/>
            <w:vAlign w:val="bottom"/>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Item 16.</w:t>
              </w:r>
            </w:hyperlink>
          </w:p>
        </w:tc>
        <w:tc>
          <w:tcPr>
            <w:tcW w:w="7320" w:type="dxa"/>
            <w:vAlign w:val="bottom"/>
            <w:gridSpan w:val="2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Summary</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5780" w:type="dxa"/>
            <w:vAlign w:val="bottom"/>
            <w:gridSpan w:val="1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810"/>
        </w:trPr>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40" w:right="159" w:firstLine="324"/>
        <w:spacing w:after="0" w:line="218"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206" w:lineRule="exact"/>
        <w:rPr>
          <w:sz w:val="20"/>
          <w:szCs w:val="20"/>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auto"/>
        </w:rPr>
      </w:pPr>
    </w:p>
    <w:p>
      <w:pPr>
        <w:ind w:left="1020" w:right="299" w:hanging="328"/>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w:t>
      </w:r>
    </w:p>
    <w:p>
      <w:pPr>
        <w:spacing w:after="0" w:line="20" w:lineRule="exact"/>
        <w:rPr>
          <w:rFonts w:ascii="Arial" w:cs="Arial" w:eastAsia="Arial" w:hAnsi="Arial"/>
          <w:sz w:val="17"/>
          <w:szCs w:val="17"/>
          <w:color w:val="auto"/>
        </w:rPr>
      </w:pPr>
    </w:p>
    <w:p>
      <w:pPr>
        <w:ind w:left="1020" w:right="219" w:hanging="328"/>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Corporation.</w:t>
      </w:r>
    </w:p>
    <w:p>
      <w:pPr>
        <w:spacing w:after="0" w:line="211" w:lineRule="exact"/>
        <w:rPr>
          <w:sz w:val="20"/>
          <w:szCs w:val="20"/>
          <w:color w:val="auto"/>
        </w:rPr>
      </w:pPr>
    </w:p>
    <w:p>
      <w:pPr>
        <w:ind w:left="40" w:right="159" w:firstLine="324"/>
        <w:spacing w:after="0" w:line="289"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Part I, Item 1A. “Risk Factors,” Part II, Item 7. “Management’s Discussion and Analysis of Financial Condition and Results of Operations” and elsewhere in this Annual Report on Form 10-K.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66" w:lineRule="exact"/>
        <w:rPr>
          <w:sz w:val="20"/>
          <w:szCs w:val="20"/>
          <w:color w:val="auto"/>
        </w:rPr>
      </w:pPr>
    </w:p>
    <w:p>
      <w:pPr>
        <w:ind w:left="40" w:right="159" w:firstLine="324"/>
        <w:spacing w:after="0" w:line="254"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2"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As used in this Annual Report on Form 10-K, unless otherwise specified or the context otherwise requires, the terms “we,” “our,” “us,” the “Company” or “BTI” refer to BioXcel Therapeutics, Inc. and its subsidiaries, and “BioXcel” or “Parent” refer to BioXcel Corporation, the Company’s parent. All brand names or trademarks appearing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BTI is a clinical stage biopharmaceutical company utilizing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sublingual thin film formulation designed for acute treatment of agitation resulting from neuropsychiatric disorders, and BXCL701, an orally administered systemic innate immunity activator designed for treatment of a rare form of prostate cancer, pancreatic cancer and advanced solid cancers in combination with other immuno-oncology agents.</w:t>
      </w:r>
    </w:p>
    <w:p>
      <w:pPr>
        <w:spacing w:after="0" w:line="177" w:lineRule="exact"/>
        <w:rPr>
          <w:sz w:val="20"/>
          <w:szCs w:val="20"/>
          <w:color w:val="auto"/>
        </w:rPr>
      </w:pPr>
    </w:p>
    <w:p>
      <w:pPr>
        <w:ind w:left="40" w:right="359" w:firstLine="324"/>
        <w:spacing w:after="0" w:line="301" w:lineRule="auto"/>
        <w:rPr>
          <w:sz w:val="20"/>
          <w:szCs w:val="20"/>
          <w:color w:val="auto"/>
        </w:rPr>
      </w:pPr>
      <w:r>
        <w:rPr>
          <w:rFonts w:ascii="Arial" w:cs="Arial" w:eastAsia="Arial" w:hAnsi="Arial"/>
          <w:sz w:val="16"/>
          <w:szCs w:val="16"/>
          <w:color w:val="auto"/>
        </w:rPr>
        <w:t>The Company’s primary activities have been clinical and pre-clinical research and development of its two most advanced programs: BXCL501, a sublingual thin film formulation of dexmedetomidine, or Dex, designed for acute treatment of agitation resulting from neurological and psychiatric disorders, and BXCL701, an immuno-oncology agent designed for treatment of a rare form of prostate cancer and for treatment of pancreatic cancer and other solid tumors.</w:t>
      </w:r>
    </w:p>
    <w:p>
      <w:pPr>
        <w:spacing w:after="0" w:line="157"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6"/>
          <w:szCs w:val="16"/>
          <w:color w:val="auto"/>
        </w:rPr>
        <w:t>We intend to develop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high value therapeutics by leveraging EvolverAI, a research and development engine created and owned by our parent, BioXcel. We believe the combination of our therapeutic area expertise and our ability to generate product candidates through our exclusive collaborative relationship with our parent company, BioXcel Corporation in the areas of neuroscience and immuno</w:t>
      </w:r>
      <w:r>
        <w:rPr>
          <w:rFonts w:ascii="MS PGothic" w:cs="MS PGothic" w:eastAsia="MS PGothic" w:hAnsi="MS PGothic"/>
          <w:sz w:val="16"/>
          <w:szCs w:val="16"/>
          <w:color w:val="auto"/>
        </w:rPr>
        <w:t>‑</w:t>
      </w:r>
      <w:r>
        <w:rPr>
          <w:rFonts w:ascii="Arial" w:cs="Arial" w:eastAsia="Arial" w:hAnsi="Arial"/>
          <w:sz w:val="16"/>
          <w:szCs w:val="16"/>
          <w:color w:val="auto"/>
        </w:rPr>
        <w:t>oncology gives us a significant competitive advantage. EvolverAI was developed over the last decade and integrates millions of fragmented data points using artificial intelligence, or AI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207"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We operate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lead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486400" cy="2957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7" w:lineRule="exact"/>
        <w:rPr>
          <w:sz w:val="20"/>
          <w:szCs w:val="20"/>
          <w:color w:val="auto"/>
        </w:rPr>
      </w:pPr>
    </w:p>
    <w:p>
      <w:pPr>
        <w:ind w:left="40" w:right="179" w:firstLine="648"/>
        <w:spacing w:after="0" w:line="216" w:lineRule="exact"/>
        <w:rPr>
          <w:sz w:val="20"/>
          <w:szCs w:val="20"/>
          <w:color w:val="auto"/>
        </w:rPr>
      </w:pPr>
      <w:r>
        <w:rPr>
          <w:rFonts w:ascii="Arial" w:cs="Arial" w:eastAsia="Arial" w:hAnsi="Arial"/>
          <w:sz w:val="18"/>
          <w:szCs w:val="18"/>
          <w:color w:val="auto"/>
        </w:rPr>
        <w:t>Our goal is to become a leader in the field of neuroscience and immuno</w:t>
      </w:r>
      <w:r>
        <w:rPr>
          <w:rFonts w:ascii="MS PGothic" w:cs="MS PGothic" w:eastAsia="MS PGothic" w:hAnsi="MS PGothic"/>
          <w:sz w:val="18"/>
          <w:szCs w:val="18"/>
          <w:color w:val="auto"/>
        </w:rPr>
        <w:t>‑</w:t>
      </w:r>
      <w:r>
        <w:rPr>
          <w:rFonts w:ascii="Arial" w:cs="Arial" w:eastAsia="Arial" w:hAnsi="Arial"/>
          <w:sz w:val="18"/>
          <w:szCs w:val="18"/>
          <w:color w:val="auto"/>
        </w:rPr>
        <w:t>oncology. The key elements to achieving this goal are to:</w:t>
      </w:r>
    </w:p>
    <w:p>
      <w:pPr>
        <w:spacing w:after="0" w:line="1" w:lineRule="exact"/>
        <w:rPr>
          <w:sz w:val="20"/>
          <w:szCs w:val="20"/>
          <w:color w:val="auto"/>
        </w:rPr>
      </w:pPr>
    </w:p>
    <w:p>
      <w:pPr>
        <w:ind w:left="1020" w:right="319" w:hanging="328"/>
        <w:spacing w:after="0" w:line="253" w:lineRule="auto"/>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Advance BXCL501, a sublingual thin film formulation of Dex, a selective α</w:t>
      </w:r>
      <w:r>
        <w:rPr>
          <w:rFonts w:ascii="Arial" w:cs="Arial" w:eastAsia="Arial" w:hAnsi="Arial"/>
          <w:sz w:val="43"/>
          <w:szCs w:val="43"/>
          <w:b w:val="1"/>
          <w:bCs w:val="1"/>
          <w:color w:val="auto"/>
          <w:vertAlign w:val="subscript"/>
        </w:rPr>
        <w:t>2a</w:t>
      </w:r>
      <w:r>
        <w:rPr>
          <w:rFonts w:ascii="Arial" w:cs="Arial" w:eastAsia="Arial" w:hAnsi="Arial"/>
          <w:sz w:val="22"/>
          <w:szCs w:val="22"/>
          <w:b w:val="1"/>
          <w:bCs w:val="1"/>
          <w:color w:val="auto"/>
        </w:rPr>
        <w:t xml:space="preserve"> adrenergic receptor agonist, designed for acute treatment of agitation, to approval through the Section 505(b)(2) pathway.</w:t>
      </w:r>
    </w:p>
    <w:p>
      <w:pPr>
        <w:spacing w:after="0" w:line="115" w:lineRule="exact"/>
        <w:rPr>
          <w:rFonts w:ascii="Arial" w:cs="Arial" w:eastAsia="Arial" w:hAnsi="Arial"/>
          <w:sz w:val="22"/>
          <w:szCs w:val="22"/>
          <w:color w:val="auto"/>
        </w:rPr>
      </w:pPr>
    </w:p>
    <w:p>
      <w:pPr>
        <w:ind w:left="1660" w:right="119" w:hanging="320"/>
        <w:spacing w:after="0" w:line="266" w:lineRule="auto"/>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Neurological and Psychiatric Disorders. </w:t>
      </w:r>
      <w:r>
        <w:rPr>
          <w:rFonts w:ascii="Arial" w:cs="Arial" w:eastAsia="Arial" w:hAnsi="Arial"/>
          <w:sz w:val="18"/>
          <w:szCs w:val="18"/>
          <w:color w:val="auto"/>
        </w:rPr>
        <w:t>We believe that BXCL501, if approved, has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the standard of care for the acute treatment of agitation arising from diseases such as schizophrenia, bipolar disorder, dementia, and other indications.</w:t>
      </w:r>
    </w:p>
    <w:p>
      <w:pPr>
        <w:spacing w:after="0" w:line="121" w:lineRule="exact"/>
        <w:rPr>
          <w:rFonts w:ascii="Arial" w:cs="Arial" w:eastAsia="Arial" w:hAnsi="Arial"/>
          <w:sz w:val="18"/>
          <w:szCs w:val="18"/>
          <w:color w:val="auto"/>
        </w:rPr>
      </w:pPr>
    </w:p>
    <w:p>
      <w:pPr>
        <w:ind w:left="1660" w:right="119" w:hanging="320"/>
        <w:spacing w:after="0" w:line="274" w:lineRule="auto"/>
        <w:tabs>
          <w:tab w:leader="none" w:pos="166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recently announced plans to evaluate BXCL501 in opioid withdrawal</w:t>
      </w:r>
      <w:r>
        <w:rPr>
          <w:rFonts w:ascii="Arial" w:cs="Arial" w:eastAsia="Arial" w:hAnsi="Arial"/>
          <w:sz w:val="17"/>
          <w:szCs w:val="17"/>
          <w:b w:val="1"/>
          <w:bCs w:val="1"/>
          <w:color w:val="auto"/>
        </w:rPr>
        <w:t xml:space="preserve"> </w:t>
      </w:r>
      <w:r>
        <w:rPr>
          <w:rFonts w:ascii="Arial" w:cs="Arial" w:eastAsia="Arial" w:hAnsi="Arial"/>
          <w:sz w:val="17"/>
          <w:szCs w:val="17"/>
          <w:color w:val="auto"/>
        </w:rPr>
        <w:t>and we may also plan to evaluate additional indications for acute treatment of agitation resulting from delirium, alcohol withdrawal and post-traumatic stress disorder, or PTSD. Dex has been shown to significantly reduce agitation in elderly patients experiencing post-surgical induced delirium who did not respond to treatment with haloperidol, a potent major tranquilizer and antipsychotic that is used to treat symptoms for schizophrenia.</w:t>
      </w:r>
    </w:p>
    <w:p>
      <w:pPr>
        <w:spacing w:after="0" w:line="119" w:lineRule="exact"/>
        <w:rPr>
          <w:rFonts w:ascii="Arial" w:cs="Arial" w:eastAsia="Arial" w:hAnsi="Arial"/>
          <w:sz w:val="17"/>
          <w:szCs w:val="17"/>
          <w:color w:val="auto"/>
        </w:rPr>
      </w:pPr>
    </w:p>
    <w:p>
      <w:pPr>
        <w:ind w:left="1660" w:right="179" w:hanging="320"/>
        <w:spacing w:after="0" w:line="273" w:lineRule="auto"/>
        <w:tabs>
          <w:tab w:leader="none" w:pos="166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Agitation Franchise Expansion. </w:t>
      </w:r>
      <w:r>
        <w:rPr>
          <w:rFonts w:ascii="Arial" w:cs="Arial" w:eastAsia="Arial" w:hAnsi="Arial"/>
          <w:sz w:val="17"/>
          <w:szCs w:val="17"/>
          <w:color w:val="auto"/>
        </w:rPr>
        <w:t>We are also investigating potential treatments for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spectrum of agitation from pre-agitation to severe agitation. We are exploring the use of wearable digital device technology, such as the Apple watch, with the goal of the prevention and treatment of agitation including, if approved, the administration of BXCL501 prior to the onset of agitation. Additionally, we are considering a combination approach of BXCL501 and another agent for the treatment of chronic agitation. For severe agitation, a single use intramuscular, or IM, injection called KalmPen™ is under development.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020" w:right="279" w:hanging="328"/>
        <w:spacing w:after="0" w:line="26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Complete BXCL701 Phase 2 trials to evaluate its potential for the first-line treatment of treatment-emergent neuroendocrine prostate cancer, or tNEPC, and for the second-line treatment of pancreatic cancer.</w:t>
      </w:r>
    </w:p>
    <w:p>
      <w:pPr>
        <w:spacing w:after="0" w:line="121" w:lineRule="exact"/>
        <w:rPr>
          <w:rFonts w:ascii="Arial" w:cs="Arial" w:eastAsia="Arial" w:hAnsi="Arial"/>
          <w:sz w:val="18"/>
          <w:szCs w:val="18"/>
          <w:color w:val="auto"/>
        </w:rPr>
      </w:pPr>
    </w:p>
    <w:p>
      <w:pPr>
        <w:ind w:left="1660" w:right="159" w:hanging="320"/>
        <w:spacing w:after="0" w:line="256" w:lineRule="auto"/>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tNEPC (Orphan Segment of Prostate Cancer). </w:t>
      </w:r>
      <w:r>
        <w:rPr>
          <w:rFonts w:ascii="Arial" w:cs="Arial" w:eastAsia="Arial" w:hAnsi="Arial"/>
          <w:sz w:val="18"/>
          <w:szCs w:val="18"/>
          <w:color w:val="auto"/>
        </w:rPr>
        <w:t>BXCL701 was previously studied in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and demonstrated single agent anti-tumor activity in melanoma, an immune-sensitive tumor. The U.S. Food and Drug Administration, or FDA, authorized our investigational new drug application, or IND, allowing us to initiate a Phase 2 trial evaluating BXCL701 in combination with Pembrolizumab (KEYTRUDA®) in tNEPC, and this trial opened to accrual in February 2019 and continues enrolling patients.</w:t>
      </w:r>
    </w:p>
    <w:p>
      <w:pPr>
        <w:spacing w:after="0" w:line="133" w:lineRule="exact"/>
        <w:rPr>
          <w:rFonts w:ascii="Arial" w:cs="Arial" w:eastAsia="Arial" w:hAnsi="Arial"/>
          <w:sz w:val="18"/>
          <w:szCs w:val="18"/>
          <w:color w:val="auto"/>
        </w:rPr>
      </w:pPr>
    </w:p>
    <w:p>
      <w:pPr>
        <w:ind w:left="1660" w:right="179" w:hanging="320"/>
        <w:spacing w:after="0" w:line="273" w:lineRule="auto"/>
        <w:tabs>
          <w:tab w:leader="none" w:pos="166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Pancreatic Cancer. </w:t>
      </w:r>
      <w:r>
        <w:rPr>
          <w:rFonts w:ascii="Arial" w:cs="Arial" w:eastAsia="Arial" w:hAnsi="Arial"/>
          <w:sz w:val="17"/>
          <w:szCs w:val="17"/>
          <w:color w:val="auto"/>
        </w:rPr>
        <w:t>Preclinical data suggests that fibroblast activation protein positive, or FAP,</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contribute to checkpoint inhibitor resistance, and immunosuppression more generally in pancreatic cancer. We believe these data provide a strong rationale for combining BXCL701 with a checkpoint inhibitor such as avelumab (Bavencio) or nivolumab (Opdivo). Furthermore, we have observed synergy between BXCL 701 and Bempegaldesleukin (Nektar’s pegylated IL2), a CD122 based agonist of IL-2, in a preclinical pancreatic model. BXCL701 has been granted orphan drug designation by the FDA for the treatment of pancreatic cancer.</w:t>
      </w:r>
    </w:p>
    <w:p>
      <w:pPr>
        <w:spacing w:after="0" w:line="117" w:lineRule="exact"/>
        <w:rPr>
          <w:rFonts w:ascii="Arial" w:cs="Arial" w:eastAsia="Arial" w:hAnsi="Arial"/>
          <w:sz w:val="17"/>
          <w:szCs w:val="17"/>
          <w:color w:val="auto"/>
        </w:rPr>
      </w:pPr>
    </w:p>
    <w:p>
      <w:pPr>
        <w:ind w:left="1660" w:right="119" w:hanging="320"/>
        <w:spacing w:after="0" w:line="258" w:lineRule="auto"/>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Basket Trial</w:t>
      </w:r>
      <w:r>
        <w:rPr>
          <w:rFonts w:ascii="Arial" w:cs="Arial" w:eastAsia="Arial" w:hAnsi="Arial"/>
          <w:sz w:val="18"/>
          <w:szCs w:val="18"/>
          <w:color w:val="auto"/>
        </w:rPr>
        <w:t>. BXCL701 is being evaluated in an open-label phase 2 basket trial led by MD</w:t>
      </w:r>
      <w:r>
        <w:rPr>
          <w:rFonts w:ascii="Arial" w:cs="Arial" w:eastAsia="Arial" w:hAnsi="Arial"/>
          <w:sz w:val="18"/>
          <w:szCs w:val="18"/>
          <w:b w:val="1"/>
          <w:bCs w:val="1"/>
          <w:color w:val="auto"/>
        </w:rPr>
        <w:t xml:space="preserve"> </w:t>
      </w:r>
      <w:r>
        <w:rPr>
          <w:rFonts w:ascii="Arial" w:cs="Arial" w:eastAsia="Arial" w:hAnsi="Arial"/>
          <w:sz w:val="18"/>
          <w:szCs w:val="18"/>
          <w:color w:val="auto"/>
        </w:rPr>
        <w:t>Anderson. The investigator led study is designed to evaluate the response rate of orally administered BXCL701, combined with Pembrolizumab (KEYTRUDA®) in patients with advanced solid cancers. The study will evaluate both patients who are naïve to checkpoint therapy and those who are refractory to checkpoint therapy.</w:t>
      </w:r>
    </w:p>
    <w:p>
      <w:pPr>
        <w:spacing w:after="0" w:line="129" w:lineRule="exact"/>
        <w:rPr>
          <w:rFonts w:ascii="Arial" w:cs="Arial" w:eastAsia="Arial" w:hAnsi="Arial"/>
          <w:sz w:val="18"/>
          <w:szCs w:val="18"/>
          <w:color w:val="auto"/>
        </w:rPr>
      </w:pPr>
    </w:p>
    <w:p>
      <w:pPr>
        <w:ind w:left="1660" w:right="79" w:hanging="320"/>
        <w:spacing w:after="0" w:line="266" w:lineRule="auto"/>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Potential for Expedited Review Programs. </w:t>
      </w:r>
      <w:r>
        <w:rPr>
          <w:rFonts w:ascii="Arial" w:cs="Arial" w:eastAsia="Arial" w:hAnsi="Arial"/>
          <w:sz w:val="18"/>
          <w:szCs w:val="18"/>
          <w:color w:val="auto"/>
        </w:rPr>
        <w:t>Given that these indications represent high unmet</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needs with few treatment options, we intend to pursue breakthrough therapy designation and accelerated approval for tNEPC and pancreatic cancer.</w:t>
      </w:r>
    </w:p>
    <w:p>
      <w:pPr>
        <w:spacing w:after="0" w:line="121" w:lineRule="exact"/>
        <w:rPr>
          <w:rFonts w:ascii="Arial" w:cs="Arial" w:eastAsia="Arial" w:hAnsi="Arial"/>
          <w:sz w:val="18"/>
          <w:szCs w:val="18"/>
          <w:color w:val="auto"/>
        </w:rPr>
      </w:pPr>
    </w:p>
    <w:p>
      <w:pPr>
        <w:ind w:left="1660" w:right="179" w:hanging="320"/>
        <w:spacing w:after="0" w:line="270" w:lineRule="auto"/>
        <w:tabs>
          <w:tab w:leader="none" w:pos="166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believe BXCL701 may be active at multiple stages of the cancer</w:t>
      </w:r>
      <w:r>
        <w:rPr>
          <w:rFonts w:ascii="Arial" w:cs="Arial" w:eastAsia="Arial" w:hAnsi="Arial"/>
          <w:sz w:val="17"/>
          <w:szCs w:val="17"/>
          <w:b w:val="1"/>
          <w:bCs w:val="1"/>
          <w:color w:val="auto"/>
        </w:rPr>
        <w:t xml:space="preserve"> </w:t>
      </w:r>
      <w:r>
        <w:rPr>
          <w:rFonts w:ascii="Arial" w:cs="Arial" w:eastAsia="Arial" w:hAnsi="Arial"/>
          <w:sz w:val="17"/>
          <w:szCs w:val="17"/>
          <w:color w:val="auto"/>
        </w:rPr>
        <w:t>immunity cycle and therefore we believe BXCL701 offers a “pipeline in a product” platform given its potential for evaluation across other cancers. BXCL701 was granted an orphan drug designation for the treatment of acute myeloid leukemia in September 2019, its third orphan drug designation in addition to pancreatic cancer and melanoma. We believe existing preclinical evidence supports the combination of BXCL701 with checkpoint inhibitors and/or agents that act on “co-stimulatory” pathways within immune effector cells. Moreover, we believe agents that stimulate antibody dependent cell mediated cytotoxicity, (ADCC) or cell-based therapies such as chimeric antigen receptor T cell (CAR T) therapy, oncolytic viruses or therapeutic vaccines all represent potential combination with BXCL701.</w:t>
      </w:r>
    </w:p>
    <w:p>
      <w:pPr>
        <w:spacing w:after="0" w:line="122" w:lineRule="exact"/>
        <w:rPr>
          <w:rFonts w:ascii="Arial" w:cs="Arial" w:eastAsia="Arial" w:hAnsi="Arial"/>
          <w:sz w:val="17"/>
          <w:szCs w:val="17"/>
          <w:color w:val="auto"/>
        </w:rPr>
      </w:pPr>
    </w:p>
    <w:p>
      <w:pPr>
        <w:ind w:left="1020" w:right="179" w:hanging="328"/>
        <w:spacing w:after="0" w:line="29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Identify biomarkers to select patients who we believe have the highest likelihood to respond to our product candidates. </w:t>
      </w:r>
      <w:r>
        <w:rPr>
          <w:rFonts w:ascii="Arial" w:cs="Arial" w:eastAsia="Arial" w:hAnsi="Arial"/>
          <w:sz w:val="16"/>
          <w:szCs w:val="16"/>
          <w:color w:val="auto"/>
        </w:rPr>
        <w:t>Predicting optimal drug responses in patients requires the identification and validation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predictive biomarkers. We believe that our ability to identify patient subsets most likely to respond to our product candidates will increase the clinical benefit to patients and improve the probability of success of our clinical trials. The indications for our lead product candidate BXCL701 were chosen in part because they are known to overexpress dipeptidyl peptidase, or DPP 8/9, and FAP. Our planned proof-of-concept clinical trial of BXCL701 will retrospectively examine biomarkers related to its molecular and cellular targets to identify those that may correlate with clinical efficacy and increase our likelihood of success.</w:t>
      </w:r>
    </w:p>
    <w:p>
      <w:pPr>
        <w:spacing w:after="0" w:line="105" w:lineRule="exact"/>
        <w:rPr>
          <w:rFonts w:ascii="Arial" w:cs="Arial" w:eastAsia="Arial" w:hAnsi="Arial"/>
          <w:sz w:val="16"/>
          <w:szCs w:val="16"/>
          <w:color w:val="auto"/>
        </w:rPr>
      </w:pPr>
    </w:p>
    <w:p>
      <w:pPr>
        <w:ind w:left="1020" w:right="159" w:hanging="328"/>
        <w:spacing w:after="0" w:line="220" w:lineRule="exact"/>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Enhance our R&amp;D pipeline by leveraging our therapeutic area expertise with EvolverAI to identify, develop and commercialize new product candidates in neuroscience and immuno</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oncology. </w:t>
      </w:r>
      <w:r>
        <w:rPr>
          <w:rFonts w:ascii="Arial" w:cs="Arial" w:eastAsia="Arial" w:hAnsi="Arial"/>
          <w:sz w:val="16"/>
          <w:szCs w:val="16"/>
          <w:color w:val="auto"/>
        </w:rPr>
        <w:t>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to our leading clinical programs and our emerging and future pipeline, we intend to select our next clinical program during 2020. We have established translational and development expertise, which we believe will help us advance the present and future product candidates in these fields. We may also</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39"/>
        <w:spacing w:after="0" w:line="223" w:lineRule="exact"/>
        <w:rPr>
          <w:sz w:val="20"/>
          <w:szCs w:val="20"/>
          <w:color w:val="auto"/>
        </w:rPr>
      </w:pPr>
      <w:r>
        <w:rPr>
          <w:rFonts w:ascii="Arial" w:cs="Arial" w:eastAsia="Arial" w:hAnsi="Arial"/>
          <w:sz w:val="18"/>
          <w:szCs w:val="18"/>
          <w:color w:val="auto"/>
        </w:rPr>
        <w:t>opportunistically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identified through our AI platform approach within our core areas of expertise.</w:t>
      </w:r>
    </w:p>
    <w:p>
      <w:pPr>
        <w:spacing w:after="0" w:line="145" w:lineRule="exact"/>
        <w:rPr>
          <w:sz w:val="20"/>
          <w:szCs w:val="20"/>
          <w:color w:val="auto"/>
        </w:rPr>
      </w:pPr>
    </w:p>
    <w:p>
      <w:pPr>
        <w:ind w:left="1020" w:right="159" w:hanging="328"/>
        <w:spacing w:after="0" w:line="298"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Maximize the commercial potential of our product candidates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worldwide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rights to our BXCL501 and BXCL701. If BXCL501 and BXCL701 are approved in the United States, we would consider building a specialty sales force in the United States and/or collaborate with third parties to maximize the potential of our product candidates. Furthermore, we intend to commercialize BXCL501 and BXCL701, if approved, outside the United States through collaborations with third parties.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7"/>
          <w:szCs w:val="17"/>
          <w:color w:val="auto"/>
        </w:rPr>
        <w:t>Our AI</w:t>
      </w:r>
      <w:r>
        <w:rPr>
          <w:rFonts w:ascii="MS PGothic" w:cs="MS PGothic" w:eastAsia="MS PGothic" w:hAnsi="MS PGothic"/>
          <w:sz w:val="17"/>
          <w:szCs w:val="17"/>
          <w:color w:val="auto"/>
        </w:rPr>
        <w:t>‑</w:t>
      </w:r>
      <w:r>
        <w:rPr>
          <w:rFonts w:ascii="Arial" w:cs="Arial" w:eastAsia="Arial" w:hAnsi="Arial"/>
          <w:sz w:val="17"/>
          <w:szCs w:val="17"/>
          <w:color w:val="auto"/>
        </w:rPr>
        <w:t>based discovery and development process is the foundation of our drug re</w:t>
      </w:r>
      <w:r>
        <w:rPr>
          <w:rFonts w:ascii="MS PGothic" w:cs="MS PGothic" w:eastAsia="MS PGothic" w:hAnsi="MS PGothic"/>
          <w:sz w:val="17"/>
          <w:szCs w:val="17"/>
          <w:color w:val="auto"/>
        </w:rPr>
        <w:t>‑</w:t>
      </w:r>
      <w:r>
        <w:rPr>
          <w:rFonts w:ascii="Arial" w:cs="Arial" w:eastAsia="Arial" w:hAnsi="Arial"/>
          <w:sz w:val="17"/>
          <w:szCs w:val="17"/>
          <w:color w:val="auto"/>
        </w:rPr>
        <w:t>innovation model for identifying the next wave of medicines. Our therapeutic area experts have over 60 years of experience across the drug discovery and development value chain. We believe EvolverAI is a novel method of finding potential product candidates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w:t>
      </w:r>
      <w:r>
        <w:rPr>
          <w:rFonts w:ascii="MS PGothic" w:cs="MS PGothic" w:eastAsia="MS PGothic" w:hAnsi="MS PGothic"/>
          <w:sz w:val="17"/>
          <w:szCs w:val="17"/>
          <w:color w:val="auto"/>
        </w:rPr>
        <w:t>‑</w:t>
      </w:r>
      <w:r>
        <w:rPr>
          <w:rFonts w:ascii="Arial" w:cs="Arial" w:eastAsia="Arial" w:hAnsi="Arial"/>
          <w:sz w:val="17"/>
          <w:szCs w:val="17"/>
          <w:color w:val="auto"/>
        </w:rPr>
        <w:t>oncology through our exclusive collaborative relationship in those areas with BioXcel give us a significant competitive advantage.</w:t>
      </w:r>
    </w:p>
    <w:p>
      <w:pPr>
        <w:spacing w:after="0" w:line="206" w:lineRule="exact"/>
        <w:rPr>
          <w:sz w:val="20"/>
          <w:szCs w:val="20"/>
          <w:color w:val="auto"/>
        </w:rPr>
      </w:pPr>
    </w:p>
    <w:p>
      <w:pPr>
        <w:ind w:left="40" w:right="119" w:firstLine="324"/>
        <w:spacing w:after="0" w:line="218" w:lineRule="exact"/>
        <w:rPr>
          <w:sz w:val="20"/>
          <w:szCs w:val="20"/>
          <w:color w:val="auto"/>
        </w:rPr>
      </w:pPr>
      <w:r>
        <w:rPr>
          <w:rFonts w:ascii="Arial" w:cs="Arial" w:eastAsia="Arial" w:hAnsi="Arial"/>
          <w:sz w:val="16"/>
          <w:szCs w:val="16"/>
          <w:color w:val="auto"/>
        </w:rPr>
        <w:t>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A large number of the remaining agents are clinical candidates that are active, shelved or have failed for reasons other than toxicity and can potentially be re</w:t>
      </w:r>
      <w:r>
        <w:rPr>
          <w:rFonts w:ascii="MS PGothic" w:cs="MS PGothic" w:eastAsia="MS PGothic" w:hAnsi="MS PGothic"/>
          <w:sz w:val="16"/>
          <w:szCs w:val="16"/>
          <w:color w:val="auto"/>
        </w:rPr>
        <w:t>‑</w:t>
      </w:r>
      <w:r>
        <w:rPr>
          <w:rFonts w:ascii="Arial" w:cs="Arial" w:eastAsia="Arial" w:hAnsi="Arial"/>
          <w:sz w:val="16"/>
          <w:szCs w:val="16"/>
          <w:color w:val="auto"/>
        </w:rPr>
        <w:t>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w:t>
      </w:r>
    </w:p>
    <w:p>
      <w:pPr>
        <w:spacing w:after="0" w:line="204"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Traditional drug development is plagued with low success rates (13.8%, according to an MIT study of 186,000 trials from January 2000 to October 2015), long drug development cycles (10-15 years, according to PhRMA Key Facts 2016) and exorbitant development costs ($2.6 billion per drug, according to PhRMA Key Facts). Furthermore, many serious diseases continue to go unaddressed due to limitations of the current drug discovery paradigm. The recent advent of numerous ‘omics’ technologies (genomics, proteomics) and rapid advances in science and medicine are generating terabytes of valuable unexploited knowledge that is widely distributed in multiple big data lakes with several orders of complexity and variety. Much of this data is not being systematically applied to the development of next generation therapeutics, thus preventing the optimization of drug development utilizing the understanding of technology, science, medicine, markets and commercial opportunities. The efficient and intuitive use of big data remains a bottleneck and a challenge to the pharmaceutical industry. Taken together, these factors underscore the need for fundamental new approaches to drug discovery and development. The market opportunity to identify new uses for existing pharmacological agents remains substantial, due to the lack of technology driven insights. Our parent, BioXcel, has created a proprietary R&amp;D engine, EvolverAI, for drug re-innovation that provides a proprietary systems-based approach designed to unlock the hidden value in drugs. The combination of our therapeutic area expertise and our exclusive collaborative relationship with BioXcel enables us to screen, analyze, and identify the product candidates that we believe have a high likelihood of benefiting patients. The compounds in our pipeline have been identified using this proprietary platform.</w:t>
      </w:r>
    </w:p>
    <w:p>
      <w:pPr>
        <w:spacing w:after="0" w:line="176" w:lineRule="exact"/>
        <w:rPr>
          <w:sz w:val="20"/>
          <w:szCs w:val="20"/>
          <w:color w:val="auto"/>
        </w:rPr>
      </w:pPr>
    </w:p>
    <w:p>
      <w:pPr>
        <w:jc w:val="both"/>
        <w:ind w:left="40" w:right="459" w:firstLine="324"/>
        <w:spacing w:after="0" w:line="219" w:lineRule="exact"/>
        <w:rPr>
          <w:sz w:val="20"/>
          <w:szCs w:val="20"/>
          <w:color w:val="auto"/>
        </w:rPr>
      </w:pPr>
      <w:r>
        <w:rPr>
          <w:rFonts w:ascii="Arial" w:cs="Arial" w:eastAsia="Arial" w:hAnsi="Arial"/>
          <w:sz w:val="16"/>
          <w:szCs w:val="16"/>
          <w:color w:val="auto"/>
        </w:rPr>
        <w:t>EvolverAI is designed to eliminate human bias by scanning millions of data points from disparate data sources to create network maps. The nodes and connections in the network map are weighted and ranked based on the validity of supporting evidence using disease specific algorithms. They are then further analyzed using artificial intelligence and machine learning approaches supplemented by human domain</w:t>
      </w:r>
      <w:r>
        <w:rPr>
          <w:rFonts w:ascii="MS PGothic" w:cs="MS PGothic" w:eastAsia="MS PGothic" w:hAnsi="MS PGothic"/>
          <w:sz w:val="16"/>
          <w:szCs w:val="16"/>
          <w:color w:val="auto"/>
        </w:rPr>
        <w:t>‑</w:t>
      </w:r>
      <w:r>
        <w:rPr>
          <w:rFonts w:ascii="Arial" w:cs="Arial" w:eastAsia="Arial" w:hAnsi="Arial"/>
          <w:sz w:val="16"/>
          <w:szCs w:val="16"/>
          <w:color w:val="auto"/>
        </w:rPr>
        <w:t>based expertise to uncover novel connections between disease parameters, molecular targets, mechanisms of actions and product candidates.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324"/>
        <w:spacing w:after="0" w:line="293"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 (Biogen, Inc.), Thalomid (Celgene Corporation) and Viagra (Pfizer, Inc., or Pfizer). All of these drugs were identified by insights in biology and disease pathophysiology. The successful business models of biotech companies like Axsome-Therapeutics,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big data analytics based approach.</w:t>
      </w:r>
    </w:p>
    <w:p>
      <w:pPr>
        <w:spacing w:after="0" w:line="164" w:lineRule="exact"/>
        <w:rPr>
          <w:sz w:val="20"/>
          <w:szCs w:val="20"/>
          <w:color w:val="auto"/>
        </w:rPr>
      </w:pPr>
    </w:p>
    <w:p>
      <w:pPr>
        <w:ind w:left="40" w:right="79" w:firstLine="366"/>
        <w:spacing w:after="0" w:line="255" w:lineRule="auto"/>
        <w:rPr>
          <w:sz w:val="20"/>
          <w:szCs w:val="20"/>
          <w:color w:val="auto"/>
        </w:rPr>
      </w:pPr>
      <w:r>
        <w:rPr>
          <w:rFonts w:ascii="Arial" w:cs="Arial" w:eastAsia="Arial" w:hAnsi="Arial"/>
          <w:sz w:val="18"/>
          <w:szCs w:val="18"/>
          <w:color w:val="auto"/>
        </w:rPr>
        <w:t>We believe that only EvolverAI allows a comprehensive and unbiased evaluation of the complete pharmacological space. We believe our drug re-innovation model and exclusive collaborative relationship with BioXcel has the potential to reduce the cost and time of drug development, help us design more efficient trials and accelerate our product candidates’ time to market. This assumption is based on capitalizing product candidates with substantial clinical data and mitigated risk due to well defined safety profiles, known PK/PD properties, and an established manufacturing and regulatory path. 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131445</wp:posOffset>
            </wp:positionV>
            <wp:extent cx="5503545" cy="287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354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159"/>
        <w:spacing w:after="0" w:line="325" w:lineRule="auto"/>
        <w:rPr>
          <w:sz w:val="20"/>
          <w:szCs w:val="20"/>
          <w:color w:val="auto"/>
        </w:rPr>
      </w:pPr>
      <w:r>
        <w:rPr>
          <w:rFonts w:ascii="Arial" w:cs="Arial" w:eastAsia="Arial" w:hAnsi="Arial"/>
          <w:sz w:val="23"/>
          <w:szCs w:val="23"/>
          <w:b w:val="1"/>
          <w:bCs w:val="1"/>
          <w:color w:val="auto"/>
        </w:rPr>
        <w:t>BXCL501 Sublingual Thin Film, α</w:t>
      </w:r>
      <w:r>
        <w:rPr>
          <w:rFonts w:ascii="Arial" w:cs="Arial" w:eastAsia="Arial" w:hAnsi="Arial"/>
          <w:sz w:val="46"/>
          <w:szCs w:val="46"/>
          <w:b w:val="1"/>
          <w:bCs w:val="1"/>
          <w:color w:val="auto"/>
          <w:vertAlign w:val="subscript"/>
        </w:rPr>
        <w:t>2a</w:t>
      </w:r>
      <w:r>
        <w:rPr>
          <w:rFonts w:ascii="Arial" w:cs="Arial" w:eastAsia="Arial" w:hAnsi="Arial"/>
          <w:sz w:val="23"/>
          <w:szCs w:val="23"/>
          <w:b w:val="1"/>
          <w:bCs w:val="1"/>
          <w:color w:val="auto"/>
        </w:rPr>
        <w:t xml:space="preserve"> Adrenergic Receptor Agonist, for Acute Treatment of Agitation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BXCL501 is an investigational sublingual thin film formulation of Dex designed for acute treatment of agitation in neurodegenerative and psychiatric disorders. Dex has been well tolerated, having been prescribed to millions of patients as the sedative anesthetic Precedex and has been studied in over 130 clinical trials. BXCL501 is designed to be a noninvasive, easy to administer sublingual agent and to have a rapid onset of action, which we believe is critical for the acute treatment of agitation. We estimate that 9.4 million patients experience agitation in the United States with up to 18.9 million at risk. These patients suffer from various neuropsychiatric disorders including schizophrenia, bipolar disorder, dementia, delirium, and opioid withdrawal. Agitation episodes that we believe could be addressed by BXCL501 can occur multiple times a year. The current treatment options for acute treatment of agitation utilize antipsychotics and benzodiazepines, which have suboptimal safety and compliance issues. Antipsychotics have a black box warning for use in the elderly and can produce acute debilitating side effects and should only be considered for IM delivery in highly aggressive patients requiring restraint. Benzodiazepines are predominantly in pill form, which require swallowing and can produce excessive sedation. We have designed and are implementing a clinical development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program that takes advantage of the 505(b)(2) New Drug Application, or NDA, regulatory pathway and leverages the existing clinical and safety dataset of intravenous, or IV, formulation of Dex.</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Agitation Overview and Market Opportunity</w:t>
      </w:r>
    </w:p>
    <w:p>
      <w:pPr>
        <w:spacing w:after="0" w:line="225"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Psycho Agitation is a common symptom of neurological and psychiatric disorders that currently can only be addressed with invasive treatments in institutional facilities. Agitation is characterized by feelings of unease, excessive talking and/or unintentional and purposeless motions, such as wringing of the hands or pacing. People experiencing agitation may also express excitement, hostility, poor impulse control, tension, uncooperativeness and sometimes disruptive behavior, which could lead to aggression and violence. Often symptoms of agitation are observed with anxiety or aggressive behavior.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 of time.</w:t>
      </w:r>
    </w:p>
    <w:p>
      <w:pPr>
        <w:spacing w:after="0" w:line="178" w:lineRule="exact"/>
        <w:rPr>
          <w:sz w:val="20"/>
          <w:szCs w:val="20"/>
          <w:color w:val="auto"/>
        </w:rPr>
      </w:pPr>
    </w:p>
    <w:p>
      <w:pPr>
        <w:ind w:left="40" w:right="179" w:firstLine="324"/>
        <w:spacing w:after="0" w:line="218" w:lineRule="exact"/>
        <w:rPr>
          <w:sz w:val="20"/>
          <w:szCs w:val="20"/>
          <w:color w:val="auto"/>
        </w:rPr>
      </w:pPr>
      <w:r>
        <w:rPr>
          <w:rFonts w:ascii="Arial" w:cs="Arial" w:eastAsia="Arial" w:hAnsi="Arial"/>
          <w:sz w:val="16"/>
          <w:szCs w:val="16"/>
          <w:color w:val="auto"/>
        </w:rPr>
        <w:t>With the agitation issues associated with schizophrenia and bipolar disease coupled with a fast</w:t>
      </w:r>
      <w:r>
        <w:rPr>
          <w:rFonts w:ascii="MS PGothic" w:cs="MS PGothic" w:eastAsia="MS PGothic" w:hAnsi="MS PGothic"/>
          <w:sz w:val="16"/>
          <w:szCs w:val="16"/>
          <w:color w:val="auto"/>
        </w:rPr>
        <w:t>‑</w:t>
      </w:r>
      <w:r>
        <w:rPr>
          <w:rFonts w:ascii="Arial" w:cs="Arial" w:eastAsia="Arial" w:hAnsi="Arial"/>
          <w:sz w:val="16"/>
          <w:szCs w:val="16"/>
          <w:color w:val="auto"/>
        </w:rPr>
        <w:t>growing elderly population, the difficulties and expenses of acute treatment of agitation are expected to grow significantly. Based on our market research, we estimate that in 2016 the total direct financial cost of all aspects of care for agitation in AD was approximately $40 billion. Management believes that in the near future, the total direct financial cost of all aspects of care for agitation across schizophrenia and bipolar disorder will exceed the costs associated with agitation in AD. Below are estimated statistics associated with BTI’s initial indications targeting agitation in AD, schizophrenia and bipolar disease.</w:t>
      </w:r>
    </w:p>
    <w:p>
      <w:pPr>
        <w:spacing w:after="0" w:line="214" w:lineRule="exact"/>
        <w:rPr>
          <w:sz w:val="20"/>
          <w:szCs w:val="20"/>
          <w:color w:val="auto"/>
        </w:rPr>
      </w:pPr>
    </w:p>
    <w:tbl>
      <w:tblPr>
        <w:tblLayout w:type="fixed"/>
        <w:tblInd w:w="50" w:type="dxa"/>
        <w:tblCellMar>
          <w:top w:w="0" w:type="dxa"/>
          <w:left w:w="0" w:type="dxa"/>
          <w:bottom w:w="0" w:type="dxa"/>
          <w:right w:w="0" w:type="dxa"/>
        </w:tblCellMar>
      </w:tblPr>
      <w:tr>
        <w:trPr>
          <w:trHeight w:val="432"/>
        </w:trPr>
        <w:tc>
          <w:tcPr>
            <w:tcW w:w="3080" w:type="dxa"/>
            <w:vAlign w:val="bottom"/>
            <w:tcBorders>
              <w:top w:val="single" w:sz="8" w:color="auto"/>
              <w:left w:val="single" w:sz="8" w:color="auto"/>
            </w:tcBorders>
          </w:tcPr>
          <w:p>
            <w:pPr>
              <w:spacing w:after="0"/>
              <w:rPr>
                <w:sz w:val="24"/>
                <w:szCs w:val="24"/>
                <w:color w:val="auto"/>
              </w:rPr>
            </w:pPr>
          </w:p>
        </w:tc>
        <w:tc>
          <w:tcPr>
            <w:tcW w:w="29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U.S. Market for Treating Agitation</w:t>
            </w:r>
          </w:p>
        </w:tc>
        <w:tc>
          <w:tcPr>
            <w:tcW w:w="2940" w:type="dxa"/>
            <w:vAlign w:val="bottom"/>
            <w:tcBorders>
              <w:top w:val="single" w:sz="8" w:color="auto"/>
              <w:right w:val="single" w:sz="8" w:color="auto"/>
            </w:tcBorders>
          </w:tcPr>
          <w:p>
            <w:pPr>
              <w:spacing w:after="0"/>
              <w:rPr>
                <w:sz w:val="24"/>
                <w:szCs w:val="24"/>
                <w:color w:val="auto"/>
              </w:rPr>
            </w:pPr>
          </w:p>
        </w:tc>
      </w:tr>
      <w:tr>
        <w:trPr>
          <w:trHeight w:val="203"/>
        </w:trPr>
        <w:tc>
          <w:tcPr>
            <w:tcW w:w="3080" w:type="dxa"/>
            <w:vAlign w:val="bottom"/>
            <w:tcBorders>
              <w:left w:val="single" w:sz="8" w:color="auto"/>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r>
      <w:tr>
        <w:trPr>
          <w:trHeight w:val="263"/>
        </w:trPr>
        <w:tc>
          <w:tcPr>
            <w:tcW w:w="3080" w:type="dxa"/>
            <w:vAlign w:val="bottom"/>
            <w:tcBorders>
              <w:left w:val="single" w:sz="8" w:color="auto"/>
              <w:right w:val="single" w:sz="8" w:color="auto"/>
            </w:tcBorders>
          </w:tcPr>
          <w:p>
            <w:pPr>
              <w:spacing w:after="0"/>
              <w:rPr>
                <w:sz w:val="22"/>
                <w:szCs w:val="22"/>
                <w:color w:val="auto"/>
              </w:rPr>
            </w:pPr>
          </w:p>
        </w:tc>
        <w:tc>
          <w:tcPr>
            <w:tcW w:w="2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Schizophrenia &amp; Bipolar Disorder</w:t>
            </w:r>
          </w:p>
        </w:tc>
        <w:tc>
          <w:tcPr>
            <w:tcW w:w="29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Dementia</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4"/>
        </w:trPr>
        <w:tc>
          <w:tcPr>
            <w:tcW w:w="3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Patients at Risk of Agitation</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7,800,000</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5,700,000</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4"/>
        </w:trPr>
        <w:tc>
          <w:tcPr>
            <w:tcW w:w="3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Patients Experiencing Agitation</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~3,000,000 (40%)</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~4,000,000 (70%)</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4"/>
        </w:trPr>
        <w:tc>
          <w:tcPr>
            <w:tcW w:w="3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Percent Treatable by BXCL501</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4"/>
        </w:trPr>
        <w:tc>
          <w:tcPr>
            <w:tcW w:w="3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Addressable Market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~1,500,000</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~4,000,000</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3"/>
        </w:trPr>
        <w:tc>
          <w:tcPr>
            <w:tcW w:w="3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Estimated Annual Doses per Patient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24</w:t>
            </w:r>
            <w:r>
              <w:rPr>
                <w:rFonts w:ascii="Arial" w:cs="Arial" w:eastAsia="Arial" w:hAnsi="Arial"/>
                <w:sz w:val="8"/>
                <w:szCs w:val="8"/>
                <w:color w:val="auto"/>
                <w:w w:val="89"/>
              </w:rPr>
              <w:t>#</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263"/>
        </w:trPr>
        <w:tc>
          <w:tcPr>
            <w:tcW w:w="3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8"/>
              </w:rPr>
              <w:t>Potential Addressable Annual Usage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~36,000,000</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~96,000,000</w:t>
            </w:r>
          </w:p>
        </w:tc>
      </w:tr>
      <w:tr>
        <w:trPr>
          <w:trHeight w:val="54"/>
        </w:trPr>
        <w:tc>
          <w:tcPr>
            <w:tcW w:w="30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r>
      <w:tr>
        <w:trPr>
          <w:trHeight w:val="195"/>
        </w:trPr>
        <w:tc>
          <w:tcPr>
            <w:tcW w:w="3080" w:type="dxa"/>
            <w:vAlign w:val="bottom"/>
            <w:tcBorders>
              <w:left w:val="single" w:sz="8" w:color="auto"/>
            </w:tcBorders>
          </w:tcPr>
          <w:p>
            <w:pPr>
              <w:ind w:left="140"/>
              <w:spacing w:after="0" w:line="195" w:lineRule="exact"/>
              <w:rPr>
                <w:sz w:val="20"/>
                <w:szCs w:val="20"/>
                <w:color w:val="auto"/>
              </w:rPr>
            </w:pPr>
            <w:r>
              <w:rPr>
                <w:rFonts w:ascii="Arial" w:cs="Arial" w:eastAsia="Arial" w:hAnsi="Arial"/>
                <w:sz w:val="18"/>
                <w:szCs w:val="18"/>
                <w:color w:val="auto"/>
              </w:rPr>
              <w:t>* - Internal company estimates</w:t>
            </w:r>
          </w:p>
        </w:tc>
        <w:tc>
          <w:tcPr>
            <w:tcW w:w="292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r>
      <w:tr>
        <w:trPr>
          <w:trHeight w:val="230"/>
        </w:trPr>
        <w:tc>
          <w:tcPr>
            <w:tcW w:w="60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 - Episodes increase in frequency as dementia progresses</w:t>
            </w:r>
          </w:p>
        </w:tc>
        <w:tc>
          <w:tcPr>
            <w:tcW w:w="2940" w:type="dxa"/>
            <w:vAlign w:val="bottom"/>
            <w:tcBorders>
              <w:bottom w:val="single" w:sz="8" w:color="auto"/>
              <w:right w:val="single" w:sz="8" w:color="auto"/>
            </w:tcBorders>
          </w:tcPr>
          <w:p>
            <w:pPr>
              <w:spacing w:after="0"/>
              <w:rPr>
                <w:sz w:val="20"/>
                <w:szCs w:val="20"/>
                <w:color w:val="auto"/>
              </w:rPr>
            </w:pPr>
          </w:p>
        </w:tc>
      </w:tr>
      <w:tr>
        <w:trPr>
          <w:trHeight w:val="425"/>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Limitations of Current Treatments for Agitation</w:t>
            </w:r>
          </w:p>
        </w:tc>
        <w:tc>
          <w:tcPr>
            <w:tcW w:w="2940" w:type="dxa"/>
            <w:vAlign w:val="bottom"/>
          </w:tcPr>
          <w:p>
            <w:pPr>
              <w:spacing w:after="0"/>
              <w:rPr>
                <w:sz w:val="24"/>
                <w:szCs w:val="24"/>
                <w:color w:val="auto"/>
              </w:rPr>
            </w:pPr>
          </w:p>
        </w:tc>
      </w:tr>
    </w:tbl>
    <w:p>
      <w:pPr>
        <w:spacing w:after="0" w:line="202"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Despite observed suboptimal safety and side effect profile, antipsychotics are currently used off</w:t>
      </w:r>
      <w:r>
        <w:rPr>
          <w:rFonts w:ascii="MS PGothic" w:cs="MS PGothic" w:eastAsia="MS PGothic" w:hAnsi="MS PGothic"/>
          <w:sz w:val="16"/>
          <w:szCs w:val="16"/>
          <w:color w:val="auto"/>
        </w:rPr>
        <w:t>‑</w:t>
      </w:r>
      <w:r>
        <w:rPr>
          <w:rFonts w:ascii="Arial" w:cs="Arial" w:eastAsia="Arial" w:hAnsi="Arial"/>
          <w:sz w:val="16"/>
          <w:szCs w:val="16"/>
          <w:color w:val="auto"/>
        </w:rPr>
        <w:t>label to treat agitation in dementia as well as delirium and are currently the standard of care for the acute treatment of agitation in schizophrenia and bipolar disease. IM delivered antipsychotics, such as haloperidol and risperidone, are used extensively in this setting but are invasive and often require patient restraint. Furthermore, these treatments include a black box warning for use in elderly patients. While sublingual tablet formulations utilizing antipsychotics have been developed, these sublingual formulations have long half</w:t>
      </w:r>
      <w:r>
        <w:rPr>
          <w:rFonts w:ascii="MS PGothic" w:cs="MS PGothic" w:eastAsia="MS PGothic" w:hAnsi="MS PGothic"/>
          <w:sz w:val="16"/>
          <w:szCs w:val="16"/>
          <w:color w:val="auto"/>
        </w:rPr>
        <w:t>‑</w:t>
      </w:r>
      <w:r>
        <w:rPr>
          <w:rFonts w:ascii="Arial" w:cs="Arial" w:eastAsia="Arial" w:hAnsi="Arial"/>
          <w:sz w:val="16"/>
          <w:szCs w:val="16"/>
          <w:color w:val="auto"/>
        </w:rPr>
        <w:t>lives (21</w:t>
      </w:r>
      <w:r>
        <w:rPr>
          <w:rFonts w:ascii="MS PGothic" w:cs="MS PGothic" w:eastAsia="MS PGothic" w:hAnsi="MS PGothic"/>
          <w:sz w:val="16"/>
          <w:szCs w:val="16"/>
          <w:color w:val="auto"/>
        </w:rPr>
        <w:t>‑</w:t>
      </w:r>
      <w:r>
        <w:rPr>
          <w:rFonts w:ascii="Arial" w:cs="Arial" w:eastAsia="Arial" w:hAnsi="Arial"/>
          <w:sz w:val="16"/>
          <w:szCs w:val="16"/>
          <w:color w:val="auto"/>
        </w:rPr>
        <w:t>24 hours) and significant side effects when given either acutely or chronically. Oral agents such as benzodiazepines are also used but have a slow onset of action and are consequently not effective in the acute treatment of agitation. Side effects of these agents include sedation, amnesia, confusion and a paradoxical response. They can intensify cognitive slowing, cause dependence and can contribute to increased risk of falls and fractures. In addition, long</w:t>
      </w:r>
      <w:r>
        <w:rPr>
          <w:rFonts w:ascii="MS PGothic" w:cs="MS PGothic" w:eastAsia="MS PGothic" w:hAnsi="MS PGothic"/>
          <w:sz w:val="16"/>
          <w:szCs w:val="16"/>
          <w:color w:val="auto"/>
        </w:rPr>
        <w:t>‑</w:t>
      </w:r>
      <w:r>
        <w:rPr>
          <w:rFonts w:ascii="Arial" w:cs="Arial" w:eastAsia="Arial" w:hAnsi="Arial"/>
          <w:sz w:val="16"/>
          <w:szCs w:val="16"/>
          <w:color w:val="auto"/>
        </w:rPr>
        <w:t>term use of benzodiazepines has been found to be habit</w:t>
      </w:r>
      <w:r>
        <w:rPr>
          <w:rFonts w:ascii="MS PGothic" w:cs="MS PGothic" w:eastAsia="MS PGothic" w:hAnsi="MS PGothic"/>
          <w:sz w:val="16"/>
          <w:szCs w:val="16"/>
          <w:color w:val="auto"/>
        </w:rPr>
        <w:t>‑</w:t>
      </w:r>
      <w:r>
        <w:rPr>
          <w:rFonts w:ascii="Arial" w:cs="Arial" w:eastAsia="Arial" w:hAnsi="Arial"/>
          <w:sz w:val="16"/>
          <w:szCs w:val="16"/>
          <w:color w:val="auto"/>
        </w:rPr>
        <w:t>forming and can cause addiction. Non</w:t>
      </w:r>
      <w:r>
        <w:rPr>
          <w:rFonts w:ascii="MS PGothic" w:cs="MS PGothic" w:eastAsia="MS PGothic" w:hAnsi="MS PGothic"/>
          <w:sz w:val="16"/>
          <w:szCs w:val="16"/>
          <w:color w:val="auto"/>
        </w:rPr>
        <w:t>‑</w:t>
      </w:r>
      <w:r>
        <w:rPr>
          <w:rFonts w:ascii="Arial" w:cs="Arial" w:eastAsia="Arial" w:hAnsi="Arial"/>
          <w:sz w:val="16"/>
          <w:szCs w:val="16"/>
          <w:color w:val="auto"/>
        </w:rPr>
        <w:t>adherence with oral agents can also be problematic as patients may attempt to spit out these medications.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We believe that based on the current method of administration of oral medicine for agitation, the sublingual thin film offers compliance advantages as it will prevent patients from avoiding treatment.</w:t>
      </w:r>
    </w:p>
    <w:p>
      <w:pPr>
        <w:spacing w:after="0" w:line="170"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8"/>
          <w:szCs w:val="18"/>
          <w:color w:val="auto"/>
        </w:rPr>
        <w:t>There is precedent for FDA approval of a non</w:t>
      </w:r>
      <w:r>
        <w:rPr>
          <w:rFonts w:ascii="MS PGothic" w:cs="MS PGothic" w:eastAsia="MS PGothic" w:hAnsi="MS PGothic"/>
          <w:sz w:val="18"/>
          <w:szCs w:val="18"/>
          <w:color w:val="auto"/>
        </w:rPr>
        <w:t>‑</w:t>
      </w:r>
      <w:r>
        <w:rPr>
          <w:rFonts w:ascii="Arial" w:cs="Arial" w:eastAsia="Arial" w:hAnsi="Arial"/>
          <w:sz w:val="18"/>
          <w:szCs w:val="18"/>
          <w:color w:val="auto"/>
        </w:rPr>
        <w:t>invasive therapy for the acute treatment of agitation. In 2012, Adasuve, an inhaled version of the antipsychotic loxapine, became the first approved non</w:t>
      </w:r>
      <w:r>
        <w:rPr>
          <w:rFonts w:ascii="MS PGothic" w:cs="MS PGothic" w:eastAsia="MS PGothic" w:hAnsi="MS PGothic"/>
          <w:sz w:val="18"/>
          <w:szCs w:val="18"/>
          <w:color w:val="auto"/>
        </w:rPr>
        <w:t>‑</w:t>
      </w:r>
      <w:r>
        <w:rPr>
          <w:rFonts w:ascii="Arial" w:cs="Arial" w:eastAsia="Arial" w:hAnsi="Arial"/>
          <w:sz w:val="18"/>
          <w:szCs w:val="18"/>
          <w:color w:val="auto"/>
        </w:rPr>
        <w:t>invasive acute treatment for agitation in patients with schizophrenia and bipolar disease. The number of hospitals and pharmacies that can administer Adasuve is limited due to a risk of management program, and Adasuve also has a high incidence of side effects. Upon launch, Adasuve was priced at $145 per dose.</w:t>
      </w:r>
    </w:p>
    <w:p>
      <w:pPr>
        <w:spacing w:after="0" w:line="205" w:lineRule="exact"/>
        <w:rPr>
          <w:sz w:val="20"/>
          <w:szCs w:val="20"/>
          <w:color w:val="auto"/>
        </w:rPr>
      </w:pPr>
    </w:p>
    <w:p>
      <w:pPr>
        <w:ind w:left="40" w:right="159" w:firstLine="324"/>
        <w:spacing w:after="0" w:line="291" w:lineRule="auto"/>
        <w:rPr>
          <w:sz w:val="20"/>
          <w:szCs w:val="20"/>
          <w:color w:val="auto"/>
        </w:rPr>
      </w:pPr>
      <w:r>
        <w:rPr>
          <w:rFonts w:ascii="Arial" w:cs="Arial" w:eastAsia="Arial" w:hAnsi="Arial"/>
          <w:sz w:val="16"/>
          <w:szCs w:val="16"/>
          <w:color w:val="auto"/>
        </w:rPr>
        <w:t>The sublingual route of administration is becoming an accepted alternative to oral administration of drug delivery to the central nervous system, or CNS when rapid onset or more controlled delivery is required. Currently, there are six products that are approved for thin film administration. For example, BioDelivery Sciences International, Inc., a commercial-stage specialty pharmaceutical company dedicated to patients living with chronic conditions, has developed a buccal film formulation of buprenorphine for chronic pain management and of buprenorphine and naloxone for opioid dependence. We have developed BXCL501 as a differentiated sublingual thin film dosage form of Dex, which we believe, if approved, may offer benefits such as ease of use and quick absorption for rapid therapeutic effects.</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Mechanism of Action: α</w:t>
      </w:r>
      <w:r>
        <w:rPr>
          <w:rFonts w:ascii="Arial" w:cs="Arial" w:eastAsia="Arial" w:hAnsi="Arial"/>
          <w:sz w:val="29"/>
          <w:szCs w:val="29"/>
          <w:b w:val="1"/>
          <w:bCs w:val="1"/>
          <w:color w:val="auto"/>
          <w:vertAlign w:val="subscript"/>
        </w:rPr>
        <w:t>2a</w:t>
      </w:r>
      <w:r>
        <w:rPr>
          <w:rFonts w:ascii="Arial" w:cs="Arial" w:eastAsia="Arial" w:hAnsi="Arial"/>
          <w:sz w:val="18"/>
          <w:szCs w:val="18"/>
          <w:b w:val="1"/>
          <w:bCs w:val="1"/>
          <w:color w:val="auto"/>
        </w:rPr>
        <w:t xml:space="preserve"> Adrenergic Receptor and NE Role in Acute Agitation</w:t>
      </w:r>
    </w:p>
    <w:p>
      <w:pPr>
        <w:spacing w:after="0" w:line="24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BXCL501 is designed to be easily administered and to have a rapid onset of action. We believe that BXCL501, with its differentiated pharmacology and ease of administration, if approved, could potentially be a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non</w:t>
      </w:r>
      <w:r>
        <w:rPr>
          <w:rFonts w:ascii="MS PGothic" w:cs="MS PGothic" w:eastAsia="MS PGothic" w:hAnsi="MS PGothic"/>
          <w:sz w:val="17"/>
          <w:szCs w:val="17"/>
          <w:color w:val="auto"/>
        </w:rPr>
        <w:t>‑</w:t>
      </w:r>
      <w:r>
        <w:rPr>
          <w:rFonts w:ascii="Arial" w:cs="Arial" w:eastAsia="Arial" w:hAnsi="Arial"/>
          <w:sz w:val="17"/>
          <w:szCs w:val="17"/>
          <w:color w:val="auto"/>
        </w:rPr>
        <w:t>invasive acute treatment for agitation that can be rapidly administered by physicians and caregivers. Dex is approved in the United States for the sedation of initially intubated and mechanically ventilated patients during treatment in the Intensive Care Unit, or ICU. It is also used in the intensive care setting for sedation of non</w:t>
      </w:r>
      <w:r>
        <w:rPr>
          <w:rFonts w:ascii="MS PGothic" w:cs="MS PGothic" w:eastAsia="MS PGothic" w:hAnsi="MS PGothic"/>
          <w:sz w:val="17"/>
          <w:szCs w:val="17"/>
          <w:color w:val="auto"/>
        </w:rPr>
        <w:t>‑</w:t>
      </w:r>
      <w:r>
        <w:rPr>
          <w:rFonts w:ascii="Arial" w:cs="Arial" w:eastAsia="Arial" w:hAnsi="Arial"/>
          <w:sz w:val="17"/>
          <w:szCs w:val="17"/>
          <w:color w:val="auto"/>
        </w:rPr>
        <w:t>intubated patients prior to and/or during surgical and other invasive procedures. Dex, launched in the United States as Precedex in 1999, is a selective α2a adrenergic receptor agonist that has a strong safety record and has been studied in over 130 clinical trials to date. It has also been launched in the European Union and multiple other countries under the trade name Dexdor as a sedative for intensive care patients. Dex gained approval by the European Medicines Agency, or EMA, for sedation of adult ICU patients (requiring a sedation level no deeper than arousal in response to verbal stimulation). It has been used to prevent or treat hyperactive delirium resulting from anesthesia in the ICU. Given these uses of the IV formulation of Dex, we believe Dex formulated in a sublingual thin film will allow for ease of administration in settings where rapid acute treatment of agitation is needed.</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Phase 1 IV Dexmedetomidine Studies</w:t>
      </w:r>
    </w:p>
    <w:p>
      <w:pPr>
        <w:spacing w:after="0" w:line="229"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Throughout 2018 and 2019 we completed four clinical trials and announced the results from several proof-of-concept Phase 1 studies of intravenous, or IV, Dex for acute treatment of agitation.</w:t>
      </w:r>
    </w:p>
    <w:p>
      <w:pPr>
        <w:spacing w:after="0" w:line="170" w:lineRule="exact"/>
        <w:rPr>
          <w:sz w:val="20"/>
          <w:szCs w:val="20"/>
          <w:color w:val="auto"/>
        </w:rPr>
      </w:pPr>
    </w:p>
    <w:p>
      <w:pPr>
        <w:ind w:left="1020" w:right="79" w:hanging="328"/>
        <w:spacing w:after="0" w:line="30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June 2018, we announced positive results from a phase 1b trial evaluating IV Dex in healthy middle-aged and elderly participants. This initial study enrolled 16 healthy volunteers aged 55-75. The primary endpoint of the study was the dose and drug exposure levels required to produce mild sedation, which served as a surrogate endpoint for treating agitation using the Richmond Agitation- Sedation Scale, or RASS, score.</w:t>
      </w:r>
    </w:p>
    <w:p>
      <w:pPr>
        <w:spacing w:after="0" w:line="157" w:lineRule="exact"/>
        <w:rPr>
          <w:rFonts w:ascii="Arial" w:cs="Arial" w:eastAsia="Arial" w:hAnsi="Arial"/>
          <w:sz w:val="16"/>
          <w:szCs w:val="16"/>
          <w:color w:val="auto"/>
        </w:rPr>
      </w:pPr>
    </w:p>
    <w:p>
      <w:pPr>
        <w:ind w:left="1020" w:right="59"/>
        <w:spacing w:after="0" w:line="270" w:lineRule="auto"/>
        <w:rPr>
          <w:rFonts w:ascii="Arial" w:cs="Arial" w:eastAsia="Arial" w:hAnsi="Arial"/>
          <w:sz w:val="16"/>
          <w:szCs w:val="16"/>
          <w:color w:val="auto"/>
        </w:rPr>
      </w:pPr>
      <w:r>
        <w:rPr>
          <w:rFonts w:ascii="Arial" w:cs="Arial" w:eastAsia="Arial" w:hAnsi="Arial"/>
          <w:sz w:val="17"/>
          <w:szCs w:val="17"/>
          <w:color w:val="auto"/>
        </w:rPr>
        <w:t>The goal of the healthy volunteer study, which was met, was to achieve mild sedation without any clinically meaningful cardiovascular side effects. The IV formulation of Dex achieved mild sedation or a RASS score of -1 in patients at a Dex exposure level without producing any clinically meaningful effects on blood pressure and/or heart rate. This activity was evident in eleven (11) out of twelve (12) subjects on the IV formulation of Dex and occurred within thirty minutes of starting the dose which produced the desired effect. In contrast, mild sedation was observed in only 1 out of 4 individuals on placebo. The mild sedative effects of the IV formulation of Dex persisted for ninety to one hundred and twenty minutes, a clinically relevant duration. The study also found that the IV formulation of Dex was well tolerated and the results supported further clinical evaluation of dexmedetomidine in acute treatment of agitation resulting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359"/>
        <w:spacing w:after="0" w:line="277" w:lineRule="auto"/>
        <w:rPr>
          <w:sz w:val="20"/>
          <w:szCs w:val="20"/>
          <w:color w:val="auto"/>
        </w:rPr>
      </w:pPr>
      <w:r>
        <w:rPr>
          <w:rFonts w:ascii="Arial" w:cs="Arial" w:eastAsia="Arial" w:hAnsi="Arial"/>
          <w:sz w:val="18"/>
          <w:szCs w:val="18"/>
          <w:color w:val="auto"/>
        </w:rPr>
        <w:t>from neuropsychiatric disorders including schizophrenia and Senile Dementia of the Alzheimer’s Type, or SDAT.</w:t>
      </w:r>
    </w:p>
    <w:p>
      <w:pPr>
        <w:spacing w:after="0" w:line="170" w:lineRule="exact"/>
        <w:rPr>
          <w:sz w:val="20"/>
          <w:szCs w:val="20"/>
          <w:color w:val="auto"/>
        </w:rPr>
      </w:pPr>
    </w:p>
    <w:p>
      <w:pPr>
        <w:ind w:left="1060" w:right="299" w:hanging="327"/>
        <w:spacing w:after="0" w:line="272"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November 2018, we announced positive results from a Phase 1b study evaluating IV Dex for acute treatment of agitation in patients suffering from schizophrenia. The trial met its primary endpoint by identifying a safe dose of IV Dex that produced a mild arousable sedation, defined by a RASS score of -1. The study enrolled a total of fourteen (14) patients. Ten (10) patients in the treatment arm received IV Dex therapy, while four (4) patients received placebo. Dose escalation was performed by infusing 0.2 to 0.6 mcg/kg/hr of the IV formulation of Dex over a period of thirty minutes. The dose range in this study was consistent with the range used in the healthy volunteer study.</w:t>
      </w:r>
    </w:p>
    <w:p>
      <w:pPr>
        <w:spacing w:after="0" w:line="177" w:lineRule="exact"/>
        <w:rPr>
          <w:sz w:val="20"/>
          <w:szCs w:val="20"/>
          <w:color w:val="auto"/>
        </w:rPr>
      </w:pPr>
    </w:p>
    <w:p>
      <w:pPr>
        <w:ind w:left="1020" w:right="79"/>
        <w:spacing w:after="0" w:line="254" w:lineRule="auto"/>
        <w:rPr>
          <w:sz w:val="20"/>
          <w:szCs w:val="20"/>
          <w:color w:val="auto"/>
        </w:rPr>
      </w:pPr>
      <w:r>
        <w:rPr>
          <w:rFonts w:ascii="Arial" w:cs="Arial" w:eastAsia="Arial" w:hAnsi="Arial"/>
          <w:sz w:val="18"/>
          <w:szCs w:val="18"/>
          <w:color w:val="auto"/>
        </w:rPr>
        <w:t>The study demonstrated that nine out of ten patients in the treatment arm achieved a RASS score of -1, while no patients in the placebo arm experienced meaningful sedation. Additionally, the drug was well tolerated without any clinically meaningful adverse effects on blood pressure and/or heart rate. As a secondary endpoint, nine out of ten patients in the treatment arm had agitation reduced to a minimum as measured by a PEC score of 7 or below (“PEC” Positive and Negative Symptom Scale - Excitatory Component is a five item scale that measures symptoms of agitation with each item rated from 1 Absent to 7 Extreme) in contrast with 0 out of 4 of the placebo patients.</w:t>
      </w:r>
    </w:p>
    <w:p>
      <w:pPr>
        <w:spacing w:after="0" w:line="195" w:lineRule="exact"/>
        <w:rPr>
          <w:sz w:val="20"/>
          <w:szCs w:val="20"/>
          <w:color w:val="auto"/>
        </w:rPr>
      </w:pPr>
    </w:p>
    <w:p>
      <w:pPr>
        <w:jc w:val="both"/>
        <w:ind w:left="1060" w:right="159" w:hanging="327"/>
        <w:spacing w:after="0" w:line="311"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January 2019, we announced positive results from a Phase 1 study evaluating IV Dex for acute treatment of agitation in patients suffering from SDAT. The SDAT trial met its primary endpoint by identifying a well-tolerated dose of IV Dex that produced a mild arousable sedation, defined by a RASS of -1.</w:t>
      </w:r>
    </w:p>
    <w:p>
      <w:pPr>
        <w:spacing w:after="0" w:line="149" w:lineRule="exact"/>
        <w:rPr>
          <w:sz w:val="20"/>
          <w:szCs w:val="20"/>
          <w:color w:val="auto"/>
        </w:rPr>
      </w:pPr>
    </w:p>
    <w:p>
      <w:pPr>
        <w:ind w:left="1020" w:right="79"/>
        <w:spacing w:after="0" w:line="291" w:lineRule="auto"/>
        <w:rPr>
          <w:sz w:val="20"/>
          <w:szCs w:val="20"/>
          <w:color w:val="auto"/>
        </w:rPr>
      </w:pPr>
      <w:r>
        <w:rPr>
          <w:rFonts w:ascii="Arial" w:cs="Arial" w:eastAsia="Arial" w:hAnsi="Arial"/>
          <w:sz w:val="16"/>
          <w:szCs w:val="16"/>
          <w:color w:val="auto"/>
        </w:rPr>
        <w:t>This study enrolled a total of fourteen SDAT patients. Ten patients in the treatment arm received IV Dex therapy, while four patients received placebo. In accordance with study designs used in previous participant populations, Dex treatment was begun at 0.1 mcg/kg/h and dose escalation occurred every thirty minutes by increasing the infusion rate by 0.1 mcg/kg/h to a maximum infusion of 0.5 mcg/kg/h. Such dosing allowed for the efficient determination of the optimal dose in each participant. The study demonstrated that seven out of ten patients in the treatment arm achieved arousable sedation (RASS score of -1), versus only 1 of 4 patients in the placebo arm. The drug was well tolerated without any clinically significant adverse events.</w:t>
      </w:r>
    </w:p>
    <w:p>
      <w:pPr>
        <w:spacing w:after="0" w:line="166" w:lineRule="exact"/>
        <w:rPr>
          <w:sz w:val="20"/>
          <w:szCs w:val="20"/>
          <w:color w:val="auto"/>
        </w:rPr>
      </w:pPr>
    </w:p>
    <w:p>
      <w:pPr>
        <w:ind w:left="1060" w:right="179" w:hanging="327"/>
        <w:spacing w:after="0" w:line="301"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February 2019, we announced positive proof of concept data from a Phase 1b study of IV Dex in patients suffering from opioid withdrawal symptoms. The study provided evidence supporting further evaluation of BXCL501’s selective alpha-2a adrenergic receptor mechanism application in opioid withdrawal symptoms, in addition to acute treatment of agitation in schizophrenia, bipolar disorder and dementia.</w:t>
      </w:r>
    </w:p>
    <w:p>
      <w:pPr>
        <w:spacing w:after="0" w:line="157" w:lineRule="exact"/>
        <w:rPr>
          <w:sz w:val="20"/>
          <w:szCs w:val="20"/>
          <w:color w:val="auto"/>
        </w:rPr>
      </w:pPr>
    </w:p>
    <w:p>
      <w:pPr>
        <w:ind w:left="1020" w:right="59"/>
        <w:spacing w:after="0" w:line="273" w:lineRule="auto"/>
        <w:rPr>
          <w:sz w:val="20"/>
          <w:szCs w:val="20"/>
          <w:color w:val="auto"/>
        </w:rPr>
      </w:pPr>
      <w:r>
        <w:rPr>
          <w:rFonts w:ascii="Arial" w:cs="Arial" w:eastAsia="Arial" w:hAnsi="Arial"/>
          <w:sz w:val="17"/>
          <w:szCs w:val="17"/>
          <w:color w:val="auto"/>
        </w:rPr>
        <w:t>The study enrolled total of fourteen patients with opioid dependence. Ten subjects were randomized to the treatment arm while five subjects were randomized to the placebo arm. Symptoms of opioid withdrawal were evaluated using the Clinical Opioid Withdrawal Scale, or COWS1, an 11-item scale that measures a constellation of withdrawal symptoms experienced after abstaining from opioid use. All ten subjects receiving IV Dex responded to treatment, while there were no responders in the placebo arm. Results from this study suggest that IV Dex mitigated the physiological symptoms of opioid withdrawal.</w:t>
      </w:r>
    </w:p>
    <w:p>
      <w:pPr>
        <w:spacing w:after="0" w:line="178" w:lineRule="exact"/>
        <w:rPr>
          <w:sz w:val="20"/>
          <w:szCs w:val="20"/>
          <w:color w:val="auto"/>
        </w:rPr>
      </w:pPr>
    </w:p>
    <w:p>
      <w:pPr>
        <w:ind w:left="40" w:right="79" w:firstLine="324"/>
        <w:spacing w:after="0" w:line="277" w:lineRule="auto"/>
        <w:rPr>
          <w:sz w:val="20"/>
          <w:szCs w:val="20"/>
          <w:color w:val="auto"/>
        </w:rPr>
      </w:pPr>
      <w:r>
        <w:rPr>
          <w:rFonts w:ascii="Arial" w:cs="Arial" w:eastAsia="Arial" w:hAnsi="Arial"/>
          <w:sz w:val="18"/>
          <w:szCs w:val="18"/>
          <w:color w:val="auto"/>
        </w:rPr>
        <w:t>Data from the four IV Dex studies in healthy volunteers, schizophrenia patients, SDAT patients, and opioid withdrawal patients was used to determine the optimal dose of BXCL501.</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In December 2018, the FDA accepted our IND application for BXCL501, authorizing us to initiate a first-in-human pharmacokinetic (bioavailability) and safety study in healthy volunteers.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19" w:firstLine="324"/>
        <w:spacing w:after="0" w:line="277" w:lineRule="auto"/>
        <w:rPr>
          <w:sz w:val="20"/>
          <w:szCs w:val="20"/>
          <w:color w:val="auto"/>
        </w:rPr>
      </w:pPr>
      <w:r>
        <w:rPr>
          <w:rFonts w:ascii="Arial" w:cs="Arial" w:eastAsia="Arial" w:hAnsi="Arial"/>
          <w:sz w:val="18"/>
          <w:szCs w:val="18"/>
          <w:color w:val="auto"/>
        </w:rPr>
        <w:t>Following the IND acceptance, on December 27, 2018, we announced that the FDA had granted us Fast Track Designation for BXCL501 for the treatment of acute agitation.</w:t>
      </w:r>
    </w:p>
    <w:p>
      <w:pPr>
        <w:spacing w:after="0" w:line="170"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FDA’s Fast Track program is designed to provide certain benefits for new drugs that treat serious or life-threatening conditions and demonstrate the potential to address unmet medical needs. The designation provides the opportunity for more frequent meetings with the FDA over the course of development and allows for the potential of rolling submission of individual sections of an NDA for review. If supported by clinical data, this designation allows for the potential of priority review.</w:t>
      </w:r>
    </w:p>
    <w:p>
      <w:pPr>
        <w:spacing w:after="0" w:line="188"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In December 2018, we dosed multiple patient cohorts in our Phase 1 pharmacokinetic (bioavailability) and safety study of BXCL501.</w:t>
      </w:r>
    </w:p>
    <w:p>
      <w:pPr>
        <w:spacing w:after="0" w:line="170" w:lineRule="exact"/>
        <w:rPr>
          <w:sz w:val="20"/>
          <w:szCs w:val="20"/>
          <w:color w:val="auto"/>
        </w:rPr>
      </w:pPr>
    </w:p>
    <w:p>
      <w:pPr>
        <w:ind w:left="40" w:right="479" w:firstLine="324"/>
        <w:spacing w:after="0" w:line="263" w:lineRule="auto"/>
        <w:rPr>
          <w:sz w:val="20"/>
          <w:szCs w:val="20"/>
          <w:color w:val="auto"/>
        </w:rPr>
      </w:pPr>
      <w:r>
        <w:rPr>
          <w:rFonts w:ascii="Arial" w:cs="Arial" w:eastAsia="Arial" w:hAnsi="Arial"/>
          <w:sz w:val="18"/>
          <w:szCs w:val="18"/>
          <w:color w:val="auto"/>
        </w:rPr>
        <w:t>In May 2019, we announced positive top line data from the Phase 1 pharmacokinetic, or PK, (bioavailability) and safety study of BXCL501. Administration of BXCL501 achieved targeted exposure levels that were observed to be therapeutic in our prior IV Dex study.</w:t>
      </w:r>
    </w:p>
    <w:p>
      <w:pPr>
        <w:spacing w:after="0" w:line="184"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The IND-opening Phase 1 study was a double-blinded placebo-controlled, single-dose, dose-escalation study of BXCL501 that enrolled 42 adult volunteers across various dosing groups. The primary endpoints of the study were PK and safety, while secondary endpoints included assessment of pharmacodynamics, or PD, and the relationship between BXCL501 concentrations and PD endpoints.</w:t>
      </w:r>
    </w:p>
    <w:p>
      <w:pPr>
        <w:spacing w:after="0" w:line="18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Findings from the study indicated that BXCL501 rapidly achieved exposure levels consistent with the levels observed in IV Dex study in schizophrenia patients that we announced in November 2018. Results from the Phase 1 study also showed dose-proportional PK consistent with the IV Dex study with PD activity lasting 4 to 6 hours, which we believe are clinically favorable features.</w:t>
      </w:r>
    </w:p>
    <w:p>
      <w:pPr>
        <w:spacing w:after="0" w:line="187"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Additionally, clinical data from the study indicates BXCL501 was well tolerated. There were no serious adverse events. The most common adverse event was drowsiness, observed at rates similar to placebo. All adverse events were mild to moderate and transient. There was no clear sedative effect in comparison with placebo. Cardiovascular changes were not clinically meaningful. A maximum tolerated dose was not reached. PK data from the study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108585</wp:posOffset>
            </wp:positionV>
            <wp:extent cx="5503545" cy="2931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354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In July 2019, we announced positive top-line results from our Phase 1b, randomized, double-blind, placebo-controlled, multi-center, U.S. trial, evaluating multiple doses of BXCL501 for acute treatment of agitation in 135 patients with schizophrenia. BXCL501 met the trial’s primary endpoint of showing a statistically significant mean reduction in PEC score at two hours compared to placebo, with rapid and durable reductions in PEC score maintained for 4 to 6 hours.</w:t>
      </w:r>
    </w:p>
    <w:p>
      <w:pPr>
        <w:spacing w:after="0" w:line="157"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A reduction in the PEC score for agitation was observed with rapid calming without excessive sedation at two hours and at earlier time-points. The 80 mcg, 120 mcg and 180 mcg doses of BXCL501 showed reductions of PEC scores of -7.1, -9.2 and -10.8, respectively, compared to -4.5 for placebo at two hours. The results for these three doses were statistically significant in patients treated compared to placebo (80 mcg; p=0.0152), (120 mcg; p=0.0003), and (180 mcg; p&lt;0.0001) with clinically meaningful, rapid and durable reductions in PEC score. We also observed clinically meaningful but not statistically significant reductions in PEC scores of -6.0 following 60 mcg at two hours (p=0.1227).</w:t>
      </w:r>
    </w:p>
    <w:p>
      <w:pPr>
        <w:spacing w:after="0" w:line="164"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The secondary evaluations included assessment using the Agitation-Calmness Evaluation Scale, or ACES, which evaluated the potential calming effects of BXCL501. The ACES assessment was consistent with the analysis of the primary endpoint, and met statistical significance for calming as measured by ACES at two hours compared to placebo in the three highest doses evaluated (80mcg; p=0.0156), (120 mcg; p=0.0005) and (180 mcg; p&lt;0.0001). BXCL501 was well-tolerated with no serious or severe adverse events across the entire dose range; the most common treatment-related adverse events were mild somnolence and dry mouth. Results from the primary and secondary endpoints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113665</wp:posOffset>
            </wp:positionV>
            <wp:extent cx="5503545" cy="2940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354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503545" cy="2922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35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On August 20, 2019, we announced that the U.S. Department of Defense’s Congressionally Directed Medical Research Program awarded a planning grant as a part of its Alcohol and Substance Abuse Disorders Research Program related to the development of BXCL501. The grant is expected to support the development of a clinical study to evaluate the use of BXCL501 for the treatment of alcohol and substance use disorders, particularly related to post-traumatic stress disorder and traumatic brain injury.</w:t>
      </w:r>
    </w:p>
    <w:p>
      <w:pPr>
        <w:spacing w:after="0" w:line="188" w:lineRule="exact"/>
        <w:rPr>
          <w:sz w:val="20"/>
          <w:szCs w:val="20"/>
          <w:color w:val="auto"/>
        </w:rPr>
      </w:pPr>
    </w:p>
    <w:p>
      <w:pPr>
        <w:ind w:left="40" w:right="239" w:firstLine="324"/>
        <w:spacing w:after="0" w:line="273" w:lineRule="auto"/>
        <w:rPr>
          <w:sz w:val="20"/>
          <w:szCs w:val="20"/>
          <w:color w:val="auto"/>
        </w:rPr>
      </w:pPr>
      <w:r>
        <w:rPr>
          <w:rFonts w:ascii="Arial" w:cs="Arial" w:eastAsia="Arial" w:hAnsi="Arial"/>
          <w:sz w:val="17"/>
          <w:szCs w:val="17"/>
          <w:color w:val="auto"/>
        </w:rPr>
        <w:t>In September 2019, we announced plans to investigate the development of using wearable digital device technology such as the Apple Watch, with the goal of enhancing the prevention and treatment of agitation including, if approved, the administration of BXCL501 prior to the onset of agitation. We plan to conduct a feasibility study with potential applications in commercially available wearable digital devices to measure nervous and motor system activity relevant to both agitation and the mechanism of action of BXCL501. This study is expected be conducted in collaboration with both clinical investigators and a third-party digital solutions provider.</w:t>
      </w:r>
    </w:p>
    <w:p>
      <w:pPr>
        <w:spacing w:after="0" w:line="178" w:lineRule="exact"/>
        <w:rPr>
          <w:sz w:val="20"/>
          <w:szCs w:val="20"/>
          <w:color w:val="auto"/>
        </w:rPr>
      </w:pPr>
    </w:p>
    <w:p>
      <w:pPr>
        <w:ind w:left="40" w:right="159" w:firstLine="369"/>
        <w:spacing w:after="0" w:line="257" w:lineRule="auto"/>
        <w:rPr>
          <w:sz w:val="20"/>
          <w:szCs w:val="20"/>
          <w:color w:val="auto"/>
        </w:rPr>
      </w:pPr>
      <w:r>
        <w:rPr>
          <w:rFonts w:ascii="Arial" w:cs="Arial" w:eastAsia="Arial" w:hAnsi="Arial"/>
          <w:sz w:val="18"/>
          <w:szCs w:val="18"/>
          <w:color w:val="auto"/>
        </w:rPr>
        <w:t>In December 2019, we announced our plans to initiate our pivotal Phase 3 studies following an end-of-Phase 2 meeting with the FDA. We reached a general consensus with the FDA regarding the key elements of the designs for our SERENITY (Sub-Lingual DExmedetomidine in Agitation Associated With SchizophRENIa and Bipolar Disorder STudY) program, two Phase 3 studies of BXCL501 for the acute treatment of agitation in patients with schizophrenia and bipolar disorder.</w:t>
      </w:r>
    </w:p>
    <w:p>
      <w:pPr>
        <w:spacing w:after="0" w:line="188"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In December 2019, we also announced initiation of our SERENITY program, with topline data from both Phase 3 trials expected in mid-2020. The SERENITY studies are randomized, double-blinded, placebo-controlled, adaptive trials of up to 750 patients 18 to 75 years of age. SERENITY I will enroll patients with agitation associated with schizophrenia, with each arm receiving either BXCL501 at 120 micrograms, 180 micrograms or a placebo. SERENITY II will evaluate patients with agitation associated with bipolar disorder, also with each of three arms receiving either BXCL501 at 120 micrograms, 180 micrograms or a placebo. The primary endpoint of the trials is reducing acute agitation measured by the Positive and Negative Syndrome Scale, examining the Excited Component, or PEC change from baseline compared to placebo. A key secondary endpoint includes determining the earliest time where an effect on agitation is apparent as measured by the change from baseline in PEC total score. Topline data from both of these Phase 3 trials are expected in mid-2020.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firstLine="324"/>
        <w:spacing w:after="0" w:line="308" w:lineRule="auto"/>
        <w:rPr>
          <w:sz w:val="20"/>
          <w:szCs w:val="20"/>
          <w:color w:val="auto"/>
        </w:rPr>
      </w:pPr>
      <w:r>
        <w:rPr>
          <w:rFonts w:ascii="Arial" w:cs="Arial" w:eastAsia="Arial" w:hAnsi="Arial"/>
          <w:sz w:val="17"/>
          <w:szCs w:val="17"/>
          <w:color w:val="auto"/>
        </w:rPr>
        <w:t>In January 2020, we announced that the first patient had been enrolled in a Phase 1b/2 trial of BXCL501 for the acute treatment of agitation in patients with dementia. Topline data from this trial are expected in mid-2020.</w:t>
      </w:r>
    </w:p>
    <w:p>
      <w:pPr>
        <w:spacing w:after="0" w:line="146" w:lineRule="exact"/>
        <w:rPr>
          <w:sz w:val="20"/>
          <w:szCs w:val="20"/>
          <w:color w:val="auto"/>
        </w:rPr>
      </w:pPr>
    </w:p>
    <w:p>
      <w:pPr>
        <w:ind w:left="40" w:right="299" w:firstLine="324"/>
        <w:spacing w:after="0" w:line="308" w:lineRule="auto"/>
        <w:rPr>
          <w:sz w:val="20"/>
          <w:szCs w:val="20"/>
          <w:color w:val="auto"/>
        </w:rPr>
      </w:pPr>
      <w:r>
        <w:rPr>
          <w:rFonts w:ascii="Arial" w:cs="Arial" w:eastAsia="Arial" w:hAnsi="Arial"/>
          <w:sz w:val="17"/>
          <w:szCs w:val="17"/>
          <w:color w:val="auto"/>
        </w:rPr>
        <w:t>In February 2020, we announced FDA clearance of our investigational new drug application, or IND, for BXCL501 for the treatment of opioid withdrawal symptoms. We are preparing to initiate a Phase 1b/2 clinical trial.</w:t>
      </w:r>
    </w:p>
    <w:p>
      <w:pPr>
        <w:spacing w:after="0" w:line="146"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7"/>
          <w:szCs w:val="17"/>
          <w:color w:val="auto"/>
        </w:rPr>
        <w:t>In February 2020, we also announced the initiation of an investigator sponsored clinical trial designed to evaluate the safety and efficacy of BXCL501 and measure biomarkers associated with agitation in patients with schizophrenia and their response to treatment with BXCL501. The trial is designed to identify biomarkers, such as skin conductance response, heart rate variability, and blood pressure, that can potentially be used as an initial signal for treatment and expand the BXCL501 development program to evaluate new chronic disease indications.</w:t>
      </w:r>
    </w:p>
    <w:p>
      <w:pPr>
        <w:spacing w:after="0" w:line="176" w:lineRule="exact"/>
        <w:rPr>
          <w:sz w:val="20"/>
          <w:szCs w:val="20"/>
          <w:color w:val="auto"/>
        </w:rPr>
      </w:pPr>
    </w:p>
    <w:p>
      <w:pPr>
        <w:ind w:left="40" w:right="659" w:firstLine="324"/>
        <w:spacing w:after="0" w:line="263" w:lineRule="auto"/>
        <w:rPr>
          <w:sz w:val="20"/>
          <w:szCs w:val="20"/>
          <w:color w:val="auto"/>
        </w:rPr>
      </w:pPr>
      <w:r>
        <w:rPr>
          <w:rFonts w:ascii="Arial" w:cs="Arial" w:eastAsia="Arial" w:hAnsi="Arial"/>
          <w:sz w:val="18"/>
          <w:szCs w:val="18"/>
          <w:color w:val="auto"/>
        </w:rPr>
        <w:t>We are continuing to evaluate development plans for BXCL501 as a potential treatment for acute agitation in hyperactive delirium and for chronic agitation, as well as developing a single-use intramuscular injection for severe agitation.</w:t>
      </w:r>
    </w:p>
    <w:p>
      <w:pPr>
        <w:spacing w:after="0" w:line="184"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Treatment of agitation remains a significant global healthcare challenge in patients with drug and alcohol withdrawal, delirium and post-traumatic stress disorder, as the currently available treatment options are suboptimal, invasive, difficult to administer and often pose safety issues.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Neuropsychiatric /Neurodegenerative Indications</w:t>
      </w:r>
    </w:p>
    <w:p>
      <w:pPr>
        <w:spacing w:after="0" w:line="229"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Given the differentiated design features of BXCL501 and its selective mechanism of action, we believe that BXCL501 has the potential for broad applicability across several indications where agitation is a symptom of a condition or underlying disease. Schizophrenia and bipolar disorder were chosen as our lead indications. Dementia was chosen based on high unmet medical need and lack of a safe and well-tolerated standard of care for acute treatment of agitation in elderly patients suffering from acute dementia. Schizophrenia and bipolar disorder were also chosen because of the high incidence of agitation in the emergency room and psychiatric outpatient setting resulting from agitation due to residual psychosis or hypo/mania and the need for a noninvasive rapidly acting agent in this setting. There are additional neurological and psychiatric disorders as well as medical conditions where agitation is a symptom that requires treatment.</w:t>
      </w:r>
    </w:p>
    <w:p>
      <w:pPr>
        <w:spacing w:after="0" w:line="165" w:lineRule="exact"/>
        <w:rPr>
          <w:sz w:val="20"/>
          <w:szCs w:val="20"/>
          <w:color w:val="auto"/>
        </w:rPr>
      </w:pPr>
    </w:p>
    <w:p>
      <w:pPr>
        <w:ind w:left="40" w:right="79" w:firstLine="324"/>
        <w:spacing w:after="0" w:line="277" w:lineRule="auto"/>
        <w:rPr>
          <w:sz w:val="20"/>
          <w:szCs w:val="20"/>
          <w:color w:val="auto"/>
        </w:rPr>
      </w:pPr>
      <w:r>
        <w:rPr>
          <w:rFonts w:ascii="Arial" w:cs="Arial" w:eastAsia="Arial" w:hAnsi="Arial"/>
          <w:sz w:val="18"/>
          <w:szCs w:val="18"/>
          <w:color w:val="auto"/>
        </w:rPr>
        <w:t>A brief description of potential indications that we could pursue in the future with BXCL501 is summarized below. We will determine the timing and prioritization of additional indications as warranted by emerging data.</w:t>
      </w:r>
    </w:p>
    <w:p>
      <w:pPr>
        <w:spacing w:after="0" w:line="166" w:lineRule="exact"/>
        <w:rPr>
          <w:sz w:val="20"/>
          <w:szCs w:val="20"/>
          <w:color w:val="auto"/>
        </w:rPr>
      </w:pPr>
    </w:p>
    <w:p>
      <w:pPr>
        <w:ind w:left="1020" w:right="99" w:hanging="328"/>
        <w:spacing w:after="0" w:line="287"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Opioid Withdrawal Syndrome. </w:t>
      </w:r>
      <w:r>
        <w:rPr>
          <w:rFonts w:ascii="Arial" w:cs="Arial" w:eastAsia="Arial" w:hAnsi="Arial"/>
          <w:sz w:val="16"/>
          <w:szCs w:val="16"/>
          <w:color w:val="auto"/>
        </w:rPr>
        <w:t>The burden of treating the current ongoing epidemic of heroin and opiate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dependence remains a major priority for federal and state public health services and private healthcare industry. Opioid withdrawal is characterized by physiological symptoms of activation of various bodily functions clinically measured using opioid withdrawal symptom scales (e.g. COWS). Currently preferred options for treatment of acute opioid withdrawal include Medication Assisted Treatment, or MAT, which substitutes opiates with lesser abuse potential drugs such as methadone or buprenorphine. Recently lofexidine (Lucemyra </w:t>
      </w:r>
      <w:r>
        <w:rPr>
          <w:rFonts w:ascii="Arial" w:cs="Arial" w:eastAsia="Arial" w:hAnsi="Arial"/>
          <w:sz w:val="16"/>
          <w:szCs w:val="16"/>
          <w:b w:val="1"/>
          <w:bCs w:val="1"/>
          <w:color w:val="auto"/>
        </w:rPr>
        <w:t>®</w:t>
      </w:r>
      <w:r>
        <w:rPr>
          <w:rFonts w:ascii="Arial" w:cs="Arial" w:eastAsia="Arial" w:hAnsi="Arial"/>
          <w:sz w:val="16"/>
          <w:szCs w:val="16"/>
          <w:color w:val="auto"/>
        </w:rPr>
        <w:t>), with a similar mechanism of action to Dex, was approved for the treatment of symptoms associated with acute opioid withdrawal. We believe Dex may similarly treat symptoms of acute opioid withdrawal similar mechanism of action by reducing withdrawal symptoms. We believe that the intrinsic properties of Dex delivered via BXCL501, if successfully developed and approved could provide advantages to patients, providers and payers over other currently available non-opioid interventions for acute opioid withdrawal for individuals suffering from opioid use disorder</w:t>
      </w:r>
      <w:r>
        <w:rPr>
          <w:rFonts w:ascii="Arial" w:cs="Arial" w:eastAsia="Arial" w:hAnsi="Arial"/>
          <w:sz w:val="16"/>
          <w:szCs w:val="16"/>
          <w:i w:val="1"/>
          <w:iCs w:val="1"/>
          <w:color w:val="auto"/>
        </w:rPr>
        <w:t>.</w:t>
      </w:r>
    </w:p>
    <w:p>
      <w:pPr>
        <w:spacing w:after="0" w:line="171" w:lineRule="exact"/>
        <w:rPr>
          <w:rFonts w:ascii="Arial" w:cs="Arial" w:eastAsia="Arial" w:hAnsi="Arial"/>
          <w:sz w:val="16"/>
          <w:szCs w:val="16"/>
          <w:color w:val="auto"/>
        </w:rPr>
      </w:pPr>
    </w:p>
    <w:p>
      <w:pPr>
        <w:ind w:left="1020" w:right="59"/>
        <w:spacing w:after="0" w:line="293" w:lineRule="auto"/>
        <w:rPr>
          <w:rFonts w:ascii="Arial" w:cs="Arial" w:eastAsia="Arial" w:hAnsi="Arial"/>
          <w:sz w:val="16"/>
          <w:szCs w:val="16"/>
          <w:color w:val="auto"/>
        </w:rPr>
      </w:pPr>
      <w:r>
        <w:rPr>
          <w:rFonts w:ascii="Arial" w:cs="Arial" w:eastAsia="Arial" w:hAnsi="Arial"/>
          <w:sz w:val="16"/>
          <w:szCs w:val="16"/>
          <w:color w:val="auto"/>
        </w:rPr>
        <w:t>We announced results from our Phase 1b study of IV Dex in patients suffering from opioid withdrawal symptoms in February 2019. The positive data from this Phase 1b trial provided evidence supporting the expansion of the BXCL501 development programs beyond the company’s current focus for acute treatment of agitation in neuropsychiatric indications. The study provided evidence supporting further evaluation of BXCL501’s selective alpha-2a adrenergic receptor mechanism in opioid withdrawal symptoms, in addition to the acute treatment of agitation in schizophrenia, bipolar disorder and dementia. Opioid addiction 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79"/>
        <w:spacing w:after="0" w:line="255" w:lineRule="auto"/>
        <w:rPr>
          <w:sz w:val="20"/>
          <w:szCs w:val="20"/>
          <w:color w:val="auto"/>
        </w:rPr>
      </w:pPr>
      <w:r>
        <w:rPr>
          <w:rFonts w:ascii="Arial" w:cs="Arial" w:eastAsia="Arial" w:hAnsi="Arial"/>
          <w:sz w:val="18"/>
          <w:szCs w:val="18"/>
          <w:color w:val="auto"/>
        </w:rPr>
        <w:t>difficult to overcome largely because of the severe symptoms associated with withdrawal, an area in need of more effective non-opioid treatment options. This unmet need in conjunction with our positive IV Dex study allowed us to begin preparing for a Phase 1b/2 study to evaluate BXCL501 in patients experiencing symptoms of opioid withdrawal. On February 5, 2020, we announced FDA clearance of our IND application for BXCL501 for the treatment of opioid withdrawal symptoms. We are preparing to initiate a Phase 1b/2 clinical trial.</w:t>
      </w:r>
    </w:p>
    <w:p>
      <w:pPr>
        <w:spacing w:after="0" w:line="188" w:lineRule="exact"/>
        <w:rPr>
          <w:sz w:val="20"/>
          <w:szCs w:val="20"/>
          <w:color w:val="auto"/>
        </w:rPr>
      </w:pPr>
    </w:p>
    <w:p>
      <w:pPr>
        <w:ind w:left="1020" w:right="139" w:hanging="328"/>
        <w:spacing w:after="0" w:line="218" w:lineRule="exact"/>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Delirium. </w:t>
      </w:r>
      <w:r>
        <w:rPr>
          <w:rFonts w:ascii="Arial" w:cs="Arial" w:eastAsia="Arial" w:hAnsi="Arial"/>
          <w:sz w:val="17"/>
          <w:szCs w:val="17"/>
          <w:color w:val="auto"/>
        </w:rPr>
        <w:t>There are a number of studies which suggest that Dex can either prevent or mitigate agitation</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delirium based on information in an article published in the International Journal of Scientific Reports in 2017 by Zhang et al. We believe BXCL501, if approved, could be used in non</w:t>
      </w:r>
      <w:r>
        <w:rPr>
          <w:rFonts w:ascii="MS PGothic" w:cs="MS PGothic" w:eastAsia="MS PGothic" w:hAnsi="MS PGothic"/>
          <w:sz w:val="17"/>
          <w:szCs w:val="17"/>
          <w:color w:val="auto"/>
        </w:rPr>
        <w:t>‑</w:t>
      </w:r>
      <w:r>
        <w:rPr>
          <w:rFonts w:ascii="Arial" w:cs="Arial" w:eastAsia="Arial" w:hAnsi="Arial"/>
          <w:sz w:val="17"/>
          <w:szCs w:val="17"/>
          <w:color w:val="auto"/>
        </w:rPr>
        <w:t>surgical medical situations where hyperactive delirium is an outcome. We also believe BXCL501 would potentially be of high value in elderly patients in many medical situations outside of the ICU, such as the hospital floor and nursing homes. As a result of the delirium studies mentioned in the clinical section above, there is a defined therapeutic index in elderly patients which we believe may allow us to directly initiate a proof-of-concept clinical trial, without conducting separate evaluations of the IV formulation of Dex, potentially followed by a registrational trial with BXCL501. The company is currently establishing a strategic development plan to study BXCL501 in hyperactive delirium.</w:t>
      </w:r>
    </w:p>
    <w:p>
      <w:pPr>
        <w:spacing w:after="0" w:line="201" w:lineRule="exact"/>
        <w:rPr>
          <w:rFonts w:ascii="Arial" w:cs="Arial" w:eastAsia="Arial" w:hAnsi="Arial"/>
          <w:sz w:val="17"/>
          <w:szCs w:val="17"/>
          <w:color w:val="auto"/>
        </w:rPr>
      </w:pPr>
    </w:p>
    <w:p>
      <w:pPr>
        <w:ind w:left="1020" w:right="139" w:hanging="328"/>
        <w:spacing w:after="0" w:line="289"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Alcohol Withdrawal Syndrome. </w:t>
      </w:r>
      <w:r>
        <w:rPr>
          <w:rFonts w:ascii="Arial" w:cs="Arial" w:eastAsia="Arial" w:hAnsi="Arial"/>
          <w:sz w:val="16"/>
          <w:szCs w:val="16"/>
          <w:color w:val="auto"/>
        </w:rPr>
        <w:t>Acute alcohol withdrawal remains a widespread problem in hospitalized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Benzodiazepines remain the primary treatment for alcohol therapy to help control hyperadrenergic output in patients resulting in withdrawal. These patients are at increased risk of experiencing respiratory depression from benzodiazepine therapy. Based on information in an article published in The American Journal of Drug and Alcohol Abuse in 2015 by Wong et al., in clinical trials, IV administration of Dex has shown potential for treating alcohol withdrawal syndrome. We believe that performing a controlled clinical trial with BXCL501 in this population would be a logical next step to develop this product candidate. In August 2019, we announced the award of a grant by the U.S. Department of Defense’s Congressionally Directed Medical Research Programs to evaluate the use of BXCL501 for treatment of alcohol and substance use disorders, or ASUD, related to PTSD and traumatic brain injury. Further planning is currently underway</w:t>
      </w:r>
    </w:p>
    <w:p>
      <w:pPr>
        <w:spacing w:after="0" w:line="160" w:lineRule="exact"/>
        <w:rPr>
          <w:rFonts w:ascii="Arial" w:cs="Arial" w:eastAsia="Arial" w:hAnsi="Arial"/>
          <w:sz w:val="16"/>
          <w:szCs w:val="16"/>
          <w:color w:val="auto"/>
        </w:rPr>
      </w:pPr>
    </w:p>
    <w:p>
      <w:pPr>
        <w:ind w:left="1020" w:right="79" w:hanging="328"/>
        <w:spacing w:after="0" w:line="219" w:lineRule="exact"/>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Hyperarousal in PTSD. </w:t>
      </w:r>
      <w:r>
        <w:rPr>
          <w:rFonts w:ascii="Arial" w:cs="Arial" w:eastAsia="Arial" w:hAnsi="Arial"/>
          <w:sz w:val="17"/>
          <w:szCs w:val="17"/>
          <w:color w:val="auto"/>
        </w:rPr>
        <w:t>Hyperarousal is a primary symptom of post</w:t>
      </w:r>
      <w:r>
        <w:rPr>
          <w:rFonts w:ascii="MS PGothic" w:cs="MS PGothic" w:eastAsia="MS PGothic" w:hAnsi="MS PGothic"/>
          <w:sz w:val="17"/>
          <w:szCs w:val="17"/>
          <w:color w:val="auto"/>
        </w:rPr>
        <w:t>‑</w:t>
      </w:r>
      <w:r>
        <w:rPr>
          <w:rFonts w:ascii="Arial" w:cs="Arial" w:eastAsia="Arial" w:hAnsi="Arial"/>
          <w:sz w:val="17"/>
          <w:szCs w:val="17"/>
          <w:color w:val="auto"/>
        </w:rPr>
        <w:t>traumatic stress disorder, or PTSD. It</w:t>
      </w:r>
      <w:r>
        <w:rPr>
          <w:rFonts w:ascii="Arial" w:cs="Arial" w:eastAsia="Arial" w:hAnsi="Arial"/>
          <w:sz w:val="17"/>
          <w:szCs w:val="17"/>
          <w:b w:val="1"/>
          <w:bCs w:val="1"/>
          <w:color w:val="auto"/>
        </w:rPr>
        <w:t xml:space="preserve"> </w:t>
      </w:r>
      <w:r>
        <w:rPr>
          <w:rFonts w:ascii="Arial" w:cs="Arial" w:eastAsia="Arial" w:hAnsi="Arial"/>
          <w:sz w:val="17"/>
          <w:szCs w:val="17"/>
          <w:color w:val="auto"/>
        </w:rPr>
        <w:t>occurs when a patient becomes hyperaroused which could be as a result of a trigger or another event leading to recollection and re-experiencing or thinking about their trauma. Even though real danger may not be present, their body acts as if there is present danger, causing lasting stress after a traumatic event. The symptoms of hyperarousal include irritability, anger and angry outbursts, constant anxiety, restlessness and sleeping problems. We believe that BXCL501 has the potential to reduce symptoms which lead to agitation as well to produce a more natural sleep if taken before bedtime.</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BXCL701, DPP 8/9 and FAP Inhibitor for the Treatment of tNEPC and Pancreatic Cancer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BXCL701</w:t>
      </w:r>
    </w:p>
    <w:p>
      <w:pPr>
        <w:spacing w:after="0" w:line="229" w:lineRule="exact"/>
        <w:rPr>
          <w:sz w:val="20"/>
          <w:szCs w:val="20"/>
          <w:color w:val="auto"/>
        </w:rPr>
      </w:pPr>
    </w:p>
    <w:p>
      <w:pPr>
        <w:ind w:left="360"/>
        <w:spacing w:after="0" w:line="196" w:lineRule="exact"/>
        <w:rPr>
          <w:sz w:val="20"/>
          <w:szCs w:val="20"/>
          <w:color w:val="auto"/>
        </w:rPr>
      </w:pPr>
      <w:r>
        <w:rPr>
          <w:rFonts w:ascii="Arial" w:cs="Arial" w:eastAsia="Arial" w:hAnsi="Arial"/>
          <w:sz w:val="17"/>
          <w:szCs w:val="17"/>
          <w:color w:val="auto"/>
        </w:rPr>
        <w:t>BXCL701 is a highly potent, oral small molecule immuno</w:t>
      </w:r>
      <w:r>
        <w:rPr>
          <w:rFonts w:ascii="MS PGothic" w:cs="MS PGothic" w:eastAsia="MS PGothic" w:hAnsi="MS PGothic"/>
          <w:sz w:val="17"/>
          <w:szCs w:val="17"/>
          <w:color w:val="auto"/>
        </w:rPr>
        <w:t>‑</w:t>
      </w:r>
      <w:r>
        <w:rPr>
          <w:rFonts w:ascii="Arial" w:cs="Arial" w:eastAsia="Arial" w:hAnsi="Arial"/>
          <w:sz w:val="17"/>
          <w:szCs w:val="17"/>
          <w:color w:val="auto"/>
        </w:rPr>
        <w:t>modulator that is designed to both stimulate the innate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immune system and inhibit immune evasion by inhibiting dipeptidyl peptidase, or DPP, 8/9 and fibroblast activation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protein, or FAP. tNEPC and pancreatic cancer were selected as our lead indications after evaluating more than 100 different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cancer types. These two indications are in the top three cancers that overexpressed or amplified DPP 8/9 and FAP. Data 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literature points to a functional role for DPP 8/9 in the biology of tNEPC. Moreover, in a number of animal models,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notably pancreatic cancer, BXCL701 showed combinatorial activity with checkpoint inhibitors and other combination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partners. Administration of these triple combinations resulted in complete regression with the generation of functional 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cell memory in selected animal models. Specifically, DPP8 and DPP9 have been shown recently to behave as</w:t>
      </w:r>
    </w:p>
    <w:p>
      <w:pPr>
        <w:spacing w:after="0" w:line="9"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“immuno</w:t>
      </w:r>
      <w:r>
        <w:rPr>
          <w:rFonts w:ascii="MS PGothic" w:cs="MS PGothic" w:eastAsia="MS PGothic" w:hAnsi="MS PGothic"/>
          <w:sz w:val="16"/>
          <w:szCs w:val="16"/>
          <w:color w:val="auto"/>
        </w:rPr>
        <w:t>‑</w:t>
      </w:r>
      <w:r>
        <w:rPr>
          <w:rFonts w:ascii="Arial" w:cs="Arial" w:eastAsia="Arial" w:hAnsi="Arial"/>
          <w:sz w:val="16"/>
          <w:szCs w:val="16"/>
          <w:color w:val="auto"/>
        </w:rPr>
        <w:t>checkpoints,” as their inhibition results in a potent pro</w:t>
      </w:r>
      <w:r>
        <w:rPr>
          <w:rFonts w:ascii="MS PGothic" w:cs="MS PGothic" w:eastAsia="MS PGothic" w:hAnsi="MS PGothic"/>
          <w:sz w:val="16"/>
          <w:szCs w:val="16"/>
          <w:color w:val="auto"/>
        </w:rPr>
        <w:t>‑</w:t>
      </w:r>
      <w:r>
        <w:rPr>
          <w:rFonts w:ascii="Arial" w:cs="Arial" w:eastAsia="Arial" w:hAnsi="Arial"/>
          <w:sz w:val="16"/>
          <w:szCs w:val="16"/>
          <w:color w:val="auto"/>
        </w:rPr>
        <w:t>inflammatory, anti</w:t>
      </w:r>
      <w:r>
        <w:rPr>
          <w:rFonts w:ascii="MS PGothic" w:cs="MS PGothic" w:eastAsia="MS PGothic" w:hAnsi="MS PGothic"/>
          <w:sz w:val="16"/>
          <w:szCs w:val="16"/>
          <w:color w:val="auto"/>
        </w:rPr>
        <w:t>‑</w:t>
      </w:r>
      <w:r>
        <w:rPr>
          <w:rFonts w:ascii="Arial" w:cs="Arial" w:eastAsia="Arial" w:hAnsi="Arial"/>
          <w:sz w:val="16"/>
          <w:szCs w:val="16"/>
          <w:color w:val="auto"/>
        </w:rPr>
        <w:t>tumor activity by way of the induction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pyroptosis in macrophages. Pyroptosis results in induction of a number of cytokines, notably the pro-inflammatory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cytokines IL-1β and IL-18. This cytokine induction is believed to result in the downstream stimulation of multiple</w:t>
      </w:r>
    </w:p>
    <w:p>
      <w:pPr>
        <w:spacing w:after="0" w:line="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tumor</w:t>
      </w:r>
      <w:r>
        <w:rPr>
          <w:rFonts w:ascii="MS PGothic" w:cs="MS PGothic" w:eastAsia="MS PGothic" w:hAnsi="MS PGothic"/>
          <w:sz w:val="18"/>
          <w:szCs w:val="18"/>
          <w:color w:val="auto"/>
        </w:rPr>
        <w:t>‑</w:t>
      </w:r>
      <w:r>
        <w:rPr>
          <w:rFonts w:ascii="Arial" w:cs="Arial" w:eastAsia="Arial" w:hAnsi="Arial"/>
          <w:sz w:val="18"/>
          <w:szCs w:val="18"/>
          <w:color w:val="auto"/>
        </w:rPr>
        <w:t>killing immune cells. Our preclinical data supports this hypothesis, as cancer models with a high density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of macrophages have responded robustly to BXCL701 containing combination therapy, while models with lower density of macrophages did not respond robustly to BXCL701 containing combination therapy. Taken together we believe that BXCL701 may activate an important component of the innate immune system thereby functionally inflaming the tumor microenvironment. Induction of an innate immune response within the tumor provides a host of pro-immune signals which drive subsequent stimulation and recruitment of the adaptive immune system.</w:t>
      </w:r>
    </w:p>
    <w:p>
      <w:pPr>
        <w:spacing w:after="0" w:line="176"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Clinically, BXCL701 has been evaluated in more than 700 healthy subjects and cancer patients across multiple clinical trials, which provided evidence regarding tolerability, proof of mechanism, and single agent anti- tumor activity. In the latter case, single agent activity was seen in melanoma patients, an immuno sensitive tumor. While providing evidence regarding the safety profile of the drug, these clinical studies also identified a maximum tolerated and recommended Phase 2 dose to use in future clinical trials.</w:t>
      </w:r>
    </w:p>
    <w:p>
      <w:pPr>
        <w:spacing w:after="0" w:line="188"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BXCL701 is in development for the treatment of tNEPC, a segment of prostate cancer patients that have progressed on second generation androgen inhibitors (Zytiga and Xtandi). Approximately one in four patients treated with Zytiga and Xtandi are expected to develop tNEPC based on current clinical literature. The combined global sales of Zytiga and Xtandi, which are only approved for prostate cancer treatment, were over $7 billion in 2018 and we believe such sales number gives a perspective of the potential market for BXCL701 in this indication. Additionally, generic alternatives for Zytiga became available in the U.S. market in 2019 and we therefore expect the number of patients with access to androgen inhibitor therapy to increase.</w:t>
      </w:r>
    </w:p>
    <w:p>
      <w:pPr>
        <w:spacing w:after="0" w:line="195"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In pancreatic cancer, we estimate that approximately 20,000 patients annually would be eligible for treatment with BXCL701, if approved, as about 50% of pancreatic cancer patients can receive second-line therapy based on information in an article published in the Annals of Oncology in 2013 by Rahma et al.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Neuroendocrine-Prostrate Cancer Overview and Market Opportunity</w:t>
      </w:r>
    </w:p>
    <w:p>
      <w:pPr>
        <w:spacing w:after="0" w:line="229"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6"/>
          <w:szCs w:val="16"/>
          <w:color w:val="auto"/>
        </w:rPr>
        <w:t>Prostate cancer is the most common malignancy and is the second leading cause of cancer death in men in the United States. In 2016, there were an estimated 3 million men with prostate cancer in the United States. According to estimates from Surveillance, Epidemiology and End Results Program, SEER, more than 174,000 men are expected to be diagnosed and more than 31,000 men were expected to die from prostate cancer in 2019. While the five</w:t>
      </w:r>
      <w:r>
        <w:rPr>
          <w:rFonts w:ascii="MS PGothic" w:cs="MS PGothic" w:eastAsia="MS PGothic" w:hAnsi="MS PGothic"/>
          <w:sz w:val="16"/>
          <w:szCs w:val="16"/>
          <w:color w:val="auto"/>
        </w:rPr>
        <w:t>‑</w:t>
      </w:r>
      <w:r>
        <w:rPr>
          <w:rFonts w:ascii="Arial" w:cs="Arial" w:eastAsia="Arial" w:hAnsi="Arial"/>
          <w:sz w:val="16"/>
          <w:szCs w:val="16"/>
          <w:color w:val="auto"/>
        </w:rPr>
        <w:t>year survival rate of local and regional prostate cancer is almost 100%, more aggressive forms of the disease such as metastatic prostate cancer have a five</w:t>
      </w:r>
      <w:r>
        <w:rPr>
          <w:rFonts w:ascii="MS PGothic" w:cs="MS PGothic" w:eastAsia="MS PGothic" w:hAnsi="MS PGothic"/>
          <w:sz w:val="16"/>
          <w:szCs w:val="16"/>
          <w:color w:val="auto"/>
        </w:rPr>
        <w:t>‑</w:t>
      </w:r>
      <w:r>
        <w:rPr>
          <w:rFonts w:ascii="Arial" w:cs="Arial" w:eastAsia="Arial" w:hAnsi="Arial"/>
          <w:sz w:val="16"/>
          <w:szCs w:val="16"/>
          <w:color w:val="auto"/>
        </w:rPr>
        <w:t>year survival rate of approximately 30%. These aggressive forms of prostate cancer can initially be treated with androgen deprivation therapy, or ADT, however, almost all patients experience a recurrence in tumor growth which results in the patient having castrate resistant prostate cancer, or CRPC. An estimated 180,000 men in the United States are eligible for treatment with the second</w:t>
      </w:r>
      <w:r>
        <w:rPr>
          <w:rFonts w:ascii="MS PGothic" w:cs="MS PGothic" w:eastAsia="MS PGothic" w:hAnsi="MS PGothic"/>
          <w:sz w:val="16"/>
          <w:szCs w:val="16"/>
          <w:color w:val="auto"/>
        </w:rPr>
        <w:t>‑</w:t>
      </w:r>
      <w:r>
        <w:rPr>
          <w:rFonts w:ascii="Arial" w:cs="Arial" w:eastAsia="Arial" w:hAnsi="Arial"/>
          <w:sz w:val="16"/>
          <w:szCs w:val="16"/>
          <w:color w:val="auto"/>
        </w:rPr>
        <w:t>generation anti</w:t>
      </w:r>
      <w:r>
        <w:rPr>
          <w:rFonts w:ascii="MS PGothic" w:cs="MS PGothic" w:eastAsia="MS PGothic" w:hAnsi="MS PGothic"/>
          <w:sz w:val="16"/>
          <w:szCs w:val="16"/>
          <w:color w:val="auto"/>
        </w:rPr>
        <w:t>‑</w:t>
      </w:r>
      <w:r>
        <w:rPr>
          <w:rFonts w:ascii="Arial" w:cs="Arial" w:eastAsia="Arial" w:hAnsi="Arial"/>
          <w:sz w:val="16"/>
          <w:szCs w:val="16"/>
          <w:color w:val="auto"/>
        </w:rPr>
        <w:t>androgen drugs Zytiga and Xtandi. These drugs have widely become the standard of care and generated combined worldwide sales of over $7 billion in 2018.</w:t>
      </w:r>
    </w:p>
    <w:p>
      <w:pPr>
        <w:spacing w:after="0" w:line="207" w:lineRule="exact"/>
        <w:rPr>
          <w:sz w:val="20"/>
          <w:szCs w:val="20"/>
          <w:color w:val="auto"/>
        </w:rPr>
      </w:pPr>
    </w:p>
    <w:p>
      <w:pPr>
        <w:ind w:left="40" w:right="199" w:firstLine="324"/>
        <w:spacing w:after="0" w:line="218" w:lineRule="exact"/>
        <w:rPr>
          <w:sz w:val="20"/>
          <w:szCs w:val="20"/>
          <w:color w:val="auto"/>
        </w:rPr>
      </w:pPr>
      <w:r>
        <w:rPr>
          <w:rFonts w:ascii="Arial" w:cs="Arial" w:eastAsia="Arial" w:hAnsi="Arial"/>
          <w:sz w:val="16"/>
          <w:szCs w:val="16"/>
          <w:color w:val="auto"/>
        </w:rPr>
        <w:t>Unfortunately, virtually all the patients who respond to Zytiga and Xtandi are expected to progress to even more aggressive forms of prostate cancer requiring further treatment. About one in four of the progressing patients will develop very aggressive, androgen receptor, or AR</w:t>
      </w:r>
      <w:r>
        <w:rPr>
          <w:rFonts w:ascii="MS PGothic" w:cs="MS PGothic" w:eastAsia="MS PGothic" w:hAnsi="MS PGothic"/>
          <w:sz w:val="16"/>
          <w:szCs w:val="16"/>
          <w:color w:val="auto"/>
        </w:rPr>
        <w:t>‑</w:t>
      </w:r>
      <w:r>
        <w:rPr>
          <w:rFonts w:ascii="Arial" w:cs="Arial" w:eastAsia="Arial" w:hAnsi="Arial"/>
          <w:sz w:val="16"/>
          <w:szCs w:val="16"/>
          <w:color w:val="auto"/>
        </w:rPr>
        <w:t>independent tumors, or tNEPC, for which there is no effective treatment based on information in an article published in the Journal of the National Comprehensive Cancer Network in 2014 by Agarwal et. al. and an article published by Journal of Clinical Oncology in 2014 by Wang et. al. tNEPC specifically displays neuroendocrine differentiation, either pathologically with the presence of the typical neuroendocrine small cells, or molecularly by expressing neuroendocrine markers. BXCL701 is designed to target this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tumor segment because tNEPC has specific biology that we believe is addressable by the mechanism of action of BXCL701.</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365"/>
        </w:trPr>
        <w:tc>
          <w:tcPr>
            <w:tcW w:w="3180" w:type="dxa"/>
            <w:vAlign w:val="bottom"/>
            <w:tcBorders>
              <w:top w:val="single" w:sz="8" w:color="auto"/>
              <w:left w:val="single" w:sz="8" w:color="auto"/>
            </w:tcBorders>
          </w:tcPr>
          <w:p>
            <w:pPr>
              <w:spacing w:after="0"/>
              <w:rPr>
                <w:sz w:val="24"/>
                <w:szCs w:val="24"/>
                <w:color w:val="auto"/>
              </w:rPr>
            </w:pPr>
          </w:p>
        </w:tc>
        <w:tc>
          <w:tcPr>
            <w:tcW w:w="576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Large market Opportunity: tNEPC</w:t>
            </w:r>
          </w:p>
        </w:tc>
      </w:tr>
      <w:tr>
        <w:trPr>
          <w:trHeight w:val="135"/>
        </w:trPr>
        <w:tc>
          <w:tcPr>
            <w:tcW w:w="3180" w:type="dxa"/>
            <w:vAlign w:val="bottom"/>
            <w:tcBorders>
              <w:left w:val="single" w:sz="8" w:color="auto"/>
              <w:bottom w:val="single" w:sz="8" w:color="auto"/>
            </w:tcBorders>
          </w:tcPr>
          <w:p>
            <w:pPr>
              <w:spacing w:after="0"/>
              <w:rPr>
                <w:sz w:val="11"/>
                <w:szCs w:val="11"/>
                <w:color w:val="auto"/>
              </w:rPr>
            </w:pPr>
          </w:p>
        </w:tc>
        <w:tc>
          <w:tcPr>
            <w:tcW w:w="5760" w:type="dxa"/>
            <w:vAlign w:val="bottom"/>
            <w:tcBorders>
              <w:bottom w:val="single" w:sz="8" w:color="auto"/>
              <w:right w:val="single" w:sz="8" w:color="auto"/>
            </w:tcBorders>
            <w:gridSpan w:val="2"/>
          </w:tcPr>
          <w:p>
            <w:pPr>
              <w:spacing w:after="0"/>
              <w:rPr>
                <w:sz w:val="11"/>
                <w:szCs w:val="11"/>
                <w:color w:val="auto"/>
              </w:rPr>
            </w:pPr>
          </w:p>
        </w:tc>
      </w:tr>
      <w:tr>
        <w:trPr>
          <w:trHeight w:val="344"/>
        </w:trPr>
        <w:tc>
          <w:tcPr>
            <w:tcW w:w="318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4"/>
              </w:rPr>
              <w:t>U.S. Prostate Cancer Patient Population</w:t>
            </w:r>
          </w:p>
        </w:tc>
        <w:tc>
          <w:tcPr>
            <w:tcW w:w="130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~3,000,000</w:t>
            </w:r>
          </w:p>
        </w:tc>
      </w:tr>
      <w:tr>
        <w:trPr>
          <w:trHeight w:val="135"/>
        </w:trPr>
        <w:tc>
          <w:tcPr>
            <w:tcW w:w="318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4460" w:type="dxa"/>
            <w:vAlign w:val="bottom"/>
            <w:tcBorders>
              <w:bottom w:val="single" w:sz="8" w:color="auto"/>
              <w:right w:val="single" w:sz="8" w:color="auto"/>
            </w:tcBorders>
          </w:tcPr>
          <w:p>
            <w:pPr>
              <w:spacing w:after="0"/>
              <w:rPr>
                <w:sz w:val="11"/>
                <w:szCs w:val="11"/>
                <w:color w:val="auto"/>
              </w:rPr>
            </w:pPr>
          </w:p>
        </w:tc>
      </w:tr>
      <w:tr>
        <w:trPr>
          <w:trHeight w:val="345"/>
        </w:trPr>
        <w:tc>
          <w:tcPr>
            <w:tcW w:w="318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4"/>
              </w:rPr>
              <w:t>Patients Eligible for Treatment with ADT</w:t>
            </w:r>
          </w:p>
        </w:tc>
        <w:tc>
          <w:tcPr>
            <w:tcW w:w="130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~180,000 (6%)</w:t>
            </w:r>
          </w:p>
        </w:tc>
      </w:tr>
      <w:tr>
        <w:trPr>
          <w:trHeight w:val="135"/>
        </w:trPr>
        <w:tc>
          <w:tcPr>
            <w:tcW w:w="318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4460" w:type="dxa"/>
            <w:vAlign w:val="bottom"/>
            <w:tcBorders>
              <w:bottom w:val="single" w:sz="8" w:color="auto"/>
              <w:right w:val="single" w:sz="8" w:color="auto"/>
            </w:tcBorders>
          </w:tcPr>
          <w:p>
            <w:pPr>
              <w:spacing w:after="0"/>
              <w:rPr>
                <w:sz w:val="11"/>
                <w:szCs w:val="11"/>
                <w:color w:val="auto"/>
              </w:rPr>
            </w:pPr>
          </w:p>
        </w:tc>
      </w:tr>
      <w:tr>
        <w:trPr>
          <w:trHeight w:val="344"/>
        </w:trPr>
        <w:tc>
          <w:tcPr>
            <w:tcW w:w="318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Patients progressing to tNEPC</w:t>
            </w:r>
          </w:p>
        </w:tc>
        <w:tc>
          <w:tcPr>
            <w:tcW w:w="130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~20,000</w:t>
            </w:r>
          </w:p>
        </w:tc>
      </w:tr>
      <w:tr>
        <w:trPr>
          <w:trHeight w:val="135"/>
        </w:trPr>
        <w:tc>
          <w:tcPr>
            <w:tcW w:w="318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446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Limitations of Current Treatments for tNEPC</w:t>
      </w:r>
    </w:p>
    <w:p>
      <w:pPr>
        <w:spacing w:after="0" w:line="229" w:lineRule="exact"/>
        <w:rPr>
          <w:sz w:val="20"/>
          <w:szCs w:val="20"/>
          <w:color w:val="auto"/>
        </w:rPr>
      </w:pPr>
    </w:p>
    <w:p>
      <w:pPr>
        <w:ind w:left="40" w:right="199" w:firstLine="324"/>
        <w:spacing w:after="0" w:line="219" w:lineRule="exact"/>
        <w:rPr>
          <w:sz w:val="20"/>
          <w:szCs w:val="20"/>
          <w:color w:val="auto"/>
        </w:rPr>
      </w:pPr>
      <w:r>
        <w:rPr>
          <w:rFonts w:ascii="Arial" w:cs="Arial" w:eastAsia="Arial" w:hAnsi="Arial"/>
          <w:sz w:val="17"/>
          <w:szCs w:val="17"/>
          <w:color w:val="auto"/>
        </w:rPr>
        <w:t>There is no approved therapy for tNEPC. tNEPC patients are treated off</w:t>
      </w:r>
      <w:r>
        <w:rPr>
          <w:rFonts w:ascii="MS PGothic" w:cs="MS PGothic" w:eastAsia="MS PGothic" w:hAnsi="MS PGothic"/>
          <w:sz w:val="17"/>
          <w:szCs w:val="17"/>
          <w:color w:val="auto"/>
        </w:rPr>
        <w:t>‑</w:t>
      </w:r>
      <w:r>
        <w:rPr>
          <w:rFonts w:ascii="Arial" w:cs="Arial" w:eastAsia="Arial" w:hAnsi="Arial"/>
          <w:sz w:val="17"/>
          <w:szCs w:val="17"/>
          <w:color w:val="auto"/>
        </w:rPr>
        <w:t>label with cytotoxic chemotherapies, such as platinum</w:t>
      </w:r>
      <w:r>
        <w:rPr>
          <w:rFonts w:ascii="MS PGothic" w:cs="MS PGothic" w:eastAsia="MS PGothic" w:hAnsi="MS PGothic"/>
          <w:sz w:val="17"/>
          <w:szCs w:val="17"/>
          <w:color w:val="auto"/>
        </w:rPr>
        <w:t>‑</w:t>
      </w:r>
      <w:r>
        <w:rPr>
          <w:rFonts w:ascii="Arial" w:cs="Arial" w:eastAsia="Arial" w:hAnsi="Arial"/>
          <w:sz w:val="17"/>
          <w:szCs w:val="17"/>
          <w:color w:val="auto"/>
        </w:rPr>
        <w:t>based regimens. These treatments have poor efficacy due to their short duration of response and substantial toxicity. While the immuno</w:t>
      </w:r>
      <w:r>
        <w:rPr>
          <w:rFonts w:ascii="MS PGothic" w:cs="MS PGothic" w:eastAsia="MS PGothic" w:hAnsi="MS PGothic"/>
          <w:sz w:val="17"/>
          <w:szCs w:val="17"/>
          <w:color w:val="auto"/>
        </w:rPr>
        <w:t>‑</w:t>
      </w:r>
      <w:r>
        <w:rPr>
          <w:rFonts w:ascii="Arial" w:cs="Arial" w:eastAsia="Arial" w:hAnsi="Arial"/>
          <w:sz w:val="17"/>
          <w:szCs w:val="17"/>
          <w:color w:val="auto"/>
        </w:rPr>
        <w:t>oncology field has made several advances in the treatment of solid tumors several trials of immuno</w:t>
      </w:r>
      <w:r>
        <w:rPr>
          <w:rFonts w:ascii="MS PGothic" w:cs="MS PGothic" w:eastAsia="MS PGothic" w:hAnsi="MS PGothic"/>
          <w:sz w:val="17"/>
          <w:szCs w:val="17"/>
          <w:color w:val="auto"/>
        </w:rPr>
        <w:t>‑</w:t>
      </w:r>
      <w:r>
        <w:rPr>
          <w:rFonts w:ascii="Arial" w:cs="Arial" w:eastAsia="Arial" w:hAnsi="Arial"/>
          <w:sz w:val="17"/>
          <w:szCs w:val="17"/>
          <w:color w:val="auto"/>
        </w:rPr>
        <w:t>oncology agents in patients with prostate cancer, and specifically tNEPC, have shown limited or no anti</w:t>
      </w:r>
      <w:r>
        <w:rPr>
          <w:rFonts w:ascii="MS PGothic" w:cs="MS PGothic" w:eastAsia="MS PGothic" w:hAnsi="MS PGothic"/>
          <w:sz w:val="17"/>
          <w:szCs w:val="17"/>
          <w:color w:val="auto"/>
        </w:rPr>
        <w:t>‑</w:t>
      </w:r>
      <w:r>
        <w:rPr>
          <w:rFonts w:ascii="Arial" w:cs="Arial" w:eastAsia="Arial" w:hAnsi="Arial"/>
          <w:sz w:val="17"/>
          <w:szCs w:val="17"/>
          <w:color w:val="auto"/>
        </w:rPr>
        <w:t>tumor activity. We believe BXCL701, if approved, has the potential to be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therapy in tNEPC given its potential to convert immuno</w:t>
      </w:r>
      <w:r>
        <w:rPr>
          <w:rFonts w:ascii="MS PGothic" w:cs="MS PGothic" w:eastAsia="MS PGothic" w:hAnsi="MS PGothic"/>
          <w:sz w:val="17"/>
          <w:szCs w:val="17"/>
          <w:color w:val="auto"/>
        </w:rPr>
        <w:t>‑</w:t>
      </w:r>
      <w:r>
        <w:rPr>
          <w:rFonts w:ascii="Arial" w:cs="Arial" w:eastAsia="Arial" w:hAnsi="Arial"/>
          <w:sz w:val="17"/>
          <w:szCs w:val="17"/>
          <w:color w:val="auto"/>
        </w:rPr>
        <w:t>resistant tumors to immuno</w:t>
      </w:r>
      <w:r>
        <w:rPr>
          <w:rFonts w:ascii="MS PGothic" w:cs="MS PGothic" w:eastAsia="MS PGothic" w:hAnsi="MS PGothic"/>
          <w:sz w:val="17"/>
          <w:szCs w:val="17"/>
          <w:color w:val="auto"/>
        </w:rPr>
        <w:t>‑</w:t>
      </w:r>
      <w:r>
        <w:rPr>
          <w:rFonts w:ascii="Arial" w:cs="Arial" w:eastAsia="Arial" w:hAnsi="Arial"/>
          <w:sz w:val="17"/>
          <w:szCs w:val="17"/>
          <w:color w:val="auto"/>
        </w:rPr>
        <w:t>sensitive tumors (“cold” to “hot” tumors).</w:t>
      </w:r>
    </w:p>
    <w:p>
      <w:pPr>
        <w:spacing w:after="0" w:line="198"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Our Solution: BXCL701, A Potential First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in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Class, Oral, Small Molecule Inhibitor of DPP 8/9 and FAP</w:t>
      </w:r>
    </w:p>
    <w:p>
      <w:pPr>
        <w:spacing w:after="0" w:line="229" w:lineRule="exact"/>
        <w:rPr>
          <w:sz w:val="20"/>
          <w:szCs w:val="20"/>
          <w:color w:val="auto"/>
        </w:rPr>
      </w:pPr>
    </w:p>
    <w:p>
      <w:pPr>
        <w:ind w:left="40" w:right="259" w:firstLine="324"/>
        <w:spacing w:after="0" w:line="279" w:lineRule="auto"/>
        <w:rPr>
          <w:sz w:val="20"/>
          <w:szCs w:val="20"/>
          <w:color w:val="auto"/>
        </w:rPr>
      </w:pPr>
      <w:r>
        <w:rPr>
          <w:rFonts w:ascii="Arial" w:cs="Arial" w:eastAsia="Arial" w:hAnsi="Arial"/>
          <w:sz w:val="17"/>
          <w:szCs w:val="17"/>
          <w:color w:val="auto"/>
        </w:rPr>
        <w:t>We are not aware of any clinical stage competitors of BXCL701 in the DPP inhibitor class. The product candidate is designed to address the various ways by which DPP 8/9 and FAP play a role in the biology of tNEPC and pancreatic cancer. Specifically, BXCL701 is designed to directly affect tNEPC tumor cell survival and metastases but also modulate anti-cancer immunity against tNEPC and pancreatic cancer as described below.</w:t>
      </w:r>
    </w:p>
    <w:p>
      <w:pPr>
        <w:spacing w:after="0" w:line="167" w:lineRule="exact"/>
        <w:rPr>
          <w:sz w:val="20"/>
          <w:szCs w:val="20"/>
          <w:color w:val="auto"/>
        </w:rPr>
      </w:pPr>
    </w:p>
    <w:p>
      <w:pPr>
        <w:ind w:left="40" w:right="199" w:firstLine="328"/>
        <w:spacing w:after="0" w:line="220" w:lineRule="exact"/>
        <w:tabs>
          <w:tab w:leader="none" w:pos="107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Immuno</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mediated Activity Against tNEPC. </w:t>
      </w:r>
      <w:r>
        <w:rPr>
          <w:rFonts w:ascii="Arial" w:cs="Arial" w:eastAsia="Arial" w:hAnsi="Arial"/>
          <w:sz w:val="18"/>
          <w:szCs w:val="18"/>
          <w:color w:val="auto"/>
        </w:rPr>
        <w:t>We believe BXCL701 may modulate the immune system in</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ways based on information in an article published by Nature Chemical Biology in 2017 by Okondo et al. and an article published in PLOS One in 2013 by Walsh et al., several of which are relevant to its potential to treat tNEPC, including:</w:t>
      </w:r>
    </w:p>
    <w:p>
      <w:pPr>
        <w:spacing w:after="0" w:line="204" w:lineRule="exact"/>
        <w:rPr>
          <w:rFonts w:ascii="Arial" w:cs="Arial" w:eastAsia="Arial" w:hAnsi="Arial"/>
          <w:sz w:val="18"/>
          <w:szCs w:val="18"/>
          <w:color w:val="auto"/>
        </w:rPr>
      </w:pPr>
    </w:p>
    <w:p>
      <w:pPr>
        <w:ind w:left="1660" w:hanging="333"/>
        <w:spacing w:after="0"/>
        <w:tabs>
          <w:tab w:leader="none" w:pos="1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stimulating the activation of multiple immune cell types</w:t>
      </w:r>
    </w:p>
    <w:p>
      <w:pPr>
        <w:spacing w:after="0" w:line="23" w:lineRule="exact"/>
        <w:rPr>
          <w:rFonts w:ascii="Arial" w:cs="Arial" w:eastAsia="Arial" w:hAnsi="Arial"/>
          <w:sz w:val="18"/>
          <w:szCs w:val="18"/>
          <w:color w:val="auto"/>
        </w:rPr>
      </w:pPr>
    </w:p>
    <w:p>
      <w:pPr>
        <w:ind w:left="1660" w:right="159" w:hanging="320"/>
        <w:spacing w:after="0" w:line="216" w:lineRule="exact"/>
        <w:tabs>
          <w:tab w:leader="none" w:pos="16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stimulating tumor cell killing by inducing the priming, migration and cytotoxicity of T</w:t>
      </w:r>
      <w:r>
        <w:rPr>
          <w:rFonts w:ascii="MS PGothic" w:cs="MS PGothic" w:eastAsia="MS PGothic" w:hAnsi="MS PGothic"/>
          <w:sz w:val="18"/>
          <w:szCs w:val="18"/>
          <w:color w:val="auto"/>
        </w:rPr>
        <w:t>‑</w:t>
      </w:r>
      <w:r>
        <w:rPr>
          <w:rFonts w:ascii="Arial" w:cs="Arial" w:eastAsia="Arial" w:hAnsi="Arial"/>
          <w:sz w:val="18"/>
          <w:szCs w:val="18"/>
          <w:color w:val="auto"/>
        </w:rPr>
        <w:t>cells and the formation of memory T</w:t>
      </w:r>
      <w:r>
        <w:rPr>
          <w:rFonts w:ascii="MS PGothic" w:cs="MS PGothic" w:eastAsia="MS PGothic" w:hAnsi="MS PGothic"/>
          <w:sz w:val="18"/>
          <w:szCs w:val="18"/>
          <w:color w:val="auto"/>
        </w:rPr>
        <w:t>‑</w:t>
      </w:r>
      <w:r>
        <w:rPr>
          <w:rFonts w:ascii="Arial" w:cs="Arial" w:eastAsia="Arial" w:hAnsi="Arial"/>
          <w:sz w:val="18"/>
          <w:szCs w:val="18"/>
          <w:color w:val="auto"/>
        </w:rPr>
        <w:t>cells</w:t>
      </w:r>
    </w:p>
    <w:p>
      <w:pPr>
        <w:spacing w:after="0" w:line="202" w:lineRule="exact"/>
        <w:rPr>
          <w:rFonts w:ascii="Arial" w:cs="Arial" w:eastAsia="Arial" w:hAnsi="Arial"/>
          <w:sz w:val="18"/>
          <w:szCs w:val="18"/>
          <w:color w:val="auto"/>
        </w:rPr>
      </w:pPr>
    </w:p>
    <w:p>
      <w:pPr>
        <w:ind w:left="1660" w:hanging="320"/>
        <w:spacing w:after="0"/>
        <w:tabs>
          <w:tab w:leader="none" w:pos="16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stimulating tumor cell killing by inducing the proliferation and activation of neutrophils</w:t>
      </w:r>
    </w:p>
    <w:p>
      <w:pPr>
        <w:spacing w:after="0" w:line="225" w:lineRule="exact"/>
        <w:rPr>
          <w:rFonts w:ascii="Arial" w:cs="Arial" w:eastAsia="Arial" w:hAnsi="Arial"/>
          <w:sz w:val="18"/>
          <w:szCs w:val="18"/>
          <w:color w:val="auto"/>
        </w:rPr>
      </w:pPr>
    </w:p>
    <w:p>
      <w:pPr>
        <w:ind w:left="1660" w:right="259" w:hanging="320"/>
        <w:spacing w:after="0" w:line="277" w:lineRule="auto"/>
        <w:tabs>
          <w:tab w:leader="none" w:pos="16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inhibiting the immune suppressive FAP+ CAF and Myeloid derived suppressor cell, or MDSC and delaying or preventing tNEPC development</w:t>
      </w:r>
    </w:p>
    <w:p>
      <w:pPr>
        <w:spacing w:after="0" w:line="170" w:lineRule="exact"/>
        <w:rPr>
          <w:rFonts w:ascii="Arial" w:cs="Arial" w:eastAsia="Arial" w:hAnsi="Arial"/>
          <w:sz w:val="18"/>
          <w:szCs w:val="18"/>
          <w:color w:val="auto"/>
        </w:rPr>
      </w:pPr>
    </w:p>
    <w:p>
      <w:pPr>
        <w:ind w:left="1660" w:hanging="320"/>
        <w:spacing w:after="0" w:line="207" w:lineRule="exact"/>
        <w:tabs>
          <w:tab w:leader="none" w:pos="16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synergistically increasing checkpoint inhibitor anti</w:t>
      </w:r>
      <w:r>
        <w:rPr>
          <w:rFonts w:ascii="MS PGothic" w:cs="MS PGothic" w:eastAsia="MS PGothic" w:hAnsi="MS PGothic"/>
          <w:sz w:val="18"/>
          <w:szCs w:val="18"/>
          <w:color w:val="auto"/>
        </w:rPr>
        <w:t>‑</w:t>
      </w:r>
      <w:r>
        <w:rPr>
          <w:rFonts w:ascii="Arial" w:cs="Arial" w:eastAsia="Arial" w:hAnsi="Arial"/>
          <w:sz w:val="18"/>
          <w:szCs w:val="18"/>
          <w:color w:val="auto"/>
        </w:rPr>
        <w:t>tumor activity.</w:t>
      </w:r>
    </w:p>
    <w:p>
      <w:pPr>
        <w:spacing w:after="0" w:line="221" w:lineRule="exact"/>
        <w:rPr>
          <w:rFonts w:ascii="Arial" w:cs="Arial" w:eastAsia="Arial" w:hAnsi="Arial"/>
          <w:sz w:val="18"/>
          <w:szCs w:val="18"/>
          <w:color w:val="auto"/>
        </w:rPr>
      </w:pPr>
    </w:p>
    <w:p>
      <w:pPr>
        <w:ind w:left="1340" w:right="99" w:hanging="324"/>
        <w:spacing w:after="0" w:line="220" w:lineRule="exact"/>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Inhibiting tNEPC Growth Factor NPY. </w:t>
      </w:r>
      <w:r>
        <w:rPr>
          <w:rFonts w:ascii="Arial" w:cs="Arial" w:eastAsia="Arial" w:hAnsi="Arial"/>
          <w:sz w:val="16"/>
          <w:szCs w:val="16"/>
          <w:color w:val="auto"/>
        </w:rPr>
        <w:t>tNEPC is believed to be caused by neuroendocrine cells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prostate that overexpress NPY. NPY activates the specific G protein</w:t>
      </w:r>
      <w:r>
        <w:rPr>
          <w:rFonts w:ascii="MS PGothic" w:cs="MS PGothic" w:eastAsia="MS PGothic" w:hAnsi="MS PGothic"/>
          <w:sz w:val="16"/>
          <w:szCs w:val="16"/>
          <w:color w:val="auto"/>
        </w:rPr>
        <w:t>‑</w:t>
      </w:r>
      <w:r>
        <w:rPr>
          <w:rFonts w:ascii="Arial" w:cs="Arial" w:eastAsia="Arial" w:hAnsi="Arial"/>
          <w:sz w:val="16"/>
          <w:szCs w:val="16"/>
          <w:color w:val="auto"/>
        </w:rPr>
        <w:t>coupled receptor Y1</w:t>
      </w:r>
      <w:r>
        <w:rPr>
          <w:rFonts w:ascii="MS PGothic" w:cs="MS PGothic" w:eastAsia="MS PGothic" w:hAnsi="MS PGothic"/>
          <w:sz w:val="16"/>
          <w:szCs w:val="16"/>
          <w:color w:val="auto"/>
        </w:rPr>
        <w:t>‑</w:t>
      </w:r>
      <w:r>
        <w:rPr>
          <w:rFonts w:ascii="Arial" w:cs="Arial" w:eastAsia="Arial" w:hAnsi="Arial"/>
          <w:sz w:val="16"/>
          <w:szCs w:val="16"/>
          <w:color w:val="auto"/>
        </w:rPr>
        <w:t>R, which then selectively stimulates growth of AR</w:t>
      </w:r>
      <w:r>
        <w:rPr>
          <w:rFonts w:ascii="MS PGothic" w:cs="MS PGothic" w:eastAsia="MS PGothic" w:hAnsi="MS PGothic"/>
          <w:sz w:val="16"/>
          <w:szCs w:val="16"/>
          <w:color w:val="auto"/>
        </w:rPr>
        <w:t>‑</w:t>
      </w:r>
      <w:r>
        <w:rPr>
          <w:rFonts w:ascii="Arial" w:cs="Arial" w:eastAsia="Arial" w:hAnsi="Arial"/>
          <w:sz w:val="16"/>
          <w:szCs w:val="16"/>
          <w:color w:val="auto"/>
        </w:rPr>
        <w:t>independent, tNEPC</w:t>
      </w:r>
      <w:r>
        <w:rPr>
          <w:rFonts w:ascii="MS PGothic" w:cs="MS PGothic" w:eastAsia="MS PGothic" w:hAnsi="MS PGothic"/>
          <w:sz w:val="16"/>
          <w:szCs w:val="16"/>
          <w:color w:val="auto"/>
        </w:rPr>
        <w:t>‑</w:t>
      </w:r>
      <w:r>
        <w:rPr>
          <w:rFonts w:ascii="Arial" w:cs="Arial" w:eastAsia="Arial" w:hAnsi="Arial"/>
          <w:sz w:val="16"/>
          <w:szCs w:val="16"/>
          <w:color w:val="auto"/>
        </w:rPr>
        <w:t>like cancer cells, while reducing growth in AR</w:t>
      </w:r>
      <w:r>
        <w:rPr>
          <w:rFonts w:ascii="MS PGothic" w:cs="MS PGothic" w:eastAsia="MS PGothic" w:hAnsi="MS PGothic"/>
          <w:sz w:val="16"/>
          <w:szCs w:val="16"/>
          <w:color w:val="auto"/>
        </w:rPr>
        <w:t>‑</w:t>
      </w:r>
      <w:r>
        <w:rPr>
          <w:rFonts w:ascii="Arial" w:cs="Arial" w:eastAsia="Arial" w:hAnsi="Arial"/>
          <w:sz w:val="16"/>
          <w:szCs w:val="16"/>
          <w:color w:val="auto"/>
        </w:rPr>
        <w:t>dependent cells. NPY is a substrate of DPP 8/9, which cleaves it into biologically active forms. DPP 8/9 inhibition in tumor cells decreases the number of viable tumor cells by reducing NPY cleavage.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340" w:hanging="324"/>
        <w:spacing w:after="0" w:line="207" w:lineRule="exact"/>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Inhibiting the Formation of tNEPC</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type (Osteoclastic) Bone Metastasis. </w:t>
      </w:r>
      <w:r>
        <w:rPr>
          <w:rFonts w:ascii="Arial" w:cs="Arial" w:eastAsia="Arial" w:hAnsi="Arial"/>
          <w:sz w:val="18"/>
          <w:szCs w:val="18"/>
          <w:color w:val="auto"/>
        </w:rPr>
        <w:t>Prostate cancer is</w:t>
      </w:r>
    </w:p>
    <w:p>
      <w:pPr>
        <w:spacing w:after="0" w:line="27" w:lineRule="exact"/>
        <w:rPr>
          <w:sz w:val="20"/>
          <w:szCs w:val="20"/>
          <w:color w:val="auto"/>
        </w:rPr>
      </w:pPr>
    </w:p>
    <w:p>
      <w:pPr>
        <w:ind w:left="1340" w:right="119"/>
        <w:spacing w:after="0" w:line="216" w:lineRule="exact"/>
        <w:rPr>
          <w:sz w:val="20"/>
          <w:szCs w:val="20"/>
          <w:color w:val="auto"/>
        </w:rPr>
      </w:pPr>
      <w:r>
        <w:rPr>
          <w:rFonts w:ascii="Arial" w:cs="Arial" w:eastAsia="Arial" w:hAnsi="Arial"/>
          <w:sz w:val="18"/>
          <w:szCs w:val="18"/>
          <w:color w:val="auto"/>
        </w:rPr>
        <w:t>characterized by the presence of bone</w:t>
      </w:r>
      <w:r>
        <w:rPr>
          <w:rFonts w:ascii="MS PGothic" w:cs="MS PGothic" w:eastAsia="MS PGothic" w:hAnsi="MS PGothic"/>
          <w:sz w:val="18"/>
          <w:szCs w:val="18"/>
          <w:color w:val="auto"/>
        </w:rPr>
        <w:t>‑</w:t>
      </w:r>
      <w:r>
        <w:rPr>
          <w:rFonts w:ascii="Arial" w:cs="Arial" w:eastAsia="Arial" w:hAnsi="Arial"/>
          <w:sz w:val="18"/>
          <w:szCs w:val="18"/>
          <w:color w:val="auto"/>
        </w:rPr>
        <w:t>forming (osteoblastic) metastasis. In contrast, tNEPC is associated with bone</w:t>
      </w:r>
      <w:r>
        <w:rPr>
          <w:rFonts w:ascii="MS PGothic" w:cs="MS PGothic" w:eastAsia="MS PGothic" w:hAnsi="MS PGothic"/>
          <w:sz w:val="18"/>
          <w:szCs w:val="18"/>
          <w:color w:val="auto"/>
        </w:rPr>
        <w:t>‑</w:t>
      </w:r>
      <w:r>
        <w:rPr>
          <w:rFonts w:ascii="Arial" w:cs="Arial" w:eastAsia="Arial" w:hAnsi="Arial"/>
          <w:sz w:val="18"/>
          <w:szCs w:val="18"/>
          <w:color w:val="auto"/>
        </w:rPr>
        <w:t>lysing (osteoclastic) metastasis. BXCL701 is designed to block the bone destruction by osteoclasts through the inhibition of osteoclast differentiation. In an animal model that recapitulated the formation of osteolytic metastasis of tNEPC, BXCL701 was observed to reduce osteoclast activity, bone resorption and tumor burden based on information in an article published in the British Journal of Haematology in 2009 by Pennisi et al.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BXCL 701 for the Treatment of Pancreatic Cancer</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Pancreatic Cancer Overview and Market Opportunity</w:t>
      </w:r>
    </w:p>
    <w:p>
      <w:pPr>
        <w:spacing w:after="0" w:line="229"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6"/>
          <w:szCs w:val="16"/>
          <w:color w:val="auto"/>
        </w:rPr>
        <w:t>Pancreatic adenocarcinoma, more commonly referred as pancreatic cancer, represents one of the highest unmet needs in oncology. The American Cancer Society estimates that in 2020 there will be approximately 57,600 new diagnoses and 47,000 deaths. Pancreatic cancer has a median five</w:t>
      </w:r>
      <w:r>
        <w:rPr>
          <w:rFonts w:ascii="MS PGothic" w:cs="MS PGothic" w:eastAsia="MS PGothic" w:hAnsi="MS PGothic"/>
          <w:sz w:val="16"/>
          <w:szCs w:val="16"/>
          <w:color w:val="auto"/>
        </w:rPr>
        <w:t>‑</w:t>
      </w:r>
      <w:r>
        <w:rPr>
          <w:rFonts w:ascii="Arial" w:cs="Arial" w:eastAsia="Arial" w:hAnsi="Arial"/>
          <w:sz w:val="16"/>
          <w:szCs w:val="16"/>
          <w:color w:val="auto"/>
        </w:rPr>
        <w:t>year survival rate of only about 9% for all stages combined. Recently, several new therapies have been developed consisting of new formulations of approved chemotherapies. However, these new therapies have limited efficacy with relatively short survival advantages, and well</w:t>
      </w:r>
      <w:r>
        <w:rPr>
          <w:rFonts w:ascii="MS PGothic" w:cs="MS PGothic" w:eastAsia="MS PGothic" w:hAnsi="MS PGothic"/>
          <w:sz w:val="16"/>
          <w:szCs w:val="16"/>
          <w:color w:val="auto"/>
        </w:rPr>
        <w:t>‑</w:t>
      </w:r>
      <w:r>
        <w:rPr>
          <w:rFonts w:ascii="Arial" w:cs="Arial" w:eastAsia="Arial" w:hAnsi="Arial"/>
          <w:sz w:val="16"/>
          <w:szCs w:val="16"/>
          <w:color w:val="auto"/>
        </w:rPr>
        <w:t>known toxicities. It is well understood that the development of new efficacious drugs with manageable toxicity is required to achieve durable responses and increase survival in pancreatic cancer. Pancreatic cancer is known to be a highly immuno</w:t>
      </w:r>
      <w:r>
        <w:rPr>
          <w:rFonts w:ascii="MS PGothic" w:cs="MS PGothic" w:eastAsia="MS PGothic" w:hAnsi="MS PGothic"/>
          <w:sz w:val="16"/>
          <w:szCs w:val="16"/>
          <w:color w:val="auto"/>
        </w:rPr>
        <w:t>‑</w:t>
      </w:r>
      <w:r>
        <w:rPr>
          <w:rFonts w:ascii="Arial" w:cs="Arial" w:eastAsia="Arial" w:hAnsi="Arial"/>
          <w:sz w:val="16"/>
          <w:szCs w:val="16"/>
          <w:color w:val="auto"/>
        </w:rPr>
        <w:t>resistant tumor. Multiple attempts to show anti</w:t>
      </w:r>
      <w:r>
        <w:rPr>
          <w:rFonts w:ascii="MS PGothic" w:cs="MS PGothic" w:eastAsia="MS PGothic" w:hAnsi="MS PGothic"/>
          <w:sz w:val="16"/>
          <w:szCs w:val="16"/>
          <w:color w:val="auto"/>
        </w:rPr>
        <w:t>‑</w:t>
      </w:r>
      <w:r>
        <w:rPr>
          <w:rFonts w:ascii="Arial" w:cs="Arial" w:eastAsia="Arial" w:hAnsi="Arial"/>
          <w:sz w:val="16"/>
          <w:szCs w:val="16"/>
          <w:color w:val="auto"/>
        </w:rPr>
        <w:t>tumor activity of immunotherapies including immune checkpoints have failed due to primary resistance mechanisms. We believe BXCL701 has the potential to address the resistance to immune checkpoint inhibitors (to make “cold” tumors “hot”) and the combination with Anti-PD-1 inhibitors and other agents, particularly those such as Nektar Therapeutics’ Bempegaldesleukin activate the adaptive immune response, could generate long and profound responses and the survival increase needed to make a true breakthrough in the treatment of pancreatic cancer.</w:t>
      </w:r>
    </w:p>
    <w:p>
      <w:pPr>
        <w:spacing w:after="0" w:line="205"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7"/>
          <w:szCs w:val="17"/>
          <w:color w:val="auto"/>
        </w:rPr>
        <w:t>Abraxane, a new formulation of the chemotherapy agent paclitaxel in combination with gemcitabine, is considered to be the standard of care for newly diagnosed pancreatic cancer in U.S. markets, with annual sales of over $1 billion in 2018. Onivyde, a liposomal formulation of the chemotherapy agent irinotecan, was recently approved for use in second</w:t>
      </w:r>
      <w:r>
        <w:rPr>
          <w:rFonts w:ascii="MS PGothic" w:cs="MS PGothic" w:eastAsia="MS PGothic" w:hAnsi="MS PGothic"/>
          <w:sz w:val="17"/>
          <w:szCs w:val="17"/>
          <w:color w:val="auto"/>
        </w:rPr>
        <w:t>‑</w:t>
      </w:r>
      <w:r>
        <w:rPr>
          <w:rFonts w:ascii="Arial" w:cs="Arial" w:eastAsia="Arial" w:hAnsi="Arial"/>
          <w:sz w:val="17"/>
          <w:szCs w:val="17"/>
          <w:color w:val="auto"/>
        </w:rPr>
        <w:t>line pancreatic cancer based on a two</w:t>
      </w:r>
      <w:r>
        <w:rPr>
          <w:rFonts w:ascii="MS PGothic" w:cs="MS PGothic" w:eastAsia="MS PGothic" w:hAnsi="MS PGothic"/>
          <w:sz w:val="17"/>
          <w:szCs w:val="17"/>
          <w:color w:val="auto"/>
        </w:rPr>
        <w:t>‑</w:t>
      </w:r>
      <w:r>
        <w:rPr>
          <w:rFonts w:ascii="Arial" w:cs="Arial" w:eastAsia="Arial" w:hAnsi="Arial"/>
          <w:sz w:val="17"/>
          <w:szCs w:val="17"/>
          <w:color w:val="auto"/>
        </w:rPr>
        <w:t>month survival increase (six months vs. four months) and only 7.7% ORR, with annual sales of approximately $109 million in 2018. Our initial clinical development plan will target second</w:t>
      </w:r>
      <w:r>
        <w:rPr>
          <w:rFonts w:ascii="MS PGothic" w:cs="MS PGothic" w:eastAsia="MS PGothic" w:hAnsi="MS PGothic"/>
          <w:sz w:val="17"/>
          <w:szCs w:val="17"/>
          <w:color w:val="auto"/>
        </w:rPr>
        <w:t>‑</w:t>
      </w:r>
      <w:r>
        <w:rPr>
          <w:rFonts w:ascii="Arial" w:cs="Arial" w:eastAsia="Arial" w:hAnsi="Arial"/>
          <w:sz w:val="17"/>
          <w:szCs w:val="17"/>
          <w:color w:val="auto"/>
        </w:rPr>
        <w:t>line or later pretreated patients, specifically the 50% or more that remain in good clinical condition after first</w:t>
      </w:r>
      <w:r>
        <w:rPr>
          <w:rFonts w:ascii="MS PGothic" w:cs="MS PGothic" w:eastAsia="MS PGothic" w:hAnsi="MS PGothic"/>
          <w:sz w:val="17"/>
          <w:szCs w:val="17"/>
          <w:color w:val="auto"/>
        </w:rPr>
        <w:t>‑</w:t>
      </w:r>
      <w:r>
        <w:rPr>
          <w:rFonts w:ascii="Arial" w:cs="Arial" w:eastAsia="Arial" w:hAnsi="Arial"/>
          <w:sz w:val="17"/>
          <w:szCs w:val="17"/>
          <w:color w:val="auto"/>
        </w:rPr>
        <w:t>line treatment and thus may receive one or more subsequent lines of chemotherapy. Therefore, we believe that the potential number of patients treatable with the combination of BXCL701, a check point inhibitor and Nektar 214, if successfully developed and approved, would be approximately 20,000.</w:t>
      </w:r>
    </w:p>
    <w:p>
      <w:pPr>
        <w:spacing w:after="0" w:line="203"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8"/>
          <w:szCs w:val="18"/>
          <w:color w:val="auto"/>
        </w:rPr>
        <w:t>Pancreatic cancer is a high unmet medical need, where approved therapies have limited activity and patients have short survival. As in tNEPC, single agent immune checkpoint inhibition has not shown single agent anti</w:t>
      </w:r>
      <w:r>
        <w:rPr>
          <w:rFonts w:ascii="MS PGothic" w:cs="MS PGothic" w:eastAsia="MS PGothic" w:hAnsi="MS PGothic"/>
          <w:sz w:val="18"/>
          <w:szCs w:val="18"/>
          <w:color w:val="auto"/>
        </w:rPr>
        <w:t>‑</w:t>
      </w:r>
      <w:r>
        <w:rPr>
          <w:rFonts w:ascii="Arial" w:cs="Arial" w:eastAsia="Arial" w:hAnsi="Arial"/>
          <w:sz w:val="18"/>
          <w:szCs w:val="18"/>
          <w:color w:val="auto"/>
        </w:rPr>
        <w:t>tumor activity in pancreatic cancer patients, except in the very small (1-2%) fraction that exhibit MSI-H phenotype, indicating the need to optimize their activity. Preclinical studies suggest that the combination of DPP8/9 and FAP and immune checkpoint inhibition was active. BXCL701 has been granted orphan drug designation from the FDA for the treatment of pancreatic cancer.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27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Large market Opportunity: Pancreatic Cancer</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365"/>
        </w:trPr>
        <w:tc>
          <w:tcPr>
            <w:tcW w:w="44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U.S. Pancreatic Cancer Patient Population</w:t>
            </w: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~74,000</w:t>
            </w:r>
          </w:p>
        </w:tc>
      </w:tr>
      <w:tr>
        <w:trPr>
          <w:trHeight w:val="135"/>
        </w:trPr>
        <w:tc>
          <w:tcPr>
            <w:tcW w:w="4480" w:type="dxa"/>
            <w:vAlign w:val="bottom"/>
            <w:tcBorders>
              <w:bottom w:val="single" w:sz="8" w:color="auto"/>
              <w:right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r>
      <w:tr>
        <w:trPr>
          <w:trHeight w:val="344"/>
        </w:trPr>
        <w:tc>
          <w:tcPr>
            <w:tcW w:w="44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Patients Eligible for Second Line Therapy</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~37,000 (50%)</w:t>
            </w:r>
          </w:p>
        </w:tc>
      </w:tr>
      <w:tr>
        <w:trPr>
          <w:trHeight w:val="135"/>
        </w:trPr>
        <w:tc>
          <w:tcPr>
            <w:tcW w:w="4480" w:type="dxa"/>
            <w:vAlign w:val="bottom"/>
            <w:tcBorders>
              <w:bottom w:val="single" w:sz="8" w:color="auto"/>
              <w:right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r>
      <w:tr>
        <w:trPr>
          <w:trHeight w:val="344"/>
        </w:trPr>
        <w:tc>
          <w:tcPr>
            <w:tcW w:w="44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Patients progressing to tNEPC</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~20,000</w:t>
            </w:r>
          </w:p>
        </w:tc>
      </w:tr>
      <w:tr>
        <w:trPr>
          <w:trHeight w:val="135"/>
        </w:trPr>
        <w:tc>
          <w:tcPr>
            <w:tcW w:w="4480" w:type="dxa"/>
            <w:vAlign w:val="bottom"/>
            <w:tcBorders>
              <w:bottom w:val="single" w:sz="8" w:color="auto"/>
              <w:right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r>
    </w:tbl>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BXCL 701 Clinical Trials</w:t>
      </w:r>
    </w:p>
    <w:p>
      <w:pPr>
        <w:spacing w:after="0" w:line="229"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In November 2018 we announced that the FDA accepted our IND for BXCL701. We subsequently initiated a Phase 1b /2 trial evaluating the combination of BXCL701 and pembrolizumab (Keytruda®) in tNEPC patients during the fourth quarter of 2018.</w:t>
      </w:r>
    </w:p>
    <w:p>
      <w:pPr>
        <w:spacing w:after="0" w:line="184" w:lineRule="exact"/>
        <w:rPr>
          <w:sz w:val="20"/>
          <w:szCs w:val="20"/>
          <w:color w:val="auto"/>
        </w:rPr>
      </w:pPr>
    </w:p>
    <w:p>
      <w:pPr>
        <w:ind w:left="40" w:right="99" w:firstLine="324"/>
        <w:spacing w:after="0" w:line="267" w:lineRule="auto"/>
        <w:rPr>
          <w:sz w:val="20"/>
          <w:szCs w:val="20"/>
          <w:color w:val="auto"/>
        </w:rPr>
      </w:pPr>
      <w:r>
        <w:rPr>
          <w:rFonts w:ascii="Arial" w:cs="Arial" w:eastAsia="Arial" w:hAnsi="Arial"/>
          <w:sz w:val="17"/>
          <w:szCs w:val="17"/>
          <w:color w:val="auto"/>
        </w:rPr>
        <w:t>The goal of this single arm, Simon 2-stage open label study is to examine the safety, pharmacokinetics and anti-tumor activity combining of BXCL701 and pembrolizumab in tNEPC patients with the primary efficacy endpoint of objective response rate. In October 2019 we presented top-line data from the first safety cohort at the 2019 Annual Prostate Cancer Foundation Scientific Retreat. In this initial cohort (n = 3 patients), the combination of BXCL701 (0.4mg/day) and Keytruda® showed no serious adverse events or dose limiting toxicities. Preliminary data from the patient cohorts consisting of 400 mcg of BXCL701 plus Keytruda® and 600 mcg of BXCL701 along with Keytruda® has demonstrated on-target side effects consistent with cytokine activation at the highest once-daily dose tested and preliminary PK of BXCL701 are also within expectations. Of the 6 patients dosed in connection with this trial, the majority of patients remain on treatment, with one patient experiencing acidosis with a fatal outcome. We are currently enrolling patients in the 600 mcg cohort with a split dose and expect to complete dosing in the first quarter of 2020. Data as of January 30, 2020 from this open label trial of patient cohorts consisting of 400 mcg of BXCL701 in combination with Keytruda® and 600 mcg of BXCL701 in combination with Keytruda® showed on-target adverse events that we believe are consistent with cytokine activation at the highest once-daily dose tested. BXCL701 also showed preliminary pharmacokinetic results that were within expectations. Of the 6 patients dosed as of the data cutoff date, the majority of patients remained on treatment. One patient experienced acidosis with a fatal outcome that was determined by the investigator to be possibly related to BXCL701. We are currently enrolling patients in the 600 mcg cohort with a split dose and expect to complete dosing in the first quarter of 2020. Topline data from this trial are expected in the second half of 2020, prior to advancing to the Phase 2 efficacy portion of the trial.</w:t>
      </w:r>
    </w:p>
    <w:p>
      <w:pPr>
        <w:spacing w:after="0" w:line="190" w:lineRule="exact"/>
        <w:rPr>
          <w:sz w:val="20"/>
          <w:szCs w:val="20"/>
          <w:color w:val="auto"/>
        </w:rPr>
      </w:pPr>
    </w:p>
    <w:p>
      <w:pPr>
        <w:ind w:left="40" w:right="279" w:firstLine="324"/>
        <w:spacing w:after="0" w:line="257" w:lineRule="auto"/>
        <w:rPr>
          <w:sz w:val="20"/>
          <w:szCs w:val="20"/>
          <w:color w:val="auto"/>
        </w:rPr>
      </w:pPr>
      <w:r>
        <w:rPr>
          <w:rFonts w:ascii="Arial" w:cs="Arial" w:eastAsia="Arial" w:hAnsi="Arial"/>
          <w:sz w:val="18"/>
          <w:szCs w:val="18"/>
          <w:color w:val="auto"/>
        </w:rPr>
        <w:t>In June 2019, we announced that our Clinical Trial Application was accepted by the U.K. Medicines and Healthcare products Regulatory Agency for the double combination trial of BXCL701 and Keytruda® in treatment-related neuroendocrine prostate cancer patients. We have activated two clinical sites in the U.K. and are planning to open a third clinical site, subject to approval from local U.K. authorities. This is the first step in our plan to expand our clinical trials globally.</w:t>
      </w:r>
    </w:p>
    <w:p>
      <w:pPr>
        <w:spacing w:after="0" w:line="188"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7"/>
          <w:szCs w:val="17"/>
          <w:color w:val="auto"/>
        </w:rPr>
        <w:t>In June 2019, we also announced that the FDA had cleared our IND application to initiate a clinical trial evaluating the triple combination of BXCL701, bempegaldesleukin (produced by Nektar Therapeutics, Inc., or Nektar) and BAVENCIO® (avelumab, Merck KGaA, Darmstadt, Germany and Pfizer) in pancreatic cancer. We expect to initiate the trial in the second half of 2020, following Nektar and Pfizer’s safety run-in study of a double combination of Bempegaldesleukin and avelumab, pending the outcome of the double combination arm of the trial.</w:t>
      </w:r>
    </w:p>
    <w:p>
      <w:pPr>
        <w:spacing w:after="0" w:line="176" w:lineRule="exact"/>
        <w:rPr>
          <w:sz w:val="20"/>
          <w:szCs w:val="20"/>
          <w:color w:val="auto"/>
        </w:rPr>
      </w:pPr>
    </w:p>
    <w:p>
      <w:pPr>
        <w:ind w:left="40" w:right="239" w:firstLine="324"/>
        <w:spacing w:after="0" w:line="296" w:lineRule="auto"/>
        <w:rPr>
          <w:sz w:val="20"/>
          <w:szCs w:val="20"/>
          <w:color w:val="auto"/>
        </w:rPr>
      </w:pPr>
      <w:r>
        <w:rPr>
          <w:rFonts w:ascii="Arial" w:cs="Arial" w:eastAsia="Arial" w:hAnsi="Arial"/>
          <w:sz w:val="16"/>
          <w:szCs w:val="16"/>
          <w:color w:val="auto"/>
        </w:rPr>
        <w:t>In December 2019, we announced the expansion of the clinical evaluation of BXCL701 into multiple advanced solid tumors. The MD Anderson-led Phase 2 open-label basket trial is designed to evaluate the response rate of orally administered BXCL701, combined with KEYTRUDA® in patients with advanced solid cancers. The study will evaluate both patients who are naïve to checkpoint therapy and those who are refractory to checkpoint therapy. MD Anderson has indicated that it expects to initiate this trial in the first half of 2020 with initial data expected in the second half of 2020.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continuing to explore additional indications for BXCL701 with synergistic combinations.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Nektar Therapeutics Collaborative Agreement</w:t>
      </w:r>
    </w:p>
    <w:p>
      <w:pPr>
        <w:spacing w:after="0" w:line="229"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On September 21, 2018, the Company entered into a Clinical Trial Collaboration Agreement, or the Collaboration Agreement, with Nektar Therapeutics, a Delaware corporation, or Nektar. Pursuant to the Collaboration Agreement, the Company and Nektar will jointly collaborate to conduct a Phase 1/2 clinical trial evaluating a combination therapy using BXCL701, Bempegaldesleukin, a CD122-biased agonist and a checkpoint inhibitor as a potential therapy for pancreatic cancer and such other clinical trials evaluating the combined therapy as may be mutually agreed upon by the parties, each referred to as a Combined Therapy Trial. Under the Collaboration Agreement, the parties will split all out-of-pocket costs reasonably incurred from third parties in connection with the performance of a Combined Therapy Trial, including, but not limited to, third party contract research organizations, laboratories, clinical sites and institutional review boards. Each party will otherwise be responsible for its own internal costs, including internal personnel costs, incurred in connection with each Combined Therapy Trial. The Company and Nektar will use commercially reasonable efforts to manufacture and supply its compound for each Combined Therapy Trial and will bear the costs related thereto. The parties have formed a joint development committee to oversee clinical trial design, regulatory strategy, and other activities necessary to conduct and support the Combined Therapy Trials. The Company will act as sponsor of each Combined Therapy Trial. Ownership of, and global commercial rights to, BXCL701 remains solely with the Company under the Collaboration Agreement. Ownership of any patent rights and study data that does not relate exclusively to BXCL701 or Bempegaldesleukin shall be jointly owned by the parties. Each party granted to the other party a non-exclusive, worldwide, non-transferable and royalty-free research and development license to such licensing party’s patent rights, technology and regulatory documentation to use its compound solely to the extent necessary to discharge its obligations under the Agreement with respect to the conduct of the Combined Therapy Trials.</w:t>
      </w:r>
    </w:p>
    <w:p>
      <w:pPr>
        <w:spacing w:after="0" w:line="169" w:lineRule="exact"/>
        <w:rPr>
          <w:sz w:val="20"/>
          <w:szCs w:val="20"/>
          <w:color w:val="auto"/>
        </w:rPr>
      </w:pPr>
    </w:p>
    <w:p>
      <w:pPr>
        <w:ind w:left="40" w:right="239" w:firstLine="324"/>
        <w:spacing w:after="0" w:line="259" w:lineRule="auto"/>
        <w:rPr>
          <w:sz w:val="20"/>
          <w:szCs w:val="20"/>
          <w:color w:val="auto"/>
        </w:rPr>
      </w:pPr>
      <w:r>
        <w:rPr>
          <w:rFonts w:ascii="Arial" w:cs="Arial" w:eastAsia="Arial" w:hAnsi="Arial"/>
          <w:sz w:val="18"/>
          <w:szCs w:val="18"/>
          <w:color w:val="auto"/>
        </w:rPr>
        <w:t>Subject to termination rights for breach, bankruptcy or a material safety issue/clinical hold, the term of the Collaboration Agreement will continue in effect until completion by all centers or institutions participating in the Combined Therapy Trials, the delivery of study data to both parties and the completion of any then agreed upon protocol, statistical analysis and bioanalysis plan.</w:t>
      </w:r>
    </w:p>
    <w:p>
      <w:pPr>
        <w:spacing w:after="0" w:line="187"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On March 4, 2019, the Company announced the addition of Merck KGaA, Darmstadt, Germany, which operates its biopharmaceutical business as EMD Serono in the USA and Canada, and Pfizer to the Nektar clinical collaboration described above to evaluate a novel triple combination therapy in pancreatic cancer. The collaboration now includes avelumab, BXCL701 and NKTR-214 as a potential combination therapy for pancreatic cancer. Avelumab is a human anti-programmed death ligand (PD-L1) co-developed and co-commercialized by Merck KGaA Darmstadt, Germany and Pfizer.</w:t>
      </w:r>
    </w:p>
    <w:p>
      <w:pPr>
        <w:spacing w:after="0" w:line="161"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Under the collaboration, BTI will continue to be responsible for initiating and managing the clinical program, with Merck KGaA, Darmstadt, Germany and Pfizer supplying avelumab and Nektar supplying NKTR-214. BTI and Nektar will equally share all development costs.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40" w:right="239" w:firstLine="324"/>
        <w:spacing w:after="0" w:line="219" w:lineRule="exact"/>
        <w:rPr>
          <w:sz w:val="20"/>
          <w:szCs w:val="20"/>
          <w:color w:val="auto"/>
        </w:rPr>
      </w:pPr>
      <w:r>
        <w:rPr>
          <w:rFonts w:ascii="Arial" w:cs="Arial" w:eastAsia="Arial" w:hAnsi="Arial"/>
          <w:sz w:val="18"/>
          <w:szCs w:val="18"/>
          <w:color w:val="auto"/>
        </w:rPr>
        <w:t>In addition to tNEPC and pancreatic cancer, we plan to leverage our existing preclinical and clinical data to identify other cancer types with high unmet medical need that we believe would benefit from BXCL701’s novel designed mechanism of action. We are prioritizing indications where the immuno</w:t>
      </w:r>
      <w:r>
        <w:rPr>
          <w:rFonts w:ascii="MS PGothic" w:cs="MS PGothic" w:eastAsia="MS PGothic" w:hAnsi="MS PGothic"/>
          <w:sz w:val="18"/>
          <w:szCs w:val="18"/>
          <w:color w:val="auto"/>
        </w:rPr>
        <w:t>‑</w:t>
      </w:r>
      <w:r>
        <w:rPr>
          <w:rFonts w:ascii="Arial" w:cs="Arial" w:eastAsia="Arial" w:hAnsi="Arial"/>
          <w:sz w:val="18"/>
          <w:szCs w:val="18"/>
          <w:color w:val="auto"/>
        </w:rPr>
        <w:t>suppressive microenvironment is driven by the potential molecular and cellular targets of BXCL701 and where the single agent activity of approved immune checkpoint inhibitors is limited. On September 4, 2019 we announced that the FDA granted Orphan Drug Designation for BXCL701 for the treatment of acute myeloid leukemia.</w:t>
      </w:r>
    </w:p>
    <w:p>
      <w:pPr>
        <w:spacing w:after="0" w:line="203" w:lineRule="exact"/>
        <w:rPr>
          <w:sz w:val="20"/>
          <w:szCs w:val="20"/>
          <w:color w:val="auto"/>
        </w:rPr>
      </w:pPr>
    </w:p>
    <w:p>
      <w:pPr>
        <w:ind w:left="40" w:right="299" w:firstLine="324"/>
        <w:spacing w:after="0" w:line="220" w:lineRule="exact"/>
        <w:rPr>
          <w:sz w:val="20"/>
          <w:szCs w:val="20"/>
          <w:color w:val="auto"/>
        </w:rPr>
      </w:pPr>
      <w:r>
        <w:rPr>
          <w:rFonts w:ascii="Arial" w:cs="Arial" w:eastAsia="Arial" w:hAnsi="Arial"/>
          <w:sz w:val="18"/>
          <w:szCs w:val="18"/>
          <w:color w:val="auto"/>
        </w:rPr>
        <w:t>In addition, we believe BXCL701, if successfully developed and approved, may provide a platform for combination with immunotherapy modalities that go beyond the currently approved immune checkpoint agents that target the PD</w:t>
      </w:r>
      <w:r>
        <w:rPr>
          <w:rFonts w:ascii="MS PGothic" w:cs="MS PGothic" w:eastAsia="MS PGothic" w:hAnsi="MS PGothic"/>
          <w:sz w:val="18"/>
          <w:szCs w:val="18"/>
          <w:color w:val="auto"/>
        </w:rPr>
        <w:t>‑</w:t>
      </w:r>
      <w:r>
        <w:rPr>
          <w:rFonts w:ascii="Arial" w:cs="Arial" w:eastAsia="Arial" w:hAnsi="Arial"/>
          <w:sz w:val="18"/>
          <w:szCs w:val="18"/>
          <w:color w:val="auto"/>
        </w:rPr>
        <w:t>1/PD</w:t>
      </w:r>
      <w:r>
        <w:rPr>
          <w:rFonts w:ascii="MS PGothic" w:cs="MS PGothic" w:eastAsia="MS PGothic" w:hAnsi="MS PGothic"/>
          <w:sz w:val="18"/>
          <w:szCs w:val="18"/>
          <w:color w:val="auto"/>
        </w:rPr>
        <w:t>‑</w:t>
      </w:r>
      <w:r>
        <w:rPr>
          <w:rFonts w:ascii="Arial" w:cs="Arial" w:eastAsia="Arial" w:hAnsi="Arial"/>
          <w:sz w:val="18"/>
          <w:szCs w:val="18"/>
          <w:color w:val="auto"/>
        </w:rPr>
        <w:t>L1 axis. Following our proof-of-concept trials, we plan to conduct clinical trials covering a broad range of additional combinations with other immunotherapy agents including: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hanging="324"/>
        <w:spacing w:after="0" w:line="207" w:lineRule="exact"/>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immune checkpoint inhibitors (other than PD</w:t>
      </w:r>
      <w:r>
        <w:rPr>
          <w:rFonts w:ascii="MS PGothic" w:cs="MS PGothic" w:eastAsia="MS PGothic" w:hAnsi="MS PGothic"/>
          <w:sz w:val="18"/>
          <w:szCs w:val="18"/>
          <w:color w:val="auto"/>
        </w:rPr>
        <w:t>‑</w:t>
      </w:r>
      <w:r>
        <w:rPr>
          <w:rFonts w:ascii="Arial" w:cs="Arial" w:eastAsia="Arial" w:hAnsi="Arial"/>
          <w:sz w:val="18"/>
          <w:szCs w:val="18"/>
          <w:color w:val="auto"/>
        </w:rPr>
        <w:t>1/PD</w:t>
      </w:r>
      <w:r>
        <w:rPr>
          <w:rFonts w:ascii="MS PGothic" w:cs="MS PGothic" w:eastAsia="MS PGothic" w:hAnsi="MS PGothic"/>
          <w:sz w:val="18"/>
          <w:szCs w:val="18"/>
          <w:color w:val="auto"/>
        </w:rPr>
        <w:t>‑</w:t>
      </w:r>
      <w:r>
        <w:rPr>
          <w:rFonts w:ascii="Arial" w:cs="Arial" w:eastAsia="Arial" w:hAnsi="Arial"/>
          <w:sz w:val="18"/>
          <w:szCs w:val="18"/>
          <w:color w:val="auto"/>
        </w:rPr>
        <w:t>L1)</w:t>
      </w:r>
    </w:p>
    <w:p>
      <w:pPr>
        <w:spacing w:after="0" w:line="225" w:lineRule="exact"/>
        <w:rPr>
          <w:rFonts w:ascii="Arial" w:cs="Arial" w:eastAsia="Arial" w:hAnsi="Arial"/>
          <w:sz w:val="18"/>
          <w:szCs w:val="18"/>
          <w:color w:val="auto"/>
        </w:rPr>
      </w:pPr>
    </w:p>
    <w:p>
      <w:pPr>
        <w:ind w:left="1340" w:hanging="324"/>
        <w:spacing w:after="0" w:line="207" w:lineRule="exact"/>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cellular therapies (CAR</w:t>
      </w:r>
      <w:r>
        <w:rPr>
          <w:rFonts w:ascii="MS PGothic" w:cs="MS PGothic" w:eastAsia="MS PGothic" w:hAnsi="MS PGothic"/>
          <w:sz w:val="18"/>
          <w:szCs w:val="18"/>
          <w:color w:val="auto"/>
        </w:rPr>
        <w:t>‑</w:t>
      </w:r>
      <w:r>
        <w:rPr>
          <w:rFonts w:ascii="Arial" w:cs="Arial" w:eastAsia="Arial" w:hAnsi="Arial"/>
          <w:sz w:val="18"/>
          <w:szCs w:val="18"/>
          <w:color w:val="auto"/>
        </w:rPr>
        <w:t>T and chimeric antigen receptor natural killer cells)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therapeutic vaccines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ADCC driven monoclonal antibodies</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Product Candidates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Neuroscience Program</w:t>
      </w:r>
    </w:p>
    <w:p>
      <w:pPr>
        <w:spacing w:after="0" w:line="225"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We are targeting neuroscience disorders where there is high unmet medical need and therefore a requirement for symptom management is a priority (like agitation, seizures, dyskinesias) as well for transformative care for monogenic rare CNS disorders.</w:t>
      </w:r>
    </w:p>
    <w:p>
      <w:pPr>
        <w:spacing w:after="0" w:line="184"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6"/>
          <w:szCs w:val="16"/>
          <w:color w:val="auto"/>
        </w:rPr>
        <w:t>For symptomatic approaches, our neuroscience program is developing product candidates with a focus on treating symptoms for various neurological and psychiatric disorders. This entails re</w:t>
      </w:r>
      <w:r>
        <w:rPr>
          <w:rFonts w:ascii="MS PGothic" w:cs="MS PGothic" w:eastAsia="MS PGothic" w:hAnsi="MS PGothic"/>
          <w:sz w:val="16"/>
          <w:szCs w:val="16"/>
          <w:color w:val="auto"/>
        </w:rPr>
        <w:t>‑</w:t>
      </w:r>
      <w:r>
        <w:rPr>
          <w:rFonts w:ascii="Arial" w:cs="Arial" w:eastAsia="Arial" w:hAnsi="Arial"/>
          <w:sz w:val="16"/>
          <w:szCs w:val="16"/>
          <w:color w:val="auto"/>
        </w:rPr>
        <w:t>innovating existing agents through formulation changes and deuteration. The utilization of EvolverAI has identified several monogenic diseases with available animal models across rare neuroscience diseases. We utilize proprietary algorithms to identify associated mechanisms with existing pharmacology to test whether these agents can improve the disease profile in the animal model either through disease modification or symptomatic manner. The agents identified must be those that we believe are Phase 2 ready with a potential for a short, cost</w:t>
      </w:r>
      <w:r>
        <w:rPr>
          <w:rFonts w:ascii="MS PGothic" w:cs="MS PGothic" w:eastAsia="MS PGothic" w:hAnsi="MS PGothic"/>
          <w:sz w:val="16"/>
          <w:szCs w:val="16"/>
          <w:color w:val="auto"/>
        </w:rPr>
        <w:t>‑</w:t>
      </w:r>
      <w:r>
        <w:rPr>
          <w:rFonts w:ascii="Arial" w:cs="Arial" w:eastAsia="Arial" w:hAnsi="Arial"/>
          <w:sz w:val="16"/>
          <w:szCs w:val="16"/>
          <w:color w:val="auto"/>
        </w:rPr>
        <w:t>effective development plan (four to five years to potential NDA submission).</w:t>
      </w:r>
    </w:p>
    <w:p>
      <w:pPr>
        <w:spacing w:after="0" w:line="20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Immuno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oncology Program</w:t>
      </w:r>
    </w:p>
    <w:p>
      <w:pPr>
        <w:spacing w:after="0" w:line="225" w:lineRule="exact"/>
        <w:rPr>
          <w:sz w:val="20"/>
          <w:szCs w:val="20"/>
          <w:color w:val="auto"/>
        </w:rPr>
      </w:pPr>
    </w:p>
    <w:p>
      <w:pPr>
        <w:ind w:left="40" w:right="339" w:firstLine="324"/>
        <w:spacing w:after="0" w:line="220" w:lineRule="exact"/>
        <w:rPr>
          <w:sz w:val="20"/>
          <w:szCs w:val="20"/>
          <w:color w:val="auto"/>
        </w:rPr>
      </w:pPr>
      <w:r>
        <w:rPr>
          <w:rFonts w:ascii="Arial" w:cs="Arial" w:eastAsia="Arial" w:hAnsi="Arial"/>
          <w:sz w:val="16"/>
          <w:szCs w:val="16"/>
          <w:color w:val="auto"/>
        </w:rPr>
        <w:t>Our immuno</w:t>
      </w:r>
      <w:r>
        <w:rPr>
          <w:rFonts w:ascii="MS PGothic" w:cs="MS PGothic" w:eastAsia="MS PGothic" w:hAnsi="MS PGothic"/>
          <w:sz w:val="16"/>
          <w:szCs w:val="16"/>
          <w:color w:val="auto"/>
        </w:rPr>
        <w:t>‑</w:t>
      </w:r>
      <w:r>
        <w:rPr>
          <w:rFonts w:ascii="Arial" w:cs="Arial" w:eastAsia="Arial" w:hAnsi="Arial"/>
          <w:sz w:val="16"/>
          <w:szCs w:val="16"/>
          <w:color w:val="auto"/>
        </w:rPr>
        <w:t>oncology program is based on utilizing a comprehensive map of all known relationships that link immuno</w:t>
      </w:r>
      <w:r>
        <w:rPr>
          <w:rFonts w:ascii="MS PGothic" w:cs="MS PGothic" w:eastAsia="MS PGothic" w:hAnsi="MS PGothic"/>
          <w:sz w:val="16"/>
          <w:szCs w:val="16"/>
          <w:color w:val="auto"/>
        </w:rPr>
        <w:t>‑</w:t>
      </w:r>
      <w:r>
        <w:rPr>
          <w:rFonts w:ascii="Arial" w:cs="Arial" w:eastAsia="Arial" w:hAnsi="Arial"/>
          <w:sz w:val="16"/>
          <w:szCs w:val="16"/>
          <w:color w:val="auto"/>
        </w:rPr>
        <w:t>evasion and immuno</w:t>
      </w:r>
      <w:r>
        <w:rPr>
          <w:rFonts w:ascii="MS PGothic" w:cs="MS PGothic" w:eastAsia="MS PGothic" w:hAnsi="MS PGothic"/>
          <w:sz w:val="16"/>
          <w:szCs w:val="16"/>
          <w:color w:val="auto"/>
        </w:rPr>
        <w:t>‑</w:t>
      </w:r>
      <w:r>
        <w:rPr>
          <w:rFonts w:ascii="Arial" w:cs="Arial" w:eastAsia="Arial" w:hAnsi="Arial"/>
          <w:sz w:val="16"/>
          <w:szCs w:val="16"/>
          <w:color w:val="auto"/>
        </w:rPr>
        <w:t>activation pathways and targets with thousands of pharmacological agents and tumor indications. This comprehensive map has permitted us to select a potential pipeline of candidates based on our ability to alter the tumor micro</w:t>
      </w:r>
      <w:r>
        <w:rPr>
          <w:rFonts w:ascii="MS PGothic" w:cs="MS PGothic" w:eastAsia="MS PGothic" w:hAnsi="MS PGothic"/>
          <w:sz w:val="16"/>
          <w:szCs w:val="16"/>
          <w:color w:val="auto"/>
        </w:rPr>
        <w:t>‑</w:t>
      </w:r>
      <w:r>
        <w:rPr>
          <w:rFonts w:ascii="Arial" w:cs="Arial" w:eastAsia="Arial" w:hAnsi="Arial"/>
          <w:sz w:val="16"/>
          <w:szCs w:val="16"/>
          <w:color w:val="auto"/>
        </w:rPr>
        <w:t>environment and the potential to address relevant unmet medical needs for various tumor types.</w:t>
      </w:r>
    </w:p>
    <w:p>
      <w:pPr>
        <w:spacing w:after="0" w:line="203" w:lineRule="exact"/>
        <w:rPr>
          <w:sz w:val="20"/>
          <w:szCs w:val="20"/>
          <w:color w:val="auto"/>
        </w:rPr>
      </w:pPr>
    </w:p>
    <w:p>
      <w:pPr>
        <w:ind w:left="40" w:right="199" w:firstLine="324"/>
        <w:spacing w:after="0" w:line="279" w:lineRule="auto"/>
        <w:rPr>
          <w:sz w:val="20"/>
          <w:szCs w:val="20"/>
          <w:color w:val="auto"/>
        </w:rPr>
      </w:pPr>
      <w:r>
        <w:rPr>
          <w:rFonts w:ascii="Arial" w:cs="Arial" w:eastAsia="Arial" w:hAnsi="Arial"/>
          <w:sz w:val="17"/>
          <w:szCs w:val="17"/>
          <w:color w:val="auto"/>
        </w:rPr>
        <w:t>Finally, we continually leverage the artificial intelligence platform owned by our parent, to select and prioritize additional development opportunities to expand the current portfolio and broaden the addressable market for our lead programs through identification of new indications. This includes exploring additional combination therapy approaches to expand BXCL701’s target indications beyond tNEPC and pancreatic cancer.</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The immuno</w:t>
      </w:r>
      <w:r>
        <w:rPr>
          <w:rFonts w:ascii="MS PGothic" w:cs="MS PGothic" w:eastAsia="MS PGothic" w:hAnsi="MS PGothic"/>
          <w:sz w:val="17"/>
          <w:szCs w:val="17"/>
          <w:color w:val="auto"/>
        </w:rPr>
        <w:t>‑</w:t>
      </w:r>
      <w:r>
        <w:rPr>
          <w:rFonts w:ascii="Arial" w:cs="Arial" w:eastAsia="Arial" w:hAnsi="Arial"/>
          <w:sz w:val="17"/>
          <w:szCs w:val="17"/>
          <w:color w:val="auto"/>
        </w:rPr>
        <w:t>oncology, neuroscience and rare disease segments of the industry in particular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and governmental agencies, and public and private research institutions.</w:t>
      </w:r>
    </w:p>
    <w:p>
      <w:pPr>
        <w:spacing w:after="0" w:line="202"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 complementary to 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necessary for our programs. Smaller or early stage companies may also prove to be significant competitors, particularly through collaborative arrangements with large and established companies.</w:t>
      </w:r>
    </w:p>
    <w:p>
      <w:pPr>
        <w:spacing w:after="0" w:line="170" w:lineRule="exact"/>
        <w:rPr>
          <w:sz w:val="20"/>
          <w:szCs w:val="20"/>
          <w:color w:val="auto"/>
        </w:rPr>
      </w:pPr>
    </w:p>
    <w:p>
      <w:pPr>
        <w:ind w:left="40" w:right="99" w:firstLine="324"/>
        <w:spacing w:after="0" w:line="221" w:lineRule="exact"/>
        <w:rPr>
          <w:sz w:val="20"/>
          <w:szCs w:val="20"/>
          <w:color w:val="auto"/>
        </w:rPr>
      </w:pPr>
      <w:r>
        <w:rPr>
          <w:rFonts w:ascii="Arial" w:cs="Arial" w:eastAsia="Arial" w:hAnsi="Arial"/>
          <w:sz w:val="16"/>
          <w:szCs w:val="16"/>
          <w:color w:val="auto"/>
        </w:rPr>
        <w:t>The key competitive factors affecting the success of all of our product candidates, if approved, are likely to be their efficacy, safety, convenience, price, the effectiveness of companion diagnostics in guiding the use of related therapeutics, if any, the level of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4"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medicines that are safer, are more effective, have fewer or less severe side effects, are more convenient or are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medicines. There are many generic medicines currently on the market for certain of the indications that we are pursuing and additional generics are expected to become available over the coming years. If our therapeutic product candidates are approved, we expect that they will be priced at a significant premium over competitive generic medicines.</w:t>
      </w:r>
    </w:p>
    <w:p>
      <w:pPr>
        <w:spacing w:after="0" w:line="203"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If the product candidates of our priority programs are approved for the indications for which we are currently planning clinical trials, they will compete with the drugs discussed below and will likely compete with other drugs currently in development.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Neurological and Psychiatric Disorders</w:t>
      </w:r>
    </w:p>
    <w:p>
      <w:pPr>
        <w:spacing w:after="0" w:line="225" w:lineRule="exact"/>
        <w:rPr>
          <w:sz w:val="20"/>
          <w:szCs w:val="20"/>
          <w:color w:val="auto"/>
        </w:rPr>
      </w:pPr>
    </w:p>
    <w:p>
      <w:pPr>
        <w:ind w:left="40" w:right="159" w:firstLine="324"/>
        <w:spacing w:after="0" w:line="219" w:lineRule="exact"/>
        <w:rPr>
          <w:sz w:val="20"/>
          <w:szCs w:val="20"/>
          <w:color w:val="auto"/>
        </w:rPr>
      </w:pPr>
      <w:r>
        <w:rPr>
          <w:rFonts w:ascii="Arial" w:cs="Arial" w:eastAsia="Arial" w:hAnsi="Arial"/>
          <w:sz w:val="18"/>
          <w:szCs w:val="18"/>
          <w:color w:val="auto"/>
        </w:rPr>
        <w:t>Drugs used for the acute treatment of agitation resulting from psychosis in schizophrenia and mania in bipolar disease are atypical antipsychotics administered IM and often require patient restraint. These include IM aripiprazole, olanzapine, ziprasidone and haloperidol. Oral products include the benzodiazepines, lorazepam and midazolam. Saphris (sublingual tablet asenapine) is an atypical antipsychotic that has been prescribed for use in children and teens for acute treatment of manic or mixed episodes associated with bipolar disease. Adasuve (inhaled loxapine) from Alexza is also a non</w:t>
      </w:r>
      <w:r>
        <w:rPr>
          <w:rFonts w:ascii="MS PGothic" w:cs="MS PGothic" w:eastAsia="MS PGothic" w:hAnsi="MS PGothic"/>
          <w:sz w:val="18"/>
          <w:szCs w:val="18"/>
          <w:color w:val="auto"/>
        </w:rPr>
        <w:t>‑</w:t>
      </w:r>
      <w:r>
        <w:rPr>
          <w:rFonts w:ascii="Arial" w:cs="Arial" w:eastAsia="Arial" w:hAnsi="Arial"/>
          <w:sz w:val="18"/>
          <w:szCs w:val="18"/>
          <w:color w:val="auto"/>
        </w:rPr>
        <w:t>invasive treatment.</w:t>
      </w:r>
    </w:p>
    <w:p>
      <w:pPr>
        <w:spacing w:after="0" w:line="203"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Immuno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oncology</w:t>
      </w:r>
    </w:p>
    <w:p>
      <w:pPr>
        <w:spacing w:after="0" w:line="225"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6"/>
          <w:szCs w:val="16"/>
          <w:color w:val="auto"/>
        </w:rPr>
        <w:t>The immuno</w:t>
      </w:r>
      <w:r>
        <w:rPr>
          <w:rFonts w:ascii="MS PGothic" w:cs="MS PGothic" w:eastAsia="MS PGothic" w:hAnsi="MS PGothic"/>
          <w:sz w:val="16"/>
          <w:szCs w:val="16"/>
          <w:color w:val="auto"/>
        </w:rPr>
        <w:t>‑</w:t>
      </w:r>
      <w:r>
        <w:rPr>
          <w:rFonts w:ascii="Arial" w:cs="Arial" w:eastAsia="Arial" w:hAnsi="Arial"/>
          <w:sz w:val="16"/>
          <w:szCs w:val="16"/>
          <w:color w:val="auto"/>
        </w:rPr>
        <w:t>oncology field is characterized by the rapid evolution of technologies and products and by fierce competition based on the development of compounds, often with similar mechanisms of action. Clinical development plans are further compounded by the possibility of overlapping intellectual property. A wide variety of commercial players, large pharmaceutical companies, established and emerging biotechnology companies, and several not</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profit entities are actively developing potentially competitive products in immuno</w:t>
      </w:r>
      <w:r>
        <w:rPr>
          <w:rFonts w:ascii="MS PGothic" w:cs="MS PGothic" w:eastAsia="MS PGothic" w:hAnsi="MS PGothic"/>
          <w:sz w:val="16"/>
          <w:szCs w:val="16"/>
          <w:color w:val="auto"/>
        </w:rPr>
        <w:t>‑</w:t>
      </w:r>
      <w:r>
        <w:rPr>
          <w:rFonts w:ascii="Arial" w:cs="Arial" w:eastAsia="Arial" w:hAnsi="Arial"/>
          <w:sz w:val="16"/>
          <w:szCs w:val="16"/>
          <w:color w:val="auto"/>
        </w:rPr>
        <w:t>oncology and in our lead indications.</w:t>
      </w:r>
    </w:p>
    <w:p>
      <w:pPr>
        <w:spacing w:after="0" w:line="204" w:lineRule="exact"/>
        <w:rPr>
          <w:sz w:val="20"/>
          <w:szCs w:val="20"/>
          <w:color w:val="auto"/>
        </w:rPr>
      </w:pPr>
    </w:p>
    <w:p>
      <w:pPr>
        <w:ind w:left="40" w:right="579" w:firstLine="324"/>
        <w:spacing w:after="0" w:line="263" w:lineRule="auto"/>
        <w:rPr>
          <w:sz w:val="20"/>
          <w:szCs w:val="20"/>
          <w:color w:val="auto"/>
        </w:rPr>
      </w:pPr>
      <w:r>
        <w:rPr>
          <w:rFonts w:ascii="Arial" w:cs="Arial" w:eastAsia="Arial" w:hAnsi="Arial"/>
          <w:sz w:val="18"/>
          <w:szCs w:val="18"/>
          <w:color w:val="auto"/>
        </w:rPr>
        <w:t>While we believe our product candidates, technology, knowledge, and experience provide us with competitive advantages, we face competition from established and emerging pharmaceutical and biotechnology companies. Such companies include:</w:t>
      </w:r>
    </w:p>
    <w:p>
      <w:pPr>
        <w:spacing w:after="0" w:line="180" w:lineRule="exact"/>
        <w:rPr>
          <w:sz w:val="20"/>
          <w:szCs w:val="20"/>
          <w:color w:val="auto"/>
        </w:rPr>
      </w:pPr>
    </w:p>
    <w:p>
      <w:pPr>
        <w:ind w:left="1020" w:right="299" w:hanging="328"/>
        <w:spacing w:after="0" w:line="222" w:lineRule="exact"/>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Major pharmaceutical companies developing multiple immuno</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oncology agents: </w:t>
      </w:r>
      <w:r>
        <w:rPr>
          <w:rFonts w:ascii="Arial" w:cs="Arial" w:eastAsia="Arial" w:hAnsi="Arial"/>
          <w:sz w:val="18"/>
          <w:szCs w:val="18"/>
          <w:color w:val="auto"/>
        </w:rPr>
        <w:t>AstraZeneca PLC,</w:t>
      </w:r>
      <w:r>
        <w:rPr>
          <w:rFonts w:ascii="Arial" w:cs="Arial" w:eastAsia="Arial" w:hAnsi="Arial"/>
          <w:sz w:val="18"/>
          <w:szCs w:val="18"/>
          <w:b w:val="1"/>
          <w:bCs w:val="1"/>
          <w:color w:val="auto"/>
        </w:rPr>
        <w:t xml:space="preserve"> </w:t>
      </w:r>
      <w:r>
        <w:rPr>
          <w:rFonts w:ascii="Arial" w:cs="Arial" w:eastAsia="Arial" w:hAnsi="Arial"/>
          <w:sz w:val="18"/>
          <w:szCs w:val="18"/>
          <w:color w:val="auto"/>
        </w:rPr>
        <w:t>Bristol</w:t>
      </w:r>
      <w:r>
        <w:rPr>
          <w:rFonts w:ascii="MS PGothic" w:cs="MS PGothic" w:eastAsia="MS PGothic" w:hAnsi="MS PGothic"/>
          <w:sz w:val="18"/>
          <w:szCs w:val="18"/>
          <w:color w:val="auto"/>
        </w:rPr>
        <w:t>‑</w:t>
      </w:r>
      <w:r>
        <w:rPr>
          <w:rFonts w:ascii="Arial" w:cs="Arial" w:eastAsia="Arial" w:hAnsi="Arial"/>
          <w:sz w:val="18"/>
          <w:szCs w:val="18"/>
          <w:color w:val="auto"/>
        </w:rPr>
        <w:t>Myers Squibb Company, Celgene Corporation, Merck &amp; Co., Inc., Novartis AG, Pfizer Inc., Roche Holding Ltd. and Sanofi SA.</w:t>
      </w:r>
    </w:p>
    <w:p>
      <w:pPr>
        <w:spacing w:after="0" w:line="199" w:lineRule="exact"/>
        <w:rPr>
          <w:rFonts w:ascii="Arial" w:cs="Arial" w:eastAsia="Arial" w:hAnsi="Arial"/>
          <w:sz w:val="18"/>
          <w:szCs w:val="18"/>
          <w:color w:val="auto"/>
        </w:rPr>
      </w:pPr>
    </w:p>
    <w:p>
      <w:pPr>
        <w:ind w:left="1020" w:right="399" w:hanging="328"/>
        <w:spacing w:after="0" w:line="28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Companies developing agents aimed at stimulating the immune response: </w:t>
      </w:r>
      <w:r>
        <w:rPr>
          <w:rFonts w:ascii="Arial" w:cs="Arial" w:eastAsia="Arial" w:hAnsi="Arial"/>
          <w:sz w:val="17"/>
          <w:szCs w:val="17"/>
          <w:color w:val="auto"/>
        </w:rPr>
        <w:t>AdaptImmune LLC, Idera</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Pharmaceuticals, Inc., Immune Design Corp., NewLink Genetic Corporation, Advaxis, Inc., Argos Therapeutics, Inc., Biovest International, Inc., ImmunoCellular Therapeutics, Ltd., Immune Design, Inc., Inovio Pharmaceuticals, Inc., Intrexon Corporation and Northwest Biotherapeutics,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020" w:right="659" w:hanging="328"/>
        <w:spacing w:after="0" w:line="225" w:lineRule="exact"/>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Companies developing cell</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based immunotherapy approaches: </w:t>
      </w:r>
      <w:r>
        <w:rPr>
          <w:rFonts w:ascii="Arial" w:cs="Arial" w:eastAsia="Arial" w:hAnsi="Arial"/>
          <w:sz w:val="16"/>
          <w:szCs w:val="16"/>
          <w:color w:val="auto"/>
        </w:rPr>
        <w:t>Intrexon Corporation, Juno</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Inc., Kite Pharma, Inc. (acquired by Gilead Sciences, Inc.), Novartis AG and Pfizer Inc.</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BioXcel Therapeutics does not have manufacturing facilities. We currently rely on strategic manufacturing partners and expect to continue to rely on third parties for the manufacture of our product candidates for clinical research as well as for eventual, possible commercial manufacturing.</w:t>
      </w:r>
    </w:p>
    <w:p>
      <w:pPr>
        <w:spacing w:after="0" w:line="184" w:lineRule="exact"/>
        <w:rPr>
          <w:sz w:val="20"/>
          <w:szCs w:val="20"/>
          <w:color w:val="auto"/>
        </w:rPr>
      </w:pPr>
    </w:p>
    <w:p>
      <w:pPr>
        <w:ind w:left="40" w:right="359" w:firstLine="324"/>
        <w:spacing w:after="0" w:line="263" w:lineRule="auto"/>
        <w:rPr>
          <w:sz w:val="20"/>
          <w:szCs w:val="20"/>
          <w:color w:val="auto"/>
        </w:rPr>
      </w:pPr>
      <w:r>
        <w:rPr>
          <w:rFonts w:ascii="Arial" w:cs="Arial" w:eastAsia="Arial" w:hAnsi="Arial"/>
          <w:sz w:val="18"/>
          <w:szCs w:val="18"/>
          <w:color w:val="auto"/>
        </w:rPr>
        <w:t>For supply of drug substance and drug product for our BXCL501 clinical program, we have secured manufacturing partners. We have completed manufacture of phase III clinical supply and registration batches of our proprietary, sublingual thin film product.</w:t>
      </w:r>
    </w:p>
    <w:p>
      <w:pPr>
        <w:spacing w:after="0" w:line="184"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We produce clinical drug product for BXCL701 under exclusivity with the original manufacturers of the active pharmaceutical ingredient, or API, and drug product tablets, respectively.</w:t>
      </w:r>
    </w:p>
    <w:p>
      <w:pPr>
        <w:spacing w:after="0" w:line="170"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Manufacturing partners used for both programs currently manufacture commercial products and we consider them to be suitable for commercial supply for our programs, if approved.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left="40" w:right="499" w:firstLine="324"/>
        <w:spacing w:after="0" w:line="277" w:lineRule="auto"/>
        <w:rPr>
          <w:sz w:val="20"/>
          <w:szCs w:val="20"/>
          <w:color w:val="auto"/>
        </w:rPr>
      </w:pPr>
      <w:r>
        <w:rPr>
          <w:rFonts w:ascii="Arial" w:cs="Arial" w:eastAsia="Arial" w:hAnsi="Arial"/>
          <w:sz w:val="18"/>
          <w:szCs w:val="18"/>
          <w:color w:val="auto"/>
        </w:rPr>
        <w:t>We plan to retain our worldwide commercialization rights for some of our key product candidates while for other product candidates we might consider collaboration opportunities to maximize returns.</w:t>
      </w:r>
    </w:p>
    <w:p>
      <w:pPr>
        <w:spacing w:after="0" w:line="170"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7"/>
          <w:szCs w:val="17"/>
          <w:color w:val="auto"/>
        </w:rPr>
        <w:t>While we currently have no sales, marketing or commercial product distribution capabilities and have no experience as a company in commercializing products, we intend to build our own commercialization organization and capabilities over time. We are considering partnerships, joint ventures, and a variety of business partnerships for the Japanese and European Markets. We currently plan to retain US rights and are beginning to lay the groundwork for commercialization efforts. When appropriate, we will decide whether to build a specialty sales force to manage commercialization for these product candidates on our own or in combination with a larger pharmaceutical partner to maximize patient coverage in the United States and to support global expansion, especially as our programs have substantial opportunity for additional follow</w:t>
      </w:r>
      <w:r>
        <w:rPr>
          <w:rFonts w:ascii="MS PGothic" w:cs="MS PGothic" w:eastAsia="MS PGothic" w:hAnsi="MS PGothic"/>
          <w:sz w:val="17"/>
          <w:szCs w:val="17"/>
          <w:color w:val="auto"/>
        </w:rPr>
        <w:t>‑</w:t>
      </w:r>
      <w:r>
        <w:rPr>
          <w:rFonts w:ascii="Arial" w:cs="Arial" w:eastAsia="Arial" w:hAnsi="Arial"/>
          <w:sz w:val="17"/>
          <w:szCs w:val="17"/>
          <w:color w:val="auto"/>
        </w:rPr>
        <w:t>up indications alone or in combinations.</w:t>
      </w:r>
    </w:p>
    <w:p>
      <w:pPr>
        <w:spacing w:after="0" w:line="204" w:lineRule="exact"/>
        <w:rPr>
          <w:sz w:val="20"/>
          <w:szCs w:val="20"/>
          <w:color w:val="auto"/>
        </w:rPr>
      </w:pPr>
    </w:p>
    <w:p>
      <w:pPr>
        <w:jc w:val="both"/>
        <w:ind w:left="40" w:right="159" w:firstLine="324"/>
        <w:spacing w:after="0" w:line="220" w:lineRule="exact"/>
        <w:rPr>
          <w:sz w:val="20"/>
          <w:szCs w:val="20"/>
          <w:color w:val="auto"/>
        </w:rPr>
      </w:pPr>
      <w:r>
        <w:rPr>
          <w:rFonts w:ascii="Arial" w:cs="Arial" w:eastAsia="Arial" w:hAnsi="Arial"/>
          <w:sz w:val="18"/>
          <w:szCs w:val="18"/>
          <w:color w:val="auto"/>
        </w:rPr>
        <w:t>As product candidates advance through our pipeline, our commercial plans may change. Clinical data, the size of the development programs, the size of the target market, the size of a commercial infrastructure and manufacturing needs may all influence our United States, European Union, and rest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world strategies.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United States and other jurisdictions related to our proprietary technology, inventions, improvements and product candidates. We also rely on trademarks,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relating to our proprietary technologies and product candidates, continuing innovation and in</w:t>
      </w:r>
      <w:r>
        <w:rPr>
          <w:rFonts w:ascii="MS PGothic" w:cs="MS PGothic" w:eastAsia="MS PGothic" w:hAnsi="MS PGothic"/>
          <w:sz w:val="17"/>
          <w:szCs w:val="17"/>
          <w:color w:val="auto"/>
        </w:rPr>
        <w:t>‑</w:t>
      </w:r>
      <w:r>
        <w:rPr>
          <w:rFonts w:ascii="Arial" w:cs="Arial" w:eastAsia="Arial" w:hAnsi="Arial"/>
          <w:sz w:val="17"/>
          <w:szCs w:val="17"/>
          <w:color w:val="auto"/>
        </w:rPr>
        <w:t>licensing technology and products. This reliance is expected to develop, strengthen, and maintain our proprietary position for novel therapeutics and novel formulations of existing therapeutics across multiple therapeutic areas. We also plan to rely on data exclusivity, market exclusivity, and patent term extensions when available.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 Portfolio</w:t>
      </w:r>
    </w:p>
    <w:p>
      <w:pPr>
        <w:spacing w:after="0" w:line="229" w:lineRule="exact"/>
        <w:rPr>
          <w:sz w:val="20"/>
          <w:szCs w:val="20"/>
          <w:color w:val="auto"/>
        </w:rPr>
      </w:pPr>
    </w:p>
    <w:p>
      <w:pPr>
        <w:ind w:left="40" w:right="559" w:firstLine="324"/>
        <w:spacing w:after="0" w:line="277" w:lineRule="auto"/>
        <w:rPr>
          <w:sz w:val="20"/>
          <w:szCs w:val="20"/>
          <w:color w:val="auto"/>
        </w:rPr>
      </w:pPr>
      <w:r>
        <w:rPr>
          <w:rFonts w:ascii="Arial" w:cs="Arial" w:eastAsia="Arial" w:hAnsi="Arial"/>
          <w:sz w:val="18"/>
          <w:szCs w:val="18"/>
          <w:color w:val="auto"/>
        </w:rPr>
        <w:t>As of February 17, 2020, we have filed applications in the core patent family protecting BXCL501 in the United States, Taiwan and as a pending patent cooperation treaty, or PCT, application.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324"/>
        <w:spacing w:after="0" w:line="269" w:lineRule="auto"/>
        <w:rPr>
          <w:sz w:val="20"/>
          <w:szCs w:val="20"/>
          <w:color w:val="auto"/>
        </w:rPr>
      </w:pPr>
      <w:r>
        <w:rPr>
          <w:rFonts w:ascii="Arial" w:cs="Arial" w:eastAsia="Arial" w:hAnsi="Arial"/>
          <w:sz w:val="17"/>
          <w:szCs w:val="17"/>
          <w:color w:val="auto"/>
        </w:rPr>
        <w:t>We have filed applications in the core patent family protecting BXCL501 in the United States, Taiwan and as a pending PCT application. Following entry into national phase, we intend to file for patent protection in major markets, including but not limited to Europe, Japan, China and Canada. We expect that patents issuing from these applications, if any, will expire no earlier than 2039. We have also filed applications in three additional patent families that are relevant to BXCL501. We have applications pending in the United States, Europe and Japan directed to methods of treating insomnia using sublingual Dex. We expect that patents issuing from these applications, if any, will expire no earlier than 2035. We also have applications filed in fifteen countries, including the United States, Europe, Japan and China, directed to methods of treating agitation. We expect that patents issuing from these applications, if any, will expire no earlier than 2037. Finally, we have a PCT application directed to intravenous administration of Dex. We expect that patents issuing from these applications, if any, will expire no earlier than 2039.</w:t>
      </w:r>
    </w:p>
    <w:p>
      <w:pPr>
        <w:spacing w:after="0" w:line="185" w:lineRule="exact"/>
        <w:rPr>
          <w:sz w:val="20"/>
          <w:szCs w:val="20"/>
          <w:color w:val="auto"/>
        </w:rPr>
      </w:pPr>
    </w:p>
    <w:p>
      <w:pPr>
        <w:ind w:left="40" w:right="199" w:firstLine="324"/>
        <w:spacing w:after="0" w:line="270" w:lineRule="auto"/>
        <w:rPr>
          <w:sz w:val="20"/>
          <w:szCs w:val="20"/>
          <w:color w:val="auto"/>
        </w:rPr>
      </w:pPr>
      <w:r>
        <w:rPr>
          <w:rFonts w:ascii="Arial" w:cs="Arial" w:eastAsia="Arial" w:hAnsi="Arial"/>
          <w:sz w:val="17"/>
          <w:szCs w:val="17"/>
          <w:color w:val="auto"/>
        </w:rPr>
        <w:t>We have multiple patent families filed to protect our BXCL701 program, including our core patent family directed to methods of using BXCL701 with immune checkpoint inhibitors, which is filed in the United States and seventeen other countries. Any patents issuing from that family should expire no earlier than 2036. We have a PCT application directed to combination therapies using BXCL701 with immune checkpoint inhibitors and approaches for modifying T-cell activity. We expect any patents issuing from this family to expire no earlier than 2038. Additional PCT and ex-US applications are directed to administering BXCL701 in combinations with various other molecules and dosing regimens. We expect that patents issuing from these applications, if any, will expire no earlier than 2039. Finally, we have four provisional applications directed to various dosing regimens and combination therapies. Any patents issuing from those applications are expected to expire between 2039 and 2041 at the earliest.</w:t>
      </w:r>
    </w:p>
    <w:p>
      <w:pPr>
        <w:spacing w:after="0" w:line="181"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We have filed patent applications to protect our proprietary drug programs in immuno-oncology, CNS and agitation. This encompasses our proprietary drug programs in immuno-oncology, CNS and agitation. These proprietary products and methods of use are covered in three separate PCT applications, four pending national phase applications and three pending United States provisional applications to date. However, we intend to file national phase patent applications in all other major counties (Europe, Canada, Japan, Australia and China) in the future. The term of individual patents depends upon the legal term for patents in the countries in which they are obtained. In most countries, including the United States, the patent term is 20 years from the earliest filing date of a non-provisional patent application. Depending upon the timing, duration and specifics of FDA approval of our product candidates, a United States patent we own or license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NDA, plus the time between the submission date of an NDA and the approval of that application. Only one patent applicable to an approved drug is eligible for the extension and the application for extension must be made prior to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69"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 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Relationship with BioXcel Corporation</w:t>
      </w:r>
    </w:p>
    <w:p>
      <w:pPr>
        <w:spacing w:after="0" w:line="229"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We are currently a 45.5% owned subsidiary of BioXcel and our pipeline compounds have been identified by applying BioXcel's R&amp;D engine, EvolverAI, for drug re-innovation.</w:t>
      </w:r>
    </w:p>
    <w:p>
      <w:pPr>
        <w:spacing w:after="0" w:line="17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Company has entered into an Amended and Restated Asset Contribution Agreement, pursuant to which BioXcel agreed to provide its rights, title and interest in BXCL501, BXCL701, BXCL502 and BXCL702, collectively, the “Candidates” or the BTI Business and all of the assets and liabilities associated to the Company in consideration for (i) 9,480,000 shares of our common stock, (ii) $1 million upon completion of our initial public offering, or IPO, (iii) $500,000 upon the later of the 12 month anniversary of an initial public offering and the first dosing of a patient in the bridging bioavailability/ bioequivalence study for the BXCL501 program, (iv) $500,000 upon the later of the 12 month anniversary of an initial public offering and the first dosing of a patient in the Phase 2 proof-of-concept open label monotherapy or combination trial with Keytruda for the BXCL701 program and (v) a one-time payment of $5,000,000 within 60 days after the achievement of $50,000,000 in cumulative net sales of any product or combination of products resulting from the development and commercialization of any one of the Candidates or a product derived therefrom. With the completion of the Company’s IPO in March 2018, $1 million was charged to Research and Development costs in connection with (ii) above and was paid on April 5, 2018. The Company paid $500,000 to BioXcel in connection with (iii) above in April 2019. In July 2019, the Company completed the first dosing of a patient in the combination trial of BXCL701 with Keytruda, and as a result the Company paid $500,000 to BioXcel in connection with (iv) above in July 2019.</w:t>
      </w:r>
    </w:p>
    <w:p>
      <w:pPr>
        <w:spacing w:after="0" w:line="171" w:lineRule="exact"/>
        <w:rPr>
          <w:sz w:val="20"/>
          <w:szCs w:val="20"/>
          <w:color w:val="auto"/>
        </w:rPr>
      </w:pPr>
    </w:p>
    <w:p>
      <w:pPr>
        <w:ind w:left="40" w:right="179" w:firstLine="324"/>
        <w:spacing w:after="0" w:line="270" w:lineRule="auto"/>
        <w:rPr>
          <w:sz w:val="20"/>
          <w:szCs w:val="20"/>
          <w:color w:val="auto"/>
        </w:rPr>
      </w:pPr>
      <w:r>
        <w:rPr>
          <w:rFonts w:ascii="Arial" w:cs="Arial" w:eastAsia="Arial" w:hAnsi="Arial"/>
          <w:sz w:val="17"/>
          <w:szCs w:val="17"/>
          <w:color w:val="auto"/>
        </w:rPr>
        <w:t>We entered into a Separation and Shared Services Agreement with BioXcel that took effect on June 30, 2017, as amended and restated on November 7, 2017 and March 6, 2020, or the Services Agreement, pursuant to which BioXcel agreed to allow us to continue to use its office space, equipment, services and leased employees based on the agreed upon terms and conditions for a payment of defined monthly and/or hourly fees.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Services provided by BioXcel through its subsidiaries in India and the United States will continue indefinitely, as agreed upon by the parties. These services are primarily for drug discovery and for chemical, manufacturing and controls cost.</w:t>
      </w:r>
    </w:p>
    <w:p>
      <w:pPr>
        <w:spacing w:after="0" w:line="181"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Under the Services Agreement, we have an option, exercisable until December 31, 2020,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spacing w:after="0" w:line="308" w:lineRule="auto"/>
        <w:rPr>
          <w:sz w:val="20"/>
          <w:szCs w:val="20"/>
          <w:color w:val="auto"/>
        </w:rPr>
      </w:pPr>
      <w:r>
        <w:rPr>
          <w:rFonts w:ascii="Arial" w:cs="Arial" w:eastAsia="Arial" w:hAnsi="Arial"/>
          <w:sz w:val="17"/>
          <w:szCs w:val="17"/>
          <w:color w:val="auto"/>
        </w:rPr>
        <w:t>discussing extending the product identification and related services that BioXcel would provide under the collaborative services agreement, however as of the date hereof we have not reached a definitive agreement.</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0" w:right="239" w:firstLine="324"/>
        <w:spacing w:after="0" w:line="218" w:lineRule="exact"/>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packaging, storage, record keeping, approval, advertising and promotion, distribution, post</w:t>
      </w:r>
      <w:r>
        <w:rPr>
          <w:rFonts w:ascii="MS PGothic" w:cs="MS PGothic" w:eastAsia="MS PGothic" w:hAnsi="MS PGothic"/>
          <w:sz w:val="17"/>
          <w:szCs w:val="17"/>
          <w:color w:val="auto"/>
        </w:rPr>
        <w:t>‑</w:t>
      </w:r>
      <w:r>
        <w:rPr>
          <w:rFonts w:ascii="Arial" w:cs="Arial" w:eastAsia="Arial" w:hAnsi="Arial"/>
          <w:sz w:val="17"/>
          <w:szCs w:val="17"/>
          <w:color w:val="auto"/>
        </w:rPr>
        <w:t>approval monitoring and reporting, sampling and export and import of our product candidates. A new drug must be approved by the FDA through the NDA process before it may be legally marketed in the United States.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225"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8"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70" w:lineRule="exact"/>
        <w:rPr>
          <w:sz w:val="20"/>
          <w:szCs w:val="20"/>
          <w:color w:val="auto"/>
        </w:rPr>
      </w:pPr>
    </w:p>
    <w:p>
      <w:pPr>
        <w:ind w:left="1020" w:right="219" w:hanging="328"/>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completion of extensive preclinical laboratory tests and preclinical animal studies, all performed in accordance with the FDA’s good laboratory practice, or GLP, requirements and other applicable regulations;</w:t>
      </w:r>
    </w:p>
    <w:p>
      <w:pPr>
        <w:spacing w:after="0" w:line="123" w:lineRule="exact"/>
        <w:rPr>
          <w:rFonts w:ascii="Arial" w:cs="Arial" w:eastAsia="Arial" w:hAnsi="Arial"/>
          <w:sz w:val="16"/>
          <w:szCs w:val="16"/>
          <w:color w:val="auto"/>
        </w:rPr>
      </w:pPr>
    </w:p>
    <w:p>
      <w:pPr>
        <w:ind w:left="1020" w:right="27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updated annually;</w:t>
      </w:r>
    </w:p>
    <w:p>
      <w:pPr>
        <w:spacing w:after="0" w:line="170" w:lineRule="exact"/>
        <w:rPr>
          <w:rFonts w:ascii="Arial" w:cs="Arial" w:eastAsia="Arial" w:hAnsi="Arial"/>
          <w:sz w:val="18"/>
          <w:szCs w:val="18"/>
          <w:color w:val="auto"/>
        </w:rPr>
      </w:pPr>
    </w:p>
    <w:p>
      <w:pPr>
        <w:ind w:left="1020" w:right="27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70" w:lineRule="exact"/>
        <w:rPr>
          <w:rFonts w:ascii="Arial" w:cs="Arial" w:eastAsia="Arial" w:hAnsi="Arial"/>
          <w:sz w:val="18"/>
          <w:szCs w:val="18"/>
          <w:color w:val="auto"/>
        </w:rPr>
      </w:pPr>
    </w:p>
    <w:p>
      <w:pPr>
        <w:ind w:left="1020" w:right="219" w:hanging="328"/>
        <w:spacing w:after="0" w:line="220" w:lineRule="exact"/>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good clinical practice, or GCP, requirements to establish the safety and efficacy of the product candidate for each proposed indication;</w:t>
      </w:r>
    </w:p>
    <w:p>
      <w:pPr>
        <w:spacing w:after="0" w:line="204"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clinical trials;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file the application for review;</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020" w:right="139" w:hanging="328"/>
        <w:spacing w:after="0" w:line="220" w:lineRule="exact"/>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facilities at which the API and finished drug product are produced and tested to assess compliance with cGMP regulations and to assure that the facilities, methods and controls are adequate to preserve the drug’s identity, strength, quality, and purity;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5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70"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permit commercial marketing of the product for particular indications for use in the United States; and</w:t>
      </w:r>
    </w:p>
    <w:p>
      <w:pPr>
        <w:spacing w:after="0" w:line="170" w:lineRule="exact"/>
        <w:rPr>
          <w:rFonts w:ascii="Arial" w:cs="Arial" w:eastAsia="Arial" w:hAnsi="Arial"/>
          <w:sz w:val="18"/>
          <w:szCs w:val="18"/>
          <w:color w:val="auto"/>
        </w:rPr>
      </w:pPr>
    </w:p>
    <w:p>
      <w:pPr>
        <w:ind w:left="1020" w:right="79" w:hanging="328"/>
        <w:spacing w:after="0" w:line="224" w:lineRule="exact"/>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compliance with any post</w:t>
      </w:r>
      <w:r>
        <w:rPr>
          <w:rFonts w:ascii="MS PGothic" w:cs="MS PGothic" w:eastAsia="MS PGothic" w:hAnsi="MS PGothic"/>
          <w:sz w:val="16"/>
          <w:szCs w:val="16"/>
          <w:color w:val="auto"/>
        </w:rPr>
        <w:t>‑</w:t>
      </w:r>
      <w:r>
        <w:rPr>
          <w:rFonts w:ascii="Arial" w:cs="Arial" w:eastAsia="Arial" w:hAnsi="Arial"/>
          <w:sz w:val="16"/>
          <w:szCs w:val="16"/>
          <w:color w:val="auto"/>
        </w:rPr>
        <w:t>approval requirements, including the potential requirement to implement a Risk Evaluation and Mitigation Strategy, or REMS, and the potential requirement to conduct post</w:t>
      </w:r>
      <w:r>
        <w:rPr>
          <w:rFonts w:ascii="MS PGothic" w:cs="MS PGothic" w:eastAsia="MS PGothic" w:hAnsi="MS PGothic"/>
          <w:sz w:val="16"/>
          <w:szCs w:val="16"/>
          <w:color w:val="auto"/>
        </w:rPr>
        <w:t>‑</w:t>
      </w:r>
      <w:r>
        <w:rPr>
          <w:rFonts w:ascii="Arial" w:cs="Arial" w:eastAsia="Arial" w:hAnsi="Arial"/>
          <w:sz w:val="16"/>
          <w:szCs w:val="16"/>
          <w:color w:val="auto"/>
        </w:rPr>
        <w:t>approval studies.</w:t>
      </w:r>
    </w:p>
    <w:p>
      <w:pPr>
        <w:spacing w:after="0" w:line="202" w:lineRule="exact"/>
        <w:rPr>
          <w:sz w:val="20"/>
          <w:szCs w:val="20"/>
          <w:color w:val="auto"/>
        </w:rPr>
      </w:pPr>
    </w:p>
    <w:p>
      <w:pPr>
        <w:ind w:left="40" w:right="139" w:firstLine="324"/>
        <w:spacing w:after="0" w:line="269" w:lineRule="auto"/>
        <w:rPr>
          <w:sz w:val="20"/>
          <w:szCs w:val="20"/>
          <w:color w:val="auto"/>
        </w:rPr>
      </w:pPr>
      <w:r>
        <w:rPr>
          <w:rFonts w:ascii="Arial" w:cs="Arial" w:eastAsia="Arial" w:hAnsi="Arial"/>
          <w:sz w:val="17"/>
          <w:szCs w:val="17"/>
          <w:color w:val="auto"/>
        </w:rPr>
        <w:t>Preclinical studies include laboratory evaluation of product chemistry, toxicity and formulation, as well as animal studies to assess potential safety and efficacy. Prior to beginning the first clinical trial with a product candidate in the United States, we must submit an IND to the FDA. An IND is a request for authorization from the FDA to administer an investigational drug product to humans. The central focus of an IND submission is on the general investigational plan and the protocol(s) for human studies. The IND also includes results of preclinical studies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w:t>
      </w:r>
    </w:p>
    <w:p>
      <w:pPr>
        <w:spacing w:after="0" w:line="17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Clinical trials involve the administration of the new investigational drug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w:t>
      </w:r>
    </w:p>
    <w:p>
      <w:pPr>
        <w:spacing w:after="0" w:line="192"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w:t>
      </w:r>
    </w:p>
    <w:p>
      <w:pPr>
        <w:spacing w:after="0" w:line="166" w:lineRule="exact"/>
        <w:rPr>
          <w:sz w:val="20"/>
          <w:szCs w:val="20"/>
          <w:color w:val="auto"/>
        </w:rPr>
      </w:pPr>
    </w:p>
    <w:p>
      <w:pPr>
        <w:ind w:left="40" w:right="239" w:firstLine="324"/>
        <w:spacing w:after="0" w:line="308" w:lineRule="auto"/>
        <w:rPr>
          <w:sz w:val="20"/>
          <w:szCs w:val="20"/>
          <w:color w:val="auto"/>
        </w:rPr>
      </w:pPr>
      <w:r>
        <w:rPr>
          <w:rFonts w:ascii="Arial" w:cs="Arial" w:eastAsia="Arial" w:hAnsi="Arial"/>
          <w:sz w:val="17"/>
          <w:szCs w:val="17"/>
          <w:color w:val="auto"/>
        </w:rPr>
        <w:t>The clinical investigation of a drug is generally divided into three phases. Although the phases are usually conducted sequentially, they may overlap or be combined. The three phases of an investigation are as follows:</w:t>
      </w:r>
    </w:p>
    <w:p>
      <w:pPr>
        <w:spacing w:after="0" w:line="142" w:lineRule="exact"/>
        <w:rPr>
          <w:sz w:val="20"/>
          <w:szCs w:val="20"/>
          <w:color w:val="auto"/>
        </w:rPr>
      </w:pPr>
    </w:p>
    <w:p>
      <w:pPr>
        <w:ind w:left="1020" w:right="139" w:hanging="328"/>
        <w:spacing w:after="0" w:line="277"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Phase 1. </w:t>
      </w:r>
      <w:r>
        <w:rPr>
          <w:rFonts w:ascii="Arial" w:cs="Arial" w:eastAsia="Arial" w:hAnsi="Arial"/>
          <w:sz w:val="17"/>
          <w:szCs w:val="17"/>
          <w:color w:val="auto"/>
        </w:rPr>
        <w:t>Phase 1 includes the initial introduction of an investigational new drug into humans. Phase 1</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trials are typically closely monitored and may be conducted in patients with the target disease or condition or in healthy volunteers. These studies are designed to evaluate the safety, dosage tolerance, metabolism and pharmacologic actions of the investigational drug in humans, the side effects associated with increasing doses, and if possible, to gain early evidence on effectiveness.</w:t>
      </w:r>
    </w:p>
    <w:p>
      <w:pPr>
        <w:spacing w:after="0" w:line="167" w:lineRule="exact"/>
        <w:rPr>
          <w:rFonts w:ascii="Arial" w:cs="Arial" w:eastAsia="Arial" w:hAnsi="Arial"/>
          <w:sz w:val="17"/>
          <w:szCs w:val="17"/>
          <w:color w:val="auto"/>
        </w:rPr>
      </w:pPr>
    </w:p>
    <w:p>
      <w:pPr>
        <w:ind w:left="1020" w:right="159" w:hanging="328"/>
        <w:spacing w:after="0" w:line="31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Phase 2. </w:t>
      </w:r>
      <w:r>
        <w:rPr>
          <w:rFonts w:ascii="Arial" w:cs="Arial" w:eastAsia="Arial" w:hAnsi="Arial"/>
          <w:sz w:val="16"/>
          <w:szCs w:val="16"/>
          <w:color w:val="auto"/>
        </w:rPr>
        <w:t>Phase 2 includes controlled clinical trials conducted to preliminarily or further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effectiveness of the investigational drug for a particular indication(s) in patients with the disease or condition under study, to determine dosage tolerance and optimal dosage, and to identify possible adverse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419"/>
        <w:spacing w:after="0" w:line="308" w:lineRule="auto"/>
        <w:rPr>
          <w:sz w:val="20"/>
          <w:szCs w:val="20"/>
          <w:color w:val="auto"/>
        </w:rPr>
      </w:pPr>
      <w:r>
        <w:rPr>
          <w:rFonts w:ascii="Arial" w:cs="Arial" w:eastAsia="Arial" w:hAnsi="Arial"/>
          <w:sz w:val="17"/>
          <w:szCs w:val="17"/>
          <w:color w:val="auto"/>
        </w:rPr>
        <w:t>side effects and safety risks associated with the drug. Multiple Phase 2 clinical trials may be conducted to obtain information prior to beginning larger and more expensive Phase 3 clinical trials.</w:t>
      </w:r>
    </w:p>
    <w:p>
      <w:pPr>
        <w:spacing w:after="0" w:line="142" w:lineRule="exact"/>
        <w:rPr>
          <w:sz w:val="20"/>
          <w:szCs w:val="20"/>
          <w:color w:val="auto"/>
        </w:rPr>
      </w:pPr>
    </w:p>
    <w:p>
      <w:pPr>
        <w:ind w:left="1020" w:right="159" w:hanging="328"/>
        <w:spacing w:after="0" w:line="220" w:lineRule="exact"/>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Phase 3. </w:t>
      </w:r>
      <w:r>
        <w:rPr>
          <w:rFonts w:ascii="Arial" w:cs="Arial" w:eastAsia="Arial" w:hAnsi="Arial"/>
          <w:sz w:val="17"/>
          <w:szCs w:val="17"/>
          <w:color w:val="auto"/>
        </w:rPr>
        <w:t>Phase 3 clinical trials are generally controlled clinical trials conducted in an expanded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generally at geographically dispersed clinical trial sites. They are performed after preliminary evidence suggesting effectiveness of the drug has been obtained, and are intended to further evaluate dosage, clinical effectiveness and safety, to establish the overall benefit</w:t>
      </w:r>
      <w:r>
        <w:rPr>
          <w:rFonts w:ascii="MS PGothic" w:cs="MS PGothic" w:eastAsia="MS PGothic" w:hAnsi="MS PGothic"/>
          <w:sz w:val="17"/>
          <w:szCs w:val="17"/>
          <w:color w:val="auto"/>
        </w:rPr>
        <w:t>‑</w:t>
      </w:r>
      <w:r>
        <w:rPr>
          <w:rFonts w:ascii="Arial" w:cs="Arial" w:eastAsia="Arial" w:hAnsi="Arial"/>
          <w:sz w:val="17"/>
          <w:szCs w:val="17"/>
          <w:color w:val="auto"/>
        </w:rPr>
        <w:t>risk relationship of the investigational drug product, and to provide an adequate basis for product approval.</w:t>
      </w:r>
    </w:p>
    <w:p>
      <w:pPr>
        <w:spacing w:after="0" w:line="205"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8"/>
          <w:szCs w:val="18"/>
          <w:color w:val="auto"/>
        </w:rPr>
        <w:t>A registrational or pivotal study is any clinical study, which is designed to meet regulatory agency requirements for the evaluation of a product candidate’s efficacy and safety such that it can be used to justify the approval of the product. Generally, registrational or pivotal studies are Phase 3 studies but may also be Phase 2 studies if the trial design provides a well</w:t>
      </w:r>
      <w:r>
        <w:rPr>
          <w:rFonts w:ascii="MS PGothic" w:cs="MS PGothic" w:eastAsia="MS PGothic" w:hAnsi="MS PGothic"/>
          <w:sz w:val="18"/>
          <w:szCs w:val="18"/>
          <w:color w:val="auto"/>
        </w:rPr>
        <w:t>‑</w:t>
      </w:r>
      <w:r>
        <w:rPr>
          <w:rFonts w:ascii="Arial" w:cs="Arial" w:eastAsia="Arial" w:hAnsi="Arial"/>
          <w:sz w:val="18"/>
          <w:szCs w:val="18"/>
          <w:color w:val="auto"/>
        </w:rPr>
        <w:t>controlled and reliable assessment of clinical benefit and risk, particularly in situations where there is an unmet medical need.</w:t>
      </w:r>
    </w:p>
    <w:p>
      <w:pPr>
        <w:spacing w:after="0" w:line="205" w:lineRule="exact"/>
        <w:rPr>
          <w:sz w:val="20"/>
          <w:szCs w:val="20"/>
          <w:color w:val="auto"/>
        </w:rPr>
      </w:pPr>
    </w:p>
    <w:p>
      <w:pPr>
        <w:ind w:left="40" w:right="219" w:firstLine="324"/>
        <w:spacing w:after="0" w:line="311" w:lineRule="auto"/>
        <w:rPr>
          <w:sz w:val="20"/>
          <w:szCs w:val="20"/>
          <w:color w:val="auto"/>
        </w:rPr>
      </w:pPr>
      <w:r>
        <w:rPr>
          <w:rFonts w:ascii="Arial" w:cs="Arial" w:eastAsia="Arial" w:hAnsi="Arial"/>
          <w:sz w:val="16"/>
          <w:szCs w:val="16"/>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49" w:lineRule="exact"/>
        <w:rPr>
          <w:sz w:val="20"/>
          <w:szCs w:val="20"/>
          <w:color w:val="auto"/>
        </w:rPr>
      </w:pPr>
    </w:p>
    <w:p>
      <w:pPr>
        <w:ind w:left="40" w:right="239" w:firstLine="324"/>
        <w:spacing w:after="0" w:line="272" w:lineRule="auto"/>
        <w:rPr>
          <w:sz w:val="20"/>
          <w:szCs w:val="20"/>
          <w:color w:val="auto"/>
        </w:rPr>
      </w:pPr>
      <w:r>
        <w:rPr>
          <w:rFonts w:ascii="Arial" w:cs="Arial" w:eastAsia="Arial" w:hAnsi="Arial"/>
          <w:sz w:val="17"/>
          <w:szCs w:val="17"/>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7"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6" w:lineRule="exact"/>
        <w:rPr>
          <w:sz w:val="20"/>
          <w:szCs w:val="20"/>
          <w:color w:val="auto"/>
        </w:rPr>
      </w:pPr>
    </w:p>
    <w:p>
      <w:pPr>
        <w:ind w:left="40" w:right="279" w:firstLine="324"/>
        <w:spacing w:after="0" w:line="293" w:lineRule="auto"/>
        <w:rPr>
          <w:sz w:val="20"/>
          <w:szCs w:val="20"/>
          <w:color w:val="auto"/>
        </w:rPr>
      </w:pPr>
      <w:r>
        <w:rPr>
          <w:rFonts w:ascii="Arial" w:cs="Arial" w:eastAsia="Arial" w:hAnsi="Arial"/>
          <w:sz w:val="16"/>
          <w:szCs w:val="16"/>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U.S. Review and Approval Process</w:t>
      </w:r>
    </w:p>
    <w:p>
      <w:pPr>
        <w:spacing w:after="0" w:line="225"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detailed investigational drug product information is submitted to the FDA in the form of an NDA requesting approval to market the product for one or more indications.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6"/>
          <w:szCs w:val="16"/>
          <w:color w:val="auto"/>
        </w:rPr>
        <w:t>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w:t>
      </w:r>
      <w:r>
        <w:rPr>
          <w:rFonts w:ascii="MS PGothic" w:cs="MS PGothic" w:eastAsia="MS PGothic" w:hAnsi="MS PGothic"/>
          <w:sz w:val="16"/>
          <w:szCs w:val="16"/>
          <w:color w:val="auto"/>
        </w:rPr>
        <w:t>‑</w:t>
      </w:r>
      <w:r>
        <w:rPr>
          <w:rFonts w:ascii="Arial" w:cs="Arial" w:eastAsia="Arial" w:hAnsi="Arial"/>
          <w:sz w:val="16"/>
          <w:szCs w:val="16"/>
          <w:color w:val="auto"/>
        </w:rPr>
        <w:t>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w:t>
      </w:r>
    </w:p>
    <w:p>
      <w:pPr>
        <w:spacing w:after="0" w:line="206" w:lineRule="exact"/>
        <w:rPr>
          <w:sz w:val="20"/>
          <w:szCs w:val="20"/>
          <w:color w:val="auto"/>
        </w:rPr>
      </w:pPr>
    </w:p>
    <w:p>
      <w:pPr>
        <w:ind w:left="40" w:right="219" w:firstLine="324"/>
        <w:spacing w:after="0" w:line="290" w:lineRule="auto"/>
        <w:rPr>
          <w:sz w:val="20"/>
          <w:szCs w:val="20"/>
          <w:color w:val="auto"/>
        </w:rPr>
      </w:pPr>
      <w:r>
        <w:rPr>
          <w:rFonts w:ascii="Arial" w:cs="Arial" w:eastAsia="Arial" w:hAnsi="Arial"/>
          <w:sz w:val="16"/>
          <w:szCs w:val="16"/>
          <w:color w:val="auto"/>
        </w:rPr>
        <w:t>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65" w:lineRule="exact"/>
        <w:rPr>
          <w:sz w:val="20"/>
          <w:szCs w:val="20"/>
          <w:color w:val="auto"/>
        </w:rPr>
      </w:pPr>
    </w:p>
    <w:p>
      <w:pPr>
        <w:ind w:left="40" w:right="199" w:firstLine="324"/>
        <w:spacing w:after="0" w:line="301"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8"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If a Complete Response Letter is issued, the sponsor must resubmit the NDA or, addressing all of the deficiencies identified in the letter, or withdraw the application. Even if such additional information is submitted, the FDA may ultimately decide that the NDA does not satisfy the criteria for approval.</w:t>
      </w:r>
    </w:p>
    <w:p>
      <w:pPr>
        <w:spacing w:after="0" w:line="18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The FDA could also approve the NDA with a REMS plan to mitigate risks. A REMS plan is a safety strategy to manage a known or potential serious risk associated with a medicine and to enable patients to have continued access to such medicines by managing their safe use,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 market studies or clinical trials. Such post market testing may include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The FDA may prevent or limit further marketing of a product based on the results of post marketing studies or surveillance programs. In addition, new government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color w:val="auto"/>
        </w:rPr>
        <w:t>requirements, including those resulting from new legislation, may be established, or the FDA’s policies may change, which could impact the timeline for regulatory approval or otherwise impact ongoing development programs.</w:t>
      </w:r>
    </w:p>
    <w:p>
      <w:pPr>
        <w:spacing w:after="0" w:line="146"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Orphan Drug Designation and Exclusivity</w:t>
      </w:r>
    </w:p>
    <w:p>
      <w:pPr>
        <w:spacing w:after="0" w:line="225"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The Orphan Drug Act provides incentives for the development of products intended to treat rare diseases or conditions. Under the Orphan Drug Act, the FDA may grant orphan drug designation to a drug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drug designation, however, does not convey any advantage in or shorten the duration of the regulatory review and approval process.</w:t>
      </w:r>
    </w:p>
    <w:p>
      <w:pPr>
        <w:spacing w:after="0" w:line="181" w:lineRule="exact"/>
        <w:rPr>
          <w:sz w:val="20"/>
          <w:szCs w:val="20"/>
          <w:color w:val="auto"/>
        </w:rPr>
      </w:pPr>
    </w:p>
    <w:p>
      <w:pPr>
        <w:ind w:left="40" w:right="99" w:firstLine="324"/>
        <w:spacing w:after="0" w:line="267" w:lineRule="auto"/>
        <w:rPr>
          <w:sz w:val="20"/>
          <w:szCs w:val="20"/>
          <w:color w:val="auto"/>
        </w:rPr>
      </w:pPr>
      <w:r>
        <w:rPr>
          <w:rFonts w:ascii="Arial" w:cs="Arial" w:eastAsia="Arial" w:hAnsi="Arial"/>
          <w:sz w:val="17"/>
          <w:szCs w:val="17"/>
          <w:color w:val="auto"/>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drug indication for which it received the designation, it will not be entitled to orphan drug exclusivity. Orphan drug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drug indication or disease as long as the products contain different active ingredients. Moreover, competitors may receive approval of different products for the indication for which the orphan drug product has exclusivity or obtain approval for the same product but for a different indication for which the orphan drug product has exclusivity. As a result, even if one of our product candidates receives orphan exclusivity, we may still be subject to competition. Orphan drug exclusivity also could block the approval of one of our products for seven years if a competitor obtains approval of the same drug or if our product candidate is determined to be contained within the competitor’s product for the same indication or disease.</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Expedited development and review programs</w:t>
      </w:r>
    </w:p>
    <w:p>
      <w:pPr>
        <w:spacing w:after="0" w:line="225"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8"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Drugs receiving accelerated approval may be subject to expedited withdrawal procedures if the sponsor fails to perform required post-marketing trials or if such trials fail to verify the predicted clinical benefit. In addition, the FDA currently requires pre-approval of promotional materials as a condition for accelerated approval, which could adversely impact the timing of the commercial launch of the product.</w:t>
      </w:r>
    </w:p>
    <w:p>
      <w:pPr>
        <w:spacing w:after="0" w:line="182" w:lineRule="exact"/>
        <w:rPr>
          <w:sz w:val="20"/>
          <w:szCs w:val="20"/>
          <w:color w:val="auto"/>
        </w:rPr>
      </w:pPr>
    </w:p>
    <w:p>
      <w:pPr>
        <w:ind w:left="40" w:right="99" w:firstLine="324"/>
        <w:spacing w:after="0" w:line="253"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4"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Fast track designation, breakthrough therapy designation and priority review and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Post-Approval Requirements</w:t>
      </w:r>
    </w:p>
    <w:p>
      <w:pPr>
        <w:spacing w:after="0" w:line="225"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6"/>
          <w:szCs w:val="16"/>
          <w:color w:val="auto"/>
        </w:rPr>
        <w:t>After regulatory approval of a drug product is obtained, we will be required to comply with a number of post approval requirements. As a holder of an approved NDA, we would be required to report, among other things, certain adverse reactions and production problems to the FDA, to provide updated safety and efficacy information, and to comply with requirements concerning advertising and promotional labeling for any of our products. After approval, most changes to the approved product, such as adding new indications or other labeling claims, are subject to prior FDA review and approval. There also are continuing, annual program fees for any marketed products. Also, quality control and manufacturing procedures must continue to conform to cGMP after approval to ensure and preserve the long term stability of the drug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In addition,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and effort in the area of production and quality control to maintain compliance with cGMP and other aspects of regulatory compliance.</w:t>
      </w:r>
    </w:p>
    <w:p>
      <w:pPr>
        <w:spacing w:after="0" w:line="170"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78" w:lineRule="exact"/>
        <w:rPr>
          <w:sz w:val="20"/>
          <w:szCs w:val="20"/>
          <w:color w:val="auto"/>
        </w:rPr>
      </w:pPr>
    </w:p>
    <w:p>
      <w:pPr>
        <w:ind w:left="1020" w:right="27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holds on clinical trials;</w:t>
      </w:r>
    </w:p>
    <w:p>
      <w:pPr>
        <w:spacing w:after="0" w:line="225" w:lineRule="exact"/>
        <w:rPr>
          <w:rFonts w:ascii="Arial" w:cs="Arial" w:eastAsia="Arial" w:hAnsi="Arial"/>
          <w:sz w:val="18"/>
          <w:szCs w:val="18"/>
          <w:color w:val="auto"/>
        </w:rPr>
      </w:pPr>
    </w:p>
    <w:p>
      <w:pPr>
        <w:ind w:left="1020" w:right="9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70" w:lineRule="exact"/>
        <w:rPr>
          <w:rFonts w:ascii="Arial" w:cs="Arial" w:eastAsia="Arial" w:hAnsi="Arial"/>
          <w:sz w:val="18"/>
          <w:szCs w:val="18"/>
          <w:color w:val="auto"/>
        </w:rPr>
      </w:pPr>
    </w:p>
    <w:p>
      <w:pPr>
        <w:ind w:left="1020" w:right="159" w:hanging="328"/>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consent decrees, corporate integrity agreements, debarment or exclusion from federal healthcare programs;</w:t>
      </w:r>
    </w:p>
    <w:p>
      <w:pPr>
        <w:spacing w:after="0" w:line="146" w:lineRule="exact"/>
        <w:rPr>
          <w:rFonts w:ascii="Arial" w:cs="Arial" w:eastAsia="Arial" w:hAnsi="Arial"/>
          <w:sz w:val="17"/>
          <w:szCs w:val="17"/>
          <w:color w:val="auto"/>
        </w:rPr>
      </w:pPr>
    </w:p>
    <w:p>
      <w:pPr>
        <w:ind w:left="1020" w:hanging="32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236" w:lineRule="exact"/>
        <w:rPr>
          <w:rFonts w:ascii="Arial" w:cs="Arial" w:eastAsia="Arial" w:hAnsi="Arial"/>
          <w:sz w:val="17"/>
          <w:szCs w:val="17"/>
          <w:color w:val="auto"/>
        </w:rPr>
      </w:pPr>
    </w:p>
    <w:p>
      <w:pPr>
        <w:ind w:left="1020" w:right="57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FDCA provides a five</w:t>
      </w:r>
      <w:r>
        <w:rPr>
          <w:rFonts w:ascii="MS PGothic" w:cs="MS PGothic" w:eastAsia="MS PGothic" w:hAnsi="MS PGothic"/>
          <w:sz w:val="16"/>
          <w:szCs w:val="16"/>
          <w:color w:val="auto"/>
        </w:rPr>
        <w:t>‑</w:t>
      </w:r>
      <w:r>
        <w:rPr>
          <w:rFonts w:ascii="Arial" w:cs="Arial" w:eastAsia="Arial" w:hAnsi="Arial"/>
          <w:sz w:val="16"/>
          <w:szCs w:val="16"/>
          <w:color w:val="auto"/>
        </w:rPr>
        <w:t>year period of non</w:t>
      </w:r>
      <w:r>
        <w:rPr>
          <w:rFonts w:ascii="MS PGothic" w:cs="MS PGothic" w:eastAsia="MS PGothic" w:hAnsi="MS PGothic"/>
          <w:sz w:val="16"/>
          <w:szCs w:val="16"/>
          <w:color w:val="auto"/>
        </w:rPr>
        <w:t>‑</w:t>
      </w:r>
      <w:r>
        <w:rPr>
          <w:rFonts w:ascii="Arial" w:cs="Arial" w:eastAsia="Arial" w:hAnsi="Arial"/>
          <w:sz w:val="16"/>
          <w:szCs w:val="16"/>
          <w:color w:val="auto"/>
        </w:rPr>
        <w:t>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w:t>
      </w:r>
      <w:r>
        <w:rPr>
          <w:rFonts w:ascii="MS PGothic" w:cs="MS PGothic" w:eastAsia="MS PGothic" w:hAnsi="MS PGothic"/>
          <w:sz w:val="16"/>
          <w:szCs w:val="16"/>
          <w:color w:val="auto"/>
        </w:rPr>
        <w:t>‑</w:t>
      </w:r>
      <w:r>
        <w:rPr>
          <w:rFonts w:ascii="Arial" w:cs="Arial" w:eastAsia="Arial" w:hAnsi="Arial"/>
          <w:sz w:val="16"/>
          <w:szCs w:val="16"/>
          <w:color w:val="auto"/>
        </w:rPr>
        <w:t>infringement.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firstLine="324"/>
        <w:spacing w:after="0" w:line="218" w:lineRule="exact"/>
        <w:rPr>
          <w:sz w:val="20"/>
          <w:szCs w:val="20"/>
          <w:color w:val="auto"/>
        </w:rPr>
      </w:pPr>
      <w:r>
        <w:rPr>
          <w:rFonts w:ascii="Arial" w:cs="Arial" w:eastAsia="Arial" w:hAnsi="Arial"/>
          <w:sz w:val="16"/>
          <w:szCs w:val="16"/>
          <w:color w:val="auto"/>
        </w:rPr>
        <w:t>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w:t>
      </w:r>
      <w:r>
        <w:rPr>
          <w:rFonts w:ascii="MS PGothic" w:cs="MS PGothic" w:eastAsia="MS PGothic" w:hAnsi="MS PGothic"/>
          <w:sz w:val="16"/>
          <w:szCs w:val="16"/>
          <w:color w:val="auto"/>
        </w:rPr>
        <w:t>‑</w:t>
      </w:r>
      <w:r>
        <w:rPr>
          <w:rFonts w:ascii="Arial" w:cs="Arial" w:eastAsia="Arial" w:hAnsi="Arial"/>
          <w:sz w:val="16"/>
          <w:szCs w:val="16"/>
          <w:color w:val="auto"/>
        </w:rPr>
        <w:t>year exclusivity covers only the modifications associated with the new clinical investigations and does not prohibit the FDA from approving ANDAs for drugs containing the original active pharmaceutical ingredient. Five</w:t>
      </w:r>
      <w:r>
        <w:rPr>
          <w:rFonts w:ascii="MS PGothic" w:cs="MS PGothic" w:eastAsia="MS PGothic" w:hAnsi="MS PGothic"/>
          <w:sz w:val="16"/>
          <w:szCs w:val="16"/>
          <w:color w:val="auto"/>
        </w:rPr>
        <w:t>‑</w:t>
      </w:r>
      <w:r>
        <w:rPr>
          <w:rFonts w:ascii="Arial" w:cs="Arial" w:eastAsia="Arial" w:hAnsi="Arial"/>
          <w:sz w:val="16"/>
          <w:szCs w:val="16"/>
          <w:color w:val="auto"/>
        </w:rPr>
        <w:t>year and three</w:t>
      </w:r>
      <w:r>
        <w:rPr>
          <w:rFonts w:ascii="MS PGothic" w:cs="MS PGothic" w:eastAsia="MS PGothic" w:hAnsi="MS PGothic"/>
          <w:sz w:val="16"/>
          <w:szCs w:val="16"/>
          <w:color w:val="auto"/>
        </w:rPr>
        <w:t>‑</w:t>
      </w:r>
      <w:r>
        <w:rPr>
          <w:rFonts w:ascii="Arial" w:cs="Arial" w:eastAsia="Arial" w:hAnsi="Arial"/>
          <w:sz w:val="16"/>
          <w:szCs w:val="16"/>
          <w:color w:val="auto"/>
        </w:rPr>
        <w:t>year exclusivity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necessary to demonstrate safety and effectiveness.</w:t>
      </w:r>
    </w:p>
    <w:p>
      <w:pPr>
        <w:spacing w:after="0" w:line="20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7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Amendments: 505(b)(2) Approval Process</w:t>
      </w:r>
    </w:p>
    <w:p>
      <w:pPr>
        <w:spacing w:after="0" w:line="22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Section 505(b)(2) of the FDCA provides an alternate regulatory pathway to FDA approval for new or improved formulations or new uses of previously approved drug products. Specifically, Section 505(b)(2) permits the filing of an NDA where at least some of the information required for approval comes from studies not conducted by or for the applicant and for which the applicant has not obtained a right of reference. The applicant may rely upon the FDA’s findings of safety and effectiveness for an approved product that acts as the Reference Listed Drug, or RLD. If the 505(b)(2) applicant can establish that reliance on FDA’s previous findings of safety and effectiveness is scientifically appropriate, it may eliminate the need to conduct certain preclinical or clinical studies of the new product. The FDA may also require 505(b)(2) applicants to perform additional studies or measurements to support the change from the RLD. The FDA may then approve the new product candidate for all or some of the labeled indications for which the referenced product has been approved, as well as for any new indication sought by the Section 505(b)(2) applicant.</w:t>
      </w:r>
    </w:p>
    <w:p>
      <w:pPr>
        <w:spacing w:after="0" w:line="185"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6"/>
          <w:szCs w:val="16"/>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rather than certify to a listed 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patent. 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w:t>
      </w:r>
      <w:r>
        <w:rPr>
          <w:rFonts w:ascii="MS PGothic" w:cs="MS PGothic" w:eastAsia="MS PGothic" w:hAnsi="MS PGothic"/>
          <w:sz w:val="16"/>
          <w:szCs w:val="16"/>
          <w:color w:val="auto"/>
        </w:rPr>
        <w:t>‑</w:t>
      </w:r>
      <w:r>
        <w:rPr>
          <w:rFonts w:ascii="Arial" w:cs="Arial" w:eastAsia="Arial" w:hAnsi="Arial"/>
          <w:sz w:val="16"/>
          <w:szCs w:val="16"/>
          <w:color w:val="auto"/>
        </w:rPr>
        <w:t>patent exclusivity listed in the Orange Book for the branded reference drug has expired.</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225" w:lineRule="exact"/>
        <w:rPr>
          <w:sz w:val="20"/>
          <w:szCs w:val="20"/>
          <w:color w:val="auto"/>
        </w:rPr>
      </w:pPr>
    </w:p>
    <w:p>
      <w:pPr>
        <w:ind w:left="40" w:right="219" w:firstLine="324"/>
        <w:spacing w:after="0" w:line="293" w:lineRule="auto"/>
        <w:rPr>
          <w:sz w:val="20"/>
          <w:szCs w:val="20"/>
          <w:color w:val="auto"/>
        </w:rPr>
      </w:pPr>
      <w:r>
        <w:rPr>
          <w:rFonts w:ascii="Arial" w:cs="Arial" w:eastAsia="Arial" w:hAnsi="Arial"/>
          <w:sz w:val="16"/>
          <w:szCs w:val="16"/>
          <w:color w:val="auto"/>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75" w:lineRule="auto"/>
        <w:rPr>
          <w:sz w:val="20"/>
          <w:szCs w:val="20"/>
          <w:color w:val="auto"/>
        </w:rPr>
      </w:pPr>
      <w:r>
        <w:rPr>
          <w:rFonts w:ascii="Arial" w:cs="Arial" w:eastAsia="Arial" w:hAnsi="Arial"/>
          <w:sz w:val="17"/>
          <w:szCs w:val="17"/>
          <w:color w:val="auto"/>
        </w:rPr>
        <w:t>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76"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7"/>
          <w:szCs w:val="17"/>
          <w:color w:val="auto"/>
        </w:rPr>
        <w:t>To obtain regulatory approval of an investigational drug under European Union regulatory systems, we must submit a marketing authorization application. The application used to file the NDA in the United States is similar to that required in Europe, with the exception of, among other things, country</w:t>
      </w:r>
      <w:r>
        <w:rPr>
          <w:rFonts w:ascii="MS PGothic" w:cs="MS PGothic" w:eastAsia="MS PGothic" w:hAnsi="MS PGothic"/>
          <w:sz w:val="17"/>
          <w:szCs w:val="17"/>
          <w:color w:val="auto"/>
        </w:rPr>
        <w:t>‑</w:t>
      </w:r>
      <w:r>
        <w:rPr>
          <w:rFonts w:ascii="Arial" w:cs="Arial" w:eastAsia="Arial" w:hAnsi="Arial"/>
          <w:sz w:val="17"/>
          <w:szCs w:val="17"/>
          <w:color w:val="auto"/>
        </w:rPr>
        <w:t>specific document requirements. 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206"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Centralized Procedure</w:t>
      </w:r>
    </w:p>
    <w:p>
      <w:pPr>
        <w:spacing w:after="0" w:line="185"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In the European Economic Area (EEA), which is comprised of the 27 EU member states plus Iceland, Liechtenstein, and Norway, and the United Kingdom (until the end of the transition period on 31 December, 2020 provided for in the Withdrawal Agreement between the EU and the UK), the European Medicines Agency, or EMA, has responsibility for reviewing applications for the approval of human medicines under the Centralized Procedure. This procedure results in a single marketing authorization issued by the European Commission following a favorable opinion by the EEA. The centralized procedure is compulsory for human medicines that are derived from biotechnology processes, advanced therapy medicinal products (such as gene therapy, somatic cell therapy and tissue engineered products), and medicinal products that contain a new active 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for products containing a new active substance not yet authorized in the EEA, or for products that constitute a significant therapeutic, scientific or technical innovation or which are in the interest of public health in the EU.</w:t>
      </w:r>
    </w:p>
    <w:p>
      <w:pPr>
        <w:spacing w:after="0" w:line="186"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There are also two other possible routes to authorize medicinal products in several EEA countries, which are available for investigational medicinal products that fall outside the scope of the centralized procedure the decentralized procedure and the mutual recognition procedure. Under the decentralized procedure, an applicant may apply for simultaneous authorization in more than one EEA country for medicinal products that have not yet been authorized in any EEA country. Under the mutual recognition procedure, a medicine is first authorized in one EEA member state, in accordance with the national procedures of that country. Following a national authorization, the applicant may seek further marketing authorizations from other EEA countries under a procedure whereby the countries concerned agree to recognize the validity of the original national marketing authorization.</w:t>
      </w:r>
    </w:p>
    <w:p>
      <w:pPr>
        <w:spacing w:after="0" w:line="178"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In the EEA, medicinal products designated as orphan drug products benefit from financial incentives such as reductions in marketing authorization application fees or fee waivers and 10 years of marketing exclusivity following medicinal product approval. For a medicinal product to qualify as orphan drugs (i) it must be intended for the treatment, prevention or diagnosis of a disease that is life 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Accelerated Review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Based on results of the Phase 3 clinical trial(s) submitted in an NDA, upon the request of an applicant, the FDA may grant the NDA a priority review designation, which sets the target date for FDA action on the application at six months. Priority review is granted where preliminary estimates indicate that a product, if approved, has the potential to provide a safe and effective therapy where no satisfactory alternative therapy exists, or a significant improvement compared to marketed products is possible. If criteria are not met for priority review, the NDA is subject to the standard FDA review period of 10 months. Priority review designation does not change the scientific/medical standard for approval or the quality of evidence necessary to support approval.</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Centralized Procedure in the EEA, the maximum timeframe for the evaluation of a marketing authorization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application is 210 days (excluding clock stops, when additional written or oral information is to be provided by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applicant in response to questions asked by the Committee for Medicinal Product for Human Use or CHMP, accelerated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evaluation might be granted by the CHMP in exceptional cases when a medicinal product is expected to be of a major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public health interest, defined by three cumulative criteria: the seriousness of the disease (e.g. heavy disabling or</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threatening diseases) to be treated; the absence or insufficiency of an appropriate alternative therapeutic approach;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anticipation of high therapeutic benefit. In this circumstance, EMA ensures that the opinion of the CHMP is given within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150 days, excluding clock stops.</w:t>
      </w:r>
    </w:p>
    <w:p>
      <w:pPr>
        <w:spacing w:after="0" w:line="211"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There can be no assurance that we or any of our partners would be able to satisfy one or more of these requirements to conduct preclinical or clinical trials or receive any regulatory approvals.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Significant uncertainty exists as to the coverage and reimbursement status of any drug products for which we obtain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regulatory approval. In the United States and markets in other countries, sales of any products for which we receive</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regulatory approval for commercial sale will depend in part on the availability of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administrative authorities, managed care providers, private health insurers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other organizations. The process for determining whether a payor will provide coverage for a drug product may be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separate from the process for setting the price or reimbursement rate that the payor will pay for the drug product.</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drug products on an approved list, or formulary, which might not include</w:t>
      </w:r>
    </w:p>
    <w:p>
      <w:pPr>
        <w:spacing w:after="0" w:line="32"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all of the FDA</w:t>
      </w:r>
      <w:r>
        <w:rPr>
          <w:rFonts w:ascii="MS PGothic" w:cs="MS PGothic" w:eastAsia="MS PGothic" w:hAnsi="MS PGothic"/>
          <w:sz w:val="17"/>
          <w:szCs w:val="17"/>
          <w:color w:val="auto"/>
        </w:rPr>
        <w:t>‑</w:t>
      </w:r>
      <w:r>
        <w:rPr>
          <w:rFonts w:ascii="Arial" w:cs="Arial" w:eastAsia="Arial" w:hAnsi="Arial"/>
          <w:sz w:val="17"/>
          <w:szCs w:val="17"/>
          <w:color w:val="auto"/>
        </w:rPr>
        <w:t>approved drugs for a particular indication. Third</w:t>
      </w:r>
      <w:r>
        <w:rPr>
          <w:rFonts w:ascii="MS PGothic" w:cs="MS PGothic" w:eastAsia="MS PGothic" w:hAnsi="MS PGothic"/>
          <w:sz w:val="17"/>
          <w:szCs w:val="17"/>
          <w:color w:val="auto"/>
        </w:rPr>
        <w:t>‑</w:t>
      </w:r>
      <w:r>
        <w:rPr>
          <w:rFonts w:ascii="Arial" w:cs="Arial" w:eastAsia="Arial" w:hAnsi="Arial"/>
          <w:sz w:val="17"/>
          <w:szCs w:val="17"/>
          <w:color w:val="auto"/>
        </w:rPr>
        <w:t>party payors are increasingly challenging the price and</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efficacy. We may need to conduct expensive pharmacoeconomic studies in order to demonstrate the medical necessity and</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FDA approvals. Our product candidates may</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A payor’s decision to provide coverage for a drug product does not</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imply that an adequate reimbursement rate will be approved. Adequate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may not be available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enable us to maintain price levels sufficient to realize an appropriate return on our investment in product development.</w:t>
      </w:r>
    </w:p>
    <w:p>
      <w:pPr>
        <w:spacing w:after="0" w:line="22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2003, the U.S. government enacted legislation providing a partial prescription drug benefit for Medicare beneficiaries,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w:t>
      </w:r>
    </w:p>
    <w:p>
      <w:pPr>
        <w:spacing w:after="0" w:line="176"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Further, in March 2010, the Patient Protection and Affordable Care Act, as amended by the Health Care and Education Reconciliation Act, or ACA, was enacted and the Healthcare Reform Law substantially changes the way healthcare is financed in the United States by both government and private insurers. Among other cost containment measures, the ACA established:</w:t>
      </w:r>
    </w:p>
    <w:p>
      <w:pPr>
        <w:spacing w:after="0" w:line="187" w:lineRule="exact"/>
        <w:rPr>
          <w:sz w:val="20"/>
          <w:szCs w:val="20"/>
          <w:color w:val="auto"/>
        </w:rPr>
      </w:pPr>
    </w:p>
    <w:p>
      <w:pPr>
        <w:ind w:left="1020" w:right="31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139" w:hanging="328"/>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or the “donut hole”; and</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new formula that increases the rebates a manufacturer must pay under the Medicaid Drug Rebate Program.</w:t>
      </w:r>
    </w:p>
    <w:p>
      <w:pPr>
        <w:spacing w:after="0" w:line="248"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For example, the Tax Cuts and Jobs Act, or the Tax Act, was enacted in 2017, which, among other things, removes penalties for not complying with the Affordable Care Act’s individual mandate to carry health insurance. On December 14, 2018, a U.S. District Court Judge in the Northern District of Texas,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if any, or other efforts to challenge, repeal or replace the Affordable Care Act will impact the law, or our business or financial condition. In addition, we expect that federal, state and local governments in the United States will continue to consider legislation to limit the growth of healthcare costs, including the cost of prescription drugs. Future legislation could limit payments for pharmaceuticals such as the product candidates that we are developing.</w:t>
      </w:r>
    </w:p>
    <w:p>
      <w:pPr>
        <w:spacing w:after="0" w:line="168"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w:t>
      </w:r>
      <w:r>
        <w:rPr>
          <w:rFonts w:ascii="MS PGothic" w:cs="MS PGothic" w:eastAsia="MS PGothic" w:hAnsi="MS PGothic"/>
          <w:sz w:val="17"/>
          <w:szCs w:val="17"/>
          <w:color w:val="auto"/>
        </w:rPr>
        <w:t>‑</w:t>
      </w:r>
      <w:r>
        <w:rPr>
          <w:rFonts w:ascii="Arial" w:cs="Arial" w:eastAsia="Arial" w:hAnsi="Arial"/>
          <w:sz w:val="17"/>
          <w:szCs w:val="17"/>
          <w:color w:val="auto"/>
        </w:rPr>
        <w:t>border imports from low</w:t>
      </w:r>
      <w:r>
        <w:rPr>
          <w:rFonts w:ascii="MS PGothic" w:cs="MS PGothic" w:eastAsia="MS PGothic" w:hAnsi="MS PGothic"/>
          <w:sz w:val="17"/>
          <w:szCs w:val="17"/>
          <w:color w:val="auto"/>
        </w:rPr>
        <w:t>‑</w:t>
      </w:r>
      <w:r>
        <w:rPr>
          <w:rFonts w:ascii="Arial" w:cs="Arial" w:eastAsia="Arial" w:hAnsi="Arial"/>
          <w:sz w:val="17"/>
          <w:szCs w:val="17"/>
          <w:color w:val="auto"/>
        </w:rPr>
        <w:t>priced markets exert a commercial pressure on pricing within a country.</w:t>
      </w:r>
    </w:p>
    <w:p>
      <w:pPr>
        <w:spacing w:after="0" w:line="210" w:lineRule="exact"/>
        <w:rPr>
          <w:sz w:val="20"/>
          <w:szCs w:val="20"/>
          <w:color w:val="auto"/>
        </w:rPr>
      </w:pPr>
    </w:p>
    <w:p>
      <w:pPr>
        <w:ind w:left="40" w:right="219" w:firstLine="324"/>
        <w:spacing w:after="0" w:line="219" w:lineRule="exact"/>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w:t>
      </w:r>
      <w:r>
        <w:rPr>
          <w:rFonts w:ascii="MS PGothic" w:cs="MS PGothic" w:eastAsia="MS PGothic" w:hAnsi="MS PGothic"/>
          <w:sz w:val="17"/>
          <w:szCs w:val="17"/>
          <w:color w:val="auto"/>
        </w:rPr>
        <w:t>‑</w:t>
      </w:r>
      <w:r>
        <w:rPr>
          <w:rFonts w:ascii="Arial" w:cs="Arial" w:eastAsia="Arial" w:hAnsi="Arial"/>
          <w:sz w:val="17"/>
          <w:szCs w:val="17"/>
          <w:color w:val="auto"/>
        </w:rPr>
        <w:t>party payors fail to provide adequate coverage and reimbursement. In addition, an increasing emphasis on managed care in the United States has increased and we expect will continue to increase the pressure on pharmaceutical pricing. Coverage policies and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pacing w:after="0" w:line="202"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In order to raise sufficient financial resources to continue to advance our product candidates, we will need to address pricing pressures and potential third-party reimbursement coverage for our product candidates. In the United States and elsewhere, sales of pharmaceutical products depend in significant part on the availability of reimbursement to the consumer from third party payors, such as government and private insurance plans. Third 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 effective, and coverage and reimbursement may not be available or sufficient to allow us to sell our products on a competitive and profitable basis.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40" w:right="159" w:firstLine="648"/>
        <w:spacing w:after="0" w:line="220" w:lineRule="exact"/>
        <w:rPr>
          <w:sz w:val="20"/>
          <w:szCs w:val="20"/>
          <w:color w:val="auto"/>
        </w:rPr>
      </w:pPr>
      <w:r>
        <w:rPr>
          <w:rFonts w:ascii="Arial" w:cs="Arial" w:eastAsia="Arial" w:hAnsi="Arial"/>
          <w:sz w:val="17"/>
          <w:szCs w:val="17"/>
          <w:color w:val="auto"/>
        </w:rPr>
        <w:t>If we obtain regulatory approval for any of our product candidates, we may be subject to various federal and state laws targeting fraud and abuse in the healthcare industry. For example, in the United States, there are federal and state anti</w:t>
      </w:r>
      <w:r>
        <w:rPr>
          <w:rFonts w:ascii="MS PGothic" w:cs="MS PGothic" w:eastAsia="MS PGothic" w:hAnsi="MS PGothic"/>
          <w:sz w:val="17"/>
          <w:szCs w:val="17"/>
          <w:color w:val="auto"/>
        </w:rPr>
        <w:t>‑</w:t>
      </w:r>
      <w:r>
        <w:rPr>
          <w:rFonts w:ascii="Arial" w:cs="Arial" w:eastAsia="Arial" w:hAnsi="Arial"/>
          <w:sz w:val="17"/>
          <w:szCs w:val="17"/>
          <w:color w:val="auto"/>
        </w:rPr>
        <w:t>kickback laws that prohibit the payment or receipt of kickbacks, bribes or other remuneration intended to induce the purchase or recommendation of healthcare products and services or reward past purchases 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recommendations. Violations of these laws can lead to civil and criminal penalties, including fines, imprisonment and exclusion from participation in federal healthcare programs.</w:t>
      </w:r>
    </w:p>
    <w:p>
      <w:pPr>
        <w:spacing w:after="0" w:line="170"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federal Anti 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A person or entity does not need to have actual knowledge of this statute or specific intent to violate it in order to have committed a violation. Many states have adopted laws similar to the federal Anti Kickback Statute, some of which apply to the referral of patients for healthcare items or services reimbursed by any source, not only the Medicare and Medicaid programs.</w:t>
      </w:r>
    </w:p>
    <w:p>
      <w:pPr>
        <w:spacing w:after="0" w:line="195" w:lineRule="exact"/>
        <w:rPr>
          <w:sz w:val="20"/>
          <w:szCs w:val="20"/>
          <w:color w:val="auto"/>
        </w:rPr>
      </w:pPr>
    </w:p>
    <w:p>
      <w:pPr>
        <w:ind w:left="40" w:right="139" w:firstLine="648"/>
        <w:spacing w:after="0" w:line="269" w:lineRule="auto"/>
        <w:rPr>
          <w:sz w:val="20"/>
          <w:szCs w:val="20"/>
          <w:color w:val="auto"/>
        </w:rPr>
      </w:pPr>
      <w:r>
        <w:rPr>
          <w:rFonts w:ascii="Arial" w:cs="Arial" w:eastAsia="Arial" w:hAnsi="Arial"/>
          <w:sz w:val="17"/>
          <w:szCs w:val="17"/>
          <w:color w:val="auto"/>
        </w:rPr>
        <w:t>The federal False Claims Act imposes liability on any person who, among other things, knowingly presents, or causes to be presented, a false or fraudulent claim for payment by a federal healthcare program. In addition, the government may assert that a claim including items or services resulting from a violation of the federal Anti 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 party payer and not merely a federal healthcare program. When an entity is determined to have violated the False Claims Act, it may be required to pay up to three times the actual damages sustained by the government, plus significant civil penalties for each separate false claim.</w:t>
      </w:r>
    </w:p>
    <w:p>
      <w:pPr>
        <w:spacing w:after="0" w:line="185" w:lineRule="exact"/>
        <w:rPr>
          <w:sz w:val="20"/>
          <w:szCs w:val="20"/>
          <w:color w:val="auto"/>
        </w:rPr>
      </w:pPr>
    </w:p>
    <w:p>
      <w:pPr>
        <w:ind w:left="40" w:right="159" w:firstLine="324"/>
        <w:spacing w:after="0" w:line="219" w:lineRule="exact"/>
        <w:rPr>
          <w:sz w:val="20"/>
          <w:szCs w:val="20"/>
          <w:color w:val="auto"/>
        </w:rPr>
      </w:pPr>
      <w:r>
        <w:rPr>
          <w:rFonts w:ascii="Arial" w:cs="Arial" w:eastAsia="Arial" w:hAnsi="Arial"/>
          <w:sz w:val="18"/>
          <w:szCs w:val="18"/>
          <w:color w:val="auto"/>
        </w:rPr>
        <w:t>Also, the Health Insurance Portability and Accountability Act of 1996, or HIPAA, created several new federal crimes, including healthcare fraud, and false statements relating to healthcare matters. The health care fraud statute prohibits knowingly and willfully executing a scheme to defraud any health 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203"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Similar to the federal Anti-Kickback Statute, a person or entity does not need to have actual knowledge of this statute or specific intent to violate it in order to have committed a violation.</w:t>
      </w:r>
    </w:p>
    <w:p>
      <w:pPr>
        <w:spacing w:after="0" w:line="170"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The Physician Payment Sunshine Act, or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 party as directed by that entity, to physicians (defined to include doctors, dentists, optometrists, podiatrists and chiropractors), certain other healthcare providers starting in 2022, and teaching hospitals, or to third parties on behalf of such providers, during the course of the preceding calendar year. Failure to comply with the reporting requirements can result in significant civil monetary penalties for any payment or other transfer of value that is not reported.</w:t>
      </w:r>
    </w:p>
    <w:p>
      <w:pPr>
        <w:spacing w:after="0" w:line="192" w:lineRule="exact"/>
        <w:rPr>
          <w:sz w:val="20"/>
          <w:szCs w:val="20"/>
          <w:color w:val="auto"/>
        </w:rPr>
      </w:pPr>
    </w:p>
    <w:p>
      <w:pPr>
        <w:ind w:left="40" w:right="419" w:firstLine="324"/>
        <w:spacing w:after="0" w:line="279" w:lineRule="auto"/>
        <w:rPr>
          <w:sz w:val="20"/>
          <w:szCs w:val="20"/>
          <w:color w:val="auto"/>
        </w:rPr>
      </w:pPr>
      <w:r>
        <w:rPr>
          <w:rFonts w:ascii="Arial" w:cs="Arial" w:eastAsia="Arial" w:hAnsi="Arial"/>
          <w:sz w:val="17"/>
          <w:szCs w:val="17"/>
          <w:color w:val="auto"/>
        </w:rPr>
        <w:t>Violations of any of these laws or any other governmental laws and regulations that may apply include, without limitation,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w:t>
      </w:r>
    </w:p>
    <w:p>
      <w:pPr>
        <w:spacing w:after="0" w:line="171"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In addition, we may be subject to data privacy and security laws, including, without limitation, HIPAA, as amended by the Health Information Technology for Economic and Clinical Health Act, or HITECH, and its implementing regulations, which established uniform standards for certain “covered entities” (healthcare providers, health plans and healthcare clearinghouses) and their business associates governing the conduct of certain electronic healthcare transactions and protecting the security and privacy of protected health information. In addition, certain state laws govern the privacy and security of health information in certain circumstances, many of which differ from each other in significant ways, thus complicating compliance efforts. For example, California recently enacted legislation, the California Consumer Privacy Act, or CCPA, which went into effect January 1, 2020. The CCPA, among other things,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0" w:right="219" w:firstLine="648"/>
        <w:spacing w:after="0" w:line="220" w:lineRule="exact"/>
        <w:rPr>
          <w:sz w:val="20"/>
          <w:szCs w:val="20"/>
          <w:color w:val="auto"/>
        </w:rPr>
      </w:pPr>
      <w:r>
        <w:rPr>
          <w:rFonts w:ascii="Arial" w:cs="Arial" w:eastAsia="Arial" w:hAnsi="Arial"/>
          <w:sz w:val="18"/>
          <w:szCs w:val="18"/>
          <w:color w:val="auto"/>
        </w:rPr>
        <w:t>As of December 31, 2019, we employed a total of 24 full</w:t>
      </w:r>
      <w:r>
        <w:rPr>
          <w:rFonts w:ascii="MS PGothic" w:cs="MS PGothic" w:eastAsia="MS PGothic" w:hAnsi="MS PGothic"/>
          <w:sz w:val="18"/>
          <w:szCs w:val="18"/>
          <w:color w:val="auto"/>
        </w:rPr>
        <w:t>‑</w:t>
      </w:r>
      <w:r>
        <w:rPr>
          <w:rFonts w:ascii="Arial" w:cs="Arial" w:eastAsia="Arial" w:hAnsi="Arial"/>
          <w:sz w:val="18"/>
          <w:szCs w:val="18"/>
          <w:color w:val="auto"/>
        </w:rPr>
        <w:t>time employees. In addition, we have access to certain BioXcel employees and resources through various agreements we have entered into with BioXcel. We are not a party to any collective bargaining agreements. We believe that we maintain good relations with our employees and also that of the Parent.</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243" w:lineRule="exact"/>
        <w:rPr>
          <w:sz w:val="20"/>
          <w:szCs w:val="20"/>
          <w:color w:val="auto"/>
        </w:rPr>
      </w:pPr>
    </w:p>
    <w:p>
      <w:pPr>
        <w:jc w:val="both"/>
        <w:ind w:left="40" w:right="79" w:firstLine="500"/>
        <w:spacing w:after="0" w:line="263" w:lineRule="auto"/>
        <w:rPr>
          <w:sz w:val="20"/>
          <w:szCs w:val="20"/>
          <w:color w:val="auto"/>
        </w:rPr>
      </w:pPr>
      <w:r>
        <w:rPr>
          <w:rFonts w:ascii="Arial" w:cs="Arial" w:eastAsia="Arial" w:hAnsi="Arial"/>
          <w:sz w:val="18"/>
          <w:szCs w:val="18"/>
          <w:color w:val="auto"/>
        </w:rPr>
        <w:t>We were incorporated as a Delaware corporation on March 29, 2017 as a wholly-owned subsidiary of BioXcel. Our principal executive offices are located at 555 Long Wharf Drive, New Haven, CT 06511 and our telephone number is (475) 238-6837.</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ind w:left="40" w:right="99" w:firstLine="500"/>
        <w:spacing w:after="0" w:line="255" w:lineRule="auto"/>
        <w:rPr>
          <w:sz w:val="20"/>
          <w:szCs w:val="20"/>
          <w:color w:val="auto"/>
        </w:rPr>
      </w:pPr>
      <w:r>
        <w:rPr>
          <w:rFonts w:ascii="Arial" w:cs="Arial" w:eastAsia="Arial" w:hAnsi="Arial"/>
          <w:sz w:val="18"/>
          <w:szCs w:val="18"/>
          <w:color w:val="auto"/>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 Our website and the information contained on or through that site are not incorporated into this Annual Report on Form 10-K.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9"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64" w:lineRule="exact"/>
        <w:rPr>
          <w:sz w:val="20"/>
          <w:szCs w:val="20"/>
          <w:color w:val="auto"/>
        </w:rPr>
      </w:pPr>
    </w:p>
    <w:p>
      <w:pPr>
        <w:ind w:left="40" w:right="79" w:firstLine="324"/>
        <w:spacing w:after="0" w:line="279" w:lineRule="auto"/>
        <w:rPr>
          <w:sz w:val="20"/>
          <w:szCs w:val="20"/>
          <w:color w:val="auto"/>
        </w:rPr>
      </w:pPr>
      <w:r>
        <w:rPr>
          <w:rFonts w:ascii="Arial" w:cs="Arial" w:eastAsia="Arial" w:hAnsi="Arial"/>
          <w:sz w:val="17"/>
          <w:szCs w:val="17"/>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71" w:lineRule="exact"/>
        <w:rPr>
          <w:sz w:val="20"/>
          <w:szCs w:val="20"/>
          <w:color w:val="auto"/>
        </w:rPr>
      </w:pPr>
    </w:p>
    <w:p>
      <w:pPr>
        <w:ind w:left="40" w:right="27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$33.0 million and $19.3 million for the years ended December 31, 2019 and 2018 respectively. As of December 31, 2019, we had stockholders’ equity of $26.9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8" w:lineRule="exact"/>
        <w:rPr>
          <w:sz w:val="20"/>
          <w:szCs w:val="20"/>
          <w:color w:val="auto"/>
        </w:rPr>
      </w:pPr>
    </w:p>
    <w:p>
      <w:pPr>
        <w:ind w:left="1020" w:hanging="32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3" w:lineRule="exact"/>
        <w:rPr>
          <w:rFonts w:ascii="Arial" w:cs="Arial" w:eastAsia="Arial" w:hAnsi="Arial"/>
          <w:sz w:val="18"/>
          <w:szCs w:val="18"/>
          <w:color w:val="auto"/>
        </w:rPr>
      </w:pPr>
    </w:p>
    <w:p>
      <w:pPr>
        <w:ind w:left="1020" w:right="619" w:hanging="328"/>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ind w:left="1020" w:right="619" w:hanging="328"/>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ind w:left="1020" w:hanging="32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9" w:lineRule="exact"/>
        <w:rPr>
          <w:rFonts w:ascii="Arial" w:cs="Arial" w:eastAsia="Arial" w:hAnsi="Arial"/>
          <w:sz w:val="18"/>
          <w:szCs w:val="18"/>
          <w:color w:val="auto"/>
        </w:rPr>
      </w:pPr>
    </w:p>
    <w:p>
      <w:pPr>
        <w:ind w:left="1020" w:right="199" w:hanging="328"/>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ind w:left="1020" w:right="139" w:hanging="328"/>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ind w:left="1020" w:hanging="32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78"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40" w:right="19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recurring losses from operations raise substantial doubt regarding our ability to continue as a going concern.</w:t>
      </w:r>
    </w:p>
    <w:p>
      <w:pPr>
        <w:spacing w:after="0" w:line="248"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We currently operate with limited resources. We have incurred significant losses since our inception and have never generated revenue or profit, and it is possible we will never generate revenue or profit. For information about our liquidity and capital resources, see Part II, Item 7 “Management’s Discussion and Analysis of Financial Condition and Results of Operations — Liquidity and Capital Resources.” There can be no assurances that additional financing will be available to us on satisfactory terms, or at all.</w:t>
      </w:r>
    </w:p>
    <w:p>
      <w:pPr>
        <w:spacing w:after="0" w:line="188" w:lineRule="exact"/>
        <w:rPr>
          <w:sz w:val="20"/>
          <w:szCs w:val="20"/>
          <w:color w:val="auto"/>
        </w:rPr>
      </w:pPr>
    </w:p>
    <w:p>
      <w:pPr>
        <w:ind w:left="40" w:right="179" w:firstLine="324"/>
        <w:spacing w:after="0" w:line="270" w:lineRule="auto"/>
        <w:rPr>
          <w:sz w:val="20"/>
          <w:szCs w:val="20"/>
          <w:color w:val="auto"/>
        </w:rPr>
      </w:pPr>
      <w:r>
        <w:rPr>
          <w:rFonts w:ascii="Arial" w:cs="Arial" w:eastAsia="Arial" w:hAnsi="Arial"/>
          <w:sz w:val="17"/>
          <w:szCs w:val="17"/>
          <w:color w:val="auto"/>
        </w:rPr>
        <w:t>Securing additional financing may divert our management from our day-to-day activities, which may adversely affect our ability to develop and commercialize any of our product candidates. In addition, we cannot guarantee that future financing will be available in sufficient amounts or on terms acceptable to us, if at all. If we are unable to obtain funding, we would be forced to delay, reduce or eliminate our research and development programs, which would adversely affect our business prospects. In addition, if we are unable to raise capital, we will also need to implement cost reductions, and any failure to effectively do so will harm our business, results of operations and future prospects. The perception that we may not be able to continue as a going concern may cause others to choose not to deal with us due to concerns about our ability to meet our contractual obligations. If we are unable to continue as a going concern, investors could lose all or part of their investment in our Company.</w:t>
      </w:r>
    </w:p>
    <w:p>
      <w:pPr>
        <w:spacing w:after="0" w:line="181" w:lineRule="exact"/>
        <w:rPr>
          <w:sz w:val="20"/>
          <w:szCs w:val="20"/>
          <w:color w:val="auto"/>
        </w:rPr>
      </w:pPr>
    </w:p>
    <w:p>
      <w:pPr>
        <w:ind w:left="4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We expect that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our September 2019 and February 2020 offerings of common stock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w:t>
      </w:r>
    </w:p>
    <w:p>
      <w:pPr>
        <w:spacing w:after="0" w:line="179"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6" w:lineRule="exact"/>
        <w:rPr>
          <w:sz w:val="20"/>
          <w:szCs w:val="20"/>
          <w:color w:val="auto"/>
        </w:rPr>
      </w:pPr>
    </w:p>
    <w:p>
      <w:pPr>
        <w:ind w:left="1020" w:right="199" w:hanging="328"/>
        <w:spacing w:after="0" w:line="25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 w:lineRule="exact"/>
        <w:rPr>
          <w:rFonts w:ascii="Arial" w:cs="Arial" w:eastAsia="Arial" w:hAnsi="Arial"/>
          <w:sz w:val="18"/>
          <w:szCs w:val="18"/>
          <w:color w:val="auto"/>
        </w:rPr>
      </w:pPr>
    </w:p>
    <w:p>
      <w:pPr>
        <w:ind w:left="1020" w:right="739" w:hanging="328"/>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9" w:lineRule="exact"/>
        <w:rPr>
          <w:rFonts w:ascii="Arial" w:cs="Arial" w:eastAsia="Arial" w:hAnsi="Arial"/>
          <w:sz w:val="18"/>
          <w:szCs w:val="18"/>
          <w:color w:val="auto"/>
        </w:rPr>
      </w:pPr>
    </w:p>
    <w:p>
      <w:pPr>
        <w:ind w:left="1020" w:right="159" w:hanging="328"/>
        <w:spacing w:after="0" w:line="265"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ind w:left="1020" w:right="139" w:hanging="328"/>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9" w:lineRule="exact"/>
        <w:rPr>
          <w:rFonts w:ascii="Arial" w:cs="Arial" w:eastAsia="Arial" w:hAnsi="Arial"/>
          <w:sz w:val="18"/>
          <w:szCs w:val="18"/>
          <w:color w:val="auto"/>
        </w:rPr>
      </w:pPr>
    </w:p>
    <w:p>
      <w:pPr>
        <w:ind w:left="1020" w:right="219" w:hanging="328"/>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020" w:right="779" w:hanging="328"/>
        <w:spacing w:after="0" w:line="25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an IND application by the FDA authorizing us to conduct clinical trials of our product candidates in the United States;</w:t>
      </w:r>
    </w:p>
    <w:p>
      <w:pPr>
        <w:spacing w:after="0" w:line="1" w:lineRule="exact"/>
        <w:rPr>
          <w:rFonts w:ascii="Arial" w:cs="Arial" w:eastAsia="Arial" w:hAnsi="Arial"/>
          <w:sz w:val="18"/>
          <w:szCs w:val="18"/>
          <w:color w:val="auto"/>
        </w:rPr>
      </w:pPr>
    </w:p>
    <w:p>
      <w:pPr>
        <w:ind w:left="1020" w:right="19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020" w:right="81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9" w:lineRule="exact"/>
        <w:rPr>
          <w:rFonts w:ascii="Arial" w:cs="Arial" w:eastAsia="Arial" w:hAnsi="Arial"/>
          <w:sz w:val="18"/>
          <w:szCs w:val="18"/>
          <w:color w:val="auto"/>
        </w:rPr>
      </w:pPr>
    </w:p>
    <w:p>
      <w:pPr>
        <w:ind w:left="1020" w:right="63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9" w:lineRule="exact"/>
        <w:rPr>
          <w:rFonts w:ascii="Arial" w:cs="Arial" w:eastAsia="Arial" w:hAnsi="Arial"/>
          <w:sz w:val="18"/>
          <w:szCs w:val="18"/>
          <w:color w:val="auto"/>
        </w:rPr>
      </w:pPr>
    </w:p>
    <w:p>
      <w:pPr>
        <w:ind w:left="1020" w:right="79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020" w:right="7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1020" w:right="15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92"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40" w:right="13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4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20" w:right="159" w:hanging="328"/>
        <w:spacing w:after="0" w:line="25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020" w:right="179" w:hanging="328"/>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839" w:hanging="328"/>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20" w:right="539" w:hanging="328"/>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right="119" w:hanging="328"/>
        <w:spacing w:after="0" w:line="302"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79"/>
        <w:spacing w:after="0" w:line="258" w:lineRule="auto"/>
        <w:rPr>
          <w:sz w:val="20"/>
          <w:szCs w:val="20"/>
          <w:color w:val="auto"/>
        </w:rPr>
      </w:pPr>
      <w:r>
        <w:rPr>
          <w:rFonts w:ascii="Arial" w:cs="Arial" w:eastAsia="Arial" w:hAnsi="Arial"/>
          <w:sz w:val="18"/>
          <w:szCs w:val="18"/>
          <w:color w:val="auto"/>
        </w:rPr>
        <w:t>changes to branded reference drugs meet the criteria for the 505(b)(2) regulatory pathway or foreign regulatory pathways;</w:t>
      </w:r>
    </w:p>
    <w:p>
      <w:pPr>
        <w:spacing w:after="0" w:line="1" w:lineRule="exact"/>
        <w:rPr>
          <w:sz w:val="20"/>
          <w:szCs w:val="20"/>
          <w:color w:val="auto"/>
        </w:rPr>
      </w:pPr>
    </w:p>
    <w:p>
      <w:pPr>
        <w:ind w:left="1020" w:right="399" w:hanging="328"/>
        <w:spacing w:after="0" w:line="28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1020" w:right="59" w:hanging="328"/>
        <w:spacing w:after="0" w:line="26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ind w:left="4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5"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Clinical trials are expensive, time-consuming and difficult to design and implement, and involve an uncertain outcome</w:t>
      </w:r>
    </w:p>
    <w:p>
      <w:pPr>
        <w:spacing w:after="0" w:line="260"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78" w:lineRule="exact"/>
        <w:rPr>
          <w:sz w:val="20"/>
          <w:szCs w:val="20"/>
          <w:color w:val="auto"/>
        </w:rPr>
      </w:pPr>
    </w:p>
    <w:p>
      <w:pPr>
        <w:ind w:left="1020" w:right="259" w:hanging="328"/>
        <w:spacing w:after="0" w:line="25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 w:lineRule="exact"/>
        <w:rPr>
          <w:rFonts w:ascii="Arial" w:cs="Arial" w:eastAsia="Arial" w:hAnsi="Arial"/>
          <w:sz w:val="18"/>
          <w:szCs w:val="18"/>
          <w:color w:val="auto"/>
        </w:rPr>
      </w:pPr>
    </w:p>
    <w:p>
      <w:pPr>
        <w:ind w:left="1020" w:right="519" w:hanging="328"/>
        <w:spacing w:after="0" w:line="26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19" w:hanging="328"/>
        <w:spacing w:after="0" w:line="25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2" w:lineRule="exact"/>
        <w:rPr>
          <w:rFonts w:ascii="Arial" w:cs="Arial" w:eastAsia="Arial" w:hAnsi="Arial"/>
          <w:sz w:val="18"/>
          <w:szCs w:val="18"/>
          <w:color w:val="auto"/>
        </w:rPr>
      </w:pPr>
    </w:p>
    <w:p>
      <w:pPr>
        <w:ind w:left="1020" w:right="179" w:hanging="328"/>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020" w:right="119" w:hanging="328"/>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ind w:left="1020" w:right="99" w:hanging="328"/>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ind w:left="1020" w:right="639" w:hanging="328"/>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9" w:lineRule="exact"/>
        <w:rPr>
          <w:rFonts w:ascii="Arial" w:cs="Arial" w:eastAsia="Arial" w:hAnsi="Arial"/>
          <w:sz w:val="18"/>
          <w:szCs w:val="18"/>
          <w:color w:val="auto"/>
        </w:rPr>
      </w:pPr>
    </w:p>
    <w:p>
      <w:pPr>
        <w:ind w:left="1020" w:right="659" w:hanging="328"/>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ind w:left="1020" w:right="179" w:hanging="328"/>
        <w:spacing w:after="0" w:line="265"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9" w:lineRule="exact"/>
        <w:rPr>
          <w:rFonts w:ascii="Arial" w:cs="Arial" w:eastAsia="Arial" w:hAnsi="Arial"/>
          <w:sz w:val="18"/>
          <w:szCs w:val="18"/>
          <w:color w:val="auto"/>
        </w:rPr>
      </w:pPr>
    </w:p>
    <w:p>
      <w:pPr>
        <w:ind w:left="1020" w:right="319" w:hanging="328"/>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1" w:lineRule="exact"/>
        <w:rPr>
          <w:rFonts w:ascii="Arial" w:cs="Arial" w:eastAsia="Arial" w:hAnsi="Arial"/>
          <w:sz w:val="18"/>
          <w:szCs w:val="18"/>
          <w:color w:val="auto"/>
        </w:rPr>
      </w:pPr>
    </w:p>
    <w:p>
      <w:pPr>
        <w:ind w:left="1020" w:right="99" w:hanging="328"/>
        <w:spacing w:after="0" w:line="25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0" w:lineRule="exact"/>
        <w:rPr>
          <w:sz w:val="20"/>
          <w:szCs w:val="20"/>
          <w:color w:val="auto"/>
        </w:rPr>
      </w:pPr>
    </w:p>
    <w:p>
      <w:pPr>
        <w:spacing w:after="0" w:line="207"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6"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4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40" w:right="99" w:firstLine="324"/>
        <w:spacing w:after="0" w:line="267"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91"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40" w:right="79" w:firstLine="324"/>
        <w:spacing w:after="0" w:line="28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our Phase 2 clinical trial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2" w:lineRule="auto"/>
        <w:rPr>
          <w:sz w:val="20"/>
          <w:szCs w:val="20"/>
          <w:color w:val="auto"/>
        </w:rPr>
      </w:pPr>
      <w:r>
        <w:rPr>
          <w:rFonts w:ascii="Arial" w:cs="Arial" w:eastAsia="Arial" w:hAnsi="Arial"/>
          <w:sz w:val="17"/>
          <w:szCs w:val="17"/>
          <w:color w:val="auto"/>
        </w:rPr>
        <w:t>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7"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20" w:lineRule="exact"/>
        <w:rPr>
          <w:rFonts w:ascii="Arial" w:cs="Arial" w:eastAsia="Arial" w:hAnsi="Arial"/>
          <w:sz w:val="17"/>
          <w:szCs w:val="17"/>
          <w:color w:val="auto"/>
        </w:rPr>
      </w:pPr>
    </w:p>
    <w:p>
      <w:pPr>
        <w:ind w:left="1020" w:right="639" w:hanging="328"/>
        <w:spacing w:after="0" w:line="25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020" w:right="719" w:hanging="328"/>
        <w:spacing w:after="0" w:line="25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020" w:right="899" w:hanging="328"/>
        <w:spacing w:after="0" w:line="26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4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4" w:lineRule="exact"/>
        <w:rPr>
          <w:sz w:val="20"/>
          <w:szCs w:val="20"/>
          <w:color w:val="auto"/>
        </w:rPr>
      </w:pPr>
    </w:p>
    <w:p>
      <w:pPr>
        <w:ind w:left="40" w:right="13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6"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left="40" w:right="79" w:firstLine="324"/>
        <w:spacing w:after="0" w:line="308" w:lineRule="auto"/>
        <w:rPr>
          <w:sz w:val="20"/>
          <w:szCs w:val="20"/>
          <w:color w:val="auto"/>
        </w:rPr>
      </w:pPr>
      <w:r>
        <w:rPr>
          <w:rFonts w:ascii="Arial" w:cs="Arial" w:eastAsia="Arial" w:hAnsi="Arial"/>
          <w:sz w:val="17"/>
          <w:szCs w:val="17"/>
          <w:color w:val="auto"/>
        </w:rPr>
        <w:t>Any drug discovery that we are conducting using EvolverAI may not be successful in identifying compounds that have commercial value or therapeutic utility. EvolverAI may initially show promise in identifying potential product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candidates, yet fail to yield viable product candidates for clinical development or commercialization for a number of reasons, including:</w:t>
      </w:r>
    </w:p>
    <w:p>
      <w:pPr>
        <w:spacing w:after="0" w:line="170" w:lineRule="exact"/>
        <w:rPr>
          <w:sz w:val="20"/>
          <w:szCs w:val="20"/>
          <w:color w:val="auto"/>
        </w:rPr>
      </w:pPr>
    </w:p>
    <w:p>
      <w:pPr>
        <w:ind w:left="1020" w:right="199" w:hanging="328"/>
        <w:spacing w:after="0" w:line="26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7"/>
          <w:szCs w:val="17"/>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020" w:right="83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8"/>
          <w:szCs w:val="18"/>
          <w:color w:val="auto"/>
        </w:rPr>
      </w:pPr>
    </w:p>
    <w:p>
      <w:pPr>
        <w:ind w:left="1020" w:right="7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11"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7"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If a product is intended for the treatment of a serious condition and nonclinical or clinical data demonstrate the potential to address unmet medical need for this condition, a product sponsor may apply for FDA Fast Track designation.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ind w:left="40" w:right="99"/>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left="40" w:right="159"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BCXL501, BCXL701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78"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78" w:lineRule="exact"/>
        <w:rPr>
          <w:sz w:val="20"/>
          <w:szCs w:val="20"/>
          <w:color w:val="auto"/>
        </w:rPr>
      </w:pPr>
    </w:p>
    <w:p>
      <w:pPr>
        <w:ind w:left="40" w:right="139" w:firstLine="324"/>
        <w:spacing w:after="0" w:line="342" w:lineRule="auto"/>
        <w:rPr>
          <w:sz w:val="20"/>
          <w:szCs w:val="20"/>
          <w:color w:val="auto"/>
        </w:rPr>
      </w:pPr>
      <w:r>
        <w:rPr>
          <w:rFonts w:ascii="Arial" w:cs="Arial" w:eastAsia="Arial" w:hAnsi="Arial"/>
          <w:sz w:val="16"/>
          <w:szCs w:val="16"/>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27" w:lineRule="exact"/>
        <w:rPr>
          <w:sz w:val="20"/>
          <w:szCs w:val="20"/>
          <w:color w:val="auto"/>
        </w:rPr>
      </w:pPr>
    </w:p>
    <w:p>
      <w:pPr>
        <w:ind w:left="40" w:right="319" w:firstLine="324"/>
        <w:spacing w:after="0" w:line="296" w:lineRule="auto"/>
        <w:rPr>
          <w:sz w:val="20"/>
          <w:szCs w:val="20"/>
          <w:color w:val="auto"/>
        </w:rPr>
      </w:pPr>
      <w:r>
        <w:rPr>
          <w:rFonts w:ascii="Arial" w:cs="Arial" w:eastAsia="Arial" w:hAnsi="Arial"/>
          <w:sz w:val="16"/>
          <w:szCs w:val="16"/>
          <w:color w:val="auto"/>
        </w:rPr>
        <w:t>Further, the FDA’s policies may change, and additional government regulations may be enacted that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1"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will be implemented, and the extent to which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84"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74" w:lineRule="exact"/>
        <w:rPr>
          <w:sz w:val="20"/>
          <w:szCs w:val="20"/>
          <w:color w:val="auto"/>
        </w:rPr>
      </w:pPr>
    </w:p>
    <w:p>
      <w:pPr>
        <w:ind w:left="40" w:right="639"/>
        <w:spacing w:after="0" w:line="286" w:lineRule="auto"/>
        <w:rPr>
          <w:sz w:val="20"/>
          <w:szCs w:val="20"/>
          <w:color w:val="auto"/>
        </w:rPr>
      </w:pPr>
      <w:r>
        <w:rPr>
          <w:rFonts w:ascii="Arial" w:cs="Arial" w:eastAsia="Arial" w:hAnsi="Arial"/>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6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6"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8"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77"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withdrew from the European Union, or Brexit, on January 31, 2020 and entered into a transition period during which it will continue its ongoing and complex negotiations with the European Union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7" w:lineRule="exact"/>
        <w:rPr>
          <w:sz w:val="20"/>
          <w:szCs w:val="20"/>
          <w:color w:val="auto"/>
        </w:rPr>
      </w:pPr>
    </w:p>
    <w:p>
      <w:pPr>
        <w:ind w:left="1020" w:right="99" w:hanging="328"/>
        <w:spacing w:after="0" w:line="288"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w:t>
      </w:r>
    </w:p>
    <w:p>
      <w:pPr>
        <w:spacing w:after="0" w:line="168" w:lineRule="exact"/>
        <w:rPr>
          <w:rFonts w:ascii="Arial" w:cs="Arial" w:eastAsia="Arial" w:hAnsi="Arial"/>
          <w:sz w:val="16"/>
          <w:szCs w:val="16"/>
          <w:color w:val="auto"/>
        </w:rPr>
      </w:pPr>
    </w:p>
    <w:p>
      <w:pPr>
        <w:ind w:left="1020" w:right="159" w:hanging="328"/>
        <w:spacing w:after="0" w:line="289"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66" w:lineRule="exact"/>
        <w:rPr>
          <w:rFonts w:ascii="Arial" w:cs="Arial" w:eastAsia="Arial" w:hAnsi="Arial"/>
          <w:sz w:val="16"/>
          <w:szCs w:val="16"/>
          <w:color w:val="auto"/>
        </w:rPr>
      </w:pPr>
    </w:p>
    <w:p>
      <w:pPr>
        <w:ind w:left="1020" w:right="79" w:hanging="328"/>
        <w:spacing w:after="0" w:line="293"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64" w:lineRule="exact"/>
        <w:rPr>
          <w:rFonts w:ascii="Arial" w:cs="Arial" w:eastAsia="Arial" w:hAnsi="Arial"/>
          <w:sz w:val="16"/>
          <w:szCs w:val="16"/>
          <w:color w:val="auto"/>
        </w:rPr>
      </w:pPr>
    </w:p>
    <w:p>
      <w:pPr>
        <w:jc w:val="both"/>
        <w:ind w:left="1020" w:right="639" w:hanging="328"/>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439"/>
        <w:spacing w:after="0" w:line="342" w:lineRule="auto"/>
        <w:rPr>
          <w:sz w:val="20"/>
          <w:szCs w:val="20"/>
          <w:color w:val="auto"/>
        </w:rPr>
      </w:pPr>
      <w:r>
        <w:rPr>
          <w:rFonts w:ascii="Arial" w:cs="Arial" w:eastAsia="Arial" w:hAnsi="Arial"/>
          <w:sz w:val="16"/>
          <w:szCs w:val="16"/>
          <w:color w:val="auto"/>
        </w:rPr>
        <w:t>should know it is likely to influence the beneficiary’s selection of a particular provider, practitioner, or supplier of services reimbursable by Medicare or a state healthcare program, unless an exception applies;</w:t>
      </w:r>
    </w:p>
    <w:p>
      <w:pPr>
        <w:spacing w:after="0" w:line="124" w:lineRule="exact"/>
        <w:rPr>
          <w:sz w:val="20"/>
          <w:szCs w:val="20"/>
          <w:color w:val="auto"/>
        </w:rPr>
      </w:pPr>
    </w:p>
    <w:p>
      <w:pPr>
        <w:ind w:left="1020" w:right="259" w:hanging="32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20" w:right="419" w:hanging="328"/>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183" w:lineRule="exact"/>
        <w:rPr>
          <w:rFonts w:ascii="Arial" w:cs="Arial" w:eastAsia="Arial" w:hAnsi="Arial"/>
          <w:sz w:val="18"/>
          <w:szCs w:val="18"/>
          <w:color w:val="auto"/>
        </w:rPr>
      </w:pPr>
    </w:p>
    <w:p>
      <w:pPr>
        <w:ind w:left="1020" w:right="139" w:hanging="328"/>
        <w:spacing w:after="0" w:line="27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7"/>
          <w:szCs w:val="17"/>
          <w:color w:val="auto"/>
        </w:rPr>
      </w:pPr>
    </w:p>
    <w:p>
      <w:pPr>
        <w:ind w:left="1020" w:right="79" w:hanging="328"/>
        <w:spacing w:after="0" w:line="269"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pricing information; and state laws governing the privacy and security of health information (or personal information generally) in certain circumstances, many of which differ from each other in significant ways, thus complicating compliance efforts; and</w:t>
      </w:r>
    </w:p>
    <w:p>
      <w:pPr>
        <w:spacing w:after="0" w:line="185" w:lineRule="exact"/>
        <w:rPr>
          <w:rFonts w:ascii="Arial" w:cs="Arial" w:eastAsia="Arial" w:hAnsi="Arial"/>
          <w:sz w:val="17"/>
          <w:szCs w:val="17"/>
          <w:color w:val="auto"/>
        </w:rPr>
      </w:pPr>
    </w:p>
    <w:p>
      <w:pPr>
        <w:ind w:left="1020" w:right="319" w:hanging="32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308" w:lineRule="auto"/>
        <w:rPr>
          <w:sz w:val="20"/>
          <w:szCs w:val="20"/>
          <w:color w:val="auto"/>
        </w:rPr>
      </w:pPr>
      <w:r>
        <w:rPr>
          <w:rFonts w:ascii="Arial" w:cs="Arial" w:eastAsia="Arial" w:hAnsi="Arial"/>
          <w:sz w:val="17"/>
          <w:szCs w:val="17"/>
          <w:color w:val="auto"/>
        </w:rPr>
        <w:t>any amounts awarded by a court or negotiated in a settlement that exceed our coverage limitations or that are not covered by our insurance, and we may not have, or be able to obtain, sufficient capital to pay such amounts.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20" w:hanging="32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020" w:right="279" w:hanging="328"/>
        <w:spacing w:after="0" w:line="25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020" w:hanging="32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40" w:right="239"/>
        <w:spacing w:after="0" w:line="327" w:lineRule="auto"/>
        <w:rPr>
          <w:sz w:val="20"/>
          <w:szCs w:val="20"/>
          <w:color w:val="auto"/>
        </w:rPr>
      </w:pPr>
      <w:r>
        <w:rPr>
          <w:rFonts w:ascii="Arial" w:cs="Arial" w:eastAsia="Arial" w:hAnsi="Arial"/>
          <w:sz w:val="15"/>
          <w:szCs w:val="15"/>
          <w:b w:val="1"/>
          <w:bCs w:val="1"/>
          <w:i w:val="1"/>
          <w:iCs w:val="1"/>
          <w:color w:val="auto"/>
        </w:rPr>
        <w:t>We have been granted Orphan Drug Designation for BXCL701 for the treatment of pancreatic cancer, melanoma and acute myeloid leukemia and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0" w:lineRule="exact"/>
        <w:rPr>
          <w:sz w:val="20"/>
          <w:szCs w:val="20"/>
          <w:color w:val="auto"/>
        </w:rPr>
      </w:pPr>
    </w:p>
    <w:p>
      <w:pPr>
        <w:ind w:left="40" w:right="99" w:firstLine="324"/>
        <w:spacing w:after="0" w:line="285"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In September 2019, the FDA granted Orphan Drug Designation to BXCL701 for the treatment of acute myeloid leukemia. Prior to 2019, the FDA granted Orphan Drug Designation to BXCL for the treatment of pancreatic cancer and melanoma. We may seek Orphan Drug Designations for BXCL in other indications or for our other product candidates. There can be no assurances that we will be able to obtain such designations.</w:t>
      </w:r>
    </w:p>
    <w:p>
      <w:pPr>
        <w:spacing w:after="0" w:line="176"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69" w:lineRule="auto"/>
        <w:rPr>
          <w:sz w:val="20"/>
          <w:szCs w:val="20"/>
          <w:color w:val="auto"/>
        </w:rPr>
      </w:pPr>
      <w:r>
        <w:rPr>
          <w:rFonts w:ascii="Arial" w:cs="Arial" w:eastAsia="Arial" w:hAnsi="Arial"/>
          <w:sz w:val="17"/>
          <w:szCs w:val="17"/>
          <w:color w:val="auto"/>
        </w:rPr>
        <w:t>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5"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4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7" w:lineRule="exact"/>
        <w:rPr>
          <w:sz w:val="20"/>
          <w:szCs w:val="20"/>
          <w:color w:val="auto"/>
        </w:rPr>
      </w:pPr>
    </w:p>
    <w:p>
      <w:pPr>
        <w:ind w:left="40" w:right="25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40" w:right="299" w:firstLine="324"/>
        <w:spacing w:after="0" w:line="301"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color w:val="auto"/>
        </w:rPr>
        <w:t>competitors may succeed in obtaining patent protection, discovering, developing, receiving FDA approval for or commercializing drugs before we do, which would have an adverse impact on our business and results of operations.</w:t>
      </w:r>
    </w:p>
    <w:p>
      <w:pPr>
        <w:spacing w:after="0" w:line="124"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4" w:lineRule="exact"/>
        <w:rPr>
          <w:sz w:val="20"/>
          <w:szCs w:val="20"/>
          <w:color w:val="auto"/>
        </w:rPr>
      </w:pPr>
    </w:p>
    <w:p>
      <w:pPr>
        <w:ind w:left="40" w:right="43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1020" w:right="819" w:hanging="328"/>
        <w:spacing w:after="0" w:line="25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timing of market approval and commercial launch of BXCL501, BXCL701 and our other product candidates;</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020" w:right="79" w:hanging="328"/>
        <w:spacing w:after="0" w:line="26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5" w:lineRule="exact"/>
        <w:rPr>
          <w:sz w:val="20"/>
          <w:szCs w:val="20"/>
          <w:color w:val="auto"/>
        </w:rPr>
      </w:pPr>
    </w:p>
    <w:p>
      <w:pPr>
        <w:ind w:left="40" w:right="15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40" w:right="279" w:firstLine="324"/>
        <w:spacing w:after="0" w:line="293" w:lineRule="auto"/>
        <w:rPr>
          <w:sz w:val="20"/>
          <w:szCs w:val="20"/>
          <w:color w:val="auto"/>
        </w:rPr>
      </w:pPr>
      <w:r>
        <w:rPr>
          <w:rFonts w:ascii="Arial" w:cs="Arial" w:eastAsia="Arial" w:hAnsi="Arial"/>
          <w:sz w:val="16"/>
          <w:szCs w:val="16"/>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foreign jurisdictions, there have been a number of legislative and regulatory proposals to change the health care system in ways that could affect our ability to sell our products profitably.</w:t>
      </w:r>
    </w:p>
    <w:p>
      <w:pPr>
        <w:spacing w:after="0" w:line="170"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contains a number of provisions that are expected to impact our business and operations in ways that may negatively affect our potential revenues in the future. For example, the ACA imposes a non-deductible excise tax on pharmaceutical manufacturers or importers that sell branded prescription drugs to government programs which we believe will increase the cost of our products. In addition, as part of the 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ACA increases the level of Medicaid rebates payable by manufacturers of brand-name drugs from 15.1% to 23.1% and requires collection of rebates for drugs paid by Medicaid managed care organizations. The ACA also includes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 While it is too early to predict all the specific effects the ACA or any future healthcare reform legislation will have on our business, they could have a material adverse effect on our business and financial condition.</w:t>
      </w:r>
    </w:p>
    <w:p>
      <w:pPr>
        <w:spacing w:after="0" w:line="180"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Affordable Care Act, and we expect there will be additional challenges and amendments to the ACA in the future. For example, the Tax Cuts and Jobs Act, or the Tax Act, was enacted, which, among other things, removes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or other efforts to challenge, repeal or replace the ACA will impact the law, or our business or financial condition.</w:t>
      </w:r>
    </w:p>
    <w:p>
      <w:pPr>
        <w:spacing w:after="0" w:line="185"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2029 unless additional Congressional action is taken, as well as 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95"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reimbursement approval for a product, our ability to generate revenues and achieve or maintain profitability, and the level of taxes that we are required to pay.</w:t>
      </w:r>
    </w:p>
    <w:p>
      <w:pPr>
        <w:spacing w:after="0" w:line="170"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Relationship with BioXcel Corporation</w:t>
      </w:r>
    </w:p>
    <w:p>
      <w:pPr>
        <w:spacing w:after="0" w:line="229" w:lineRule="exact"/>
        <w:rPr>
          <w:sz w:val="20"/>
          <w:szCs w:val="20"/>
          <w:color w:val="auto"/>
        </w:rPr>
      </w:pPr>
    </w:p>
    <w:p>
      <w:pPr>
        <w:ind w:left="40" w:right="59"/>
        <w:spacing w:after="0" w:line="342" w:lineRule="auto"/>
        <w:rPr>
          <w:sz w:val="20"/>
          <w:szCs w:val="20"/>
          <w:color w:val="auto"/>
        </w:rPr>
      </w:pPr>
      <w:r>
        <w:rPr>
          <w:rFonts w:ascii="Arial" w:cs="Arial" w:eastAsia="Arial" w:hAnsi="Arial"/>
          <w:sz w:val="16"/>
          <w:szCs w:val="16"/>
          <w:b w:val="1"/>
          <w:bCs w:val="1"/>
          <w:i w:val="1"/>
          <w:iCs w:val="1"/>
          <w:color w:val="auto"/>
        </w:rPr>
        <w:t>BioXcel Corporation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jc w:val="both"/>
        <w:ind w:left="40" w:right="499" w:firstLine="324"/>
        <w:spacing w:after="0" w:line="259" w:lineRule="auto"/>
        <w:rPr>
          <w:sz w:val="20"/>
          <w:szCs w:val="20"/>
          <w:color w:val="auto"/>
        </w:rPr>
      </w:pPr>
      <w:r>
        <w:rPr>
          <w:rFonts w:ascii="Arial" w:cs="Arial" w:eastAsia="Arial" w:hAnsi="Arial"/>
          <w:sz w:val="18"/>
          <w:szCs w:val="18"/>
          <w:color w:val="auto"/>
        </w:rPr>
        <w:t>As of February 24, 2020, BioXcel owned approximately 45.5% of the economic interest and voting power of our outstanding common stock. Even though BioXcel controls less than a majority of the voting power of our outstanding common stock, it may influence the outcome of such corporate actions so long as it owns a significant portion of our common stock.</w:t>
      </w:r>
    </w:p>
    <w:p>
      <w:pPr>
        <w:spacing w:after="0" w:line="18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4"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The commercial terms of the Second Amended and Restated Shared Services Agreement dated March 6, 2020, or the Services Agreement, and the Amended and Restated Asset Contribution Agreement, or the Contribution Agreement, that we have entered into with BioXcel have not been negotiated on behalf of BioXcel by persons consisting solely of disinterested BioXcel directors.</w:t>
      </w:r>
    </w:p>
    <w:p>
      <w:pPr>
        <w:spacing w:after="0" w:line="187"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left="40" w:right="439" w:firstLine="324"/>
        <w:spacing w:after="0" w:line="342" w:lineRule="auto"/>
        <w:rPr>
          <w:sz w:val="20"/>
          <w:szCs w:val="20"/>
          <w:color w:val="auto"/>
        </w:rPr>
      </w:pPr>
      <w:r>
        <w:rPr>
          <w:rFonts w:ascii="Arial" w:cs="Arial" w:eastAsia="Arial" w:hAnsi="Arial"/>
          <w:sz w:val="16"/>
          <w:szCs w:val="16"/>
          <w:color w:val="auto"/>
        </w:rPr>
        <w:t>Certain administrative services required by us for the operation of our business have historically been provided by BioXcel, including services related to insurance and risk management, accounting and human resources. Under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92"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78"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The Company has negotiated a collaborative services agreement with BioXcel pursuant to which BioXcel shall perform product identification and related services for us utilizing EvolverAI. On March 6, 2020, by mutual agreement, we agreed to extend this arrangement by one year to December 31, 2020.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69" w:lineRule="exact"/>
        <w:rPr>
          <w:sz w:val="20"/>
          <w:szCs w:val="20"/>
          <w:color w:val="auto"/>
        </w:rPr>
      </w:pPr>
    </w:p>
    <w:p>
      <w:pPr>
        <w:ind w:left="40" w:right="319"/>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6"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and director, Vimal Mehta, Ph.D., is Chief Executive Officer and Chairman of BioXcel. In addition, our director and Chief Digital Officer, Krishnan Nandabalan, Ph.D., serves as President, Chief Scientific Officer and a director of BioXcel. Because of Drs. Mehta and Nandabalan’s current positions with BioXcel, they own shares of BioXcel common stock, options to purchase shares of BioXcel common stock or other equity awards of BioXcel. As of December 31, 2019, our Dr. Mehta and Dr. Nandabalan each owned approximately 42%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connection with the various agreements and transactions entered into in connection with our separation from BioXcel, or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161"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left="40" w:right="619"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020" w:right="79" w:hanging="328"/>
        <w:spacing w:after="0" w:line="274"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and us;</w:t>
      </w: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left="40" w:right="139" w:firstLine="324"/>
        <w:spacing w:after="0" w:line="285"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40" w:right="59"/>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6"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68"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5"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74" w:lineRule="exact"/>
        <w:rPr>
          <w:sz w:val="20"/>
          <w:szCs w:val="20"/>
          <w:color w:val="auto"/>
        </w:rPr>
      </w:pPr>
    </w:p>
    <w:p>
      <w:pPr>
        <w:ind w:left="40" w:right="45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4"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6"/>
          <w:szCs w:val="16"/>
          <w:color w:val="auto"/>
        </w:rPr>
        <w:t>Our strategy for the development and commercialization of our proprietary product candidates may include the formation of collaborative arrangements with third parties. We are a party to several collaboration agreements (research and clinical), including agreements with Nektar Therapeutics, Inc., or Nektar, relating to Nektar’s Bempegaldesleukin (NKTR</w:t>
      </w:r>
      <w:r>
        <w:rPr>
          <w:rFonts w:ascii="MS PGothic" w:cs="MS PGothic" w:eastAsia="MS PGothic" w:hAnsi="MS PGothic"/>
          <w:sz w:val="16"/>
          <w:szCs w:val="16"/>
          <w:color w:val="auto"/>
        </w:rPr>
        <w:t>‑</w:t>
      </w:r>
      <w:r>
        <w:rPr>
          <w:rFonts w:ascii="Arial" w:cs="Arial" w:eastAsia="Arial" w:hAnsi="Arial"/>
          <w:sz w:val="16"/>
          <w:szCs w:val="16"/>
          <w:color w:val="auto"/>
        </w:rPr>
        <w:t>214) and Merck KGaA, Darmstadt, Germany and Pfizer Inc.’s Opdivo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204" w:lineRule="exact"/>
        <w:rPr>
          <w:sz w:val="20"/>
          <w:szCs w:val="20"/>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4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or EEA, and comparable foreign regulatory authorities for all of our products in clinical development.</w:t>
      </w:r>
    </w:p>
    <w:p>
      <w:pPr>
        <w:spacing w:after="0" w:line="178" w:lineRule="exact"/>
        <w:rPr>
          <w:sz w:val="20"/>
          <w:szCs w:val="20"/>
          <w:color w:val="auto"/>
        </w:rPr>
      </w:pPr>
    </w:p>
    <w:p>
      <w:pPr>
        <w:ind w:left="40" w:right="199" w:firstLine="324"/>
        <w:spacing w:after="0" w:line="279" w:lineRule="auto"/>
        <w:rPr>
          <w:sz w:val="20"/>
          <w:szCs w:val="20"/>
          <w:color w:val="auto"/>
        </w:rPr>
      </w:pPr>
      <w:r>
        <w:rPr>
          <w:rFonts w:ascii="Arial" w:cs="Arial" w:eastAsia="Arial" w:hAnsi="Arial"/>
          <w:sz w:val="17"/>
          <w:szCs w:val="17"/>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spacing w:after="0" w:line="259" w:lineRule="auto"/>
        <w:rPr>
          <w:sz w:val="20"/>
          <w:szCs w:val="20"/>
          <w:color w:val="auto"/>
        </w:rPr>
      </w:pPr>
      <w:r>
        <w:rPr>
          <w:rFonts w:ascii="Arial" w:cs="Arial" w:eastAsia="Arial" w:hAnsi="Arial"/>
          <w:sz w:val="18"/>
          <w:szCs w:val="18"/>
          <w:color w:val="auto"/>
        </w:rPr>
        <w:t>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87"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40" w:right="159" w:firstLine="324"/>
        <w:spacing w:after="0" w:line="290" w:lineRule="auto"/>
        <w:rPr>
          <w:sz w:val="20"/>
          <w:szCs w:val="20"/>
          <w:color w:val="auto"/>
        </w:rPr>
      </w:pPr>
      <w:r>
        <w:rPr>
          <w:rFonts w:ascii="Arial" w:cs="Arial" w:eastAsia="Arial" w:hAnsi="Arial"/>
          <w:sz w:val="16"/>
          <w:szCs w:val="16"/>
          <w:color w:val="auto"/>
        </w:rPr>
        <w:t>As of December 31, 2019, we employed a total of 24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020" w:right="319" w:hanging="328"/>
        <w:spacing w:after="0" w:line="25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1" w:lineRule="exact"/>
        <w:rPr>
          <w:rFonts w:ascii="Arial" w:cs="Arial" w:eastAsia="Arial" w:hAnsi="Arial"/>
          <w:sz w:val="18"/>
          <w:szCs w:val="18"/>
          <w:color w:val="auto"/>
        </w:rPr>
      </w:pPr>
    </w:p>
    <w:p>
      <w:pPr>
        <w:ind w:left="1020" w:right="739" w:hanging="328"/>
        <w:spacing w:after="0" w:line="250"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020" w:right="879" w:hanging="328"/>
        <w:spacing w:after="0" w:line="250"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020" w:hanging="328"/>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40" w:right="259"/>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6" w:lineRule="exact"/>
        <w:rPr>
          <w:sz w:val="20"/>
          <w:szCs w:val="20"/>
          <w:color w:val="auto"/>
        </w:rPr>
      </w:pPr>
    </w:p>
    <w:p>
      <w:pPr>
        <w:ind w:left="40" w:right="219" w:firstLine="324"/>
        <w:spacing w:after="0" w:line="271"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7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92"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9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40" w:right="159" w:firstLine="324"/>
        <w:spacing w:after="0" w:line="342" w:lineRule="auto"/>
        <w:rPr>
          <w:sz w:val="20"/>
          <w:szCs w:val="20"/>
          <w:color w:val="auto"/>
        </w:rPr>
      </w:pPr>
      <w:r>
        <w:rPr>
          <w:rFonts w:ascii="Arial" w:cs="Arial" w:eastAsia="Arial" w:hAnsi="Arial"/>
          <w:sz w:val="16"/>
          <w:szCs w:val="16"/>
          <w:color w:val="auto"/>
        </w:rPr>
        <w:t>In addition, we do not have any experience in acquiring other businesses. If we acquire additional businesses, we may not be able to integrate the acquired personnel, operations and technologies successfully, or effectively manage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combined business following the acquisition. We also may not achieve the anticipated benefits from the acquired business due to a number of factors, including:</w:t>
      </w:r>
    </w:p>
    <w:p>
      <w:pPr>
        <w:spacing w:after="0" w:line="170" w:lineRule="exact"/>
        <w:rPr>
          <w:sz w:val="20"/>
          <w:szCs w:val="20"/>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020" w:right="239" w:hanging="328"/>
        <w:spacing w:after="0" w:line="250"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020" w:right="239" w:hanging="328"/>
        <w:spacing w:after="0" w:line="281"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020" w:right="279" w:hanging="328"/>
        <w:spacing w:after="0" w:line="250"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27"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7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40" w:right="159" w:firstLine="324"/>
        <w:spacing w:after="0" w:line="290"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 reputational damage, orders to cease/change our use of data, enforcement notices, as well potential civil claims including class action type litigation where individuals suffered harm.</w:t>
      </w:r>
    </w:p>
    <w:p>
      <w:pPr>
        <w:spacing w:after="0" w:line="180"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020" w:hanging="328"/>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59" w:hanging="328"/>
        <w:spacing w:after="0" w:line="258"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020" w:right="179" w:hanging="328"/>
        <w:spacing w:after="0" w:line="25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020" w:right="419" w:hanging="328"/>
        <w:spacing w:after="0" w:line="25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and research and development credits to offset future taxable income may be subject to certain limitations.</w:t>
      </w:r>
    </w:p>
    <w:p>
      <w:pPr>
        <w:spacing w:after="0" w:line="170" w:lineRule="exact"/>
        <w:rPr>
          <w:sz w:val="20"/>
          <w:szCs w:val="20"/>
          <w:color w:val="auto"/>
        </w:rPr>
      </w:pPr>
    </w:p>
    <w:p>
      <w:pPr>
        <w:ind w:left="40" w:right="79" w:firstLine="324"/>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or NOLs, of approximately $16.4 million. Our NOLs arising before January 1, 2018 are subject to expiration and will begin to expire in 2037. As of December 31, 2019, we also had federal and state research and development and other tax credit carryforwards, or credits of approximately $1.3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three-year period. Future changes in our stock ownership, including as a result of February 2020 offering of common stock,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although the treatment of NOLs arising on or before December 31, 2017 has generally not changed, NOLs arising on or after January 1, 2018 and beyond may only be used to offset 80% of taxable income. This change may require us to pay federal income taxes in future years despite generating a loss for federal income tax purposes in prior years.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40" w:right="119" w:firstLine="324"/>
        <w:spacing w:after="0" w:line="287"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w:t>
      </w:r>
    </w:p>
    <w:p>
      <w:pPr>
        <w:spacing w:after="0" w:line="2"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and patent applications pending in the United States and in certain foreign jurisdictions. We own Patent Cooperation Treaty, or PCT, patent applications relating to our platform technologies covering methods of use and applications of the platform technologies. As of February 20, 2020, we have three allowed patents, all ex-U.S., which are relevant to our BXCL701 program. We cannot be certain that any future patents will issue with claims that cover our product candidates. Our ability to stop third parties from making, using, selling, offering to sell or importing our product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color w:val="auto"/>
        </w:rPr>
        <w:t>candidates is dependent upon the extent to which we have rights under valid and enforceable patents or trade secrets that cover these activities.</w:t>
      </w:r>
    </w:p>
    <w:p>
      <w:pPr>
        <w:spacing w:after="0" w:line="170" w:lineRule="exact"/>
        <w:rPr>
          <w:sz w:val="20"/>
          <w:szCs w:val="20"/>
          <w:color w:val="auto"/>
        </w:rPr>
      </w:pPr>
    </w:p>
    <w:p>
      <w:pPr>
        <w:ind w:left="40" w:right="199" w:firstLine="324"/>
        <w:spacing w:after="0" w:line="290"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20" w:right="139" w:hanging="328"/>
        <w:spacing w:after="0" w:line="25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20" w:lineRule="exact"/>
        <w:rPr>
          <w:rFonts w:ascii="Arial" w:cs="Arial" w:eastAsia="Arial" w:hAnsi="Arial"/>
          <w:sz w:val="17"/>
          <w:szCs w:val="17"/>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020" w:right="399" w:hanging="328"/>
        <w:spacing w:after="0" w:line="250"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left="4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40" w:right="11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 Patent and Trademark Office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40" w:right="59"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20" w:hanging="32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020" w:right="299" w:hanging="328"/>
        <w:spacing w:after="0" w:line="250"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020" w:hanging="32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9" w:lineRule="exact"/>
        <w:rPr>
          <w:rFonts w:ascii="Arial" w:cs="Arial" w:eastAsia="Arial" w:hAnsi="Arial"/>
          <w:sz w:val="18"/>
          <w:szCs w:val="18"/>
          <w:color w:val="auto"/>
        </w:rPr>
      </w:pPr>
    </w:p>
    <w:p>
      <w:pPr>
        <w:ind w:left="1020" w:right="79" w:hanging="328"/>
        <w:spacing w:after="0" w:line="250"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020" w:right="139" w:hanging="328"/>
        <w:spacing w:after="0" w:line="260"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5" w:lineRule="exact"/>
        <w:rPr>
          <w:sz w:val="20"/>
          <w:szCs w:val="20"/>
          <w:color w:val="auto"/>
        </w:rPr>
      </w:pPr>
    </w:p>
    <w:p>
      <w:pPr>
        <w:ind w:left="4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4" w:lineRule="exact"/>
        <w:rPr>
          <w:sz w:val="20"/>
          <w:szCs w:val="20"/>
          <w:color w:val="auto"/>
        </w:rPr>
      </w:pPr>
    </w:p>
    <w:p>
      <w:pPr>
        <w:jc w:val="both"/>
        <w:ind w:left="40" w:right="23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40" w:right="19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4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jc w:val="both"/>
        <w:ind w:left="40" w:right="199" w:firstLine="324"/>
        <w:spacing w:after="0" w:line="311" w:lineRule="auto"/>
        <w:rPr>
          <w:sz w:val="20"/>
          <w:szCs w:val="20"/>
          <w:color w:val="auto"/>
        </w:rPr>
      </w:pPr>
      <w:r>
        <w:rPr>
          <w:rFonts w:ascii="Arial" w:cs="Arial" w:eastAsia="Arial" w:hAnsi="Arial"/>
          <w:sz w:val="16"/>
          <w:szCs w:val="16"/>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81"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7"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1" w:lineRule="exact"/>
        <w:rPr>
          <w:sz w:val="20"/>
          <w:szCs w:val="20"/>
          <w:color w:val="auto"/>
        </w:rPr>
      </w:pPr>
    </w:p>
    <w:p>
      <w:pPr>
        <w:ind w:left="40" w:right="41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40" w:right="319" w:firstLine="324"/>
        <w:spacing w:after="0" w:line="296"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68"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7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20" w:hanging="328"/>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34" w:lineRule="exact"/>
        <w:rPr>
          <w:rFonts w:ascii="Arial" w:cs="Arial" w:eastAsia="Arial" w:hAnsi="Arial"/>
          <w:sz w:val="17"/>
          <w:szCs w:val="17"/>
          <w:color w:val="auto"/>
        </w:rPr>
      </w:pPr>
    </w:p>
    <w:p>
      <w:pPr>
        <w:ind w:left="1020" w:hanging="328"/>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patent applications in the United States are typically not published until 18 months after the priority date; and</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4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40" w:right="11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40" w:right="17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7" w:lineRule="exact"/>
        <w:rPr>
          <w:sz w:val="20"/>
          <w:szCs w:val="20"/>
          <w:color w:val="auto"/>
        </w:rPr>
      </w:pPr>
    </w:p>
    <w:p>
      <w:pPr>
        <w:ind w:left="40" w:right="399" w:firstLine="324"/>
        <w:spacing w:after="0" w:line="342" w:lineRule="auto"/>
        <w:rPr>
          <w:sz w:val="20"/>
          <w:szCs w:val="20"/>
          <w:color w:val="auto"/>
        </w:rPr>
      </w:pPr>
      <w:r>
        <w:rPr>
          <w:rFonts w:ascii="Arial" w:cs="Arial" w:eastAsia="Arial" w:hAnsi="Arial"/>
          <w:sz w:val="16"/>
          <w:szCs w:val="16"/>
          <w:color w:val="auto"/>
        </w:rPr>
        <w:t>We may elect to sue a third party, or otherwise make a claim, alleging infringement or other violation of patents, trademarks, trade dress, copyrights, trade secrets, domain names or other intellectual property rights that we either own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or license from BioXcel. If we do not prevail in enforcing our intellectual property rights in this type of litigation, we may be subject to:</w:t>
      </w:r>
    </w:p>
    <w:p>
      <w:pPr>
        <w:spacing w:after="0" w:line="170" w:lineRule="exact"/>
        <w:rPr>
          <w:sz w:val="20"/>
          <w:szCs w:val="20"/>
          <w:color w:val="auto"/>
        </w:rPr>
      </w:pPr>
    </w:p>
    <w:p>
      <w:pPr>
        <w:ind w:left="1020" w:hanging="32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020" w:right="139" w:hanging="328"/>
        <w:spacing w:after="0" w:line="265"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ind w:left="1020" w:right="139" w:hanging="328"/>
        <w:spacing w:after="0" w:line="25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90"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4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61"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020" w:hanging="328"/>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020" w:right="319" w:hanging="328"/>
        <w:spacing w:after="0" w:line="250"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020" w:right="479" w:hanging="328"/>
        <w:spacing w:after="0" w:line="250"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jc w:val="both"/>
        <w:ind w:left="1020" w:right="79" w:hanging="328"/>
        <w:spacing w:after="0" w:line="250"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46" w:lineRule="exact"/>
        <w:rPr>
          <w:rFonts w:ascii="Arial" w:cs="Arial" w:eastAsia="Arial" w:hAnsi="Arial"/>
          <w:sz w:val="16"/>
          <w:szCs w:val="16"/>
          <w:color w:val="auto"/>
        </w:rPr>
      </w:pPr>
    </w:p>
    <w:p>
      <w:pPr>
        <w:ind w:left="1020" w:right="33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020" w:right="21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020" w:right="7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020" w:right="49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0" w:lineRule="exact"/>
        <w:rPr>
          <w:rFonts w:ascii="Arial" w:cs="Arial" w:eastAsia="Arial" w:hAnsi="Arial"/>
          <w:sz w:val="17"/>
          <w:szCs w:val="17"/>
          <w:color w:val="auto"/>
        </w:rPr>
      </w:pPr>
    </w:p>
    <w:p>
      <w:pPr>
        <w:ind w:left="1020" w:right="99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020" w:right="33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020" w:right="119" w:hanging="328"/>
        <w:spacing w:after="0" w:line="25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20" w:lineRule="exact"/>
        <w:rPr>
          <w:rFonts w:ascii="Arial" w:cs="Arial" w:eastAsia="Arial" w:hAnsi="Arial"/>
          <w:sz w:val="17"/>
          <w:szCs w:val="17"/>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11" w:lineRule="exact"/>
        <w:rPr>
          <w:sz w:val="20"/>
          <w:szCs w:val="20"/>
          <w:color w:val="auto"/>
        </w:rPr>
      </w:pPr>
    </w:p>
    <w:p>
      <w:pPr>
        <w:jc w:val="both"/>
        <w:ind w:left="40" w:right="13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As of February 24, 2020, our directors, executive officers and principal stockholders, and their respective affiliates, beneficially owned approximately 48.1%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32" w:lineRule="exact"/>
        <w:rPr>
          <w:rFonts w:ascii="Arial" w:cs="Arial" w:eastAsia="Arial" w:hAnsi="Arial"/>
          <w:sz w:val="16"/>
          <w:szCs w:val="16"/>
          <w:color w:val="auto"/>
        </w:rPr>
      </w:pPr>
    </w:p>
    <w:p>
      <w:pPr>
        <w:ind w:left="40" w:right="179"/>
        <w:spacing w:after="0" w:line="260" w:lineRule="auto"/>
        <w:rPr>
          <w:rFonts w:ascii="Arial" w:cs="Arial" w:eastAsia="Arial" w:hAnsi="Arial"/>
          <w:sz w:val="16"/>
          <w:szCs w:val="16"/>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85"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84" w:lineRule="exact"/>
        <w:rPr>
          <w:sz w:val="20"/>
          <w:szCs w:val="20"/>
          <w:color w:val="auto"/>
        </w:rPr>
      </w:pPr>
    </w:p>
    <w:p>
      <w:pPr>
        <w:jc w:val="both"/>
        <w:ind w:left="4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4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4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40" w:right="7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 (the “SEC”).</w:t>
      </w:r>
    </w:p>
    <w:p>
      <w:pPr>
        <w:spacing w:after="0" w:line="182"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66"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4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40" w:right="259" w:firstLine="324"/>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91" w:lineRule="auto"/>
        <w:rPr>
          <w:sz w:val="20"/>
          <w:szCs w:val="20"/>
          <w:color w:val="auto"/>
        </w:rPr>
      </w:pPr>
      <w:r>
        <w:rPr>
          <w:rFonts w:ascii="Arial" w:cs="Arial" w:eastAsia="Arial" w:hAnsi="Arial"/>
          <w:sz w:val="16"/>
          <w:szCs w:val="16"/>
          <w:color w:val="auto"/>
        </w:rPr>
        <w:t>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66"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6" w:lineRule="exact"/>
        <w:rPr>
          <w:sz w:val="20"/>
          <w:szCs w:val="20"/>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020" w:right="759" w:hanging="328"/>
        <w:spacing w:after="0" w:line="250"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020" w:right="339" w:hanging="328"/>
        <w:spacing w:after="0" w:line="260"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5"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As a publicly traded company we have incurred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392" w:lineRule="exact"/>
        <w:rPr>
          <w:sz w:val="20"/>
          <w:szCs w:val="20"/>
          <w:color w:val="auto"/>
        </w:rPr>
      </w:pPr>
    </w:p>
    <w:p>
      <w:pPr>
        <w:ind w:left="4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left="40" w:right="179" w:firstLine="324"/>
        <w:spacing w:after="0" w:line="296" w:lineRule="auto"/>
        <w:rPr>
          <w:sz w:val="20"/>
          <w:szCs w:val="20"/>
          <w:color w:val="auto"/>
        </w:rPr>
      </w:pPr>
      <w:r>
        <w:rPr>
          <w:rFonts w:ascii="Arial" w:cs="Arial" w:eastAsia="Arial" w:hAnsi="Arial"/>
          <w:sz w:val="16"/>
          <w:szCs w:val="16"/>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Our corporate headquarters are located at 555 Long Wharf Drive in New Haven, Connecticut. The Company occupies 11,040 square feet of space. The lease for this space is for a seven-year period with a renewal option for one additional five-year term. We believe that our existing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We are not a party to any material legal proceedings, and we are not aware of any claims or actions pending or threatened against us. In the future, we might from time to time become involved in litigation relating to claims arising from our ordinary course of business, the resolution of which we do not anticipate would have a material adverse impact on our financial position, results of operations or cash flows.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traded on the Nasdaq Capital Market under the symbol “BTAI.”</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As of March 2, 2020, there were 11 stockholders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Sales of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2019, we issued 54,938 shares of our common stock upon the exercise of stock options previously granted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under our equity incentive plan. The net proceeds to the Company from these option exercises was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$22,500. This securities issuance was in reliance on the exemption contained in Section 4(a)(2) of the Securities Act, as 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transaction by issuers not involving a public offering.</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40" w:right="519" w:firstLine="324"/>
        <w:spacing w:after="0" w:line="223" w:lineRule="exact"/>
        <w:rPr>
          <w:sz w:val="20"/>
          <w:szCs w:val="20"/>
          <w:color w:val="auto"/>
        </w:rPr>
      </w:pPr>
      <w:r>
        <w:rPr>
          <w:rFonts w:ascii="Arial" w:cs="Arial" w:eastAsia="Arial" w:hAnsi="Arial"/>
          <w:sz w:val="18"/>
          <w:szCs w:val="18"/>
          <w:color w:val="auto"/>
        </w:rPr>
        <w:t>The information required by Item 5 of Form 10</w:t>
      </w:r>
      <w:r>
        <w:rPr>
          <w:rFonts w:ascii="MS PGothic" w:cs="MS PGothic" w:eastAsia="MS PGothic" w:hAnsi="MS PGothic"/>
          <w:sz w:val="18"/>
          <w:szCs w:val="18"/>
          <w:color w:val="auto"/>
        </w:rPr>
        <w:t>‑</w:t>
      </w:r>
      <w:r>
        <w:rPr>
          <w:rFonts w:ascii="Arial" w:cs="Arial" w:eastAsia="Arial" w:hAnsi="Arial"/>
          <w:sz w:val="18"/>
          <w:szCs w:val="18"/>
          <w:color w:val="auto"/>
        </w:rPr>
        <w:t>K regarding equity compensation plans is incorporated herein by reference to Item 11. of Part III of this Annual Report.</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In connection with the February 2020 registered offering of our common stock (the “primary offering”), and as disclosed in connection with the primary offering, we granted the underwriters in the primary offering the option to purchase up to 300,000 additional shares of our common stock, the net proceeds from which we would use to purchase the same number of shares of our common stock from BioXcel at the per share price paid by the underwriters in the primary offering. The underwriters exercised their option in full and, in February 2020, we purchased 300,000 shares of our common stock from BioXcel at a per share price of $30.08.</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40" w:right="159" w:firstLine="324"/>
        <w:spacing w:after="0" w:line="291" w:lineRule="auto"/>
        <w:rPr>
          <w:sz w:val="20"/>
          <w:szCs w:val="20"/>
          <w:color w:val="auto"/>
        </w:rPr>
      </w:pPr>
      <w:r>
        <w:rPr>
          <w:rFonts w:ascii="Arial" w:cs="Arial" w:eastAsia="Arial" w:hAnsi="Arial"/>
          <w:sz w:val="16"/>
          <w:szCs w:val="16"/>
          <w:color w:val="auto"/>
        </w:rPr>
        <w:t>The following table presents our selected financial data and certain other financial data. The balance sheet data as of December 31, 2019 and 2018, and the results of operations data for the years then ended were derived from our audited financial statements included elsewhere in this Annual Report on Form 10-K. The balance sheet data as of December 31, 2017 and the results of operations data for the year then-ended have been derived from our audited consolidated financial statements not included in this Annual Report on Form 10-K. The financial data and other financial data presented below should be read in conjunction with our financial statements and the related notes thereto included elsewhere in this Annual Report on Form 10-K and with Part II, Item 7, “Management’s Discussion and Analysis 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Financial Condition and Results of Operations” of this Annual Report on Form 10-K. The selected financial data in this section are not intended to replace our financial statements and the related notes. Our historical reposts are not indicative of our future results.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 data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7,804</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33,601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(33,601)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 and interest income, net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(32,968)</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per share attributable to common stockholders/ Parent basic and diluted</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16,289,175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14,571,553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4"/>
                <w:szCs w:val="2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Borders>
              <w:top w:val="single" w:sz="8" w:color="auto"/>
            </w:tcBorders>
            <w:gridSpan w:val="4"/>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   32,426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42,565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25,639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36,392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6200" w:type="dxa"/>
            <w:vAlign w:val="bottom"/>
          </w:tcPr>
          <w:p>
            <w:pPr>
              <w:ind w:left="43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40" w:right="259" w:firstLine="324"/>
        <w:spacing w:after="0" w:line="218"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Financial Data” and our financial statements and the related notes appearing elsewhere in this report. In addition to historical information, this discussion and analysis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amounts in this report are in U.S. dollars, unless otherwise noted.</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BioXcel Therapeutics, Inc. is a clinical stage biopharmaceutical company utilizing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sublingual thin film formulation designed for acute treatment of agitation resulting from neuropsychiatric disorders, and BXCL701, an orally administered systemic innate immunity activator designed for treatment of a rare form of prostate cancer, pancreatic cancer and advanced solid cancers in combination with other immuno-oncology agents.</w:t>
      </w:r>
    </w:p>
    <w:p>
      <w:pPr>
        <w:spacing w:after="0" w:line="177" w:lineRule="exact"/>
        <w:rPr>
          <w:sz w:val="20"/>
          <w:szCs w:val="20"/>
          <w:color w:val="auto"/>
        </w:rPr>
      </w:pPr>
    </w:p>
    <w:p>
      <w:pPr>
        <w:ind w:left="40" w:right="319" w:firstLine="324"/>
        <w:spacing w:after="0" w:line="301" w:lineRule="auto"/>
        <w:rPr>
          <w:sz w:val="20"/>
          <w:szCs w:val="20"/>
          <w:color w:val="auto"/>
        </w:rPr>
      </w:pPr>
      <w:r>
        <w:rPr>
          <w:rFonts w:ascii="Arial" w:cs="Arial" w:eastAsia="Arial" w:hAnsi="Arial"/>
          <w:sz w:val="16"/>
          <w:szCs w:val="16"/>
          <w:color w:val="auto"/>
        </w:rPr>
        <w:t>The Company’s primary activities have been clinical and pre-clinical research and development of two its two most advanced programs: BXCL501, a sublingual thin film formulation of dexmedetomidine, or Dex, designed for acute treatment of agitation resulting from neurological and psychiatric disorders, and BXCL701, an immuno-oncology agent designed for treatment of a rare form of prostate cancer and for treatment of pancreatic cancer and other solid tumors.</w:t>
      </w:r>
    </w:p>
    <w:p>
      <w:pPr>
        <w:spacing w:after="0" w:line="157" w:lineRule="exact"/>
        <w:rPr>
          <w:sz w:val="20"/>
          <w:szCs w:val="20"/>
          <w:color w:val="auto"/>
        </w:rPr>
      </w:pPr>
    </w:p>
    <w:p>
      <w:pPr>
        <w:ind w:left="40" w:right="139" w:firstLine="324"/>
        <w:spacing w:after="0" w:line="269" w:lineRule="auto"/>
        <w:rPr>
          <w:sz w:val="20"/>
          <w:szCs w:val="20"/>
          <w:color w:val="auto"/>
        </w:rPr>
      </w:pPr>
      <w:r>
        <w:rPr>
          <w:rFonts w:ascii="Arial" w:cs="Arial" w:eastAsia="Arial" w:hAnsi="Arial"/>
          <w:sz w:val="17"/>
          <w:szCs w:val="17"/>
          <w:color w:val="auto"/>
        </w:rPr>
        <w:t>We intend to develop first-in-class, high value therapeutics by leveraging EvolverAI, a research and development engine created and owned by our parent, BioXcel. We believe the combination of our therapeutic area expertise and our ability to generate product candidates through our exclusive collaborative relationship with BioXcel in the areas of neuroscience and immuno-oncology gives us a significant competitive advantage. EvolverAI was developed over the last decade and integrates millions of fragmented data points using artificial intelligence, or AI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185"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We operate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lead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503545" cy="29832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0354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0" w:right="179" w:firstLine="324"/>
        <w:spacing w:after="0" w:line="223" w:lineRule="exact"/>
        <w:rPr>
          <w:sz w:val="20"/>
          <w:szCs w:val="20"/>
          <w:color w:val="auto"/>
        </w:rPr>
      </w:pPr>
      <w:r>
        <w:rPr>
          <w:rFonts w:ascii="Arial" w:cs="Arial" w:eastAsia="Arial" w:hAnsi="Arial"/>
          <w:sz w:val="18"/>
          <w:szCs w:val="18"/>
          <w:color w:val="auto"/>
        </w:rPr>
        <w:t>Our goal is to become a leader in the field of neuroscience and immuno</w:t>
      </w:r>
      <w:r>
        <w:rPr>
          <w:rFonts w:ascii="MS PGothic" w:cs="MS PGothic" w:eastAsia="MS PGothic" w:hAnsi="MS PGothic"/>
          <w:sz w:val="18"/>
          <w:szCs w:val="18"/>
          <w:color w:val="auto"/>
        </w:rPr>
        <w:t>‑</w:t>
      </w:r>
      <w:r>
        <w:rPr>
          <w:rFonts w:ascii="Arial" w:cs="Arial" w:eastAsia="Arial" w:hAnsi="Arial"/>
          <w:sz w:val="18"/>
          <w:szCs w:val="18"/>
          <w:color w:val="auto"/>
        </w:rPr>
        <w:t>oncology. The key elements to achieving this goal are to:</w:t>
      </w:r>
    </w:p>
    <w:p>
      <w:pPr>
        <w:spacing w:after="0" w:line="16" w:lineRule="exact"/>
        <w:rPr>
          <w:sz w:val="20"/>
          <w:szCs w:val="20"/>
          <w:color w:val="auto"/>
        </w:rPr>
      </w:pPr>
    </w:p>
    <w:p>
      <w:pPr>
        <w:ind w:left="1020" w:right="239" w:hanging="328"/>
        <w:spacing w:after="0" w:line="366"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Advance BXCL501, a sublingual thin film formulation of Dex, a selective α</w:t>
      </w:r>
      <w:r>
        <w:rPr>
          <w:rFonts w:ascii="Arial" w:cs="Arial" w:eastAsia="Arial" w:hAnsi="Arial"/>
          <w:sz w:val="26"/>
          <w:szCs w:val="26"/>
          <w:b w:val="1"/>
          <w:bCs w:val="1"/>
          <w:color w:val="auto"/>
          <w:vertAlign w:val="subscript"/>
        </w:rPr>
        <w:t>2a</w:t>
      </w:r>
      <w:r>
        <w:rPr>
          <w:rFonts w:ascii="Arial" w:cs="Arial" w:eastAsia="Arial" w:hAnsi="Arial"/>
          <w:sz w:val="16"/>
          <w:szCs w:val="16"/>
          <w:b w:val="1"/>
          <w:bCs w:val="1"/>
          <w:color w:val="auto"/>
        </w:rPr>
        <w:t xml:space="preserve"> adrenergic receptor agonist, designed for acute treatment of agitation, to approval through the Section 505(b)(2) pathway.</w:t>
      </w:r>
    </w:p>
    <w:p>
      <w:pPr>
        <w:ind w:left="1660" w:right="119" w:hanging="320"/>
        <w:spacing w:after="0" w:line="266" w:lineRule="auto"/>
        <w:tabs>
          <w:tab w:leader="none" w:pos="166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Neurological and Psychiatric Disorders. </w:t>
      </w:r>
      <w:r>
        <w:rPr>
          <w:rFonts w:ascii="Arial" w:cs="Arial" w:eastAsia="Arial" w:hAnsi="Arial"/>
          <w:sz w:val="18"/>
          <w:szCs w:val="18"/>
          <w:color w:val="auto"/>
        </w:rPr>
        <w:t>We believe that BXCL501, if approved, has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the standard of care for the acute treatment of agitation arising from diseases such as schizophrenia, bipolar disorder, dementia, and other indications.</w:t>
      </w:r>
    </w:p>
    <w:p>
      <w:pPr>
        <w:spacing w:after="0" w:line="121" w:lineRule="exact"/>
        <w:rPr>
          <w:rFonts w:ascii="Arial" w:cs="Arial" w:eastAsia="Arial" w:hAnsi="Arial"/>
          <w:sz w:val="18"/>
          <w:szCs w:val="18"/>
          <w:color w:val="auto"/>
        </w:rPr>
      </w:pPr>
    </w:p>
    <w:p>
      <w:pPr>
        <w:ind w:left="1660" w:right="119" w:hanging="320"/>
        <w:spacing w:after="0" w:line="274" w:lineRule="auto"/>
        <w:tabs>
          <w:tab w:leader="none" w:pos="1660"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recently announced plans to evaluate BXCL501 in opioid withdrawal</w:t>
      </w:r>
      <w:r>
        <w:rPr>
          <w:rFonts w:ascii="Arial" w:cs="Arial" w:eastAsia="Arial" w:hAnsi="Arial"/>
          <w:sz w:val="17"/>
          <w:szCs w:val="17"/>
          <w:b w:val="1"/>
          <w:bCs w:val="1"/>
          <w:color w:val="auto"/>
        </w:rPr>
        <w:t xml:space="preserve"> </w:t>
      </w:r>
      <w:r>
        <w:rPr>
          <w:rFonts w:ascii="Arial" w:cs="Arial" w:eastAsia="Arial" w:hAnsi="Arial"/>
          <w:sz w:val="17"/>
          <w:szCs w:val="17"/>
          <w:color w:val="auto"/>
        </w:rPr>
        <w:t>and we may also plan to evaluate additional indications for acute treatment of agitation resulting from delirium, alcohol withdrawal and post-traumatic stress disorder, or PTSD. Dex has been shown to significantly reduce agitation in elderly patients experiencing post-surgical delirium who did not respond to treatment with haloperidol, a potent major tranquilizer and antipsychotic that is used to treat symptoms for schizophrenia.</w:t>
      </w:r>
    </w:p>
    <w:p>
      <w:pPr>
        <w:spacing w:after="0" w:line="119" w:lineRule="exact"/>
        <w:rPr>
          <w:rFonts w:ascii="Arial" w:cs="Arial" w:eastAsia="Arial" w:hAnsi="Arial"/>
          <w:sz w:val="17"/>
          <w:szCs w:val="17"/>
          <w:color w:val="auto"/>
        </w:rPr>
      </w:pPr>
    </w:p>
    <w:p>
      <w:pPr>
        <w:ind w:left="1660" w:right="339" w:hanging="320"/>
        <w:spacing w:after="0" w:line="273" w:lineRule="auto"/>
        <w:tabs>
          <w:tab w:leader="none" w:pos="1660"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Agitation Franchise Expansion. </w:t>
      </w:r>
      <w:r>
        <w:rPr>
          <w:rFonts w:ascii="Arial" w:cs="Arial" w:eastAsia="Arial" w:hAnsi="Arial"/>
          <w:sz w:val="17"/>
          <w:szCs w:val="17"/>
          <w:color w:val="auto"/>
        </w:rPr>
        <w:t>We are also investigating potential treatments for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spectrum of agitation from pre-agitation to severe agitation. We are exploring the use of wearable digital device technology, such as the Apple watch, with the goal of prevention and treatment of agitation including, if approved, the administration of BXCL501 prior to the onset of agitation. Additionally, we are considering a combination approach of BXCL501 and another agent for the treatment of chronic agitation. For severe agitation, a single use intramuscular, or IM, injection called KalmPen™ is under development.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020" w:right="279" w:hanging="328"/>
        <w:spacing w:after="0" w:line="26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Complete BXCL701 Phase 2 trials to evaluate its potential for the first-line treatment of treatment-emergent neuroendocrine prostate cancer, or tNEPC, and for the second-line treatment of pancreatic cancer.</w:t>
      </w:r>
    </w:p>
    <w:p>
      <w:pPr>
        <w:spacing w:after="0" w:line="121" w:lineRule="exact"/>
        <w:rPr>
          <w:rFonts w:ascii="Arial" w:cs="Arial" w:eastAsia="Arial" w:hAnsi="Arial"/>
          <w:sz w:val="18"/>
          <w:szCs w:val="18"/>
          <w:color w:val="auto"/>
        </w:rPr>
      </w:pPr>
    </w:p>
    <w:p>
      <w:pPr>
        <w:ind w:left="1660" w:right="159" w:hanging="320"/>
        <w:spacing w:after="0" w:line="256" w:lineRule="auto"/>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tNEPC (Orphan Segment of Prostate Cancer). </w:t>
      </w:r>
      <w:r>
        <w:rPr>
          <w:rFonts w:ascii="Arial" w:cs="Arial" w:eastAsia="Arial" w:hAnsi="Arial"/>
          <w:sz w:val="18"/>
          <w:szCs w:val="18"/>
          <w:color w:val="auto"/>
        </w:rPr>
        <w:t>BXCL701 was previously studied in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and demonstrated single agent anti-tumor activity in melanoma, an immune-sensitive tumor. The U.S. Food and Drug Administration, or FDA, authorized our investigational new drug application, or IND, allowing us to initiate a Phase 2 trial evaluating BXCL701 in combination with Pembrolizumab (KEYTRUDA®) in tNEPC, and this trial opened to accrual in February 2019 and continues enrolling patients.</w:t>
      </w:r>
    </w:p>
    <w:p>
      <w:pPr>
        <w:spacing w:after="0" w:line="133" w:lineRule="exact"/>
        <w:rPr>
          <w:rFonts w:ascii="Arial" w:cs="Arial" w:eastAsia="Arial" w:hAnsi="Arial"/>
          <w:sz w:val="18"/>
          <w:szCs w:val="18"/>
          <w:color w:val="auto"/>
        </w:rPr>
      </w:pPr>
    </w:p>
    <w:p>
      <w:pPr>
        <w:ind w:left="1660" w:right="179" w:hanging="320"/>
        <w:spacing w:after="0" w:line="273" w:lineRule="auto"/>
        <w:tabs>
          <w:tab w:leader="none" w:pos="1660" w:val="left"/>
        </w:tabs>
        <w:numPr>
          <w:ilvl w:val="1"/>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Pancreatic Cancer. </w:t>
      </w:r>
      <w:r>
        <w:rPr>
          <w:rFonts w:ascii="Arial" w:cs="Arial" w:eastAsia="Arial" w:hAnsi="Arial"/>
          <w:sz w:val="17"/>
          <w:szCs w:val="17"/>
          <w:color w:val="auto"/>
        </w:rPr>
        <w:t>Preclinical data suggests that fibroblast activation protein positive, or FAP,</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contribute to checkpoint inhibitor resistance, and immunosuppression more generally in pancreatic cancer. We believe these data provide a strong rationale for combining BXCL701 with a checkpoint inhibitor such as avelumab (Bavencio) or nivolumab (Opdivo). Furthermore, we have observed synergy between BXCL701 and Bempegaldesleukin (Nektar’s pegylated IL2), a CD122 based agonist of IL-2, in a preclinical pancreatic model. BXCL701 has been granted orphan drug designation by the FDA for the treatment of pancreatic cancer.</w:t>
      </w:r>
    </w:p>
    <w:p>
      <w:pPr>
        <w:spacing w:after="0" w:line="117" w:lineRule="exact"/>
        <w:rPr>
          <w:rFonts w:ascii="Arial" w:cs="Arial" w:eastAsia="Arial" w:hAnsi="Arial"/>
          <w:sz w:val="17"/>
          <w:szCs w:val="17"/>
          <w:color w:val="auto"/>
        </w:rPr>
      </w:pPr>
    </w:p>
    <w:p>
      <w:pPr>
        <w:ind w:left="1660" w:right="119" w:hanging="320"/>
        <w:spacing w:after="0" w:line="258" w:lineRule="auto"/>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Basket Trial</w:t>
      </w:r>
      <w:r>
        <w:rPr>
          <w:rFonts w:ascii="Arial" w:cs="Arial" w:eastAsia="Arial" w:hAnsi="Arial"/>
          <w:sz w:val="18"/>
          <w:szCs w:val="18"/>
          <w:color w:val="auto"/>
        </w:rPr>
        <w:t>. BXCL701 is being evaluated in an open-label phase 2 basket trial led by MD</w:t>
      </w:r>
      <w:r>
        <w:rPr>
          <w:rFonts w:ascii="Arial" w:cs="Arial" w:eastAsia="Arial" w:hAnsi="Arial"/>
          <w:sz w:val="18"/>
          <w:szCs w:val="18"/>
          <w:b w:val="1"/>
          <w:bCs w:val="1"/>
          <w:color w:val="auto"/>
        </w:rPr>
        <w:t xml:space="preserve"> </w:t>
      </w:r>
      <w:r>
        <w:rPr>
          <w:rFonts w:ascii="Arial" w:cs="Arial" w:eastAsia="Arial" w:hAnsi="Arial"/>
          <w:sz w:val="18"/>
          <w:szCs w:val="18"/>
          <w:color w:val="auto"/>
        </w:rPr>
        <w:t>Anderson. The investigator led study is designed to evaluate the response rate of orally administered BXCL701, combined with Pembrolizumab (KEYTRUDA®) in patients with advanced solid cancers. The study will evaluate both patients who are naïve to checkpoint therapy and those who are refractory to checkpoint therapy.</w:t>
      </w:r>
    </w:p>
    <w:p>
      <w:pPr>
        <w:spacing w:after="0" w:line="129" w:lineRule="exact"/>
        <w:rPr>
          <w:rFonts w:ascii="Arial" w:cs="Arial" w:eastAsia="Arial" w:hAnsi="Arial"/>
          <w:sz w:val="18"/>
          <w:szCs w:val="18"/>
          <w:color w:val="auto"/>
        </w:rPr>
      </w:pPr>
    </w:p>
    <w:p>
      <w:pPr>
        <w:ind w:left="1660" w:right="79" w:hanging="320"/>
        <w:spacing w:after="0" w:line="266" w:lineRule="auto"/>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Potential for Expedited Review Programs. </w:t>
      </w:r>
      <w:r>
        <w:rPr>
          <w:rFonts w:ascii="Arial" w:cs="Arial" w:eastAsia="Arial" w:hAnsi="Arial"/>
          <w:sz w:val="18"/>
          <w:szCs w:val="18"/>
          <w:color w:val="auto"/>
        </w:rPr>
        <w:t>Given that these indications represent high unmet</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needs with few treatment options, we intend to pursue breakthrough therapy designation and accelerated approval for tNEPC and pancreatic cancer.</w:t>
      </w:r>
    </w:p>
    <w:p>
      <w:pPr>
        <w:spacing w:after="0" w:line="121" w:lineRule="exact"/>
        <w:rPr>
          <w:rFonts w:ascii="Arial" w:cs="Arial" w:eastAsia="Arial" w:hAnsi="Arial"/>
          <w:sz w:val="18"/>
          <w:szCs w:val="18"/>
          <w:color w:val="auto"/>
        </w:rPr>
      </w:pPr>
    </w:p>
    <w:p>
      <w:pPr>
        <w:ind w:left="1660" w:right="179" w:hanging="320"/>
        <w:spacing w:after="0" w:line="270" w:lineRule="auto"/>
        <w:tabs>
          <w:tab w:leader="none" w:pos="1660" w:val="left"/>
        </w:tabs>
        <w:numPr>
          <w:ilvl w:val="1"/>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believe BXCL701 may be active at multiple stages of the cancer</w:t>
      </w:r>
      <w:r>
        <w:rPr>
          <w:rFonts w:ascii="Arial" w:cs="Arial" w:eastAsia="Arial" w:hAnsi="Arial"/>
          <w:sz w:val="17"/>
          <w:szCs w:val="17"/>
          <w:b w:val="1"/>
          <w:bCs w:val="1"/>
          <w:color w:val="auto"/>
        </w:rPr>
        <w:t xml:space="preserve"> </w:t>
      </w:r>
      <w:r>
        <w:rPr>
          <w:rFonts w:ascii="Arial" w:cs="Arial" w:eastAsia="Arial" w:hAnsi="Arial"/>
          <w:sz w:val="17"/>
          <w:szCs w:val="17"/>
          <w:color w:val="auto"/>
        </w:rPr>
        <w:t>immunity cycle and therefore we believe BXCL701 offers a “pipeline in a product” platform given its potential for evaluation across other cancers. BXCL701 was granted an orphan drug designation for the treatment of acute myeloid leukemia in September 2019, its third orphan drug designation in addition to pancreatic cancer and melanoma. We believe existing preclinical evidence supports the combination of BXCL701 with checkpoint inhibitors and/or agents that act on “co-stimulatory” pathways within immune effector cells. Moreover, we believe agents that stimulate antibody dependent cell mediated cytotoxicity, (ADCC) or cell-based therapies such as chimeric antigen receptor T cell (CAR T) therapy, oncolytic viruses or therapeutic vaccines all represent potential combination with BXCL701.</w:t>
      </w:r>
    </w:p>
    <w:p>
      <w:pPr>
        <w:spacing w:after="0" w:line="122" w:lineRule="exact"/>
        <w:rPr>
          <w:rFonts w:ascii="Arial" w:cs="Arial" w:eastAsia="Arial" w:hAnsi="Arial"/>
          <w:sz w:val="17"/>
          <w:szCs w:val="17"/>
          <w:color w:val="auto"/>
        </w:rPr>
      </w:pPr>
    </w:p>
    <w:p>
      <w:pPr>
        <w:ind w:left="1020" w:right="179" w:hanging="328"/>
        <w:spacing w:after="0" w:line="291"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Identify biomarkers to select patients who we believe have the highest likelihood to respond to our product candidates. </w:t>
      </w:r>
      <w:r>
        <w:rPr>
          <w:rFonts w:ascii="Arial" w:cs="Arial" w:eastAsia="Arial" w:hAnsi="Arial"/>
          <w:sz w:val="16"/>
          <w:szCs w:val="16"/>
          <w:color w:val="auto"/>
        </w:rPr>
        <w:t>Predicting optimal drug responses in patients requires the identification and validation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predictive biomarkers. We believe that our ability to identify patient subsets most likely to respond to our product candidates will increase the clinical benefit to patients and improve the probability of success of our clinical trials. The indications for our lead product candidate BXCL701 were chosen in part because they are known to overexpress dipeptidyl peptidase, or DPP 8/9, and FAP. Our planned proof-of-concept clinical trial of BXCL701 will retrospectively examine biomarkers related to its molecular and cellular targets to identify those that may correlate with clinical efficacy and increase our likelihood of success.</w:t>
      </w:r>
    </w:p>
    <w:p>
      <w:pPr>
        <w:spacing w:after="0" w:line="105" w:lineRule="exact"/>
        <w:rPr>
          <w:rFonts w:ascii="Arial" w:cs="Arial" w:eastAsia="Arial" w:hAnsi="Arial"/>
          <w:sz w:val="16"/>
          <w:szCs w:val="16"/>
          <w:color w:val="auto"/>
        </w:rPr>
      </w:pPr>
    </w:p>
    <w:p>
      <w:pPr>
        <w:ind w:left="1020" w:right="159" w:hanging="328"/>
        <w:spacing w:after="0" w:line="220" w:lineRule="exact"/>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Enhance our R&amp;D pipeline by leveraging our therapeutic area expertise with EvolverAI to identify, develop and commercialize new product candidates in neuroscience and immuno</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oncology. </w:t>
      </w:r>
      <w:r>
        <w:rPr>
          <w:rFonts w:ascii="Arial" w:cs="Arial" w:eastAsia="Arial" w:hAnsi="Arial"/>
          <w:sz w:val="16"/>
          <w:szCs w:val="16"/>
          <w:color w:val="auto"/>
        </w:rPr>
        <w:t>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to our leading clinical programs and our emerging and future pipeline, we intend to select our next clinical program during 2020. We have established translational and development expertise, which we believe will help us advance the present and future product candidates in these fields. We may also</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39"/>
        <w:spacing w:after="0" w:line="223" w:lineRule="exact"/>
        <w:rPr>
          <w:sz w:val="20"/>
          <w:szCs w:val="20"/>
          <w:color w:val="auto"/>
        </w:rPr>
      </w:pPr>
      <w:r>
        <w:rPr>
          <w:rFonts w:ascii="Arial" w:cs="Arial" w:eastAsia="Arial" w:hAnsi="Arial"/>
          <w:sz w:val="18"/>
          <w:szCs w:val="18"/>
          <w:color w:val="auto"/>
        </w:rPr>
        <w:t>opportunistically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identified through our AI platform approach within our core areas of expertise.</w:t>
      </w:r>
    </w:p>
    <w:p>
      <w:pPr>
        <w:spacing w:after="0" w:line="145" w:lineRule="exact"/>
        <w:rPr>
          <w:sz w:val="20"/>
          <w:szCs w:val="20"/>
          <w:color w:val="auto"/>
        </w:rPr>
      </w:pPr>
    </w:p>
    <w:p>
      <w:pPr>
        <w:ind w:left="1020" w:right="159" w:hanging="328"/>
        <w:spacing w:after="0" w:line="298"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Maximize the commercial potential of our product candidates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worldwide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rights to our BXCL501 and BXCL701. If BXCL501 and BXCL701 are approved in the United States, we would consider building a specialty sales force in the United States and/or collaborate with third parties to maximize the potential of our product candidates. Furthermore, we intend to commercialize BXCL501 and BXCL701, if approved, outside the United States through collaborations with third parties.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7"/>
          <w:szCs w:val="17"/>
          <w:color w:val="auto"/>
        </w:rPr>
        <w:t>Our AI</w:t>
      </w:r>
      <w:r>
        <w:rPr>
          <w:rFonts w:ascii="MS PGothic" w:cs="MS PGothic" w:eastAsia="MS PGothic" w:hAnsi="MS PGothic"/>
          <w:sz w:val="17"/>
          <w:szCs w:val="17"/>
          <w:color w:val="auto"/>
        </w:rPr>
        <w:t>‑</w:t>
      </w:r>
      <w:r>
        <w:rPr>
          <w:rFonts w:ascii="Arial" w:cs="Arial" w:eastAsia="Arial" w:hAnsi="Arial"/>
          <w:sz w:val="17"/>
          <w:szCs w:val="17"/>
          <w:color w:val="auto"/>
        </w:rPr>
        <w:t>based discovery and development process is the foundation of our drug re</w:t>
      </w:r>
      <w:r>
        <w:rPr>
          <w:rFonts w:ascii="MS PGothic" w:cs="MS PGothic" w:eastAsia="MS PGothic" w:hAnsi="MS PGothic"/>
          <w:sz w:val="17"/>
          <w:szCs w:val="17"/>
          <w:color w:val="auto"/>
        </w:rPr>
        <w:t>‑</w:t>
      </w:r>
      <w:r>
        <w:rPr>
          <w:rFonts w:ascii="Arial" w:cs="Arial" w:eastAsia="Arial" w:hAnsi="Arial"/>
          <w:sz w:val="17"/>
          <w:szCs w:val="17"/>
          <w:color w:val="auto"/>
        </w:rPr>
        <w:t>innovation model for identifying the next wave of medicines. Our therapeutic area experts have over 60 years of experience across the drug discovery and development value chain. We believe EvolverAI is a novel method of finding potential product candidates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w:t>
      </w:r>
      <w:r>
        <w:rPr>
          <w:rFonts w:ascii="MS PGothic" w:cs="MS PGothic" w:eastAsia="MS PGothic" w:hAnsi="MS PGothic"/>
          <w:sz w:val="17"/>
          <w:szCs w:val="17"/>
          <w:color w:val="auto"/>
        </w:rPr>
        <w:t>‑</w:t>
      </w:r>
      <w:r>
        <w:rPr>
          <w:rFonts w:ascii="Arial" w:cs="Arial" w:eastAsia="Arial" w:hAnsi="Arial"/>
          <w:sz w:val="17"/>
          <w:szCs w:val="17"/>
          <w:color w:val="auto"/>
        </w:rPr>
        <w:t>oncology through our exclusive collaborative relationship in those areas with BioXcel give us a significant competitive advantage.</w:t>
      </w:r>
    </w:p>
    <w:p>
      <w:pPr>
        <w:spacing w:after="0" w:line="206" w:lineRule="exact"/>
        <w:rPr>
          <w:sz w:val="20"/>
          <w:szCs w:val="20"/>
          <w:color w:val="auto"/>
        </w:rPr>
      </w:pPr>
    </w:p>
    <w:p>
      <w:pPr>
        <w:ind w:left="40" w:right="119" w:firstLine="324"/>
        <w:spacing w:after="0" w:line="218" w:lineRule="exact"/>
        <w:rPr>
          <w:sz w:val="20"/>
          <w:szCs w:val="20"/>
          <w:color w:val="auto"/>
        </w:rPr>
      </w:pPr>
      <w:r>
        <w:rPr>
          <w:rFonts w:ascii="Arial" w:cs="Arial" w:eastAsia="Arial" w:hAnsi="Arial"/>
          <w:sz w:val="16"/>
          <w:szCs w:val="16"/>
          <w:color w:val="auto"/>
        </w:rPr>
        <w:t>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A large number of the remaining agents are clinical candidates that are active, shelved or have failed for reasons other than toxicity and can potentially be re</w:t>
      </w:r>
      <w:r>
        <w:rPr>
          <w:rFonts w:ascii="MS PGothic" w:cs="MS PGothic" w:eastAsia="MS PGothic" w:hAnsi="MS PGothic"/>
          <w:sz w:val="16"/>
          <w:szCs w:val="16"/>
          <w:color w:val="auto"/>
        </w:rPr>
        <w:t>‑</w:t>
      </w:r>
      <w:r>
        <w:rPr>
          <w:rFonts w:ascii="Arial" w:cs="Arial" w:eastAsia="Arial" w:hAnsi="Arial"/>
          <w:sz w:val="16"/>
          <w:szCs w:val="16"/>
          <w:color w:val="auto"/>
        </w:rPr>
        <w:t>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w:t>
      </w:r>
    </w:p>
    <w:p>
      <w:pPr>
        <w:spacing w:after="0" w:line="204"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Traditional drug development is plagued with low success rates (13.8%, according to an MIT study of 186,000 trials from January 2000 to October 2015), long drug development cycles (10-15 years, according to PhRMA Key Facts 2016) and exorbitant development costs ($2.6 billion per drug, according to PhRMA Key Facts). Furthermore, many serious diseases continue to go unaddressed due to limitations of the current drug discovery paradigm. The recent advent of numerous ‘omics’ technologies (genomics, proteomics) and rapid advances in science and medicine are generating terabytes of valuable unexploited knowledge that is widely distributed in multiple big data lakes with several orders of complexity and variety. Much of this data is not being systematically applied to the development of next generation therapeutics, thus preventing the optimization of drug development utilizing the understanding of technology, science, medicine, markets and commercial opportunities. The efficient and intuitive use of big data remains a bottleneck and a challenge to the pharmaceutical industry. Taken together, these factors underscore the need for fundamental new approaches to drug discovery and development. The market opportunity to identify new uses for existing pharmacological agents remains substantial, due to the lack of technology driven insights. Our parent, BioXcel, has created a proprietary R&amp;D engine, EvolverAI, for drug re-innovation that provides a proprietary systems-based approach designed to unlock the hidden value in drugs. The combination of our therapeutic area expertise and our exclusive collaborative relationship with BioXcel enables us to screen, analyze, and identify the product candidates that we believe have a high likelihood of benefiting patients. The compounds in our pipeline have been identified using this proprietary platform.</w:t>
      </w:r>
    </w:p>
    <w:p>
      <w:pPr>
        <w:spacing w:after="0" w:line="176" w:lineRule="exact"/>
        <w:rPr>
          <w:sz w:val="20"/>
          <w:szCs w:val="20"/>
          <w:color w:val="auto"/>
        </w:rPr>
      </w:pPr>
    </w:p>
    <w:p>
      <w:pPr>
        <w:jc w:val="both"/>
        <w:ind w:left="40" w:right="459" w:firstLine="324"/>
        <w:spacing w:after="0" w:line="219" w:lineRule="exact"/>
        <w:rPr>
          <w:sz w:val="20"/>
          <w:szCs w:val="20"/>
          <w:color w:val="auto"/>
        </w:rPr>
      </w:pPr>
      <w:r>
        <w:rPr>
          <w:rFonts w:ascii="Arial" w:cs="Arial" w:eastAsia="Arial" w:hAnsi="Arial"/>
          <w:sz w:val="16"/>
          <w:szCs w:val="16"/>
          <w:color w:val="auto"/>
        </w:rPr>
        <w:t>EvolverAI is designed to eliminate human bias by scanning millions of data points from disparate data sources to create network maps. The nodes and connections in the network map are weighted and ranked based on the validity of supporting evidence using disease specific algorithms. They are then further analyzed using artificial intelligence and machine learning approaches supplemented by human domain</w:t>
      </w:r>
      <w:r>
        <w:rPr>
          <w:rFonts w:ascii="MS PGothic" w:cs="MS PGothic" w:eastAsia="MS PGothic" w:hAnsi="MS PGothic"/>
          <w:sz w:val="16"/>
          <w:szCs w:val="16"/>
          <w:color w:val="auto"/>
        </w:rPr>
        <w:t>‑</w:t>
      </w:r>
      <w:r>
        <w:rPr>
          <w:rFonts w:ascii="Arial" w:cs="Arial" w:eastAsia="Arial" w:hAnsi="Arial"/>
          <w:sz w:val="16"/>
          <w:szCs w:val="16"/>
          <w:color w:val="auto"/>
        </w:rPr>
        <w:t>based expertise to uncover novel connections between disease parameters, molecular targets, mechanisms of actions and product candidates.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firstLine="324"/>
        <w:spacing w:after="0" w:line="293"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 (Biogen, Inc.), Thalomid (Celgene Corporation) and Viagra (Pfizer, Inc.). All of these drugs were identified by insights in biology and disease pathophysiology. The successful business models of biotech companies like Axsome-Therapeutics,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big data analytics based approach.</w:t>
      </w:r>
    </w:p>
    <w:p>
      <w:pPr>
        <w:spacing w:after="0" w:line="164" w:lineRule="exact"/>
        <w:rPr>
          <w:sz w:val="20"/>
          <w:szCs w:val="20"/>
          <w:color w:val="auto"/>
        </w:rPr>
      </w:pPr>
    </w:p>
    <w:p>
      <w:pPr>
        <w:ind w:left="40" w:right="79" w:firstLine="366"/>
        <w:spacing w:after="0" w:line="255" w:lineRule="auto"/>
        <w:rPr>
          <w:sz w:val="20"/>
          <w:szCs w:val="20"/>
          <w:color w:val="auto"/>
        </w:rPr>
      </w:pPr>
      <w:r>
        <w:rPr>
          <w:rFonts w:ascii="Arial" w:cs="Arial" w:eastAsia="Arial" w:hAnsi="Arial"/>
          <w:sz w:val="18"/>
          <w:szCs w:val="18"/>
          <w:color w:val="auto"/>
        </w:rPr>
        <w:t>We believe that only EvolverAI allows a comprehensive and unbiased evaluation of the complete pharmacological space. We believe our drug re-innovation model and exclusive collaborative relationship with BioXcel has the potential to reduce the cost and time of drug development, help us design more efficient trials and accelerate our product candidates’ time to market. This assumption is based on capitalizing product candidates with substantial clinical data and mitigated risk due to well defined safety profiles, known PK/PD properties, and an established manufacturing and regulatory path. 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268605</wp:posOffset>
            </wp:positionV>
            <wp:extent cx="5503545" cy="2871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0354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599" w:firstLine="324"/>
        <w:spacing w:after="0" w:line="308" w:lineRule="auto"/>
        <w:rPr>
          <w:sz w:val="20"/>
          <w:szCs w:val="20"/>
          <w:color w:val="auto"/>
        </w:rPr>
      </w:pPr>
      <w:r>
        <w:rPr>
          <w:rFonts w:ascii="Arial" w:cs="Arial" w:eastAsia="Arial" w:hAnsi="Arial"/>
          <w:sz w:val="17"/>
          <w:szCs w:val="17"/>
          <w:color w:val="auto"/>
        </w:rPr>
        <w:t>Research and development expenses consist primarily of costs incurred for the research and development of our clinical and pre-clinical product candidates, which includes payments to BioXcel, our Parent.</w:t>
      </w:r>
    </w:p>
    <w:p>
      <w:pPr>
        <w:spacing w:after="0" w:line="146" w:lineRule="exact"/>
        <w:rPr>
          <w:sz w:val="20"/>
          <w:szCs w:val="20"/>
          <w:color w:val="auto"/>
        </w:rPr>
      </w:pPr>
    </w:p>
    <w:p>
      <w:pPr>
        <w:ind w:left="1020" w:right="419" w:hanging="328"/>
        <w:spacing w:after="0" w:line="258"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 w:lineRule="exact"/>
        <w:rPr>
          <w:rFonts w:ascii="Arial" w:cs="Arial" w:eastAsia="Arial" w:hAnsi="Arial"/>
          <w:sz w:val="18"/>
          <w:szCs w:val="18"/>
          <w:color w:val="auto"/>
        </w:rPr>
      </w:pPr>
    </w:p>
    <w:p>
      <w:pPr>
        <w:ind w:left="1020" w:right="99" w:hanging="328"/>
        <w:spacing w:after="0" w:line="250"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sites that conduct our non-clinical studies and clinical trials;</w:t>
      </w:r>
    </w:p>
    <w:p>
      <w:pPr>
        <w:ind w:left="1020" w:right="159" w:hanging="328"/>
        <w:spacing w:after="0" w:line="250"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ind w:left="1020" w:right="199" w:hanging="328"/>
        <w:spacing w:after="0" w:line="250"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pre-clinical and clinical trial materials and lab supplies; and</w:t>
      </w:r>
    </w:p>
    <w:p>
      <w:pPr>
        <w:ind w:left="1020" w:hanging="328"/>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expense research and development costs to operations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research and development costs by program for the year ended December 31, 2019 and 2018 are as follows:</w:t>
      </w:r>
    </w:p>
    <w:p>
      <w:pPr>
        <w:spacing w:after="0" w:line="233"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2018</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15,859</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BXCL 701</w:t>
            </w:r>
          </w:p>
        </w:tc>
        <w:tc>
          <w:tcPr>
            <w:tcW w:w="2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6,947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5,984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BXCL 702</w:t>
            </w:r>
          </w:p>
        </w:tc>
        <w:tc>
          <w:tcPr>
            <w:tcW w:w="2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1,602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1,770</w:t>
            </w:r>
          </w:p>
        </w:tc>
      </w:tr>
      <w:tr>
        <w:trPr>
          <w:trHeight w:val="217"/>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25,797</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14,558</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40" w:right="339"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including salaries, benefits, stock-based compensation and travel expenses for our executive, finance, corporate development and other administrative functions. General and administrative expenses also include legal expenses to pursue patent protection of our intellectual property, professional fees for audit and tax and insurance charges.</w:t>
      </w:r>
    </w:p>
    <w:p>
      <w:pPr>
        <w:spacing w:after="0" w:line="187" w:lineRule="exact"/>
        <w:rPr>
          <w:sz w:val="20"/>
          <w:szCs w:val="20"/>
          <w:color w:val="auto"/>
        </w:rPr>
      </w:pPr>
    </w:p>
    <w:p>
      <w:pPr>
        <w:ind w:left="40" w:right="259"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as we expand our clinical programs. We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governance, internal controls, investor relations and disclosures and similar requirements applicable to public companies.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40" w:right="379" w:firstLine="324"/>
        <w:spacing w:after="0" w:line="224" w:lineRule="exact"/>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4 to the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right="759" w:firstLine="324"/>
        <w:spacing w:after="0" w:line="311" w:lineRule="auto"/>
        <w:rPr>
          <w:sz w:val="20"/>
          <w:szCs w:val="20"/>
          <w:color w:val="auto"/>
        </w:rPr>
      </w:pPr>
      <w:r>
        <w:rPr>
          <w:rFonts w:ascii="Arial" w:cs="Arial" w:eastAsia="Arial" w:hAnsi="Arial"/>
          <w:sz w:val="16"/>
          <w:szCs w:val="16"/>
          <w:color w:val="auto"/>
        </w:rPr>
        <w:t>For a discussion of our results of operations for the year ended December 31, 2017, including a year-to-year comparison between 2018 and 2017, refer to Part II, Item 7, "Management's Discussion and Analysis of Financial Condition and Results of Operations" in our Annual Report on Form 10-K for the year ended December 31, 2018.</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Year</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right"/>
              <w:ind w:right="116"/>
              <w:spacing w:after="0" w:line="149" w:lineRule="exact"/>
              <w:rPr>
                <w:sz w:val="20"/>
                <w:szCs w:val="20"/>
                <w:color w:val="auto"/>
              </w:rPr>
            </w:pPr>
            <w:r>
              <w:rPr>
                <w:rFonts w:ascii="Arial" w:cs="Arial" w:eastAsia="Arial" w:hAnsi="Arial"/>
                <w:sz w:val="14"/>
                <w:szCs w:val="14"/>
                <w:b w:val="1"/>
                <w:bCs w:val="1"/>
                <w:color w:val="auto"/>
              </w:rPr>
              <w:t>Ended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25,797</w:t>
            </w:r>
          </w:p>
        </w:tc>
        <w:tc>
          <w:tcPr>
            <w:tcW w:w="22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14,558</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19,962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(19,270)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ind w:left="40" w:right="419" w:firstLine="324"/>
        <w:spacing w:after="0" w:line="277" w:lineRule="auto"/>
        <w:rPr>
          <w:sz w:val="20"/>
          <w:szCs w:val="20"/>
          <w:color w:val="auto"/>
        </w:rPr>
      </w:pPr>
      <w:r>
        <w:rPr>
          <w:rFonts w:ascii="Arial" w:cs="Arial" w:eastAsia="Arial" w:hAnsi="Arial"/>
          <w:sz w:val="18"/>
          <w:szCs w:val="18"/>
          <w:color w:val="auto"/>
        </w:rPr>
        <w:t>Research and development expenses for the years ended December 31, 2019 and 2018 were $25,797 and $14,558, respectively. The increase of $11,239 is attributable to the costs described in the table below:</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Drug acquisition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Chemical, manufacturing and controls cost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25,797</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19" w:firstLine="324"/>
        <w:spacing w:after="0" w:line="277" w:lineRule="auto"/>
        <w:rPr>
          <w:sz w:val="20"/>
          <w:szCs w:val="20"/>
          <w:color w:val="auto"/>
        </w:rPr>
      </w:pPr>
      <w:r>
        <w:rPr>
          <w:rFonts w:ascii="Arial" w:cs="Arial" w:eastAsia="Arial" w:hAnsi="Arial"/>
          <w:sz w:val="18"/>
          <w:szCs w:val="18"/>
          <w:color w:val="auto"/>
        </w:rPr>
        <w:t>Salaries, bonus and related costs increased due to higher bonus accruals, increases in headcount, payroll taxes, recruiting fees and travel related costs.</w:t>
      </w:r>
    </w:p>
    <w:p>
      <w:pPr>
        <w:spacing w:after="0" w:line="170" w:lineRule="exact"/>
        <w:rPr>
          <w:sz w:val="20"/>
          <w:szCs w:val="20"/>
          <w:color w:val="auto"/>
        </w:rPr>
      </w:pPr>
    </w:p>
    <w:p>
      <w:pPr>
        <w:ind w:left="40" w:right="259" w:firstLine="324"/>
        <w:spacing w:after="0" w:line="311" w:lineRule="auto"/>
        <w:rPr>
          <w:sz w:val="20"/>
          <w:szCs w:val="20"/>
          <w:color w:val="auto"/>
        </w:rPr>
      </w:pPr>
      <w:r>
        <w:rPr>
          <w:rFonts w:ascii="Arial" w:cs="Arial" w:eastAsia="Arial" w:hAnsi="Arial"/>
          <w:sz w:val="16"/>
          <w:szCs w:val="16"/>
          <w:color w:val="auto"/>
        </w:rPr>
        <w:t>Non-cash stock-based compensation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342" w:lineRule="auto"/>
        <w:rPr>
          <w:sz w:val="20"/>
          <w:szCs w:val="20"/>
          <w:color w:val="auto"/>
        </w:rPr>
      </w:pPr>
      <w:r>
        <w:rPr>
          <w:rFonts w:ascii="Arial" w:cs="Arial" w:eastAsia="Arial" w:hAnsi="Arial"/>
          <w:sz w:val="16"/>
          <w:szCs w:val="16"/>
          <w:color w:val="auto"/>
        </w:rPr>
        <w:t>vested during the first quarter of 2018 and there was no corresponding charge during the first quarter of 2019. These lower charges were offset in part by increases in expense relating to new hires beginning in the second quarter of 2018.</w:t>
      </w:r>
    </w:p>
    <w:p>
      <w:pPr>
        <w:spacing w:after="0" w:line="124" w:lineRule="exact"/>
        <w:rPr>
          <w:sz w:val="20"/>
          <w:szCs w:val="20"/>
          <w:color w:val="auto"/>
        </w:rPr>
      </w:pPr>
    </w:p>
    <w:p>
      <w:pPr>
        <w:ind w:left="40" w:right="559" w:firstLine="324"/>
        <w:spacing w:after="0" w:line="263" w:lineRule="auto"/>
        <w:rPr>
          <w:sz w:val="20"/>
          <w:szCs w:val="20"/>
          <w:color w:val="auto"/>
        </w:rPr>
      </w:pPr>
      <w:r>
        <w:rPr>
          <w:rFonts w:ascii="Arial" w:cs="Arial" w:eastAsia="Arial" w:hAnsi="Arial"/>
          <w:sz w:val="18"/>
          <w:szCs w:val="18"/>
          <w:color w:val="auto"/>
        </w:rPr>
        <w:t>Drug acquisition costs are related to certain payments triggered pursuant to our Amended and Restated Asset Contribution Agreement with our Parent as discussed in Note 5 to the financial statements included elsewhere in this Annual Report on Form 10-K.</w:t>
      </w:r>
    </w:p>
    <w:p>
      <w:pPr>
        <w:spacing w:after="0" w:line="184"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increase in professional research &amp; project related costs, clinical trials expenses and chemical, manufacturing and controls cost reflect the acceleration of research and development activities.</w:t>
      </w:r>
    </w:p>
    <w:p>
      <w:pPr>
        <w:spacing w:after="0" w:line="170"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All other increased due to higher technical service charges from BioXcel, and increased depreciation and amortization charges related to our new leased office space.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General and administrative expenses for the years ended December 31, 2019 and 2018 were $7,804 and $5,404, respectively. The increase of $2,400 is attributable to the costs described in the table below:</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7"/>
        </w:trPr>
        <w:tc>
          <w:tcPr>
            <w:tcW w:w="642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19" w:firstLine="324"/>
        <w:spacing w:after="0" w:line="277" w:lineRule="auto"/>
        <w:rPr>
          <w:sz w:val="20"/>
          <w:szCs w:val="20"/>
          <w:color w:val="auto"/>
        </w:rPr>
      </w:pPr>
      <w:r>
        <w:rPr>
          <w:rFonts w:ascii="Arial" w:cs="Arial" w:eastAsia="Arial" w:hAnsi="Arial"/>
          <w:sz w:val="18"/>
          <w:szCs w:val="18"/>
          <w:color w:val="auto"/>
        </w:rPr>
        <w:t>Salaries, bonus and related costs increased due to increases in headcount, higher bonus accruals, payroll taxes, recruiting fees and travel related costs.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Non-cash stock-based compensation increased slightly in 2019.</w:t>
      </w:r>
    </w:p>
    <w:p>
      <w:pPr>
        <w:spacing w:after="0" w:line="225"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2019.</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Insurance costs increased primarily due to increased costs for Director and Officer liability insurance.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 expenses increased due to additional franchise taxes, office space costs and regulatory filing fees.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As of December 31, 2019, we had cash and cash equivalents of $32,426, working capital of $25,639 and stockholders’ equity of $26,895. Net cash used in operating activities was $27,280 and $13,509 for the years ended December 31, 2019 and 2018. We incurred losses of approximately $32,968 and $19,270 for the years ended December 31, 2019 and 2018.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342" w:lineRule="auto"/>
        <w:rPr>
          <w:sz w:val="20"/>
          <w:szCs w:val="20"/>
          <w:color w:val="auto"/>
        </w:rPr>
      </w:pPr>
      <w:r>
        <w:rPr>
          <w:rFonts w:ascii="Arial" w:cs="Arial" w:eastAsia="Arial" w:hAnsi="Arial"/>
          <w:sz w:val="16"/>
          <w:szCs w:val="16"/>
          <w:color w:val="auto"/>
        </w:rPr>
        <w:t>equivalents as of December 31, 2019, and a review of projected project timing, will enable us to fund our operating expenses and capital expenditure requirements for at least one year from the date of this Annual Report on Form 10-K.</w:t>
      </w:r>
    </w:p>
    <w:p>
      <w:pPr>
        <w:spacing w:after="0" w:line="124"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Management’s plans to obtain additional resources for the Company include obtaining capital from the sale of its equity securities, entering into strategic partnership arrangements and short-term borrowings from banks, stockholders or other related parties, if needed. However, management cannot provide any assurance that the Company will be successful in accomplishing any of its plans.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40" w:right="159" w:firstLine="324"/>
        <w:spacing w:after="0" w:line="257" w:lineRule="auto"/>
        <w:rPr>
          <w:sz w:val="20"/>
          <w:szCs w:val="20"/>
          <w:color w:val="auto"/>
        </w:rPr>
      </w:pPr>
      <w:r>
        <w:rPr>
          <w:rFonts w:ascii="Arial" w:cs="Arial" w:eastAsia="Arial" w:hAnsi="Arial"/>
          <w:sz w:val="18"/>
          <w:szCs w:val="18"/>
          <w:color w:val="auto"/>
        </w:rPr>
        <w:t>We have focused our efforts on raising capital and building the products in our pipeline. Since our inception, and through our initial public offering of our common stock, or IPO, all our operations have been financed by our Parent, BioXcel, or the sales of our common stock in a series of private placements, three public offerings and an Open Market Sale Agreement. We have not yet established an ongoing source of revenue sufficient to cover our operating costs and will need to do so in future periods.</w:t>
      </w:r>
    </w:p>
    <w:p>
      <w:pPr>
        <w:spacing w:after="0" w:line="188"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In March 2018, we completed our IPO and we issued and sold 5,454,545 shares of common stock at a public offering price of $11.00 per share. Gross proceeds totaled $60,000, and net proceeds totaled $54,102.</w:t>
      </w:r>
    </w:p>
    <w:p>
      <w:pPr>
        <w:spacing w:after="0" w:line="170"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In May 2019, we entered into an Open Market Sale Agreement, or the Sale Agreement, with Jefferies LLC, or Jefferies, pursuant to which we could offer and sell shares of our common stock having an initial offering price no greater than $20.0 million, from time to time, through an “at the market offering” program under which Jefferies would act as sales agent. From May 2019 to September 2019, we sold a total of 66,193 shares for gross proceeds of $737 and net proceeds of $387. We terminated the Sale Agreement on September 22, 2019.</w:t>
      </w:r>
    </w:p>
    <w:p>
      <w:pPr>
        <w:spacing w:after="0" w:line="188"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In September 2019, we sold in a registered offering 2,303,030 shares of our common stock at a public offering price of $8.25 per share, less underwriting discounts and commissions for which we received gross and net proceeds of approximately $19,000 and $17,423, respectively.</w:t>
      </w:r>
    </w:p>
    <w:p>
      <w:pPr>
        <w:spacing w:after="0" w:line="184"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In February 2020, we sold in a registered offering 2,000,000 shares of our common stock at a public offering price of $32.00 per share for gross proceeds of $64,000 and net proceeds of approximately $60,000.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88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  (27,280)</w:t>
            </w:r>
          </w:p>
        </w:tc>
        <w:tc>
          <w:tcPr>
            <w:tcW w:w="900" w:type="dxa"/>
            <w:vAlign w:val="bottom"/>
          </w:tcPr>
          <w:p>
            <w:pPr>
              <w:jc w:val="right"/>
              <w:spacing w:after="0"/>
              <w:rPr>
                <w:sz w:val="20"/>
                <w:szCs w:val="20"/>
                <w:color w:val="auto"/>
              </w:rPr>
            </w:pPr>
            <w:r>
              <w:rPr>
                <w:rFonts w:ascii="Arial" w:cs="Arial" w:eastAsia="Arial" w:hAnsi="Arial"/>
                <w:sz w:val="18"/>
                <w:szCs w:val="18"/>
                <w:color w:val="auto"/>
              </w:rPr>
              <w:t>$  (13,509)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9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jc w:val="right"/>
              <w:spacing w:after="0"/>
              <w:rPr>
                <w:sz w:val="20"/>
                <w:szCs w:val="20"/>
                <w:color w:val="auto"/>
              </w:rPr>
            </w:pPr>
            <w:r>
              <w:rPr>
                <w:rFonts w:ascii="Arial" w:cs="Arial" w:eastAsia="Arial" w:hAnsi="Arial"/>
                <w:sz w:val="18"/>
                <w:szCs w:val="18"/>
                <w:color w:val="auto"/>
              </w:rPr>
              <w:t>18,011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55,527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40" w:right="399" w:firstLine="324"/>
        <w:spacing w:after="0" w:line="279" w:lineRule="auto"/>
        <w:rPr>
          <w:sz w:val="20"/>
          <w:szCs w:val="20"/>
          <w:color w:val="auto"/>
        </w:rPr>
      </w:pPr>
      <w:r>
        <w:rPr>
          <w:rFonts w:ascii="Arial" w:cs="Arial" w:eastAsia="Arial" w:hAnsi="Arial"/>
          <w:sz w:val="17"/>
          <w:szCs w:val="17"/>
          <w:color w:val="auto"/>
        </w:rPr>
        <w:t>For the year ended December 31, 2019, net cash used in operating activities was approximately $27,280 which consisted of a net loss of $32,968 partially offset by $3,142 in stock-based compensation and $156 of depreciation and amortization. Increases in accounts payable and accrued expenses of $3,580 were offset in part by increases in prepaid expenses (primarily for insurance premiums) and other assets of $1,190.</w:t>
      </w:r>
    </w:p>
    <w:p>
      <w:pPr>
        <w:spacing w:after="0" w:line="171" w:lineRule="exact"/>
        <w:rPr>
          <w:sz w:val="20"/>
          <w:szCs w:val="20"/>
          <w:color w:val="auto"/>
        </w:rPr>
      </w:pPr>
    </w:p>
    <w:p>
      <w:pPr>
        <w:ind w:left="40" w:right="679" w:firstLine="324"/>
        <w:spacing w:after="0" w:line="342" w:lineRule="auto"/>
        <w:rPr>
          <w:sz w:val="20"/>
          <w:szCs w:val="20"/>
          <w:color w:val="auto"/>
        </w:rPr>
      </w:pPr>
      <w:r>
        <w:rPr>
          <w:rFonts w:ascii="Arial" w:cs="Arial" w:eastAsia="Arial" w:hAnsi="Arial"/>
          <w:sz w:val="16"/>
          <w:szCs w:val="16"/>
          <w:color w:val="auto"/>
        </w:rPr>
        <w:t>For the year ended December 31, 2018, net cash used in operating activities was approximately $13,509 which consisted of a net loss of $19,270 partially offset by $3,082 in stock-based compensation and $17 of depreciation.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Increases in accounts payable and accrued expenses of $3,201 were offset in part by increases in prepaid expenses (primarily for insurance premiums) and other assets of $539.</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Net cash used in investing activities was $870 for the year ended December 31, 2019, compared to $340 for the year ended December 31, 2018. Expenditures for 2019 were primarily related to construction costs and furniture associated with the occupancy of the Company’s 12</w:t>
      </w:r>
      <w:r>
        <w:rPr>
          <w:rFonts w:ascii="Arial" w:cs="Arial" w:eastAsia="Arial" w:hAnsi="Arial"/>
          <w:sz w:val="8"/>
          <w:szCs w:val="8"/>
          <w:color w:val="auto"/>
        </w:rPr>
        <w:t>th</w:t>
      </w:r>
      <w:r>
        <w:rPr>
          <w:rFonts w:ascii="Arial" w:cs="Arial" w:eastAsia="Arial" w:hAnsi="Arial"/>
          <w:sz w:val="17"/>
          <w:szCs w:val="17"/>
          <w:color w:val="auto"/>
        </w:rPr>
        <w:t xml:space="preserve"> floor office at 555 Long Wharf Drive in New Haven, CT. Expenditures in 2018 were primarily for design costs associated with the 12</w:t>
      </w:r>
      <w:r>
        <w:rPr>
          <w:rFonts w:ascii="Arial" w:cs="Arial" w:eastAsia="Arial" w:hAnsi="Arial"/>
          <w:sz w:val="8"/>
          <w:szCs w:val="8"/>
          <w:color w:val="auto"/>
        </w:rPr>
        <w:t>th</w:t>
      </w:r>
      <w:r>
        <w:rPr>
          <w:rFonts w:ascii="Arial" w:cs="Arial" w:eastAsia="Arial" w:hAnsi="Arial"/>
          <w:sz w:val="17"/>
          <w:szCs w:val="17"/>
          <w:color w:val="auto"/>
        </w:rPr>
        <w:t xml:space="preserve"> floor occupancy. We also purchased computers and related equipment for technical research and for additional headcount during 2019 and 2018.</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7"/>
          <w:szCs w:val="17"/>
          <w:color w:val="auto"/>
        </w:rPr>
        <w:t>Net cash provided by financing activities was $18,011 for the year ended December 31, 2019. Our September 2019 Offering provided funds of $17,423, net of $1,577 of closing costs. In addition, our ATM program provided funds of $387, net of $350 of closing costs. The two equity issuances accounted for the majority of our financing activities.</w:t>
      </w:r>
    </w:p>
    <w:p>
      <w:pPr>
        <w:spacing w:after="0" w:line="165" w:lineRule="exact"/>
        <w:rPr>
          <w:sz w:val="20"/>
          <w:szCs w:val="20"/>
          <w:color w:val="auto"/>
        </w:rPr>
      </w:pPr>
    </w:p>
    <w:p>
      <w:pPr>
        <w:jc w:val="both"/>
        <w:ind w:left="40" w:right="359" w:firstLine="324"/>
        <w:spacing w:after="0" w:line="263" w:lineRule="auto"/>
        <w:rPr>
          <w:sz w:val="20"/>
          <w:szCs w:val="20"/>
          <w:color w:val="auto"/>
        </w:rPr>
      </w:pPr>
      <w:r>
        <w:rPr>
          <w:rFonts w:ascii="Arial" w:cs="Arial" w:eastAsia="Arial" w:hAnsi="Arial"/>
          <w:sz w:val="18"/>
          <w:szCs w:val="18"/>
          <w:color w:val="auto"/>
        </w:rPr>
        <w:t>Net cash provided by financing activities was approximately $55,527 for the year ended December 31, 2018 which was mainly attributable to the proceeds from issuance of common stock in our IPO and private placements of common stock, offset in part by repayment of loans to our Parent.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2"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1020" w:right="639" w:hanging="328"/>
        <w:spacing w:after="0" w:line="250"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1020" w:right="419" w:hanging="328"/>
        <w:spacing w:after="0" w:line="281"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1020" w:hanging="328"/>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11"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2" w:lineRule="auto"/>
        <w:rPr>
          <w:sz w:val="20"/>
          <w:szCs w:val="20"/>
          <w:color w:val="auto"/>
        </w:rPr>
      </w:pPr>
      <w:r>
        <w:rPr>
          <w:rFonts w:ascii="Arial" w:cs="Arial" w:eastAsia="Arial" w:hAnsi="Arial"/>
          <w:sz w:val="17"/>
          <w:szCs w:val="17"/>
          <w:color w:val="auto"/>
        </w:rPr>
        <w:t>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left="40" w:right="199" w:firstLine="357"/>
        <w:spacing w:after="0" w:line="279" w:lineRule="auto"/>
        <w:rPr>
          <w:sz w:val="20"/>
          <w:szCs w:val="20"/>
          <w:color w:val="auto"/>
        </w:rPr>
      </w:pPr>
      <w:r>
        <w:rPr>
          <w:rFonts w:ascii="Arial" w:cs="Arial" w:eastAsia="Arial" w:hAnsi="Arial"/>
          <w:sz w:val="17"/>
          <w:szCs w:val="17"/>
          <w:color w:val="auto"/>
        </w:rPr>
        <w:t>The preparation of our financial statements in conformity with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36" w:lineRule="exact"/>
        <w:rPr>
          <w:sz w:val="20"/>
          <w:szCs w:val="20"/>
          <w:color w:val="auto"/>
        </w:rPr>
      </w:pPr>
    </w:p>
    <w:p>
      <w:pPr>
        <w:ind w:left="40" w:right="119" w:firstLine="360"/>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66" w:lineRule="exact"/>
        <w:rPr>
          <w:sz w:val="20"/>
          <w:szCs w:val="20"/>
          <w:color w:val="auto"/>
        </w:rPr>
      </w:pPr>
    </w:p>
    <w:p>
      <w:pPr>
        <w:ind w:left="40" w:right="59" w:firstLine="357"/>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44" w:lineRule="exact"/>
        <w:rPr>
          <w:sz w:val="20"/>
          <w:szCs w:val="20"/>
          <w:color w:val="auto"/>
        </w:rPr>
      </w:pPr>
    </w:p>
    <w:p>
      <w:pPr>
        <w:ind w:left="40" w:right="59" w:firstLine="350"/>
        <w:spacing w:after="0" w:line="277" w:lineRule="auto"/>
        <w:rPr>
          <w:sz w:val="20"/>
          <w:szCs w:val="20"/>
          <w:color w:val="auto"/>
        </w:rPr>
      </w:pPr>
      <w:r>
        <w:rPr>
          <w:rFonts w:ascii="Arial" w:cs="Arial" w:eastAsia="Arial" w:hAnsi="Arial"/>
          <w:sz w:val="18"/>
          <w:szCs w:val="18"/>
          <w:color w:val="auto"/>
        </w:rPr>
        <w:t>A description of significant accounting policies that require us to make estimates and assumptions in the preparation of our financial statements is as follows: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40" w:right="239" w:firstLine="357"/>
        <w:spacing w:after="0" w:line="30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liabilities at the dates of the financial statements and the reported amounts of revenues and expenses during the reporting periods. Actual results could differ from these estimates.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219" w:firstLine="360"/>
        <w:spacing w:after="0" w:line="277" w:lineRule="auto"/>
        <w:rPr>
          <w:sz w:val="20"/>
          <w:szCs w:val="20"/>
          <w:color w:val="auto"/>
        </w:rPr>
      </w:pPr>
      <w:r>
        <w:rPr>
          <w:rFonts w:ascii="Arial" w:cs="Arial" w:eastAsia="Arial" w:hAnsi="Arial"/>
          <w:sz w:val="18"/>
          <w:szCs w:val="18"/>
          <w:color w:val="auto"/>
        </w:rPr>
        <w:t>Research and development expenses are expensed as incurred. Patent costs and patent acquisition costs are expensed as incurred and included in general and administrative expenses.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Charges from our Parent, BioXcel Corporation.</w:t>
      </w:r>
    </w:p>
    <w:p>
      <w:pPr>
        <w:spacing w:after="0" w:line="104" w:lineRule="exact"/>
        <w:rPr>
          <w:sz w:val="20"/>
          <w:szCs w:val="20"/>
          <w:color w:val="auto"/>
        </w:rPr>
      </w:pPr>
    </w:p>
    <w:p>
      <w:pPr>
        <w:ind w:left="40" w:right="319" w:firstLine="324"/>
        <w:spacing w:after="0" w:line="301" w:lineRule="auto"/>
        <w:rPr>
          <w:sz w:val="20"/>
          <w:szCs w:val="20"/>
          <w:color w:val="auto"/>
        </w:rPr>
      </w:pPr>
      <w:r>
        <w:rPr>
          <w:rFonts w:ascii="Arial" w:cs="Arial" w:eastAsia="Arial" w:hAnsi="Arial"/>
          <w:sz w:val="16"/>
          <w:szCs w:val="16"/>
          <w:color w:val="auto"/>
        </w:rPr>
        <w:t>BioXcel has granted stock options to its employees under its own equity incentive plan, or the BioXcel Plan. Stock-based compensation expense from awards granted under the BioXcel Plan is allocated to us over the required service period over which those stock option awards vest and is based upon the percentage of time the award recipient spent working on our activities compared to BioXcel activities, which is the same basis used for allocation of salary costs.</w:t>
      </w:r>
    </w:p>
    <w:p>
      <w:pPr>
        <w:spacing w:after="0" w:line="157" w:lineRule="exact"/>
        <w:rPr>
          <w:sz w:val="20"/>
          <w:szCs w:val="20"/>
          <w:color w:val="auto"/>
        </w:rPr>
      </w:pPr>
    </w:p>
    <w:p>
      <w:pPr>
        <w:ind w:left="40" w:right="99" w:firstLine="357"/>
        <w:spacing w:after="0" w:line="342" w:lineRule="auto"/>
        <w:rPr>
          <w:sz w:val="20"/>
          <w:szCs w:val="20"/>
          <w:color w:val="auto"/>
        </w:rPr>
      </w:pPr>
      <w:r>
        <w:rPr>
          <w:rFonts w:ascii="Arial" w:cs="Arial" w:eastAsia="Arial" w:hAnsi="Arial"/>
          <w:sz w:val="16"/>
          <w:szCs w:val="16"/>
          <w:color w:val="auto"/>
        </w:rPr>
        <w:t>The BioXcel stock option awards are valued at fair value on the date of grant and that fair value is recognized over the requisite service period. The estimated fair value of these BioXcel stock option awards was determined using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Black Scholes option pricing model on the date of grant. Significant judgment and estimates were used to estimate the fair value of these awards, as they are not publicly traded.</w:t>
      </w:r>
    </w:p>
    <w:p>
      <w:pPr>
        <w:spacing w:after="0" w:line="49" w:lineRule="exact"/>
        <w:rPr>
          <w:sz w:val="20"/>
          <w:szCs w:val="20"/>
          <w:color w:val="auto"/>
        </w:rPr>
      </w:pPr>
    </w:p>
    <w:p>
      <w:pPr>
        <w:ind w:left="40" w:right="79" w:firstLine="360"/>
        <w:spacing w:after="0" w:line="293" w:lineRule="auto"/>
        <w:rPr>
          <w:sz w:val="20"/>
          <w:szCs w:val="20"/>
          <w:color w:val="auto"/>
        </w:rPr>
      </w:pPr>
      <w:r>
        <w:rPr>
          <w:rFonts w:ascii="Arial" w:cs="Arial" w:eastAsia="Arial" w:hAnsi="Arial"/>
          <w:sz w:val="16"/>
          <w:szCs w:val="16"/>
          <w:color w:val="auto"/>
        </w:rPr>
        <w:t>Our estimation of fair value of the awards considered recent transactions entered into by BioXcel, relevant industry and comparable public company data. Since BioXcel is a non-public entity, the majority of the inputs used to estimate the fair value of the common stock option awards are considered level 3 due to their unobservable nature. Each option award is subject to specified vesting schedules and requirements (a mix of time-based and corporate event-based, including financing events). Compensation expense is charged to us by BioXcel over the required service period to earn the award which is expected to be up to four years, subject to the achievement of time and event-based vesting requirements.</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BioXcel Therapeutics, Inc. 2017 Equity Incentive Plan</w:t>
      </w:r>
    </w:p>
    <w:p>
      <w:pPr>
        <w:spacing w:after="0" w:line="104"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Our board of directors adopted the 2017 Equity Incentive Plan, or the Plan, on August 22, 2017. The Plan will expire on August 22, 2027. The purpose of the Plan is to attract and retain key personnel and to provide a means for directors, officers, managers, employees, consultants and advisors to acquire and maintain an interest in our company, which interest may be measured by reference to the value of its common stock.</w:t>
      </w:r>
    </w:p>
    <w:p>
      <w:pPr>
        <w:spacing w:after="0" w:line="187" w:lineRule="exact"/>
        <w:rPr>
          <w:sz w:val="20"/>
          <w:szCs w:val="20"/>
          <w:color w:val="auto"/>
        </w:rPr>
      </w:pPr>
    </w:p>
    <w:p>
      <w:pPr>
        <w:ind w:left="40" w:right="119" w:firstLine="324"/>
        <w:spacing w:after="0" w:line="291"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66"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left="40" w:right="759" w:firstLine="324"/>
        <w:spacing w:after="0" w:line="277" w:lineRule="auto"/>
        <w:rPr>
          <w:sz w:val="20"/>
          <w:szCs w:val="20"/>
          <w:color w:val="auto"/>
        </w:rPr>
      </w:pPr>
      <w:r>
        <w:rPr>
          <w:rFonts w:ascii="Arial" w:cs="Arial" w:eastAsia="Arial" w:hAnsi="Arial"/>
          <w:sz w:val="18"/>
          <w:szCs w:val="18"/>
          <w:color w:val="auto"/>
        </w:rPr>
        <w:t>The Company adopted FASB ASU 2018-07 as of January 1, 2019 which allowed non-employee options to be expensed using the adoption date fair value.</w:t>
      </w:r>
    </w:p>
    <w:p>
      <w:pPr>
        <w:spacing w:after="0" w:line="170" w:lineRule="exact"/>
        <w:rPr>
          <w:sz w:val="20"/>
          <w:szCs w:val="20"/>
          <w:color w:val="auto"/>
        </w:rPr>
      </w:pPr>
    </w:p>
    <w:p>
      <w:pPr>
        <w:ind w:left="40" w:right="379" w:firstLine="324"/>
        <w:spacing w:after="0" w:line="223" w:lineRule="exact"/>
        <w:rPr>
          <w:sz w:val="20"/>
          <w:szCs w:val="20"/>
          <w:color w:val="auto"/>
        </w:rPr>
      </w:pPr>
      <w:r>
        <w:rPr>
          <w:rFonts w:ascii="Arial" w:cs="Arial" w:eastAsia="Arial" w:hAnsi="Arial"/>
          <w:sz w:val="18"/>
          <w:szCs w:val="18"/>
          <w:color w:val="auto"/>
        </w:rPr>
        <w:t>The Company adopted FASB ASU 2016</w:t>
      </w:r>
      <w:r>
        <w:rPr>
          <w:rFonts w:ascii="MS PGothic" w:cs="MS PGothic" w:eastAsia="MS PGothic" w:hAnsi="MS PGothic"/>
          <w:sz w:val="18"/>
          <w:szCs w:val="18"/>
          <w:color w:val="auto"/>
        </w:rPr>
        <w:t>‑</w:t>
      </w:r>
      <w:r>
        <w:rPr>
          <w:rFonts w:ascii="Arial" w:cs="Arial" w:eastAsia="Arial" w:hAnsi="Arial"/>
          <w:sz w:val="18"/>
          <w:szCs w:val="18"/>
          <w:color w:val="auto"/>
        </w:rPr>
        <w:t>09 as of January 1, 2018 and has elected to account for forfeitures as they occur, by reversing compensation cost when the award is forfeited.</w:t>
      </w:r>
    </w:p>
    <w:p>
      <w:pPr>
        <w:spacing w:after="0" w:line="216" w:lineRule="exact"/>
        <w:rPr>
          <w:sz w:val="20"/>
          <w:szCs w:val="20"/>
          <w:color w:val="auto"/>
        </w:rPr>
      </w:pPr>
    </w:p>
    <w:p>
      <w:pPr>
        <w:ind w:left="40" w:right="159" w:firstLine="324"/>
        <w:spacing w:after="0" w:line="311" w:lineRule="auto"/>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Expenses Accrued Under Contractual Arrangements with Third Parties; Accrued Clinical Expenses</w:t>
      </w:r>
    </w:p>
    <w:p>
      <w:pPr>
        <w:spacing w:after="0" w:line="117"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7"/>
          <w:szCs w:val="17"/>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0" w:right="339" w:firstLine="324"/>
        <w:spacing w:after="0" w:line="263" w:lineRule="auto"/>
        <w:rPr>
          <w:sz w:val="20"/>
          <w:szCs w:val="20"/>
          <w:color w:val="auto"/>
        </w:rPr>
      </w:pPr>
      <w:r>
        <w:rPr>
          <w:rFonts w:ascii="Arial" w:cs="Arial" w:eastAsia="Arial" w:hAnsi="Arial"/>
          <w:sz w:val="18"/>
          <w:szCs w:val="18"/>
          <w:color w:val="auto"/>
        </w:rPr>
        <w:t>The Company entered into an agreement to lease approximately 11,040 square feet of space on the 12th floor of the building located at 555 Long Wharf Drive, New Haven, Connecticut that commenced February 22, 2019 (the “Commencement Date”). The premises were occupied in March 2019.</w:t>
      </w:r>
    </w:p>
    <w:p>
      <w:pPr>
        <w:spacing w:after="0" w:line="184"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The term of the 12th floor lease continues from the Commencement Date through the last day of the calendar month immediately following the seventh anniversary of the Commencement Date.</w:t>
      </w:r>
    </w:p>
    <w:p>
      <w:pPr>
        <w:spacing w:after="0" w:line="170" w:lineRule="exact"/>
        <w:rPr>
          <w:sz w:val="20"/>
          <w:szCs w:val="20"/>
          <w:color w:val="auto"/>
        </w:rPr>
      </w:pPr>
    </w:p>
    <w:p>
      <w:pPr>
        <w:ind w:left="40" w:right="219" w:firstLine="324"/>
        <w:spacing w:after="0" w:line="342" w:lineRule="auto"/>
        <w:rPr>
          <w:sz w:val="20"/>
          <w:szCs w:val="20"/>
          <w:color w:val="auto"/>
        </w:rPr>
      </w:pPr>
      <w:r>
        <w:rPr>
          <w:rFonts w:ascii="Arial" w:cs="Arial" w:eastAsia="Arial" w:hAnsi="Arial"/>
          <w:sz w:val="16"/>
          <w:szCs w:val="16"/>
          <w:color w:val="auto"/>
        </w:rPr>
        <w:t>The following table summarizes our contractual obligations at December 31, 2019 and the effect such obligations are expected to have on our liquidity and cash flow in future periods and is solely related to the 12</w:t>
      </w:r>
      <w:r>
        <w:rPr>
          <w:rFonts w:ascii="Arial" w:cs="Arial" w:eastAsia="Arial" w:hAnsi="Arial"/>
          <w:sz w:val="7"/>
          <w:szCs w:val="7"/>
          <w:color w:val="auto"/>
        </w:rPr>
        <w:t>th</w:t>
      </w:r>
      <w:r>
        <w:rPr>
          <w:rFonts w:ascii="Arial" w:cs="Arial" w:eastAsia="Arial" w:hAnsi="Arial"/>
          <w:sz w:val="16"/>
          <w:szCs w:val="16"/>
          <w:color w:val="auto"/>
        </w:rPr>
        <w:t xml:space="preserve"> floor lease: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Less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Than</w:t>
            </w:r>
          </w:p>
        </w:tc>
        <w:tc>
          <w:tcPr>
            <w:tcW w:w="1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5"/>
              </w:rPr>
              <w:t>1-3 years</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3-5 years</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commitments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$ 1,354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details, see “Note 12 to Financial Statements – Leases.”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40" w:right="79" w:firstLine="324"/>
        <w:spacing w:after="0" w:line="277" w:lineRule="auto"/>
        <w:rPr>
          <w:sz w:val="20"/>
          <w:szCs w:val="20"/>
          <w:color w:val="auto"/>
        </w:rPr>
      </w:pPr>
      <w:r>
        <w:rPr>
          <w:rFonts w:ascii="Arial" w:cs="Arial" w:eastAsia="Arial" w:hAnsi="Arial"/>
          <w:sz w:val="18"/>
          <w:szCs w:val="18"/>
          <w:color w:val="auto"/>
        </w:rPr>
        <w:t>We did not have during the periods presented, nor do we currently have, any off-balance sheet arrangements as defined under SEC rules.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0" w:right="339" w:firstLine="324"/>
        <w:spacing w:after="0" w:line="311" w:lineRule="auto"/>
        <w:rPr>
          <w:sz w:val="20"/>
          <w:szCs w:val="20"/>
          <w:color w:val="auto"/>
        </w:rPr>
      </w:pPr>
      <w:r>
        <w:rPr>
          <w:rFonts w:ascii="Arial" w:cs="Arial" w:eastAsia="Arial" w:hAnsi="Arial"/>
          <w:sz w:val="16"/>
          <w:szCs w:val="16"/>
          <w:color w:val="auto"/>
        </w:rPr>
        <w:t>Our balance sheet as of December 31, 2019 includes cash and cash equivalents of $32,426. We do not participate in any foreign currency hedging activities and we do not have any other derivative financial instruments. We did not recognize any significant exchange rate losses during the years ended December 31, 2019 and 2018, respectively.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and incorporated herein by reference.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2019. The term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8"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December 31, 2019, our Chief Executive Officer and Chief Financial Officer concluded that, as of such date, our disclosure controls and procedures are effective at the reasonable assurance level.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29" w:lineRule="exact"/>
        <w:rPr>
          <w:sz w:val="20"/>
          <w:szCs w:val="20"/>
          <w:color w:val="auto"/>
        </w:rPr>
      </w:pPr>
    </w:p>
    <w:p>
      <w:pPr>
        <w:ind w:left="40" w:right="139" w:firstLine="324"/>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2019, our internal control over financial reporting was effective.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ind w:left="40" w:right="799"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There were no changes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w:t>
      </w:r>
    </w:p>
    <w:p>
      <w:pPr>
        <w:spacing w:after="0" w:line="23"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15d</w:t>
      </w:r>
      <w:r>
        <w:rPr>
          <w:rFonts w:ascii="MS PGothic" w:cs="MS PGothic" w:eastAsia="MS PGothic" w:hAnsi="MS PGothic"/>
          <w:sz w:val="16"/>
          <w:szCs w:val="16"/>
          <w:color w:val="auto"/>
        </w:rPr>
        <w:t>‑</w:t>
      </w:r>
      <w:r>
        <w:rPr>
          <w:rFonts w:ascii="Arial" w:cs="Arial" w:eastAsia="Arial" w:hAnsi="Arial"/>
          <w:sz w:val="16"/>
          <w:szCs w:val="16"/>
          <w:color w:val="auto"/>
        </w:rPr>
        <w:t>15(f) under the Exchange Act) during the three months ended December 31, 2019 that have materially affected, or are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reasonably likely to materially affect, our internal control over financial reporting.</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to the information that will be contained in our proxy statement related to our annual meeting of stockholders to be held in 2020 (the “2020 Annual Meeting of Stockholders”), which we intend to file with the SEC within 120 days of the year ended December 31, 2019.</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 within 120 days of the year ended December 31,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 within 120 days of the year ended December 31,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 within 120 days of the year ended December 31,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 within 120 days of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60" w:hanging="316"/>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18"/>
          <w:szCs w:val="18"/>
          <w:color w:val="auto"/>
        </w:rPr>
        <w:t>The following documents are filed as part of this report: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gridSpan w:val="7"/>
          </w:tcPr>
          <w:p>
            <w:pPr>
              <w:ind w:left="660"/>
              <w:spacing w:after="0"/>
              <w:rPr>
                <w:sz w:val="20"/>
                <w:szCs w:val="20"/>
                <w:color w:val="auto"/>
              </w:rPr>
            </w:pPr>
            <w:r>
              <w:rPr>
                <w:rFonts w:ascii="Arial" w:cs="Arial" w:eastAsia="Arial" w:hAnsi="Arial"/>
                <w:sz w:val="18"/>
                <w:szCs w:val="18"/>
                <w:color w:val="auto"/>
              </w:rPr>
              <w:t>(1) Financial Statements:</w:t>
            </w:r>
          </w:p>
        </w:tc>
        <w:tc>
          <w:tcPr>
            <w:tcW w:w="2480" w:type="dxa"/>
            <w:vAlign w:val="bottom"/>
          </w:tcPr>
          <w:p>
            <w:pPr>
              <w:spacing w:after="0"/>
              <w:rPr>
                <w:sz w:val="20"/>
                <w:szCs w:val="20"/>
                <w:color w:val="auto"/>
              </w:rPr>
            </w:pPr>
          </w:p>
        </w:tc>
      </w:tr>
      <w:tr>
        <w:trPr>
          <w:trHeight w:val="391"/>
        </w:trPr>
        <w:tc>
          <w:tcPr>
            <w:tcW w:w="644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2480" w:type="dxa"/>
            <w:vAlign w:val="bottom"/>
          </w:tcPr>
          <w:p>
            <w:pPr>
              <w:ind w:left="2220"/>
              <w:spacing w:after="0" w:line="207"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1</w:t>
            </w:r>
          </w:p>
        </w:tc>
      </w:tr>
      <w:tr>
        <w:trPr>
          <w:trHeight w:val="196"/>
        </w:trPr>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Balance Sheets</w:t>
              </w:r>
            </w:hyperlink>
          </w:p>
        </w:tc>
        <w:tc>
          <w:tcPr>
            <w:tcW w:w="2220" w:type="dxa"/>
            <w:vAlign w:val="bottom"/>
          </w:tcPr>
          <w:p>
            <w:pPr>
              <w:spacing w:after="0"/>
              <w:rPr>
                <w:sz w:val="17"/>
                <w:szCs w:val="17"/>
                <w:color w:val="auto"/>
              </w:rPr>
            </w:pPr>
          </w:p>
        </w:tc>
        <w:tc>
          <w:tcPr>
            <w:tcW w:w="2480" w:type="dxa"/>
            <w:vAlign w:val="bottom"/>
          </w:tcPr>
          <w:p>
            <w:pPr>
              <w:ind w:left="2220"/>
              <w:spacing w:after="0" w:line="19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2</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6440" w:type="dxa"/>
            <w:vAlign w:val="bottom"/>
            <w:gridSpan w:val="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Statements of Operations</w:t>
              </w:r>
            </w:hyperlink>
          </w:p>
        </w:tc>
        <w:tc>
          <w:tcPr>
            <w:tcW w:w="2480" w:type="dxa"/>
            <w:vAlign w:val="bottom"/>
          </w:tcPr>
          <w:p>
            <w:pPr>
              <w:ind w:left="2220"/>
              <w:spacing w:after="0" w:line="19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3</w:t>
            </w:r>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Statements of Changes in Stockholders’ Equity (Deficit)</w:t>
              </w:r>
            </w:hyperlink>
          </w:p>
        </w:tc>
        <w:tc>
          <w:tcPr>
            <w:tcW w:w="2360" w:type="dxa"/>
            <w:vAlign w:val="bottom"/>
            <w:gridSpan w:val="2"/>
          </w:tcPr>
          <w:p>
            <w:pPr>
              <w:spacing w:after="0"/>
              <w:rPr>
                <w:sz w:val="17"/>
                <w:szCs w:val="17"/>
                <w:color w:val="auto"/>
              </w:rPr>
            </w:pPr>
          </w:p>
        </w:tc>
        <w:tc>
          <w:tcPr>
            <w:tcW w:w="2480" w:type="dxa"/>
            <w:vAlign w:val="bottom"/>
          </w:tcPr>
          <w:p>
            <w:pPr>
              <w:ind w:left="2220"/>
              <w:spacing w:after="0" w:line="19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4</w:t>
            </w:r>
          </w:p>
        </w:tc>
      </w:tr>
      <w:tr>
        <w:trPr>
          <w:trHeight w:val="196"/>
        </w:trPr>
        <w:tc>
          <w:tcPr>
            <w:tcW w:w="6440" w:type="dxa"/>
            <w:vAlign w:val="bottom"/>
            <w:gridSpan w:val="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Statements of Cash Flows</w:t>
              </w:r>
            </w:hyperlink>
          </w:p>
        </w:tc>
        <w:tc>
          <w:tcPr>
            <w:tcW w:w="2480" w:type="dxa"/>
            <w:vAlign w:val="bottom"/>
          </w:tcPr>
          <w:p>
            <w:pPr>
              <w:ind w:left="2220"/>
              <w:spacing w:after="0" w:line="19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5</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6440" w:type="dxa"/>
            <w:vAlign w:val="bottom"/>
            <w:gridSpan w:val="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Notes to Financial Statements</w:t>
              </w:r>
            </w:hyperlink>
          </w:p>
        </w:tc>
        <w:tc>
          <w:tcPr>
            <w:tcW w:w="2480" w:type="dxa"/>
            <w:vAlign w:val="bottom"/>
          </w:tcPr>
          <w:p>
            <w:pPr>
              <w:ind w:left="2220"/>
              <w:spacing w:after="0" w:line="19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6</w:t>
            </w:r>
          </w:p>
        </w:tc>
      </w:tr>
      <w:tr>
        <w:trPr>
          <w:trHeight w:val="20"/>
        </w:trPr>
        <w:tc>
          <w:tcPr>
            <w:tcW w:w="2160" w:type="dxa"/>
            <w:vAlign w:val="bottom"/>
            <w:gridSpan w:val="4"/>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70"/>
        </w:trPr>
        <w:tc>
          <w:tcPr>
            <w:tcW w:w="6440" w:type="dxa"/>
            <w:vAlign w:val="bottom"/>
            <w:gridSpan w:val="7"/>
          </w:tcPr>
          <w:p>
            <w:pPr>
              <w:ind w:left="6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9"/>
                <w:szCs w:val="19"/>
                <w:color w:val="auto"/>
              </w:rPr>
              <w:t>Financial Statement Schedules:</w:t>
            </w:r>
          </w:p>
        </w:tc>
        <w:tc>
          <w:tcPr>
            <w:tcW w:w="2480" w:type="dxa"/>
            <w:vAlign w:val="bottom"/>
          </w:tcPr>
          <w:p>
            <w:pPr>
              <w:spacing w:after="0"/>
              <w:rPr>
                <w:sz w:val="24"/>
                <w:szCs w:val="24"/>
                <w:color w:val="auto"/>
              </w:rPr>
            </w:pPr>
          </w:p>
        </w:tc>
      </w:tr>
    </w:tbl>
    <w:p>
      <w:pPr>
        <w:spacing w:after="0" w:line="198"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 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17"/>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780" w:type="dxa"/>
            <w:vAlign w:val="bottom"/>
            <w:gridSpan w:val="2"/>
          </w:tcPr>
          <w:p>
            <w:pPr>
              <w:jc w:val="center"/>
              <w:ind w:left="56"/>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17"/>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auto"/>
            </w:tcBorders>
            <w:gridSpan w:val="20"/>
          </w:tcPr>
          <w:p>
            <w:pPr>
              <w:spacing w:after="0" w:line="169" w:lineRule="exact"/>
              <w:rPr>
                <w:rFonts w:ascii="Arial" w:cs="Arial" w:eastAsia="Arial" w:hAnsi="Arial"/>
                <w:sz w:val="18"/>
                <w:szCs w:val="18"/>
                <w:color w:val="0000EE"/>
              </w:rPr>
            </w:pPr>
            <w:hyperlink r:id="rId114">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4"/>
                <w:szCs w:val="14"/>
                <w:color w:val="auto"/>
              </w:rPr>
            </w:pPr>
          </w:p>
        </w:tc>
        <w:tc>
          <w:tcPr>
            <w:tcW w:w="9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14"/>
                <w:szCs w:val="14"/>
                <w:color w:val="auto"/>
              </w:rPr>
            </w:pPr>
          </w:p>
        </w:tc>
        <w:tc>
          <w:tcPr>
            <w:tcW w:w="5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4"/>
                <w:szCs w:val="14"/>
                <w:color w:val="auto"/>
              </w:rPr>
            </w:pPr>
          </w:p>
        </w:tc>
        <w:tc>
          <w:tcPr>
            <w:tcW w:w="1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3/13/2018</w:t>
            </w: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Incorporation.</w:t>
              </w:r>
            </w:hyperlink>
          </w:p>
        </w:tc>
        <w:tc>
          <w:tcPr>
            <w:tcW w:w="80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Amended and Restated Bylaws</w:t>
              </w:r>
            </w:hyperlink>
          </w:p>
        </w:tc>
        <w:tc>
          <w:tcPr>
            <w:tcW w:w="120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29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Description of the Registrant’s Securities</w:t>
              </w:r>
            </w:hyperlink>
          </w:p>
        </w:tc>
        <w:tc>
          <w:tcPr>
            <w:tcW w:w="50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1"/>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Registered Under Section 12 of the Exchange</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Act</w:t>
              </w:r>
            </w:hyperlink>
          </w:p>
        </w:tc>
        <w:tc>
          <w:tcPr>
            <w:tcW w:w="1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3080" w:type="dxa"/>
            <w:vAlign w:val="bottom"/>
            <w:tcBorders>
              <w:bottom w:val="single" w:sz="8" w:color="0000EE"/>
            </w:tcBorders>
            <w:gridSpan w:val="13"/>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Specimen Stock Certificate evidencing the</w:t>
              </w:r>
            </w:hyperlink>
          </w:p>
        </w:tc>
        <w:tc>
          <w:tcPr>
            <w:tcW w:w="38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2/26/2018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shares of common stock</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3400" w:type="dxa"/>
            <w:vAlign w:val="bottom"/>
            <w:tcBorders>
              <w:bottom w:val="single" w:sz="8" w:color="0000EE"/>
            </w:tcBorders>
            <w:gridSpan w:val="18"/>
          </w:tcPr>
          <w:p>
            <w:pPr>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Stock Purchase Agreement, dated February 18,</w:t>
              </w:r>
            </w:hyperlink>
          </w:p>
        </w:tc>
        <w:tc>
          <w:tcPr>
            <w:tcW w:w="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2/21/2020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2020, between BioXcel Corporation and</w:t>
              </w:r>
            </w:hyperlink>
          </w:p>
        </w:tc>
        <w:tc>
          <w:tcPr>
            <w:tcW w:w="54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BioXcel Therapeutics, Inc.</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3460" w:type="dxa"/>
            <w:vAlign w:val="bottom"/>
            <w:gridSpan w:val="21"/>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Second Amended and Restated Separation and</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Shared Services Agreement, dated March 6,</w:t>
              </w:r>
            </w:hyperlink>
          </w:p>
        </w:tc>
        <w:tc>
          <w:tcPr>
            <w:tcW w:w="180" w:type="dxa"/>
            <w:vAlign w:val="bottom"/>
            <w:tcBorders>
              <w:top w:val="single" w:sz="8" w:color="0000EE"/>
            </w:tcBorders>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1"/>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2020, by and between BioXcel Corporation and</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BioXcel Therapeutics, Inc.</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40" w:type="dxa"/>
            <w:vAlign w:val="bottom"/>
          </w:tcPr>
          <w:p>
            <w:pPr>
              <w:spacing w:after="0"/>
              <w:rPr>
                <w:sz w:val="24"/>
                <w:szCs w:val="24"/>
                <w:color w:val="auto"/>
              </w:rPr>
            </w:pPr>
          </w:p>
        </w:tc>
        <w:tc>
          <w:tcPr>
            <w:tcW w:w="3080" w:type="dxa"/>
            <w:vAlign w:val="bottom"/>
            <w:tcBorders>
              <w:bottom w:val="single" w:sz="8" w:color="0000EE"/>
            </w:tcBorders>
            <w:gridSpan w:val="13"/>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Amended and Restated Asset Contribution</w:t>
              </w:r>
            </w:hyperlink>
          </w:p>
        </w:tc>
        <w:tc>
          <w:tcPr>
            <w:tcW w:w="38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Agreement, effective November 7, 2017, by</w:t>
              </w:r>
            </w:hyperlink>
          </w:p>
        </w:tc>
        <w:tc>
          <w:tcPr>
            <w:tcW w:w="2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and between BioXcel Corporation and BioXcel</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Therapeutics, Inc.</w:t>
              </w:r>
            </w:hyperlink>
          </w:p>
        </w:tc>
        <w:tc>
          <w:tcPr>
            <w:tcW w:w="2160" w:type="dxa"/>
            <w:vAlign w:val="bottom"/>
            <w:gridSpan w:val="17"/>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40" w:type="dxa"/>
            <w:vAlign w:val="bottom"/>
          </w:tcPr>
          <w:p>
            <w:pPr>
              <w:spacing w:after="0"/>
              <w:rPr>
                <w:sz w:val="24"/>
                <w:szCs w:val="24"/>
                <w:color w:val="auto"/>
              </w:rPr>
            </w:pPr>
          </w:p>
        </w:tc>
        <w:tc>
          <w:tcPr>
            <w:tcW w:w="3460" w:type="dxa"/>
            <w:vAlign w:val="bottom"/>
            <w:gridSpan w:val="21"/>
          </w:tcPr>
          <w:p>
            <w:pPr>
              <w:spacing w:after="0"/>
              <w:rPr>
                <w:rFonts w:ascii="Arial" w:cs="Arial" w:eastAsia="Arial" w:hAnsi="Arial"/>
                <w:sz w:val="18"/>
                <w:szCs w:val="18"/>
                <w:color w:val="0000EE"/>
              </w:rPr>
            </w:pPr>
            <w:hyperlink r:id="rId119">
              <w:r>
                <w:rPr>
                  <w:rFonts w:ascii="Arial" w:cs="Arial" w:eastAsia="Arial" w:hAnsi="Arial"/>
                  <w:sz w:val="18"/>
                  <w:szCs w:val="18"/>
                  <w:color w:val="0000EE"/>
                </w:rPr>
                <w:t>Collaborative Research Agreement, dated</w:t>
              </w:r>
            </w:hyperlink>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2/26/2018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August 27, 2017, by and between BioXcel</w:t>
              </w:r>
            </w:hyperlink>
          </w:p>
        </w:tc>
        <w:tc>
          <w:tcPr>
            <w:tcW w:w="40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1"/>
          </w:tcPr>
          <w:p>
            <w:pPr>
              <w:spacing w:after="0" w:line="196"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Therapeutics, Inc. and Nektar Therapeutics</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333"/>
              <w:spacing w:after="0"/>
              <w:rPr>
                <w:sz w:val="20"/>
                <w:szCs w:val="20"/>
                <w:color w:val="auto"/>
              </w:rPr>
            </w:pPr>
            <w:r>
              <w:rPr>
                <w:rFonts w:ascii="Arial" w:cs="Arial" w:eastAsia="Arial" w:hAnsi="Arial"/>
                <w:sz w:val="18"/>
                <w:szCs w:val="18"/>
                <w:color w:val="auto"/>
                <w:w w:val="99"/>
              </w:rPr>
              <w:t>97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2"/>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vMerge w:val="restart"/>
          </w:tcPr>
          <w:p>
            <w:pPr>
              <w:spacing w:after="0"/>
              <w:rPr>
                <w:sz w:val="12"/>
                <w:szCs w:val="12"/>
                <w:color w:val="auto"/>
              </w:rPr>
            </w:pPr>
          </w:p>
        </w:tc>
        <w:tc>
          <w:tcPr>
            <w:tcW w:w="9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780" w:type="dxa"/>
            <w:vAlign w:val="bottom"/>
            <w:gridSpan w:val="2"/>
          </w:tcPr>
          <w:p>
            <w:pPr>
              <w:jc w:val="center"/>
              <w:ind w:left="55"/>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85"/>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140" w:type="dxa"/>
            <w:vAlign w:val="bottom"/>
          </w:tcPr>
          <w:p>
            <w:pPr>
              <w:spacing w:after="0"/>
              <w:rPr>
                <w:sz w:val="24"/>
                <w:szCs w:val="24"/>
                <w:color w:val="auto"/>
              </w:rPr>
            </w:pPr>
          </w:p>
        </w:tc>
        <w:tc>
          <w:tcPr>
            <w:tcW w:w="3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Clinical Trial Collaboration Agreement, dated</w:t>
              </w:r>
            </w:hyperlink>
          </w:p>
        </w:tc>
        <w:tc>
          <w:tcPr>
            <w:tcW w:w="1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September 21, 2018, by and between BioXcel</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Therapeutics, Inc. and Nektar Therapeutics</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40" w:type="dxa"/>
            <w:vAlign w:val="bottom"/>
          </w:tcPr>
          <w:p>
            <w:pPr>
              <w:spacing w:after="0"/>
              <w:rPr>
                <w:sz w:val="24"/>
                <w:szCs w:val="24"/>
                <w:color w:val="auto"/>
              </w:rPr>
            </w:pPr>
          </w:p>
        </w:tc>
        <w:tc>
          <w:tcPr>
            <w:tcW w:w="3440" w:type="dxa"/>
            <w:vAlign w:val="bottom"/>
            <w:tcBorders>
              <w:bottom w:val="single" w:sz="8" w:color="0000EE"/>
            </w:tcBorders>
            <w:gridSpan w:val="24"/>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Lease Agreement, dated as of August 20, 2018,</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8/23/2018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by and between Fusco Harbour Associates,</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LLC, as Landlord, and BioXcel Therapeutics,</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Inc., as Tenant</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10.7†</w:t>
            </w:r>
          </w:p>
        </w:tc>
        <w:tc>
          <w:tcPr>
            <w:tcW w:w="140" w:type="dxa"/>
            <w:vAlign w:val="bottom"/>
          </w:tcPr>
          <w:p>
            <w:pPr>
              <w:spacing w:after="0"/>
              <w:rPr>
                <w:sz w:val="24"/>
                <w:szCs w:val="24"/>
                <w:color w:val="auto"/>
              </w:rPr>
            </w:pPr>
          </w:p>
        </w:tc>
        <w:tc>
          <w:tcPr>
            <w:tcW w:w="3460" w:type="dxa"/>
            <w:vAlign w:val="bottom"/>
            <w:gridSpan w:val="25"/>
          </w:tcPr>
          <w:p>
            <w:pPr>
              <w:spacing w:after="0"/>
              <w:rPr>
                <w:rFonts w:ascii="Arial" w:cs="Arial" w:eastAsia="Arial" w:hAnsi="Arial"/>
                <w:sz w:val="18"/>
                <w:szCs w:val="18"/>
                <w:color w:val="0000EE"/>
              </w:rPr>
            </w:pPr>
            <w:hyperlink r:id="rId122">
              <w:r>
                <w:rPr>
                  <w:rFonts w:ascii="Arial" w:cs="Arial" w:eastAsia="Arial" w:hAnsi="Arial"/>
                  <w:sz w:val="18"/>
                  <w:szCs w:val="18"/>
                  <w:color w:val="0000EE"/>
                </w:rPr>
                <w:t>2017 Equity Incentive Plan</w:t>
              </w:r>
            </w:hyperlink>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10.8†</w:t>
            </w:r>
          </w:p>
        </w:tc>
        <w:tc>
          <w:tcPr>
            <w:tcW w:w="140" w:type="dxa"/>
            <w:vAlign w:val="bottom"/>
          </w:tcPr>
          <w:p>
            <w:pPr>
              <w:spacing w:after="0"/>
              <w:rPr>
                <w:sz w:val="24"/>
                <w:szCs w:val="24"/>
                <w:color w:val="auto"/>
              </w:rPr>
            </w:pPr>
          </w:p>
        </w:tc>
        <w:tc>
          <w:tcPr>
            <w:tcW w:w="3460" w:type="dxa"/>
            <w:vAlign w:val="bottom"/>
            <w:gridSpan w:val="25"/>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Incentive Stock Option Agreement</w:t>
              </w:r>
            </w:hyperlink>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under the 2017 Equity Incentive Plan</w:t>
              </w:r>
            </w:hyperlink>
          </w:p>
        </w:tc>
        <w:tc>
          <w:tcPr>
            <w:tcW w:w="32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10.9†</w:t>
            </w:r>
          </w:p>
        </w:tc>
        <w:tc>
          <w:tcPr>
            <w:tcW w:w="140" w:type="dxa"/>
            <w:vAlign w:val="bottom"/>
          </w:tcPr>
          <w:p>
            <w:pPr>
              <w:spacing w:after="0"/>
              <w:rPr>
                <w:sz w:val="24"/>
                <w:szCs w:val="24"/>
                <w:color w:val="auto"/>
              </w:rPr>
            </w:pPr>
          </w:p>
        </w:tc>
        <w:tc>
          <w:tcPr>
            <w:tcW w:w="2680" w:type="dxa"/>
            <w:vAlign w:val="bottom"/>
            <w:tcBorders>
              <w:top w:val="single" w:sz="8" w:color="0000EE"/>
            </w:tcBorders>
            <w:gridSpan w:val="10"/>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Form of Non-Statutory Stock option</w:t>
              </w:r>
            </w:hyperlink>
          </w:p>
        </w:tc>
        <w:tc>
          <w:tcPr>
            <w:tcW w:w="78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Agreement under the 2017 Equity Incentive</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Plan</w:t>
              </w:r>
            </w:hyperlink>
          </w:p>
        </w:tc>
        <w:tc>
          <w:tcPr>
            <w:tcW w:w="30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40" w:type="dxa"/>
            <w:vAlign w:val="bottom"/>
          </w:tcPr>
          <w:p>
            <w:pPr>
              <w:spacing w:after="0"/>
              <w:rPr>
                <w:sz w:val="24"/>
                <w:szCs w:val="24"/>
                <w:color w:val="auto"/>
              </w:rPr>
            </w:pPr>
          </w:p>
        </w:tc>
        <w:tc>
          <w:tcPr>
            <w:tcW w:w="3460" w:type="dxa"/>
            <w:vAlign w:val="bottom"/>
            <w:gridSpan w:val="25"/>
          </w:tcPr>
          <w:p>
            <w:pPr>
              <w:spacing w:after="0"/>
              <w:rPr>
                <w:rFonts w:ascii="Arial" w:cs="Arial" w:eastAsia="Arial" w:hAnsi="Arial"/>
                <w:sz w:val="18"/>
                <w:szCs w:val="18"/>
                <w:color w:val="0000EE"/>
              </w:rPr>
            </w:pPr>
            <w:hyperlink r:id="rId125">
              <w:r>
                <w:rPr>
                  <w:rFonts w:ascii="Arial" w:cs="Arial" w:eastAsia="Arial" w:hAnsi="Arial"/>
                  <w:sz w:val="18"/>
                  <w:szCs w:val="18"/>
                  <w:color w:val="0000EE"/>
                </w:rPr>
                <w:t>Form of Indemnification Agreement with</w:t>
              </w:r>
            </w:hyperlink>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directors and executive officers</w:t>
              </w:r>
            </w:hyperlink>
          </w:p>
        </w:tc>
        <w:tc>
          <w:tcPr>
            <w:tcW w:w="48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40" w:type="dxa"/>
            <w:vAlign w:val="bottom"/>
          </w:tcPr>
          <w:p>
            <w:pPr>
              <w:spacing w:after="0"/>
              <w:rPr>
                <w:sz w:val="24"/>
                <w:szCs w:val="24"/>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Employment Agreement, dated March 7, 2018</w:t>
              </w:r>
            </w:hyperlink>
          </w:p>
        </w:tc>
        <w:tc>
          <w:tcPr>
            <w:tcW w:w="1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by and between BioXcel Therapeutics, Inc. and</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Vimal Mehta</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40" w:type="dxa"/>
            <w:vAlign w:val="bottom"/>
          </w:tcPr>
          <w:p>
            <w:pPr>
              <w:spacing w:after="0"/>
              <w:rPr>
                <w:sz w:val="24"/>
                <w:szCs w:val="24"/>
                <w:color w:val="auto"/>
              </w:rPr>
            </w:pPr>
          </w:p>
        </w:tc>
        <w:tc>
          <w:tcPr>
            <w:tcW w:w="3220" w:type="dxa"/>
            <w:vAlign w:val="bottom"/>
            <w:tcBorders>
              <w:bottom w:val="single" w:sz="8" w:color="0000EE"/>
            </w:tcBorders>
            <w:gridSpan w:val="18"/>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Employment Agreement, dated February 12,</w:t>
              </w:r>
            </w:hyperlink>
          </w:p>
        </w:tc>
        <w:tc>
          <w:tcPr>
            <w:tcW w:w="2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2018, by and between BioXcel</w:t>
              </w:r>
            </w:hyperlink>
          </w:p>
        </w:tc>
        <w:tc>
          <w:tcPr>
            <w:tcW w:w="1200" w:type="dxa"/>
            <w:vAlign w:val="bottom"/>
            <w:gridSpan w:val="17"/>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Therapeutics, Inc. and Frank Yocca</w:t>
              </w:r>
            </w:hyperlink>
          </w:p>
        </w:tc>
        <w:tc>
          <w:tcPr>
            <w:tcW w:w="840" w:type="dxa"/>
            <w:vAlign w:val="bottom"/>
            <w:gridSpan w:val="16"/>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140" w:type="dxa"/>
            <w:vAlign w:val="bottom"/>
          </w:tcPr>
          <w:p>
            <w:pPr>
              <w:spacing w:after="0"/>
              <w:rPr>
                <w:sz w:val="24"/>
                <w:szCs w:val="24"/>
                <w:color w:val="auto"/>
              </w:rPr>
            </w:pPr>
          </w:p>
        </w:tc>
        <w:tc>
          <w:tcPr>
            <w:tcW w:w="3300" w:type="dxa"/>
            <w:vAlign w:val="bottom"/>
            <w:tcBorders>
              <w:bottom w:val="single" w:sz="8" w:color="0000EE"/>
            </w:tcBorders>
            <w:gridSpan w:val="20"/>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Employment Agreement, effective October 2,</w:t>
              </w:r>
            </w:hyperlink>
          </w:p>
        </w:tc>
        <w:tc>
          <w:tcPr>
            <w:tcW w:w="1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333-222990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2/12/2018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2017, by and between BioXcel</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Therapeutics, Inc. and Richard Steinhart</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40" w:type="dxa"/>
            <w:vAlign w:val="bottom"/>
          </w:tcPr>
          <w:p>
            <w:pPr>
              <w:spacing w:after="0"/>
              <w:rPr>
                <w:sz w:val="24"/>
                <w:szCs w:val="24"/>
                <w:color w:val="auto"/>
              </w:rPr>
            </w:pPr>
          </w:p>
        </w:tc>
        <w:tc>
          <w:tcPr>
            <w:tcW w:w="3260" w:type="dxa"/>
            <w:vAlign w:val="bottom"/>
            <w:tcBorders>
              <w:bottom w:val="single" w:sz="8" w:color="0000EE"/>
            </w:tcBorders>
            <w:gridSpan w:val="19"/>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Employment Agreement, dated June 1, 2018,</w:t>
              </w:r>
            </w:hyperlink>
          </w:p>
        </w:tc>
        <w:tc>
          <w:tcPr>
            <w:tcW w:w="20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6/07/2018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by and between BioXcel Therapeutics, Inc. and</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Arial" w:cs="Arial" w:eastAsia="Arial" w:hAnsi="Arial"/>
                <w:sz w:val="18"/>
                <w:szCs w:val="18"/>
                <w:color w:val="0000EE"/>
                <w:w w:val="98"/>
              </w:rPr>
            </w:pPr>
            <w:hyperlink r:id="rId129">
              <w:r>
                <w:rPr>
                  <w:rFonts w:ascii="Arial" w:cs="Arial" w:eastAsia="Arial" w:hAnsi="Arial"/>
                  <w:sz w:val="18"/>
                  <w:szCs w:val="18"/>
                  <w:color w:val="0000EE"/>
                  <w:w w:val="98"/>
                </w:rPr>
                <w:t>Dr. Vincent O’Neill, M.D.</w:t>
              </w:r>
            </w:hyperlink>
          </w:p>
        </w:tc>
        <w:tc>
          <w:tcPr>
            <w:tcW w:w="1500" w:type="dxa"/>
            <w:vAlign w:val="bottom"/>
            <w:gridSpan w:val="21"/>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4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Subsidiaries of BioXcel Therapeutics, Inc.</w:t>
              </w:r>
            </w:hyperlink>
          </w:p>
        </w:tc>
        <w:tc>
          <w:tcPr>
            <w:tcW w:w="40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lef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40" w:type="dxa"/>
            <w:vAlign w:val="bottom"/>
          </w:tcPr>
          <w:p>
            <w:pPr>
              <w:spacing w:after="0"/>
              <w:rPr>
                <w:sz w:val="24"/>
                <w:szCs w:val="24"/>
                <w:color w:val="auto"/>
              </w:rPr>
            </w:pPr>
          </w:p>
        </w:tc>
        <w:tc>
          <w:tcPr>
            <w:tcW w:w="3460" w:type="dxa"/>
            <w:vAlign w:val="bottom"/>
            <w:gridSpan w:val="25"/>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Consent of BDO USA, LLP</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lef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3460" w:type="dxa"/>
            <w:vAlign w:val="bottom"/>
            <w:gridSpan w:val="25"/>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Certification of Principal Executive Officer</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Pursuant to Rules 13a-14(a) and 15d-14(a)</w:t>
              </w:r>
            </w:hyperlink>
          </w:p>
        </w:tc>
        <w:tc>
          <w:tcPr>
            <w:tcW w:w="20" w:type="dxa"/>
            <w:vAlign w:val="bottom"/>
            <w:tcBorders>
              <w:top w:val="single" w:sz="8" w:color="0000EE"/>
            </w:tcBorders>
          </w:tcPr>
          <w:p>
            <w:pPr>
              <w:spacing w:after="0"/>
              <w:rPr>
                <w:sz w:val="17"/>
                <w:szCs w:val="17"/>
                <w:color w:val="auto"/>
              </w:rPr>
            </w:pPr>
          </w:p>
        </w:tc>
        <w:tc>
          <w:tcPr>
            <w:tcW w:w="34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25"/>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under the Securities Exchange Act of 1934, as</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Adopted Pursuant to Section 302 of the</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Sarbanes-Oxley Act of 2002.</w:t>
              </w:r>
            </w:hyperlink>
          </w:p>
        </w:tc>
        <w:tc>
          <w:tcPr>
            <w:tcW w:w="560" w:type="dxa"/>
            <w:vAlign w:val="bottom"/>
            <w:gridSpan w:val="14"/>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332"/>
              <w:spacing w:after="0"/>
              <w:rPr>
                <w:sz w:val="20"/>
                <w:szCs w:val="20"/>
                <w:color w:val="auto"/>
              </w:rPr>
            </w:pPr>
            <w:r>
              <w:rPr>
                <w:rFonts w:ascii="Arial" w:cs="Arial" w:eastAsia="Arial" w:hAnsi="Arial"/>
                <w:sz w:val="18"/>
                <w:szCs w:val="18"/>
                <w:color w:val="auto"/>
                <w:w w:val="99"/>
              </w:rPr>
              <w:t>98</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gridSpan w:val="9"/>
            <w:vMerge w:val="restart"/>
          </w:tcPr>
          <w:p>
            <w:pPr>
              <w:ind w:left="1360"/>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7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3620" w:type="dxa"/>
            <w:vAlign w:val="bottom"/>
            <w:gridSpan w:val="9"/>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14"/>
                <w:szCs w:val="14"/>
                <w:color w:val="auto"/>
              </w:rPr>
            </w:pPr>
          </w:p>
        </w:tc>
        <w:tc>
          <w:tcPr>
            <w:tcW w:w="3080" w:type="dxa"/>
            <w:vAlign w:val="bottom"/>
            <w:tcBorders>
              <w:top w:val="single" w:sz="8" w:color="auto"/>
              <w:bottom w:val="single" w:sz="8" w:color="0000EE"/>
            </w:tcBorders>
            <w:gridSpan w:val="5"/>
          </w:tcPr>
          <w:p>
            <w:pPr>
              <w:spacing w:after="0" w:line="169" w:lineRule="exact"/>
              <w:rPr>
                <w:rFonts w:ascii="Arial" w:cs="Arial" w:eastAsia="Arial" w:hAnsi="Arial"/>
                <w:sz w:val="18"/>
                <w:szCs w:val="18"/>
                <w:color w:val="0000EE"/>
                <w:w w:val="94"/>
              </w:rPr>
            </w:pPr>
            <w:hyperlink w:anchor="page132">
              <w:r>
                <w:rPr>
                  <w:rFonts w:ascii="Arial" w:cs="Arial" w:eastAsia="Arial" w:hAnsi="Arial"/>
                  <w:sz w:val="18"/>
                  <w:szCs w:val="18"/>
                  <w:color w:val="0000EE"/>
                  <w:w w:val="94"/>
                </w:rPr>
                <w:t>Certification of Principal Financial Officer</w:t>
              </w:r>
            </w:hyperlink>
          </w:p>
        </w:tc>
        <w:tc>
          <w:tcPr>
            <w:tcW w:w="360" w:type="dxa"/>
            <w:vAlign w:val="bottom"/>
            <w:tcBorders>
              <w:top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Pursuant to Rules 13a-14(a) and 15d-14(a)</w:t>
              </w:r>
            </w:hyperlink>
          </w:p>
        </w:tc>
        <w:tc>
          <w:tcPr>
            <w:tcW w:w="5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9"/>
          </w:tcPr>
          <w:p>
            <w:pPr>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under the Securities Exchange Act of 1934, as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Adopted Pursuant to Section 302 of the</w:t>
              </w:r>
            </w:hyperlink>
          </w:p>
        </w:tc>
        <w:tc>
          <w:tcPr>
            <w:tcW w:w="3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Sarbanes-Oxley Act of 2002.</w:t>
              </w:r>
            </w:hyperlink>
          </w:p>
        </w:tc>
        <w:tc>
          <w:tcPr>
            <w:tcW w:w="80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3620" w:type="dxa"/>
            <w:vAlign w:val="bottom"/>
            <w:gridSpan w:val="9"/>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Certification of Principal Executive Officer</w:t>
              </w:r>
            </w:hyperlink>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134">
              <w:r>
                <w:rPr>
                  <w:rFonts w:ascii="Arial" w:cs="Arial" w:eastAsia="Arial" w:hAnsi="Arial"/>
                  <w:sz w:val="18"/>
                  <w:szCs w:val="18"/>
                  <w:color w:val="0000EE"/>
                  <w:w w:val="98"/>
                </w:rPr>
                <w:t>Pursuant to 18 U.S.C. Section 1350, as</w:t>
              </w:r>
            </w:hyperlink>
          </w:p>
        </w:tc>
        <w:tc>
          <w:tcPr>
            <w:tcW w:w="5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vMerge w:val="restart"/>
          </w:tcPr>
          <w:p>
            <w:pPr>
              <w:jc w:val="center"/>
              <w:ind w:left="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20" w:type="dxa"/>
            <w:vAlign w:val="bottom"/>
            <w:gridSpan w:val="9"/>
            <w:vMerge w:val="restart"/>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Adopted Pursuant to Section 906 of the</w:t>
              </w:r>
            </w:hyperlink>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20" w:type="dxa"/>
            <w:vAlign w:val="bottom"/>
            <w:gridSpan w:val="9"/>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Sarbanes-Oxley Act of 2002.</w:t>
              </w:r>
            </w:hyperlink>
          </w:p>
        </w:tc>
        <w:tc>
          <w:tcPr>
            <w:tcW w:w="80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35">
              <w:r>
                <w:rPr>
                  <w:rFonts w:ascii="Arial" w:cs="Arial" w:eastAsia="Arial" w:hAnsi="Arial"/>
                  <w:sz w:val="18"/>
                  <w:szCs w:val="18"/>
                  <w:color w:val="0000EE"/>
                  <w:w w:val="94"/>
                </w:rPr>
                <w:t>Certification of Principal Financial Officer</w:t>
              </w:r>
            </w:hyperlink>
          </w:p>
        </w:tc>
        <w:tc>
          <w:tcPr>
            <w:tcW w:w="54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Pursuant to 18 U.S.C. Section 1350, as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vMerge w:val="restart"/>
          </w:tcPr>
          <w:p>
            <w:pPr>
              <w:jc w:val="center"/>
              <w:ind w:left="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20" w:type="dxa"/>
            <w:vAlign w:val="bottom"/>
            <w:gridSpan w:val="9"/>
            <w:vMerge w:val="restart"/>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Adopted Pursuant to Section 906 of the</w:t>
              </w:r>
            </w:hyperlink>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20" w:type="dxa"/>
            <w:vAlign w:val="bottom"/>
            <w:gridSpan w:val="9"/>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Sarbanes-Oxley Act of 2002.</w:t>
              </w:r>
            </w:hyperlink>
          </w:p>
        </w:tc>
        <w:tc>
          <w:tcPr>
            <w:tcW w:w="80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4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60" w:type="dxa"/>
            <w:vAlign w:val="bottom"/>
          </w:tcPr>
          <w:p>
            <w:pPr>
              <w:spacing w:after="0"/>
              <w:rPr>
                <w:sz w:val="24"/>
                <w:szCs w:val="24"/>
                <w:color w:val="auto"/>
              </w:rPr>
            </w:pPr>
          </w:p>
        </w:tc>
        <w:tc>
          <w:tcPr>
            <w:tcW w:w="208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XBRL Instance Document</w:t>
            </w:r>
          </w:p>
        </w:tc>
        <w:tc>
          <w:tcPr>
            <w:tcW w:w="15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20" w:type="dxa"/>
            <w:vAlign w:val="bottom"/>
            <w:gridSpan w:val="9"/>
            <w:vMerge w:val="restart"/>
          </w:tcPr>
          <w:p>
            <w:pPr>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8"/>
                <w:szCs w:val="18"/>
                <w:color w:val="auto"/>
              </w:rPr>
              <w:t>XBRL Taxonomy Extension Calculation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20" w:type="dxa"/>
            <w:vAlign w:val="bottom"/>
            <w:gridSpan w:val="9"/>
            <w:vMerge w:val="restart"/>
          </w:tcPr>
          <w:p>
            <w:pPr>
              <w:spacing w:after="0"/>
              <w:rPr>
                <w:sz w:val="20"/>
                <w:szCs w:val="20"/>
                <w:color w:val="auto"/>
              </w:rPr>
            </w:pPr>
            <w:r>
              <w:rPr>
                <w:rFonts w:ascii="Arial" w:cs="Arial" w:eastAsia="Arial" w:hAnsi="Arial"/>
                <w:sz w:val="18"/>
                <w:szCs w:val="18"/>
                <w:color w:val="auto"/>
              </w:rPr>
              <w:t>Linkbase Document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8"/>
                <w:szCs w:val="18"/>
                <w:color w:val="auto"/>
              </w:rPr>
              <w:t>XBRL Taxonomy Extension Definition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20" w:type="dxa"/>
            <w:vAlign w:val="bottom"/>
            <w:gridSpan w:val="9"/>
            <w:vMerge w:val="restart"/>
          </w:tcPr>
          <w:p>
            <w:pPr>
              <w:spacing w:after="0"/>
              <w:rPr>
                <w:sz w:val="20"/>
                <w:szCs w:val="20"/>
                <w:color w:val="auto"/>
              </w:rPr>
            </w:pPr>
            <w:r>
              <w:rPr>
                <w:rFonts w:ascii="Arial" w:cs="Arial" w:eastAsia="Arial" w:hAnsi="Arial"/>
                <w:sz w:val="18"/>
                <w:szCs w:val="18"/>
                <w:color w:val="auto"/>
              </w:rPr>
              <w:t>Linkbase Document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20" w:type="dxa"/>
            <w:vAlign w:val="bottom"/>
            <w:gridSpan w:val="9"/>
            <w:vMerge w:val="restart"/>
          </w:tcPr>
          <w:p>
            <w:pPr>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6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20" w:type="dxa"/>
            <w:vAlign w:val="bottom"/>
            <w:gridSpan w:val="9"/>
            <w:vMerge w:val="restart"/>
          </w:tcPr>
          <w:p>
            <w:pPr>
              <w:spacing w:after="0"/>
              <w:rPr>
                <w:sz w:val="20"/>
                <w:szCs w:val="20"/>
                <w:color w:val="auto"/>
              </w:rPr>
            </w:pPr>
            <w:r>
              <w:rPr>
                <w:rFonts w:ascii="Arial" w:cs="Arial" w:eastAsia="Arial" w:hAnsi="Arial"/>
                <w:sz w:val="18"/>
                <w:szCs w:val="18"/>
                <w:color w:val="auto"/>
              </w:rPr>
              <w:t>Linkbase Document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5" w:lineRule="exact"/>
        <w:rPr>
          <w:sz w:val="20"/>
          <w:szCs w:val="20"/>
          <w:color w:val="auto"/>
        </w:rPr>
      </w:pPr>
    </w:p>
    <w:p>
      <w:pPr>
        <w:ind w:left="360" w:hanging="316"/>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360" w:hanging="316"/>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9" w:lineRule="exact"/>
        <w:rPr>
          <w:sz w:val="20"/>
          <w:szCs w:val="20"/>
          <w:color w:val="auto"/>
        </w:rPr>
      </w:pPr>
    </w:p>
    <w:p>
      <w:pPr>
        <w:ind w:left="360" w:hanging="316"/>
        <w:spacing w:after="0"/>
        <w:tabs>
          <w:tab w:leader="none" w:pos="3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Confidential treatment has been granted for portions omitted from this exhibit and those portions have been separately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with the Securities and Exchange Commission.</w:t>
      </w:r>
    </w:p>
    <w:p>
      <w:pPr>
        <w:spacing w:after="0" w:line="9" w:lineRule="exact"/>
        <w:rPr>
          <w:sz w:val="20"/>
          <w:szCs w:val="20"/>
          <w:color w:val="auto"/>
        </w:rPr>
      </w:pPr>
    </w:p>
    <w:p>
      <w:pPr>
        <w:ind w:left="360" w:hanging="316"/>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pacing w:after="0" w:line="20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Item 16.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Summary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3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BioXcel Therapeutics, Inc.</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0" w:type="dxa"/>
            <w:vAlign w:val="bottom"/>
          </w:tcPr>
          <w:p>
            <w:pPr>
              <w:spacing w:after="0"/>
              <w:rPr>
                <w:sz w:val="20"/>
                <w:szCs w:val="20"/>
                <w:color w:val="auto"/>
              </w:rPr>
            </w:pPr>
            <w:r>
              <w:rPr>
                <w:rFonts w:ascii="Arial" w:cs="Arial" w:eastAsia="Arial" w:hAnsi="Arial"/>
                <w:sz w:val="18"/>
                <w:szCs w:val="18"/>
                <w:color w:val="auto"/>
              </w:rPr>
              <w:t>Dated: March 9, 2020</w:t>
            </w:r>
          </w:p>
        </w:tc>
        <w:tc>
          <w:tcPr>
            <w:tcW w:w="10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rPr>
              <w:t>Vimal Mehta</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0" w:type="dxa"/>
            <w:vAlign w:val="bottom"/>
          </w:tcPr>
          <w:p>
            <w:pPr>
              <w:spacing w:after="0"/>
              <w:rPr>
                <w:sz w:val="20"/>
                <w:szCs w:val="20"/>
                <w:color w:val="auto"/>
              </w:rPr>
            </w:pPr>
            <w:r>
              <w:rPr>
                <w:rFonts w:ascii="Arial" w:cs="Arial" w:eastAsia="Arial" w:hAnsi="Arial"/>
                <w:sz w:val="18"/>
                <w:szCs w:val="18"/>
                <w:color w:val="auto"/>
              </w:rPr>
              <w:t>Dated: March 9, 2020</w:t>
            </w:r>
          </w:p>
        </w:tc>
        <w:tc>
          <w:tcPr>
            <w:tcW w:w="10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60" w:type="dxa"/>
            <w:vAlign w:val="bottom"/>
            <w:gridSpan w:val="2"/>
          </w:tcPr>
          <w:p>
            <w:pPr>
              <w:spacing w:after="0" w:line="195" w:lineRule="exact"/>
              <w:rPr>
                <w:sz w:val="20"/>
                <w:szCs w:val="20"/>
                <w:color w:val="auto"/>
              </w:rPr>
            </w:pPr>
            <w:r>
              <w:rPr>
                <w:rFonts w:ascii="Arial" w:cs="Arial" w:eastAsia="Arial" w:hAnsi="Arial"/>
                <w:sz w:val="18"/>
                <w:szCs w:val="18"/>
                <w:color w:val="auto"/>
              </w:rPr>
              <w:t>Richard Steinhart, Chief Financial Officer</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340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1060" w:type="dxa"/>
            <w:vAlign w:val="bottom"/>
          </w:tcPr>
          <w:p>
            <w:pPr>
              <w:spacing w:after="0"/>
              <w:rPr>
                <w:sz w:val="24"/>
                <w:szCs w:val="24"/>
                <w:color w:val="auto"/>
              </w:rPr>
            </w:pPr>
          </w:p>
        </w:tc>
        <w:tc>
          <w:tcPr>
            <w:tcW w:w="2540" w:type="dxa"/>
            <w:vAlign w:val="bottom"/>
          </w:tcPr>
          <w:p>
            <w:pPr>
              <w:ind w:left="720"/>
              <w:spacing w:after="0"/>
              <w:rPr>
                <w:sz w:val="20"/>
                <w:szCs w:val="20"/>
                <w:color w:val="auto"/>
              </w:rPr>
            </w:pPr>
            <w:r>
              <w:rPr>
                <w:rFonts w:ascii="Arial" w:cs="Arial" w:eastAsia="Arial" w:hAnsi="Arial"/>
                <w:sz w:val="13"/>
                <w:szCs w:val="13"/>
                <w:b w:val="1"/>
                <w:bCs w:val="1"/>
                <w:color w:val="auto"/>
              </w:rPr>
              <w:t>Title</w:t>
            </w:r>
          </w:p>
        </w:tc>
        <w:tc>
          <w:tcPr>
            <w:tcW w:w="1920" w:type="dxa"/>
            <w:vAlign w:val="bottom"/>
          </w:tcPr>
          <w:p>
            <w:pPr>
              <w:ind w:left="90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446"/>
        </w:trPr>
        <w:tc>
          <w:tcPr>
            <w:tcW w:w="3400" w:type="dxa"/>
            <w:vAlign w:val="bottom"/>
          </w:tcPr>
          <w:p>
            <w:pPr>
              <w:jc w:val="center"/>
              <w:spacing w:after="0"/>
              <w:rPr>
                <w:sz w:val="20"/>
                <w:szCs w:val="20"/>
                <w:color w:val="auto"/>
              </w:rPr>
            </w:pPr>
            <w:r>
              <w:rPr>
                <w:rFonts w:ascii="Arial" w:cs="Arial" w:eastAsia="Arial" w:hAnsi="Arial"/>
                <w:sz w:val="18"/>
                <w:szCs w:val="18"/>
                <w:color w:val="auto"/>
              </w:rPr>
              <w:t>/s/ VIMAL MEHTA</w:t>
            </w:r>
          </w:p>
        </w:tc>
        <w:tc>
          <w:tcPr>
            <w:tcW w:w="3600" w:type="dxa"/>
            <w:vAlign w:val="bottom"/>
            <w:gridSpan w:val="2"/>
            <w:vMerge w:val="restart"/>
          </w:tcPr>
          <w:p>
            <w:pPr>
              <w:ind w:left="220"/>
              <w:spacing w:after="0"/>
              <w:rPr>
                <w:sz w:val="20"/>
                <w:szCs w:val="20"/>
                <w:color w:val="auto"/>
              </w:rPr>
            </w:pPr>
            <w:r>
              <w:rPr>
                <w:rFonts w:ascii="Arial" w:cs="Arial" w:eastAsia="Arial" w:hAnsi="Arial"/>
                <w:sz w:val="18"/>
                <w:szCs w:val="18"/>
                <w:color w:val="auto"/>
                <w:w w:val="94"/>
              </w:rPr>
              <w:t>Chief Executive Officer, President, Secretary</w:t>
            </w:r>
          </w:p>
        </w:tc>
        <w:tc>
          <w:tcPr>
            <w:tcW w:w="1920" w:type="dxa"/>
            <w:vAlign w:val="bottom"/>
            <w:vMerge w:val="restart"/>
          </w:tcPr>
          <w:p>
            <w:pPr>
              <w:ind w:left="140"/>
              <w:spacing w:after="0"/>
              <w:rPr>
                <w:sz w:val="20"/>
                <w:szCs w:val="20"/>
                <w:color w:val="auto"/>
              </w:rPr>
            </w:pPr>
            <w:r>
              <w:rPr>
                <w:rFonts w:ascii="Arial" w:cs="Arial" w:eastAsia="Arial" w:hAnsi="Arial"/>
                <w:sz w:val="18"/>
                <w:szCs w:val="18"/>
                <w:color w:val="auto"/>
              </w:rPr>
              <w:t>March 9, 2020</w:t>
            </w:r>
          </w:p>
        </w:tc>
        <w:tc>
          <w:tcPr>
            <w:tcW w:w="0" w:type="dxa"/>
            <w:vAlign w:val="bottom"/>
          </w:tcPr>
          <w:p>
            <w:pPr>
              <w:spacing w:after="0"/>
              <w:rPr>
                <w:sz w:val="1"/>
                <w:szCs w:val="1"/>
                <w:color w:val="auto"/>
              </w:rPr>
            </w:pPr>
          </w:p>
        </w:tc>
      </w:tr>
      <w:tr>
        <w:trPr>
          <w:trHeight w:val="108"/>
        </w:trPr>
        <w:tc>
          <w:tcPr>
            <w:tcW w:w="3400" w:type="dxa"/>
            <w:vAlign w:val="bottom"/>
            <w:tcBorders>
              <w:bottom w:val="single" w:sz="8" w:color="auto"/>
            </w:tcBorders>
          </w:tcPr>
          <w:p>
            <w:pPr>
              <w:spacing w:after="0"/>
              <w:rPr>
                <w:sz w:val="9"/>
                <w:szCs w:val="9"/>
                <w:color w:val="auto"/>
              </w:rPr>
            </w:pPr>
          </w:p>
        </w:tc>
        <w:tc>
          <w:tcPr>
            <w:tcW w:w="360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2"/>
              </w:rPr>
              <w:t>Vimal Mehta, Ph.D.</w:t>
            </w:r>
          </w:p>
        </w:tc>
        <w:tc>
          <w:tcPr>
            <w:tcW w:w="3600" w:type="dxa"/>
            <w:vAlign w:val="bottom"/>
            <w:gridSpan w:val="2"/>
            <w:vMerge w:val="restart"/>
          </w:tcPr>
          <w:p>
            <w:pPr>
              <w:ind w:left="220"/>
              <w:spacing w:after="0"/>
              <w:rPr>
                <w:sz w:val="20"/>
                <w:szCs w:val="20"/>
                <w:color w:val="auto"/>
              </w:rPr>
            </w:pPr>
            <w:r>
              <w:rPr>
                <w:rFonts w:ascii="Arial" w:cs="Arial" w:eastAsia="Arial" w:hAnsi="Arial"/>
                <w:sz w:val="18"/>
                <w:szCs w:val="18"/>
                <w:color w:val="auto"/>
              </w:rPr>
              <w:t xml:space="preserve">and Director </w:t>
            </w:r>
            <w:r>
              <w:rPr>
                <w:rFonts w:ascii="Arial" w:cs="Arial" w:eastAsia="Arial" w:hAnsi="Arial"/>
                <w:sz w:val="18"/>
                <w:szCs w:val="18"/>
                <w:i w:val="1"/>
                <w:iCs w:val="1"/>
                <w:color w:val="auto"/>
              </w:rPr>
              <w:t>(Principal Executive Officer)</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0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400" w:type="dxa"/>
            <w:vAlign w:val="bottom"/>
          </w:tcPr>
          <w:p>
            <w:pPr>
              <w:jc w:val="center"/>
              <w:spacing w:after="0"/>
              <w:rPr>
                <w:sz w:val="20"/>
                <w:szCs w:val="20"/>
                <w:color w:val="auto"/>
              </w:rPr>
            </w:pPr>
            <w:r>
              <w:rPr>
                <w:rFonts w:ascii="Arial" w:cs="Arial" w:eastAsia="Arial" w:hAnsi="Arial"/>
                <w:sz w:val="18"/>
                <w:szCs w:val="18"/>
                <w:color w:val="auto"/>
                <w:w w:val="96"/>
              </w:rPr>
              <w:t>/s/ RICHARD STEINHART</w:t>
            </w:r>
          </w:p>
        </w:tc>
        <w:tc>
          <w:tcPr>
            <w:tcW w:w="3600" w:type="dxa"/>
            <w:vAlign w:val="bottom"/>
            <w:gridSpan w:val="2"/>
            <w:vMerge w:val="restart"/>
          </w:tcPr>
          <w:p>
            <w:pPr>
              <w:ind w:left="2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w:t>
            </w:r>
          </w:p>
        </w:tc>
        <w:tc>
          <w:tcPr>
            <w:tcW w:w="1920" w:type="dxa"/>
            <w:vAlign w:val="bottom"/>
            <w:vMerge w:val="restart"/>
          </w:tcPr>
          <w:p>
            <w:pPr>
              <w:ind w:left="140"/>
              <w:spacing w:after="0"/>
              <w:rPr>
                <w:sz w:val="20"/>
                <w:szCs w:val="20"/>
                <w:color w:val="auto"/>
              </w:rPr>
            </w:pPr>
            <w:r>
              <w:rPr>
                <w:rFonts w:ascii="Arial" w:cs="Arial" w:eastAsia="Arial" w:hAnsi="Arial"/>
                <w:sz w:val="18"/>
                <w:szCs w:val="18"/>
                <w:color w:val="auto"/>
              </w:rPr>
              <w:t>March 9, 2020</w:t>
            </w:r>
          </w:p>
        </w:tc>
        <w:tc>
          <w:tcPr>
            <w:tcW w:w="0" w:type="dxa"/>
            <w:vAlign w:val="bottom"/>
          </w:tcPr>
          <w:p>
            <w:pPr>
              <w:spacing w:after="0"/>
              <w:rPr>
                <w:sz w:val="1"/>
                <w:szCs w:val="1"/>
                <w:color w:val="auto"/>
              </w:rPr>
            </w:pPr>
          </w:p>
        </w:tc>
      </w:tr>
      <w:tr>
        <w:trPr>
          <w:trHeight w:val="108"/>
        </w:trPr>
        <w:tc>
          <w:tcPr>
            <w:tcW w:w="3400" w:type="dxa"/>
            <w:vAlign w:val="bottom"/>
            <w:tcBorders>
              <w:bottom w:val="single" w:sz="8" w:color="auto"/>
            </w:tcBorders>
          </w:tcPr>
          <w:p>
            <w:pPr>
              <w:spacing w:after="0"/>
              <w:rPr>
                <w:sz w:val="9"/>
                <w:szCs w:val="9"/>
                <w:color w:val="auto"/>
              </w:rPr>
            </w:pPr>
          </w:p>
        </w:tc>
        <w:tc>
          <w:tcPr>
            <w:tcW w:w="360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Richard Steinhart</w:t>
            </w:r>
          </w:p>
        </w:tc>
        <w:tc>
          <w:tcPr>
            <w:tcW w:w="360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auto"/>
              </w:rPr>
              <w:t>Officer and Principal Accounting Officer)</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0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400" w:type="dxa"/>
            <w:vAlign w:val="bottom"/>
          </w:tcPr>
          <w:p>
            <w:pPr>
              <w:jc w:val="center"/>
              <w:spacing w:after="0"/>
              <w:rPr>
                <w:sz w:val="20"/>
                <w:szCs w:val="20"/>
                <w:color w:val="auto"/>
              </w:rPr>
            </w:pPr>
            <w:r>
              <w:rPr>
                <w:rFonts w:ascii="Arial" w:cs="Arial" w:eastAsia="Arial" w:hAnsi="Arial"/>
                <w:sz w:val="18"/>
                <w:szCs w:val="18"/>
                <w:color w:val="auto"/>
                <w:w w:val="95"/>
              </w:rPr>
              <w:t>/s/ PETER MUELLER</w:t>
            </w:r>
          </w:p>
        </w:tc>
        <w:tc>
          <w:tcPr>
            <w:tcW w:w="3600" w:type="dxa"/>
            <w:vAlign w:val="bottom"/>
            <w:gridSpan w:val="2"/>
            <w:vMerge w:val="restart"/>
          </w:tcPr>
          <w:p>
            <w:pPr>
              <w:ind w:left="220"/>
              <w:spacing w:after="0"/>
              <w:rPr>
                <w:sz w:val="20"/>
                <w:szCs w:val="20"/>
                <w:color w:val="auto"/>
              </w:rPr>
            </w:pPr>
            <w:r>
              <w:rPr>
                <w:rFonts w:ascii="Arial" w:cs="Arial" w:eastAsia="Arial" w:hAnsi="Arial"/>
                <w:sz w:val="18"/>
                <w:szCs w:val="18"/>
                <w:color w:val="auto"/>
              </w:rPr>
              <w:t>Chairman of the Board of Directors</w:t>
            </w:r>
          </w:p>
        </w:tc>
        <w:tc>
          <w:tcPr>
            <w:tcW w:w="1920" w:type="dxa"/>
            <w:vAlign w:val="bottom"/>
            <w:vMerge w:val="restart"/>
          </w:tcPr>
          <w:p>
            <w:pPr>
              <w:ind w:left="140"/>
              <w:spacing w:after="0"/>
              <w:rPr>
                <w:sz w:val="20"/>
                <w:szCs w:val="20"/>
                <w:color w:val="auto"/>
              </w:rPr>
            </w:pPr>
            <w:r>
              <w:rPr>
                <w:rFonts w:ascii="Arial" w:cs="Arial" w:eastAsia="Arial" w:hAnsi="Arial"/>
                <w:sz w:val="18"/>
                <w:szCs w:val="18"/>
                <w:color w:val="auto"/>
              </w:rPr>
              <w:t>March 9, 2020</w:t>
            </w:r>
          </w:p>
        </w:tc>
        <w:tc>
          <w:tcPr>
            <w:tcW w:w="0" w:type="dxa"/>
            <w:vAlign w:val="bottom"/>
          </w:tcPr>
          <w:p>
            <w:pPr>
              <w:spacing w:after="0"/>
              <w:rPr>
                <w:sz w:val="1"/>
                <w:szCs w:val="1"/>
                <w:color w:val="auto"/>
              </w:rPr>
            </w:pPr>
          </w:p>
        </w:tc>
      </w:tr>
      <w:tr>
        <w:trPr>
          <w:trHeight w:val="108"/>
        </w:trPr>
        <w:tc>
          <w:tcPr>
            <w:tcW w:w="3400" w:type="dxa"/>
            <w:vAlign w:val="bottom"/>
            <w:tcBorders>
              <w:bottom w:val="single" w:sz="8" w:color="auto"/>
            </w:tcBorders>
          </w:tcPr>
          <w:p>
            <w:pPr>
              <w:spacing w:after="0"/>
              <w:rPr>
                <w:sz w:val="9"/>
                <w:szCs w:val="9"/>
                <w:color w:val="auto"/>
              </w:rPr>
            </w:pPr>
          </w:p>
        </w:tc>
        <w:tc>
          <w:tcPr>
            <w:tcW w:w="360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Peter Mueller, Ph.D.</w:t>
            </w:r>
          </w:p>
        </w:tc>
        <w:tc>
          <w:tcPr>
            <w:tcW w:w="360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00" w:type="dxa"/>
            <w:vAlign w:val="bottom"/>
          </w:tcPr>
          <w:p>
            <w:pPr>
              <w:jc w:val="center"/>
              <w:spacing w:after="0"/>
              <w:rPr>
                <w:sz w:val="20"/>
                <w:szCs w:val="20"/>
                <w:color w:val="auto"/>
              </w:rPr>
            </w:pPr>
            <w:r>
              <w:rPr>
                <w:rFonts w:ascii="Arial" w:cs="Arial" w:eastAsia="Arial" w:hAnsi="Arial"/>
                <w:sz w:val="18"/>
                <w:szCs w:val="18"/>
                <w:color w:val="auto"/>
              </w:rPr>
              <w:t>/s/ KRISHNAN NANDABALAN</w:t>
            </w:r>
          </w:p>
        </w:tc>
        <w:tc>
          <w:tcPr>
            <w:tcW w:w="1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40" w:type="dxa"/>
            <w:vAlign w:val="bottom"/>
          </w:tcPr>
          <w:p>
            <w:pPr>
              <w:spacing w:after="0"/>
              <w:rPr>
                <w:sz w:val="24"/>
                <w:szCs w:val="24"/>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color w:val="auto"/>
              </w:rPr>
              <w:t>March 9, 2020</w:t>
            </w:r>
          </w:p>
        </w:tc>
        <w:tc>
          <w:tcPr>
            <w:tcW w:w="0" w:type="dxa"/>
            <w:vAlign w:val="bottom"/>
          </w:tcPr>
          <w:p>
            <w:pPr>
              <w:spacing w:after="0"/>
              <w:rPr>
                <w:sz w:val="1"/>
                <w:szCs w:val="1"/>
                <w:color w:val="auto"/>
              </w:rPr>
            </w:pPr>
          </w:p>
        </w:tc>
      </w:tr>
      <w:tr>
        <w:trPr>
          <w:trHeight w:val="108"/>
        </w:trPr>
        <w:tc>
          <w:tcPr>
            <w:tcW w:w="3400" w:type="dxa"/>
            <w:vAlign w:val="bottom"/>
            <w:tcBorders>
              <w:bottom w:val="single" w:sz="8" w:color="auto"/>
            </w:tcBorders>
          </w:tcPr>
          <w:p>
            <w:pPr>
              <w:spacing w:after="0"/>
              <w:rPr>
                <w:sz w:val="9"/>
                <w:szCs w:val="9"/>
                <w:color w:val="auto"/>
              </w:rPr>
            </w:pPr>
          </w:p>
        </w:tc>
        <w:tc>
          <w:tcPr>
            <w:tcW w:w="1060" w:type="dxa"/>
            <w:vAlign w:val="bottom"/>
            <w:vMerge w:val="continue"/>
          </w:tcPr>
          <w:p>
            <w:pPr>
              <w:spacing w:after="0"/>
              <w:rPr>
                <w:sz w:val="9"/>
                <w:szCs w:val="9"/>
                <w:color w:val="auto"/>
              </w:rPr>
            </w:pPr>
          </w:p>
        </w:tc>
        <w:tc>
          <w:tcPr>
            <w:tcW w:w="25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400" w:type="dxa"/>
            <w:vAlign w:val="bottom"/>
          </w:tcPr>
          <w:p>
            <w:pPr>
              <w:jc w:val="center"/>
              <w:spacing w:after="0"/>
              <w:rPr>
                <w:sz w:val="20"/>
                <w:szCs w:val="20"/>
                <w:color w:val="auto"/>
              </w:rPr>
            </w:pPr>
            <w:r>
              <w:rPr>
                <w:rFonts w:ascii="Arial" w:cs="Arial" w:eastAsia="Arial" w:hAnsi="Arial"/>
                <w:sz w:val="18"/>
                <w:szCs w:val="18"/>
                <w:color w:val="auto"/>
                <w:w w:val="90"/>
              </w:rPr>
              <w:t>Krishnan Nandabalan, Ph.D.</w:t>
            </w: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00" w:type="dxa"/>
            <w:vAlign w:val="bottom"/>
          </w:tcPr>
          <w:p>
            <w:pPr>
              <w:jc w:val="center"/>
              <w:spacing w:after="0"/>
              <w:rPr>
                <w:sz w:val="20"/>
                <w:szCs w:val="20"/>
                <w:color w:val="auto"/>
              </w:rPr>
            </w:pPr>
            <w:r>
              <w:rPr>
                <w:rFonts w:ascii="Arial" w:cs="Arial" w:eastAsia="Arial" w:hAnsi="Arial"/>
                <w:sz w:val="18"/>
                <w:szCs w:val="18"/>
                <w:color w:val="auto"/>
                <w:w w:val="97"/>
              </w:rPr>
              <w:t>/s/ SANDEEP LAUMAS</w:t>
            </w:r>
          </w:p>
        </w:tc>
        <w:tc>
          <w:tcPr>
            <w:tcW w:w="1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40" w:type="dxa"/>
            <w:vAlign w:val="bottom"/>
          </w:tcPr>
          <w:p>
            <w:pPr>
              <w:spacing w:after="0"/>
              <w:rPr>
                <w:sz w:val="24"/>
                <w:szCs w:val="24"/>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color w:val="auto"/>
              </w:rPr>
              <w:t>March 9, 2020</w:t>
            </w:r>
          </w:p>
        </w:tc>
        <w:tc>
          <w:tcPr>
            <w:tcW w:w="0" w:type="dxa"/>
            <w:vAlign w:val="bottom"/>
          </w:tcPr>
          <w:p>
            <w:pPr>
              <w:spacing w:after="0"/>
              <w:rPr>
                <w:sz w:val="1"/>
                <w:szCs w:val="1"/>
                <w:color w:val="auto"/>
              </w:rPr>
            </w:pPr>
          </w:p>
        </w:tc>
      </w:tr>
      <w:tr>
        <w:trPr>
          <w:trHeight w:val="108"/>
        </w:trPr>
        <w:tc>
          <w:tcPr>
            <w:tcW w:w="3400" w:type="dxa"/>
            <w:vAlign w:val="bottom"/>
            <w:tcBorders>
              <w:bottom w:val="single" w:sz="8" w:color="auto"/>
            </w:tcBorders>
          </w:tcPr>
          <w:p>
            <w:pPr>
              <w:spacing w:after="0"/>
              <w:rPr>
                <w:sz w:val="9"/>
                <w:szCs w:val="9"/>
                <w:color w:val="auto"/>
              </w:rPr>
            </w:pPr>
          </w:p>
        </w:tc>
        <w:tc>
          <w:tcPr>
            <w:tcW w:w="1060" w:type="dxa"/>
            <w:vAlign w:val="bottom"/>
            <w:vMerge w:val="continue"/>
          </w:tcPr>
          <w:p>
            <w:pPr>
              <w:spacing w:after="0"/>
              <w:rPr>
                <w:sz w:val="9"/>
                <w:szCs w:val="9"/>
                <w:color w:val="auto"/>
              </w:rPr>
            </w:pPr>
          </w:p>
        </w:tc>
        <w:tc>
          <w:tcPr>
            <w:tcW w:w="25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9"/>
              </w:rPr>
              <w:t>Sandeep Laumas, M.D.</w:t>
            </w:r>
          </w:p>
        </w:tc>
        <w:tc>
          <w:tcPr>
            <w:tcW w:w="106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MICHAL VOTRUBA</w:t>
            </w:r>
          </w:p>
        </w:tc>
        <w:tc>
          <w:tcPr>
            <w:tcW w:w="10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40" w:type="dxa"/>
            <w:vAlign w:val="bottom"/>
          </w:tcPr>
          <w:p>
            <w:pPr>
              <w:spacing w:after="0"/>
              <w:rPr>
                <w:sz w:val="24"/>
                <w:szCs w:val="24"/>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March 9, 2020</w:t>
            </w:r>
          </w:p>
        </w:tc>
        <w:tc>
          <w:tcPr>
            <w:tcW w:w="0" w:type="dxa"/>
            <w:vAlign w:val="bottom"/>
          </w:tcPr>
          <w:p>
            <w:pPr>
              <w:spacing w:after="0"/>
              <w:rPr>
                <w:sz w:val="1"/>
                <w:szCs w:val="1"/>
                <w:color w:val="auto"/>
              </w:rPr>
            </w:pPr>
          </w:p>
        </w:tc>
      </w:tr>
      <w:tr>
        <w:trPr>
          <w:trHeight w:val="230"/>
        </w:trPr>
        <w:tc>
          <w:tcPr>
            <w:tcW w:w="3400" w:type="dxa"/>
            <w:vAlign w:val="bottom"/>
          </w:tcPr>
          <w:p>
            <w:pPr>
              <w:jc w:val="center"/>
              <w:spacing w:after="0"/>
              <w:rPr>
                <w:sz w:val="20"/>
                <w:szCs w:val="20"/>
                <w:color w:val="auto"/>
              </w:rPr>
            </w:pPr>
            <w:r>
              <w:rPr>
                <w:rFonts w:ascii="Arial" w:cs="Arial" w:eastAsia="Arial" w:hAnsi="Arial"/>
                <w:sz w:val="18"/>
                <w:szCs w:val="18"/>
                <w:color w:val="auto"/>
                <w:w w:val="93"/>
              </w:rPr>
              <w:t>Michal Votruba</w:t>
            </w:r>
          </w:p>
        </w:tc>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and Board of Directors of BioXcel Therapeutics,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ind w:left="40" w:right="119" w:firstLine="324"/>
        <w:spacing w:after="0" w:line="254" w:lineRule="auto"/>
        <w:rPr>
          <w:sz w:val="20"/>
          <w:szCs w:val="20"/>
          <w:color w:val="auto"/>
        </w:rPr>
      </w:pPr>
      <w:r>
        <w:rPr>
          <w:rFonts w:ascii="Arial" w:cs="Arial" w:eastAsia="Arial" w:hAnsi="Arial"/>
          <w:sz w:val="18"/>
          <w:szCs w:val="18"/>
          <w:color w:val="auto"/>
        </w:rPr>
        <w:t>We have audited the accompanying balance sheets of BioXcel Therapeutics, Inc. (the "Company") as of December 31, 2019 and 2018, and the related statements of operations, changes in stockholders’ equity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from Parent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34,107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36,392</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4,953</w:t>
            </w:r>
          </w:p>
        </w:tc>
        <w:tc>
          <w:tcPr>
            <w:tcW w:w="3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Due to Parent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$0.001 par value, 10,000,000 shares authorized; no shares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issued or outstanding</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line="201" w:lineRule="exact"/>
              <w:rPr>
                <w:sz w:val="20"/>
                <w:szCs w:val="20"/>
                <w:color w:val="auto"/>
              </w:rPr>
            </w:pPr>
            <w:r>
              <w:rPr>
                <w:rFonts w:ascii="Arial" w:cs="Arial" w:eastAsia="Arial" w:hAnsi="Arial"/>
                <w:sz w:val="18"/>
                <w:szCs w:val="18"/>
                <w:color w:val="auto"/>
                <w:w w:val="94"/>
              </w:rPr>
              <w:t>Common stock, $0.001 par value, 50,000,000 shares authorized; 18,087,382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3"/>
              </w:rPr>
              <w:t>and 15,663,221 shares issued and outstanding as of December 31, 2019 and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December 31, 2018, respectively</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(56,688)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36,392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w w:val="94"/>
              </w:rPr>
              <w:t>Net loss per share attributable to common stockholders/ Parent basic and diluted</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16,289,175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14,571,553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8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in</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9,907,548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283,452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02"/>
        </w:trPr>
        <w:tc>
          <w:tcPr>
            <w:tcW w:w="3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Issuance of common stock, upon completion of</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Initial Public Offering, net of issuance costs of</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$5,898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5,454,545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w:t>
            </w: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3,082</w:t>
            </w: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(19,270)</w:t>
            </w:r>
          </w:p>
        </w:tc>
      </w:tr>
      <w:tr>
        <w:trPr>
          <w:trHeight w:val="21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15,663,221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2"/>
        </w:trPr>
        <w:tc>
          <w:tcPr>
            <w:tcW w:w="3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 $1,991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2,369,223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w:t>
            </w: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3,142</w:t>
            </w: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(32,968)</w:t>
            </w:r>
          </w:p>
        </w:tc>
      </w:tr>
      <w:tr>
        <w:trPr>
          <w:trHeight w:val="21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18,087,382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(32,968)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(19,270)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r>
      <w:tr>
        <w:trPr>
          <w:trHeight w:val="216"/>
        </w:trPr>
        <w:tc>
          <w:tcPr>
            <w:tcW w:w="6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Borders>
              <w:bottom w:val="single" w:sz="8" w:color="CCEEFF"/>
            </w:tcBorders>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220" w:type="dxa"/>
            <w:vAlign w:val="bottom"/>
            <w:shd w:val="clear" w:color="auto" w:fill="CCEEFF"/>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Purchase of equipment</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56,513</w:t>
            </w: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Payable to Parent for services</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Due to Parent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Note Payable — Parent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55,527</w:t>
            </w:r>
          </w:p>
        </w:tc>
        <w:tc>
          <w:tcPr>
            <w:tcW w:w="220" w:type="dxa"/>
            <w:vAlign w:val="bottom"/>
            <w:tcBorders>
              <w:top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41,678</w:t>
            </w: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r>
      <w:tr>
        <w:trPr>
          <w:trHeight w:val="217"/>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42,565</w:t>
            </w:r>
          </w:p>
        </w:tc>
        <w:tc>
          <w:tcPr>
            <w:tcW w:w="220" w:type="dxa"/>
            <w:vAlign w:val="bottom"/>
            <w:tcBorders>
              <w:bottom w:val="single" w:sz="8" w:color="CCEEFF"/>
            </w:tcBorders>
          </w:tcPr>
          <w:p>
            <w:pPr>
              <w:spacing w:after="0"/>
              <w:rPr>
                <w:sz w:val="18"/>
                <w:szCs w:val="18"/>
                <w:color w:val="auto"/>
              </w:rPr>
            </w:pPr>
          </w:p>
        </w:tc>
      </w:tr>
      <w:tr>
        <w:trPr>
          <w:trHeight w:val="216"/>
        </w:trPr>
        <w:tc>
          <w:tcPr>
            <w:tcW w:w="6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Investing and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6780" w:type="dxa"/>
            <w:vAlign w:val="bottom"/>
          </w:tcPr>
          <w:p>
            <w:pPr>
              <w:ind w:left="220"/>
              <w:spacing w:after="0" w:line="201" w:lineRule="exact"/>
              <w:rPr>
                <w:sz w:val="20"/>
                <w:szCs w:val="20"/>
                <w:color w:val="auto"/>
              </w:rPr>
            </w:pPr>
            <w:r>
              <w:rPr>
                <w:rFonts w:ascii="Arial" w:cs="Arial" w:eastAsia="Arial" w:hAnsi="Arial"/>
                <w:sz w:val="18"/>
                <w:szCs w:val="18"/>
                <w:color w:val="auto"/>
                <w:w w:val="98"/>
              </w:rPr>
              <w:t>Deferred issuance costs reclassified to additional paid-in-capital upon completion of</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initial public offering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20"/>
                <w:szCs w:val="20"/>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 obtained in exchange for new operating lease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BioXcel Therapeutics, Inc. is a clinical stage biopharmaceutical company utilizing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sublingual thin film formulation designed for acute treatment of agitation resulting from neuropsychiatric disorders, and BXCL701, an orally administered systemic innate immunity activator designed for treatment of a rare form of prostate cancer, pancreatic cancer and advanced solid cancers in combination with other immuno-oncology agents. The Company’s primary activities have been clinical and pre-clinical research and development for BXCL501 and BXCL701.</w:t>
      </w:r>
    </w:p>
    <w:p>
      <w:pPr>
        <w:spacing w:after="0" w:line="165" w:lineRule="exact"/>
        <w:rPr>
          <w:sz w:val="20"/>
          <w:szCs w:val="20"/>
          <w:color w:val="auto"/>
        </w:rPr>
      </w:pPr>
    </w:p>
    <w:p>
      <w:pPr>
        <w:ind w:left="40" w:right="41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or “Parent” refer to BioXcel Corporation, the Company’s parent.</w:t>
      </w:r>
    </w:p>
    <w:p>
      <w:pPr>
        <w:spacing w:after="0" w:line="184"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The Company is a majority-owned subsidiary of BioXcel Corporation, also referred to as BioXcel or Parent, and was incorporated under the laws of the State of Delaware on March 29, 2017. The Company’s principal office is in New Haven, Connecticut.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ind w:left="40" w:right="219" w:firstLine="324"/>
        <w:spacing w:after="0" w:line="219" w:lineRule="exact"/>
        <w:rPr>
          <w:sz w:val="20"/>
          <w:szCs w:val="20"/>
          <w:color w:val="auto"/>
        </w:rPr>
      </w:pPr>
      <w:r>
        <w:rPr>
          <w:rFonts w:ascii="Arial" w:cs="Arial" w:eastAsia="Arial" w:hAnsi="Arial"/>
          <w:sz w:val="17"/>
          <w:szCs w:val="17"/>
          <w:color w:val="auto"/>
        </w:rPr>
        <w:t>On March 7, 2018, the Company’s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relating to its initial public offering of its common stock, or the IPO, was declared effective by the Securities and Exchange Commission, or the SEC. The IPO closed on March 12, 2018, and the Company issued and sold 5,454,545 shares of common stock at a public offering price of $11.00 per share. Gross proceeds totaled $60,000 and net proceeds totaled $54,102 after deducting underwriting discounts and commissions of $4,200 and other offering expenses of approximately $1,698.</w:t>
      </w:r>
    </w:p>
    <w:p>
      <w:pPr>
        <w:spacing w:after="0" w:line="205"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In connection with and immediately prior to the closing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84"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each.</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Basis of Presentation</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59" w:firstLine="324"/>
        <w:spacing w:after="0" w:line="311" w:lineRule="auto"/>
        <w:rPr>
          <w:sz w:val="20"/>
          <w:szCs w:val="20"/>
          <w:color w:val="auto"/>
        </w:rPr>
      </w:pPr>
      <w:r>
        <w:rPr>
          <w:rFonts w:ascii="Arial" w:cs="Arial" w:eastAsia="Arial" w:hAnsi="Arial"/>
          <w:sz w:val="16"/>
          <w:szCs w:val="16"/>
          <w:color w:val="auto"/>
        </w:rPr>
        <w:t>The Company’s financial statements are prepared in accordance with GAAP. The preparation of the Company’s financial statements requires it to make estimates and assumptions that impact the reported amounts of assets, liabilities and expenses in its financial statements and the accompanying notes. The most significant estimates in the financial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color w:val="auto"/>
        </w:rPr>
        <w:t>statements relate to the fair value of equity awards and valuation allowance related to the Company’s deferred tax assets. Although these estimates are based on the Company’s knowledge of current events and actions it may undertake in the future, actual results may ultimately materially differ from these estimates.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40" w:right="239" w:firstLine="324"/>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As of December 31, 2019 and 2018, cash equivalents were comprised of money market funds. Cash and cash equivalents held at financial institutions may at times exceed federally insured amounts. We believe we mitigate such risk by investing in or through major financial institutions.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The Company capitalized certain legal, professional accounting and other third-party fees that were directly associated with in-process equity financings as deferred offering costs until the equity financing was consummated. After consummation of an equity financing, these costs are recorded in shareholders’ equity (deficit) as a reduction of proceeds generated as a result of the offering. 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shareholders’ equity.</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Equipment consists of computers and related equipment and furniture that are stated at cost and depreciated using the straight-line method over estimated useful life of 5 years. Leasehold improvements are amortized over the shorter of the life of the lease or asset.</w:t>
      </w:r>
    </w:p>
    <w:p>
      <w:pPr>
        <w:spacing w:after="0" w:line="184" w:lineRule="exact"/>
        <w:rPr>
          <w:sz w:val="20"/>
          <w:szCs w:val="20"/>
          <w:color w:val="auto"/>
        </w:rPr>
      </w:pPr>
    </w:p>
    <w:p>
      <w:pPr>
        <w:ind w:left="40" w:right="119" w:firstLine="324"/>
        <w:spacing w:after="0" w:line="219" w:lineRule="exact"/>
        <w:rPr>
          <w:sz w:val="20"/>
          <w:szCs w:val="20"/>
          <w:color w:val="auto"/>
        </w:rPr>
      </w:pPr>
      <w:r>
        <w:rPr>
          <w:rFonts w:ascii="Arial" w:cs="Arial" w:eastAsia="Arial" w:hAnsi="Arial"/>
          <w:sz w:val="17"/>
          <w:szCs w:val="17"/>
          <w:color w:val="auto"/>
        </w:rPr>
        <w:t>The Company follows the guidance provided by FASB ASC Topic 360</w:t>
      </w:r>
      <w:r>
        <w:rPr>
          <w:rFonts w:ascii="MS PGothic" w:cs="MS PGothic" w:eastAsia="MS PGothic" w:hAnsi="MS PGothic"/>
          <w:sz w:val="17"/>
          <w:szCs w:val="17"/>
          <w:color w:val="auto"/>
        </w:rPr>
        <w:t>‑</w:t>
      </w:r>
      <w:r>
        <w:rPr>
          <w:rFonts w:ascii="Arial" w:cs="Arial" w:eastAsia="Arial" w:hAnsi="Arial"/>
          <w:sz w:val="17"/>
          <w:szCs w:val="17"/>
          <w:color w:val="auto"/>
        </w:rPr>
        <w:t xml:space="preserve">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its inception, the Company has not recognized any impairment or disposition of long-lived assets.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The Company accounts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which requires the measurement and recognition of compensation expense based on estimated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values for all share-based awards made to employees and directors, including stock options. The Company’s stock-based compensation plan was adopted and became effective in August 2017.</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left="40" w:right="759" w:firstLine="324"/>
        <w:spacing w:after="0" w:line="277" w:lineRule="auto"/>
        <w:rPr>
          <w:sz w:val="20"/>
          <w:szCs w:val="20"/>
          <w:color w:val="auto"/>
        </w:rPr>
      </w:pPr>
      <w:r>
        <w:rPr>
          <w:rFonts w:ascii="Arial" w:cs="Arial" w:eastAsia="Arial" w:hAnsi="Arial"/>
          <w:sz w:val="18"/>
          <w:szCs w:val="18"/>
          <w:color w:val="auto"/>
        </w:rPr>
        <w:t>The Company adopted FASB ASU 2018-07 as of January 1, 2019 which allowed non-employee options to be expensed using the adoption date fair value.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93"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64" w:lineRule="exact"/>
        <w:rPr>
          <w:sz w:val="20"/>
          <w:szCs w:val="20"/>
          <w:color w:val="auto"/>
        </w:rPr>
      </w:pPr>
    </w:p>
    <w:p>
      <w:pPr>
        <w:ind w:left="40" w:right="379" w:firstLine="324"/>
        <w:spacing w:after="0" w:line="223" w:lineRule="exact"/>
        <w:rPr>
          <w:sz w:val="20"/>
          <w:szCs w:val="20"/>
          <w:color w:val="auto"/>
        </w:rPr>
      </w:pPr>
      <w:r>
        <w:rPr>
          <w:rFonts w:ascii="Arial" w:cs="Arial" w:eastAsia="Arial" w:hAnsi="Arial"/>
          <w:sz w:val="18"/>
          <w:szCs w:val="18"/>
          <w:color w:val="auto"/>
        </w:rPr>
        <w:t>The Company adopted FASB ASU 2016</w:t>
      </w:r>
      <w:r>
        <w:rPr>
          <w:rFonts w:ascii="MS PGothic" w:cs="MS PGothic" w:eastAsia="MS PGothic" w:hAnsi="MS PGothic"/>
          <w:sz w:val="18"/>
          <w:szCs w:val="18"/>
          <w:color w:val="auto"/>
        </w:rPr>
        <w:t>‑</w:t>
      </w:r>
      <w:r>
        <w:rPr>
          <w:rFonts w:ascii="Arial" w:cs="Arial" w:eastAsia="Arial" w:hAnsi="Arial"/>
          <w:sz w:val="18"/>
          <w:szCs w:val="18"/>
          <w:color w:val="auto"/>
        </w:rPr>
        <w:t>09 as of January 1, 2018 and has elected to account for forfeitures as they occur, by reversing compensation cost when the award is forfeited.</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40" w:right="69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6"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40" w:right="219" w:firstLine="324"/>
        <w:spacing w:after="0" w:line="255" w:lineRule="auto"/>
        <w:rPr>
          <w:sz w:val="20"/>
          <w:szCs w:val="20"/>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2" w:lineRule="exact"/>
        <w:rPr>
          <w:sz w:val="20"/>
          <w:szCs w:val="20"/>
          <w:color w:val="auto"/>
        </w:rPr>
      </w:pPr>
    </w:p>
    <w:p>
      <w:pPr>
        <w:ind w:left="40" w:right="479" w:firstLine="324"/>
        <w:spacing w:after="0" w:line="263" w:lineRule="auto"/>
        <w:rPr>
          <w:sz w:val="20"/>
          <w:szCs w:val="20"/>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The Company computes basic net loss per share by dividing net loss per share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Company did not have any potentially dilutive securities outstanding in any period presented in the accompanying financial statements. There were 3,009,386 and 2,588,729 shares of options that were excluded from the calculation of the loss per share for the years ended December 31, 2019 and 2018, respectively. Inclusion of potential common shares would be anti-dilutive for all periods presented and have been excluded from the calculations.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02 Lease Accounting Topic 842</w:t>
      </w:r>
      <w:r>
        <w:rPr>
          <w:rFonts w:ascii="Arial" w:cs="Arial" w:eastAsia="Arial" w:hAnsi="Arial"/>
          <w:sz w:val="16"/>
          <w:szCs w:val="16"/>
          <w:color w:val="auto"/>
        </w:rPr>
        <w:t>.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adopted the new standard in January 2019 and recorded a Right of Use asset and related liability in the amount of $1,308 on commencement of a new office lease.</w:t>
      </w:r>
    </w:p>
    <w:p>
      <w:pPr>
        <w:spacing w:after="0" w:line="207"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 xml:space="preserve">In December 2019, the FASB issued </w:t>
      </w:r>
      <w:r>
        <w:rPr>
          <w:rFonts w:ascii="Arial" w:cs="Arial" w:eastAsia="Arial" w:hAnsi="Arial"/>
          <w:sz w:val="17"/>
          <w:szCs w:val="17"/>
          <w:i w:val="1"/>
          <w:iCs w:val="1"/>
          <w:color w:val="auto"/>
        </w:rPr>
        <w:t>ASU No. 2019-12, Income Taxes (Topic 740)</w:t>
      </w:r>
      <w:r>
        <w:rPr>
          <w:rFonts w:ascii="Arial" w:cs="Arial" w:eastAsia="Arial" w:hAnsi="Arial"/>
          <w:sz w:val="17"/>
          <w:szCs w:val="17"/>
          <w:color w:val="auto"/>
        </w:rPr>
        <w:t xml:space="preserve"> which amends the existing guidance relating to the accounting for income taxes. This ASU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ASU is effective for fiscal years beginning after December 15, 2020. The Company does not expect that the adoption of this new guidance will have a material impact on the Company’s Financial Statements.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entered into the Amended and Restated Asset Contribution Agreement, pursuant to which BioXcel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agreed to contribute BioXcel’s rights, title and interest in BXCL501, BXCL701, BXCL502 and BXCL702, and all of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and liabilities associated in consideration for (i) 9,480,000 shares of our common stock, (ii) $1,000 upon completion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an initial public offering, (iii) $500 upon the later of the 12 month anniversary of an initial public offering and the first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dosing of a patient in the bridging bioavailability/ bioequivalence study for the BXCL501 program, (iv) $500 upon the later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the 12 month anniversary of an initial public offering and the first dosing of a patient in the Phase 2 proof of concept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open label monotherapy or combination trial with Keytruda for the BXCL701 program and (v) a one-time payment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$5,000 within 60 days after the achievement of $50,000 in cumulative net sales of any product or combination of products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resulting from the development and commercialization of any one of the Candidates or a product derived therefrom. With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completion of the Company’s IPO in March 2018, $1,000 was charged to Research and Development costs 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connection with (ii) above and was paid on April 5, 2018. The Company paid $500 to BioXcel in connection with (iii)</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above in April 2019. In July 2019, the Company completed the first dosing of a patient in the combination trial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BXCL701 with Keytruda, and as a result the Company paid $500 to BioXcel in connection with (iv) above in July 2019.</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The Company entered into a Separation and Shared Services Agreement with BioXcel that took effect on June 30, 2017, as amended and restated on November 7, 2017 and March 6, 2020, or the Services Agreement, pursuant to which BioXcel will allow us to continue to use the office space, equipment, services and leased employees based on the agreed upon terms and conditions for a payment of defined monthly and/or hourly fees. The office space and equipment portion of the Services Agreement ended effectively on April 30, 2018 when the Company moved to new office space to accommodate additional personnel that had been hired. Services provided by BioXcel through its subsidiaries in India and the United States will continue indefinitely, as agreed upon by the parties. These services are primarily for drug discovery and for chemical, manufacturing and controls cost. Service charges recorded under this agreement were $862 and $579 for the years ended December 31, 2019 and 2018, respectively.</w:t>
      </w:r>
    </w:p>
    <w:p>
      <w:pPr>
        <w:spacing w:after="0" w:line="181"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Under the Services Agreement, the Company has an option, exercisable until December 31, 2020,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under the collaborative services agreement, however, as of the date hereof, we have not reached a definitive agreement.</w:t>
      </w:r>
    </w:p>
    <w:p>
      <w:pPr>
        <w:spacing w:after="0" w:line="172"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In connection with the Services Agreement, BioXcel agreed to provide the Company a line of credit, which was capped at $1,000, or the Total Funding Amount, pursuant to the terms of a grid note,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thereof, in each case calculated based on a 365 day year and actual days elapsed.</w:t>
      </w:r>
    </w:p>
    <w:p>
      <w:pPr>
        <w:spacing w:after="0" w:line="192"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Property and Equipment, net</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r>
      <w:tr>
        <w:trPr>
          <w:trHeight w:val="142"/>
        </w:trPr>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Furniture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9"/>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expense was $156 and $17 for the years ended December 31, 2019 and 2018, respectively.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Master Service Agreements</w:t>
      </w:r>
    </w:p>
    <w:p>
      <w:pPr>
        <w:spacing w:after="0" w:line="229" w:lineRule="exact"/>
        <w:rPr>
          <w:sz w:val="20"/>
          <w:szCs w:val="20"/>
          <w:color w:val="auto"/>
        </w:rPr>
      </w:pPr>
    </w:p>
    <w:p>
      <w:pPr>
        <w:ind w:left="40" w:right="319" w:firstLine="324"/>
        <w:spacing w:after="0" w:line="311" w:lineRule="auto"/>
        <w:rPr>
          <w:sz w:val="20"/>
          <w:szCs w:val="20"/>
          <w:color w:val="auto"/>
        </w:rPr>
      </w:pPr>
      <w:r>
        <w:rPr>
          <w:rFonts w:ascii="Arial" w:cs="Arial" w:eastAsia="Arial" w:hAnsi="Arial"/>
          <w:sz w:val="16"/>
          <w:szCs w:val="16"/>
          <w:color w:val="auto"/>
        </w:rPr>
        <w:t>The Company has entered into a Master Services Agreement (“MSA”) with a Contract Research Organization, or CRO, dated November 1, 2018 for strategic planning, expert consultation, clinical trial services, statistical programming and analysis, data processing, data management, regulatory, clerical, project management, medical device services, and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other research and development services as set forth in specific work orders. This agreement is for a period of five (5) years.</w:t>
      </w:r>
    </w:p>
    <w:p>
      <w:pPr>
        <w:spacing w:after="0" w:line="170" w:lineRule="exact"/>
        <w:rPr>
          <w:sz w:val="20"/>
          <w:szCs w:val="20"/>
          <w:color w:val="auto"/>
        </w:rPr>
      </w:pPr>
    </w:p>
    <w:p>
      <w:pPr>
        <w:ind w:left="40" w:right="299"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187"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The Company entered into a series of cancellable work orders to support its clinical trial activities, related to the first of the Company’s BXCL701 clinical trials. This clinical trial is expected to cost approximately $10,000 and is anticipated to take place over the next two years. To date, the Company has incurred $1,809 in costs for the work surrounding this trial.</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In the first quarter of 2019 the Company entered into a second series of cancellable work orders to support a second clinical trial related the Company’s BXCL 701 product candidate. This clinical trial is expected to aggregate approximately $8,000 and it is anticipated to take place over the next three years. Approximately one half of this cost is to be reimbursed by a partner. The Company has incurred $1,353 of costs in connection with this trial and has also recorded a related receivable of $82.</w:t>
      </w:r>
    </w:p>
    <w:p>
      <w:pPr>
        <w:spacing w:after="0" w:line="188" w:lineRule="exact"/>
        <w:rPr>
          <w:sz w:val="20"/>
          <w:szCs w:val="20"/>
          <w:color w:val="auto"/>
        </w:rPr>
      </w:pPr>
    </w:p>
    <w:p>
      <w:pPr>
        <w:ind w:left="40" w:right="479" w:firstLine="324"/>
        <w:spacing w:after="0" w:line="311" w:lineRule="auto"/>
        <w:rPr>
          <w:sz w:val="20"/>
          <w:szCs w:val="20"/>
          <w:color w:val="auto"/>
        </w:rPr>
      </w:pPr>
      <w:r>
        <w:rPr>
          <w:rFonts w:ascii="Arial" w:cs="Arial" w:eastAsia="Arial" w:hAnsi="Arial"/>
          <w:sz w:val="16"/>
          <w:szCs w:val="16"/>
          <w:color w:val="auto"/>
        </w:rPr>
        <w:t>In addition, an MSA was signed with a second CRO during the first quarter of 2019 to include strategic planning, expert consultation, regulatory activities, data interpretation, New Drug Application services, and research and development services, including clinical, data management, statistical and medical writing activities.</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2018</w:t>
            </w:r>
          </w:p>
        </w:tc>
      </w:tr>
      <w:tr>
        <w:trPr>
          <w:trHeight w:val="142"/>
        </w:trPr>
        <w:tc>
          <w:tcPr>
            <w:tcW w:w="5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salaries, benefits and travel related costs</w:t>
            </w: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Legal expenses</w:t>
            </w: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1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were issued and outstanding as of December 31, 2019 and 2018.</w:t>
      </w:r>
    </w:p>
    <w:p>
      <w:pPr>
        <w:spacing w:after="0" w:line="170" w:lineRule="exact"/>
        <w:rPr>
          <w:sz w:val="20"/>
          <w:szCs w:val="20"/>
          <w:color w:val="auto"/>
        </w:rPr>
      </w:pPr>
    </w:p>
    <w:p>
      <w:pPr>
        <w:ind w:left="40" w:right="339" w:firstLine="324"/>
        <w:spacing w:after="0" w:line="263"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18,087,382 and 15,663,221 shares of common stock outstanding as of December 31, 2019 and December 31, 2018, respectively.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left="40" w:right="219" w:firstLine="324"/>
        <w:spacing w:after="0" w:line="220"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expenses of $1,698.</w:t>
      </w:r>
    </w:p>
    <w:p>
      <w:pPr>
        <w:spacing w:after="0" w:line="203"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color w:val="auto"/>
        </w:rPr>
        <w:t>On May 20, 2019, the Company entered into an Open Market Sale Agreement (the “Sale Agreement”) with Jefferies LLC (“Jefferies”) pursuant to which the Company may offer and sell shares of its common stock, par value $0.001 per share (the “Common Stock”), having an initial offering price no greater than $20.0 million (the “Shares”), from time to time, through an “at the market offering” program under which Jefferies will act as sales agent. The Company sold 66,193 shares under the Sale Agreement for gross proceeds of $737, issuance costs of $350 or net proceeds of $387. The Sale Agreement was terminated by the Company on September 22, 2019</w:t>
      </w:r>
    </w:p>
    <w:p>
      <w:pPr>
        <w:spacing w:after="0" w:line="178"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On September 26, 2019, the Company entered into an underwriting agreement with several underwriters in connection with the issuance and sale by the Company in a public offering of 2,303,030 shares of the Company’s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w:t>
      </w:r>
    </w:p>
    <w:p>
      <w:pPr>
        <w:spacing w:after="0" w:line="161"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The Company received gross and net proceeds of approximately $19,000 and $17,423 respectively from the September 2019 Offering. The Company intends to use the net proceeds for general corporate purposes, which may include development and commercialization of their product candidates, research and development, general and administrative expenses, license or technology acquisitions, and working capital and capital expenditures.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13 - Subsequent Event for a description of the February 2020 offering.</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Stock-Based Compensation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The Company’s 2017 Stock Incentive Plan, or the 2017 Stock Plan, became effective in August 2017 and will expire in August 2027. Under the 2017 Stock Plan, the Company may grant incentive stock options, non-statutory stock options, restricted stock awards and other stock-based awards.</w:t>
      </w:r>
    </w:p>
    <w:p>
      <w:pPr>
        <w:spacing w:after="0" w:line="184" w:lineRule="exact"/>
        <w:rPr>
          <w:sz w:val="20"/>
          <w:szCs w:val="20"/>
          <w:color w:val="auto"/>
        </w:rPr>
      </w:pPr>
    </w:p>
    <w:p>
      <w:pPr>
        <w:jc w:val="both"/>
        <w:ind w:left="40" w:right="99" w:firstLine="324"/>
        <w:spacing w:after="0" w:line="263" w:lineRule="auto"/>
        <w:rPr>
          <w:sz w:val="20"/>
          <w:szCs w:val="20"/>
          <w:color w:val="auto"/>
        </w:rPr>
      </w:pPr>
      <w:r>
        <w:rPr>
          <w:rFonts w:ascii="Arial" w:cs="Arial" w:eastAsia="Arial" w:hAnsi="Arial"/>
          <w:sz w:val="18"/>
          <w:szCs w:val="18"/>
          <w:color w:val="auto"/>
        </w:rPr>
        <w:t>As of December 31, 2019, there were 3,389,956 shares of the Company’s common stock authorized for issuance under the 2017 Stock Plan. Options granted under the 2017 Stock Plan have a term of ten years with the vesting term determined by the board of directors, which is generally four years.</w:t>
      </w:r>
    </w:p>
    <w:p>
      <w:pPr>
        <w:spacing w:after="0" w:line="184" w:lineRule="exact"/>
        <w:rPr>
          <w:sz w:val="20"/>
          <w:szCs w:val="20"/>
          <w:color w:val="auto"/>
        </w:rPr>
      </w:pPr>
    </w:p>
    <w:p>
      <w:pPr>
        <w:ind w:left="40" w:right="179" w:firstLine="324"/>
        <w:spacing w:after="0" w:line="220" w:lineRule="exact"/>
        <w:rPr>
          <w:sz w:val="20"/>
          <w:szCs w:val="20"/>
          <w:color w:val="auto"/>
        </w:rPr>
      </w:pPr>
      <w:r>
        <w:rPr>
          <w:rFonts w:ascii="Arial" w:cs="Arial" w:eastAsia="Arial" w:hAnsi="Arial"/>
          <w:sz w:val="18"/>
          <w:szCs w:val="18"/>
          <w:color w:val="auto"/>
        </w:rPr>
        <w:t>The fair value of options granted during the year ended December 31, 2019 was estimated using the Black-Scholes option-pricing model with the following assumptions. Stock</w:t>
      </w:r>
      <w:r>
        <w:rPr>
          <w:rFonts w:ascii="MS PGothic" w:cs="MS PGothic" w:eastAsia="MS PGothic" w:hAnsi="MS PGothic"/>
          <w:sz w:val="18"/>
          <w:szCs w:val="18"/>
          <w:color w:val="auto"/>
        </w:rPr>
        <w:t>‑</w:t>
      </w:r>
      <w:r>
        <w:rPr>
          <w:rFonts w:ascii="Arial" w:cs="Arial" w:eastAsia="Arial" w:hAnsi="Arial"/>
          <w:sz w:val="18"/>
          <w:szCs w:val="18"/>
          <w:color w:val="auto"/>
        </w:rPr>
        <w:t>based awards to non</w:t>
      </w:r>
      <w:r>
        <w:rPr>
          <w:rFonts w:ascii="MS PGothic" w:cs="MS PGothic" w:eastAsia="MS PGothic" w:hAnsi="MS PGothic"/>
          <w:sz w:val="18"/>
          <w:szCs w:val="18"/>
          <w:color w:val="auto"/>
        </w:rPr>
        <w:t>‑</w:t>
      </w:r>
      <w:r>
        <w:rPr>
          <w:rFonts w:ascii="Arial" w:cs="Arial" w:eastAsia="Arial" w:hAnsi="Arial"/>
          <w:sz w:val="18"/>
          <w:szCs w:val="18"/>
          <w:color w:val="auto"/>
        </w:rPr>
        <w:t>employees are re</w:t>
      </w:r>
      <w:r>
        <w:rPr>
          <w:rFonts w:ascii="MS PGothic" w:cs="MS PGothic" w:eastAsia="MS PGothic" w:hAnsi="MS PGothic"/>
          <w:sz w:val="18"/>
          <w:szCs w:val="18"/>
          <w:color w:val="auto"/>
        </w:rPr>
        <w:t>‑</w:t>
      </w:r>
      <w:r>
        <w:rPr>
          <w:rFonts w:ascii="Arial" w:cs="Arial" w:eastAsia="Arial" w:hAnsi="Arial"/>
          <w:sz w:val="18"/>
          <w:szCs w:val="18"/>
          <w:color w:val="auto"/>
        </w:rPr>
        <w:t>measured at fair value each financial reporting date until performance is complete.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 weighted average fair value of options granted in 2019 and 2018 was $9.68 and $7.64 per option, respectively and were determined using the following assumptions:</w:t>
      </w:r>
    </w:p>
    <w:p>
      <w:pPr>
        <w:spacing w:after="0" w:line="31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92"/>
              </w:rPr>
              <w:t>For the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4.14</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w w:val="92"/>
              </w:rPr>
              <w:t>78.05 % -  79.48 %</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1.51 %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2.73</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219" w:firstLine="324"/>
        <w:spacing w:after="0" w:line="289" w:lineRule="auto"/>
        <w:rPr>
          <w:sz w:val="20"/>
          <w:szCs w:val="20"/>
          <w:color w:val="auto"/>
        </w:rPr>
      </w:pPr>
      <w:r>
        <w:rPr>
          <w:rFonts w:ascii="Arial" w:cs="Arial" w:eastAsia="Arial" w:hAnsi="Arial"/>
          <w:sz w:val="16"/>
          <w:szCs w:val="16"/>
          <w:color w:val="auto"/>
        </w:rPr>
        <w:t>Since the Company completed its IPO within the last year, it does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66"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during the period the Plan was in effect (in thousands, except share and per share data):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4"/>
                <w:szCs w:val="14"/>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500" w:type="dxa"/>
            <w:vAlign w:val="bottom"/>
            <w:vMerge w:val="restart"/>
          </w:tcPr>
          <w:p>
            <w:pPr>
              <w:spacing w:after="0"/>
              <w:rPr>
                <w:sz w:val="20"/>
                <w:szCs w:val="20"/>
                <w:color w:val="auto"/>
              </w:rPr>
            </w:pPr>
            <w:r>
              <w:rPr>
                <w:rFonts w:ascii="Arial" w:cs="Arial" w:eastAsia="Arial" w:hAnsi="Arial"/>
                <w:sz w:val="18"/>
                <w:szCs w:val="18"/>
                <w:color w:val="auto"/>
              </w:rPr>
              <w:t>Outstanding as of January 1, 2019</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 per Share</w:t>
            </w:r>
          </w:p>
        </w:tc>
        <w:tc>
          <w:tcPr>
            <w:tcW w:w="2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3500" w:type="dxa"/>
            <w:vAlign w:val="bottom"/>
            <w:vMerge w:val="continue"/>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2,744,153</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7,411</w:t>
            </w:r>
          </w:p>
        </w:tc>
        <w:tc>
          <w:tcPr>
            <w:tcW w:w="2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3,058,349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34,725</w:t>
            </w:r>
          </w:p>
        </w:tc>
        <w:tc>
          <w:tcPr>
            <w:tcW w:w="2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December 31, 2019</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2,095,252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27,104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331,607 shares available for grant as of December 31, 2019.</w:t>
      </w:r>
    </w:p>
    <w:p>
      <w:pPr>
        <w:spacing w:after="0" w:line="225"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The Company recognized stock-based compensation expense under the 2017 Stock Plan of $3,070 and $2,872 for the years ended December 31, 2019 and 2018, respectively.</w:t>
      </w:r>
    </w:p>
    <w:p>
      <w:pPr>
        <w:spacing w:after="0" w:line="170" w:lineRule="exact"/>
        <w:rPr>
          <w:sz w:val="20"/>
          <w:szCs w:val="20"/>
          <w:color w:val="auto"/>
        </w:rPr>
      </w:pPr>
    </w:p>
    <w:p>
      <w:pPr>
        <w:jc w:val="both"/>
        <w:ind w:left="40" w:right="37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December 31, 2019 was $2,772 and will be recognized over the remaining vesting periods of the underlying awards. The weighted-average period over which such compensation is expected to be recognized is 1.3 years.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BioXcel Charges</w:t>
      </w:r>
    </w:p>
    <w:p>
      <w:pPr>
        <w:spacing w:after="0" w:line="229"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The BioXcel stock option awards are valued at fair value on the date of grant and that fair value is recognized over the requisite service period. The estimated fair value of these BioXcel stock option awards was determined using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the Black Scholes option pricing model on the date of grant. Significant judgment and estimates were used to estimate the fair value of these awards, as they are not publicly traded.</w:t>
      </w:r>
    </w:p>
    <w:p>
      <w:pPr>
        <w:spacing w:after="0" w:line="170" w:lineRule="exact"/>
        <w:rPr>
          <w:sz w:val="20"/>
          <w:szCs w:val="20"/>
          <w:color w:val="auto"/>
        </w:rPr>
      </w:pPr>
    </w:p>
    <w:p>
      <w:pPr>
        <w:ind w:left="40" w:right="339" w:firstLine="324"/>
        <w:spacing w:after="0" w:line="263" w:lineRule="auto"/>
        <w:rPr>
          <w:sz w:val="20"/>
          <w:szCs w:val="20"/>
          <w:color w:val="auto"/>
        </w:rPr>
      </w:pPr>
      <w:r>
        <w:rPr>
          <w:rFonts w:ascii="Arial" w:cs="Arial" w:eastAsia="Arial" w:hAnsi="Arial"/>
          <w:sz w:val="18"/>
          <w:szCs w:val="18"/>
          <w:color w:val="auto"/>
        </w:rPr>
        <w:t>Stock based compensation expense, net of forfeitures, recognized by the Company in its statements of operations related to BioXcel equity awards totaled approximately $72 and $210 for the years ended December 31, 2019 and 2018, respectively.</w:t>
      </w:r>
    </w:p>
    <w:p>
      <w:pPr>
        <w:spacing w:after="0" w:line="184" w:lineRule="exact"/>
        <w:rPr>
          <w:sz w:val="20"/>
          <w:szCs w:val="20"/>
          <w:color w:val="auto"/>
        </w:rPr>
      </w:pPr>
    </w:p>
    <w:p>
      <w:pPr>
        <w:ind w:left="40" w:right="359" w:firstLine="324"/>
        <w:spacing w:after="0" w:line="301" w:lineRule="auto"/>
        <w:rPr>
          <w:sz w:val="20"/>
          <w:szCs w:val="20"/>
          <w:color w:val="auto"/>
        </w:rPr>
      </w:pPr>
      <w:r>
        <w:rPr>
          <w:rFonts w:ascii="Arial" w:cs="Arial" w:eastAsia="Arial" w:hAnsi="Arial"/>
          <w:sz w:val="16"/>
          <w:szCs w:val="16"/>
          <w:color w:val="auto"/>
        </w:rPr>
        <w:t>Total stock based compensation charges were approximately $3,142 and $3,082 for the years ended December 31, 2019 and 2018, respectively. The Company charged $1,791 and 1,351 to research and development and general and administrative expense for the year ended December 31, 2019, respectively. The Company charged $1,843 and 1,239 to research and development and general and administrative expense for the year ended December 31, 2018, respectively.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w:t>
      </w:r>
    </w:p>
    <w:p>
      <w:pPr>
        <w:spacing w:after="0" w:line="187" w:lineRule="exact"/>
        <w:rPr>
          <w:sz w:val="20"/>
          <w:szCs w:val="20"/>
          <w:color w:val="auto"/>
        </w:rPr>
      </w:pPr>
    </w:p>
    <w:p>
      <w:pPr>
        <w:jc w:val="both"/>
        <w:ind w:left="40" w:right="219" w:firstLine="324"/>
        <w:spacing w:after="0" w:line="259" w:lineRule="auto"/>
        <w:rPr>
          <w:sz w:val="20"/>
          <w:szCs w:val="20"/>
          <w:color w:val="auto"/>
        </w:rPr>
      </w:pPr>
      <w:r>
        <w:rPr>
          <w:rFonts w:ascii="Arial" w:cs="Arial" w:eastAsia="Arial" w:hAnsi="Arial"/>
          <w:sz w:val="18"/>
          <w:szCs w:val="18"/>
          <w:color w:val="auto"/>
        </w:rPr>
        <w:t>Pursuant to incorporation of the Company as a C corporation on March 29, 2017, BioXcel became the sole owner of the Company, and contributed certain assets to the Company in a tax free transaction. From the date of incorporation, the Company is a standalone C corporation subject to corporate income tax and the deferred taxes of the Company have been calculated accordingly.</w:t>
      </w:r>
    </w:p>
    <w:p>
      <w:pPr>
        <w:spacing w:after="0" w:line="187"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7"/>
          <w:szCs w:val="17"/>
          <w:color w:val="auto"/>
        </w:rPr>
        <w:t>The significant components of the Company’s net deferred tax assets at December 31, 2019 and 2018 are shown below. In determining the realizability of the Company’s net deferred tax asset,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it will not be realized.</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Federal net operating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State net operating losses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Federal and state tax credits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and development costs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0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Total gross deferred tax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(15,251)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(6,261)</w:t>
            </w:r>
          </w:p>
        </w:tc>
      </w:tr>
      <w:tr>
        <w:trPr>
          <w:trHeight w:val="216"/>
        </w:trPr>
        <w:tc>
          <w:tcPr>
            <w:tcW w:w="5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Net deferred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between the Company’s effective tax rate and the federal statutory rate for the years ended</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2019 and 2018 are as follows: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4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3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820" w:type="dxa"/>
            <w:vAlign w:val="bottom"/>
            <w:gridSpan w:val="3"/>
          </w:tcPr>
          <w:p>
            <w:pPr>
              <w:jc w:val="right"/>
              <w:ind w:right="35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credits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State Taxes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8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(27.3)</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864"/>
        </w:trPr>
        <w:tc>
          <w:tcPr>
            <w:tcW w:w="3260" w:type="dxa"/>
            <w:vAlign w:val="bottom"/>
          </w:tcPr>
          <w:p>
            <w:pPr>
              <w:spacing w:after="0"/>
              <w:rPr>
                <w:sz w:val="24"/>
                <w:szCs w:val="24"/>
                <w:color w:val="auto"/>
              </w:rPr>
            </w:pPr>
          </w:p>
        </w:tc>
        <w:tc>
          <w:tcPr>
            <w:tcW w:w="4820" w:type="dxa"/>
            <w:vAlign w:val="bottom"/>
            <w:gridSpan w:val="3"/>
          </w:tcPr>
          <w:p>
            <w:pPr>
              <w:jc w:val="right"/>
              <w:ind w:right="3350"/>
              <w:spacing w:after="0"/>
              <w:rPr>
                <w:sz w:val="20"/>
                <w:szCs w:val="20"/>
                <w:color w:val="auto"/>
              </w:rPr>
            </w:pPr>
            <w:r>
              <w:rPr>
                <w:rFonts w:ascii="Arial" w:cs="Arial" w:eastAsia="Arial" w:hAnsi="Arial"/>
                <w:sz w:val="18"/>
                <w:szCs w:val="18"/>
                <w:color w:val="auto"/>
              </w:rPr>
              <w:t>F-14</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At December 31, 2019, the Company had approximately $16,406 of gross federal and state net operating loss carry-forwards. If not utilized, the federal and state net operating loss carry-forwards will begin to expire in 2037. The federal net operating loss incurred after December 31, 2017 will be carried forward indefinitely. The utilization of such net operating loss carry-forwards and realization of tax benefits in future years depends predominantly upon having taxable income. The Company also has approximately $1,254 of federal research and development credits which will begin to expire in 2037 if not utilized.</w:t>
      </w:r>
    </w:p>
    <w:p>
      <w:pPr>
        <w:spacing w:after="0" w:line="192" w:lineRule="exact"/>
        <w:rPr>
          <w:sz w:val="20"/>
          <w:szCs w:val="20"/>
          <w:color w:val="auto"/>
        </w:rPr>
      </w:pPr>
    </w:p>
    <w:p>
      <w:pPr>
        <w:ind w:left="40" w:right="139" w:firstLine="324"/>
        <w:spacing w:after="0" w:line="254" w:lineRule="auto"/>
        <w:rPr>
          <w:sz w:val="20"/>
          <w:szCs w:val="20"/>
          <w:color w:val="auto"/>
        </w:rPr>
      </w:pPr>
      <w:r>
        <w:rPr>
          <w:rFonts w:ascii="Arial" w:cs="Arial" w:eastAsia="Arial" w:hAnsi="Arial"/>
          <w:sz w:val="18"/>
          <w:szCs w:val="18"/>
          <w:color w:val="auto"/>
        </w:rPr>
        <w:t>Utilization of the net operating loss, or NOL, and research tax credit carryforwards may be subject to a substantial annual limitation due to ownership change limitations that has occurred or that could occur in the future, as required by Section 382 of the Code, as well as similar state and foreign provisions. These ownership changes may limit the amount of NOL and research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To date, the Company’s NOLs have not been subject to Section 382 limitation.</w:t>
      </w:r>
    </w:p>
    <w:p>
      <w:pPr>
        <w:spacing w:after="0" w:line="192"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Entities are also required to evaluate, measure, recognize and disclose any uncertain income tax provisions taken on their income tax returns. The Company has analyzed its tax positions and has concluded that as of December 31, 2019 there were no uncertain positions. Interest and penalties, if any, as they relate to income taxes assessed, are included in the income tax provision. There was no income tax related interest and penalties included in the income tax provision. The Company's U.S. federal and state net operating losses have occurred since its inception in 2017 and as such, tax years subject to potential tax examination could apply from that date because the utilization of net operating losses from prior years opens the relevant year to audit by the IRS and/or state taxing authorities.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The Company entered into an agreement to lease approximately 11,040 square feet of space on the 12</w:t>
      </w:r>
      <w:r>
        <w:rPr>
          <w:rFonts w:ascii="Arial" w:cs="Arial" w:eastAsia="Arial" w:hAnsi="Arial"/>
          <w:sz w:val="8"/>
          <w:szCs w:val="8"/>
          <w:color w:val="auto"/>
        </w:rPr>
        <w:t>th</w:t>
      </w:r>
      <w:r>
        <w:rPr>
          <w:rFonts w:ascii="Arial" w:cs="Arial" w:eastAsia="Arial" w:hAnsi="Arial"/>
          <w:sz w:val="18"/>
          <w:szCs w:val="18"/>
          <w:color w:val="auto"/>
        </w:rPr>
        <w:t xml:space="preserve"> floor of the building located at 555 Long Wharf Drive, New Haven, Connecticut that commenced February 22, 2019, or the Commencement Date. The premises were occupied in March 2019.</w:t>
      </w:r>
    </w:p>
    <w:p>
      <w:pPr>
        <w:spacing w:after="0" w:line="143"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The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 calendar month immediately following the seventh anniversary of the Commencement Date.</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improvement costs were approximately $642 and are being amortized over the life of the lease.</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Maturities of the operating lease liability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r>
      <w:tr>
        <w:trPr>
          <w:trHeight w:val="209"/>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10"/>
        </w:trPr>
        <w:tc>
          <w:tcPr>
            <w:tcW w:w="6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16"/>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0"/>
        </w:trPr>
        <w:tc>
          <w:tcPr>
            <w:tcW w:w="6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lease liability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16"/>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17"/>
        </w:trPr>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bl>
    <w:p>
      <w:pPr>
        <w:spacing w:after="0" w:line="202"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$164 as of December 31, 2019 is included in other current liabilities on the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firstLine="324"/>
        <w:spacing w:after="0" w:line="277" w:lineRule="auto"/>
        <w:rPr>
          <w:sz w:val="20"/>
          <w:szCs w:val="20"/>
          <w:color w:val="auto"/>
        </w:rPr>
      </w:pPr>
      <w:r>
        <w:rPr>
          <w:rFonts w:ascii="Arial" w:cs="Arial" w:eastAsia="Arial" w:hAnsi="Arial"/>
          <w:sz w:val="18"/>
          <w:szCs w:val="18"/>
          <w:color w:val="auto"/>
        </w:rPr>
        <w:t>The Company recorded lease expense of $155 related to its operating lease right-of-use asset for the year ended December 31, 2019.</w:t>
      </w:r>
    </w:p>
    <w:p>
      <w:pPr>
        <w:spacing w:after="0" w:line="170"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Subsequent Event</w:t>
      </w:r>
    </w:p>
    <w:p>
      <w:pPr>
        <w:spacing w:after="0" w:line="229"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On February 19, 2020, the Company entered into an underwriting agreement with several underwriters pursuant to its shelf registration statement on Form S-3 in connection with the issuance and sale by the Company in a public offering of 2,000,000 shares of the Company’s common stock at a public offering price of $32.00 per share. In addition, BTI has granted the underwriters a 30-day option to purchase up to an additional 300,000 shares of common stock from BTI at the public offering price, less underwriting discounts and commissions. Gross proceeds to BTI from the offering were approximately $64,000, before deducting underwriting discounts and commissions and offering expenses. To the extent the underwriters exercise their option to purchase additional shares of common stock, the Company intends to use the net proceeds from the sale of additional shares to repurchase shares of common stock (which shares will then be canceled) from BioXcel Corporation at a price equal to the price paid by the underwriters for such shares in the public offering, less underwriting discounts and commissions.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February 21, 2020 the underwriters exercised their option to purchase an additional 300,000 shares of BTI</w:t>
      </w:r>
    </w:p>
    <w:p>
      <w:pPr>
        <w:spacing w:after="0" w:line="35"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stock. Subsequent to the underwriters exercise BTI purchased 300,000 shares from BioXcel Corporation at a price equal to the price paid by the underwriters for such shares in the public offering less underwriting discounts and commissions at a per share price of $30.08.</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closed on February 24,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As of December 31, 2019 BioXcel Therapeutics, Inc. had one class of securities registered under Section 12 of the Securities Exchange Act of 1934, as amended (the “Exchange Act”). References herein to “we,” “us,” “our” and the “Company” refer to BioXcel Therapeutics, Inc. and not to any of its subsidiaries.</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following description of our common stock and certain provisions of our amended and restated certificate of incorporation (our “charter”) and amended and restated bylaws (“bylaws”) are summaries and are qualified in their entirety by reference to the full text of our amended and restated certificate of incorporation and our amended and restated bylaws, each of which have been publicly filed with the Securities and Exchange Commission (the “SEC”). We encourage you to read our amended and restated certificate of incorporation and our amended and restated bylaws and the applicable provisions of the Delaware General Corporation Law (the “DGCL”)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authorized to issue up to a total of 50,000,000 shares of common stock, par value $0.001 per share. Holders of our common stock are entitled to one vote for each share held on all matters submitted to a vote of our stockholders. Holders of our common stock have no cumulative voting rights. Further, holders of our common stock have no preemptive or conversion rights or other subscription rights.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Upon our liquidation, dissolution or winding- up, holders of our common stock are entitled to share in all assets remaining after payment of all liabilities and the liquidation preferences of any of our outstanding shares of preferred stock. Subject to preferences that may be applicable to any outstanding shares of preferred stock, holders of our common stock are entitled to receive dividends, if any, as may be declared from time to time by our board of directors out of our assets which are legally available. Such dividends, if any, are payable in cash, in property or in shares of capital stock.</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holders of one-third of the voting power of our issued and outstanding capital stock, represented in person or by proxy, are necessary to constitute a quorum for the transaction of business at any meeting. If a quorum is present, an action by stockholders entitled to vote on a matter is approved if the number of votes cast in favor of the action exceeds the number of votes cast in opposition to the action unless a different vote is required by law, the charter, the by-laws or, with respect to a class or series of preferred stock, the terms of any resolution or resolutions adopted by the board of directors. Pursuant to our charter, the election of directors requires a plurality of the votes cast by the stockholders present in person or represented by proxy at the meeting and entitled to vote thereon.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 shares of preferred stock in one or more series and to fix the designations, powers, preferences, privileges, and relative participating, optional, or special rights as well as the qualifications, limitations, or restrictions of the preferred stock, including dividend rights, conversion rights, voting rights, terms of redemption, and liquidation preferences, any or all of which may be greater than the rights of the common stock. Our board of directors, without stockholder approval, can issue convertible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and may adversely affect the voting and other rights of the holders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our Charter and Bylaws and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publicly traded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 subject to certain exceptions. The statute could have the effect of delaying, deferring or preventing a change in control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charter provides that our Board is divided into three classes, with the classes as nearly equal in number as possible and each class serving three-year staggered terms. Directors may only be removed from our board of directors for cause and only by the affirmative vote of holders of a majority of the voting power of all then-outstanding shares of capital stock of the Company entitled to vote generally in the election of directors, voting together as a single class. These provisions may have the effect of deferring, delaying or discouraging hostile takeovers, or changes in control of us or our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charter and bylaws authorize only our board of directors to fill vacant directorships. In addition, the number of directors constituting our board of directors may be set only by resolution of the majority of the incumbent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Our charter and bylaws provide that our stockholders may not take action by written consent. Our charter and bylaws further provide that special meetings of our stockholders may be called by a majority of the board of directors, the Chief Executive Officer, or the Chairman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must be delivered to the secretary at our principal executive offices not later than the close of business on the 90th day nor earlier than the close of business on the 120th day prior to the first anniversary of the preceding year's annual meeting; provided, however, that in the event the date of the annual meeting is more than 30 days before or more than 60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a public announcement of the date of such meeting is first made by us. These provisions may preclude our stockholders from bringing matters before our annual meeting of stockholders or from making nominations for directors at our annual meeting of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and may be utilized for a variety of corporate purposes, including future public offerings to raise additional capital, corporate acquisitions and employee benefit plans. The existence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8" w:name="page119"/>
    <w:bookmarkEnd w:id="118"/>
    <w:p>
      <w:pPr>
        <w:ind w:right="80"/>
        <w:spacing w:after="0" w:line="277" w:lineRule="auto"/>
        <w:rPr>
          <w:sz w:val="20"/>
          <w:szCs w:val="20"/>
          <w:color w:val="auto"/>
        </w:rPr>
      </w:pPr>
      <w:r>
        <w:rPr>
          <w:rFonts w:ascii="Arial" w:cs="Arial" w:eastAsia="Arial" w:hAnsi="Arial"/>
          <w:sz w:val="18"/>
          <w:szCs w:val="18"/>
          <w:color w:val="auto"/>
        </w:rPr>
        <w:t>but unissued and unreserved common stock and preferred stock could render more difficult or discourage an attempt to obtain control of us by means of a proxy contest, tender offer, merger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Indemnification of Officers and Directors and Insurance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and our charter includes such an exculpation provision. Our charter and bylaws include provisions that indemnify, to the fullest extent allowable under the DGCL, the personal liability of directors or officers for monetary damages for actions taken as a director or officer of us, or for serving at our request as a director or officer or another position at another corporation or enterprise, as the case may be. Our charter and bylaws also provide that we must indemnify and advance reasonable expenses to our directors and officers, subject to our receipt of an undertaking from the indemnified party as may be required under the DGCL. Our bylaws expressly authorize us to carry directors' and officers' insurance to protect us, our directors, officers and certain employees for some liabilities. The limitation of liability and indemnification provisions in our charter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do not limit or eliminate our rights, or those of any stockholder, to seek non-monetary relief such as injunction or rescission in the event of a breach of a director's duty of care. These provisions will not alter the liability of directors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9" w:name="page120"/>
    <w:bookmarkEnd w:id="119"/>
    <w:p>
      <w:pPr>
        <w:ind w:left="89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jc w:val="center"/>
        <w:ind w:left="1000" w:right="480"/>
        <w:spacing w:after="0" w:line="277" w:lineRule="auto"/>
        <w:rPr>
          <w:sz w:val="20"/>
          <w:szCs w:val="20"/>
          <w:color w:val="auto"/>
        </w:rPr>
      </w:pPr>
      <w:r>
        <w:rPr>
          <w:rFonts w:ascii="Arial" w:cs="Arial" w:eastAsia="Arial" w:hAnsi="Arial"/>
          <w:sz w:val="18"/>
          <w:szCs w:val="18"/>
          <w:color w:val="auto"/>
        </w:rPr>
        <w:t>Certain information marked as [***] has been excluded from this exhibit because it is both (i) not material and (ii) would be competitively harmful if publicly disclosed.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&amp; RESTATED SEPARATION AND SHARED SERVICES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Second Amended &amp; Restated Shared Services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March 6, 2020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BioXcel Corporation, a Delaware corporation located at 780 East Main Street, Branford, CT 06405 (“</w:t>
      </w:r>
      <w:r>
        <w:rPr>
          <w:rFonts w:ascii="Arial" w:cs="Arial" w:eastAsia="Arial" w:hAnsi="Arial"/>
          <w:sz w:val="17"/>
          <w:szCs w:val="17"/>
          <w:b w:val="1"/>
          <w:bCs w:val="1"/>
          <w:i w:val="1"/>
          <w:iCs w:val="1"/>
          <w:color w:val="auto"/>
        </w:rPr>
        <w:t>BioXcel</w:t>
      </w:r>
      <w:r>
        <w:rPr>
          <w:rFonts w:ascii="Arial" w:cs="Arial" w:eastAsia="Arial" w:hAnsi="Arial"/>
          <w:sz w:val="17"/>
          <w:szCs w:val="17"/>
          <w:color w:val="auto"/>
        </w:rPr>
        <w:t>”), and BioXcel Therapeutics, Inc., a Delaware corporation located at 780 East Main Street, Branford, CT 06405 (“</w:t>
      </w:r>
      <w:r>
        <w:rPr>
          <w:rFonts w:ascii="Arial" w:cs="Arial" w:eastAsia="Arial" w:hAnsi="Arial"/>
          <w:sz w:val="17"/>
          <w:szCs w:val="17"/>
          <w:b w:val="1"/>
          <w:bCs w:val="1"/>
          <w:i w:val="1"/>
          <w:iCs w:val="1"/>
          <w:color w:val="auto"/>
        </w:rPr>
        <w:t>BTI</w:t>
      </w:r>
      <w:r>
        <w:rPr>
          <w:rFonts w:ascii="Arial" w:cs="Arial" w:eastAsia="Arial" w:hAnsi="Arial"/>
          <w:sz w:val="17"/>
          <w:szCs w:val="17"/>
          <w:color w:val="auto"/>
        </w:rPr>
        <w:t>”) in order to amend and restate the obligations of each of BioXcel and BTI under that certain Separation and Shared Services Agreement entered into by BioXcel and BTI as of June 30, 2017, as amended and restated on November 7, 2017 (the “</w:t>
      </w:r>
      <w:r>
        <w:rPr>
          <w:rFonts w:ascii="Arial" w:cs="Arial" w:eastAsia="Arial" w:hAnsi="Arial"/>
          <w:sz w:val="17"/>
          <w:szCs w:val="17"/>
          <w:b w:val="1"/>
          <w:bCs w:val="1"/>
          <w:i w:val="1"/>
          <w:iCs w:val="1"/>
          <w:color w:val="auto"/>
        </w:rPr>
        <w:t>SSA</w:t>
      </w:r>
      <w:r>
        <w:rPr>
          <w:rFonts w:ascii="Arial" w:cs="Arial" w:eastAsia="Arial" w:hAnsi="Arial"/>
          <w:sz w:val="17"/>
          <w:szCs w:val="17"/>
          <w:color w:val="auto"/>
        </w:rPr>
        <w:t>”). BioXcel and BTI are sometimes referred to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BioXcel identified a number of therapeutic candidates using its proprietary artificial intelligence-powered research and development engine known as ‘EvolverAI’;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BioXcel determined that it was in BioXcel’s best interest to restructure its business in order to realize the full potential of its assets, including such therapeutic candidates;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accordance with the restructuring plan, BioXcel formed BTI, a product development biotechnology company, to develop and commercialize certain of the therapeutic candidates; and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BioXcel and BTI entered into that certain Amended &amp; Restated Contribution Agreement, which is attached as </w:t>
      </w:r>
      <w:r>
        <w:rPr>
          <w:rFonts w:ascii="Arial" w:cs="Arial" w:eastAsia="Arial" w:hAnsi="Arial"/>
          <w:sz w:val="18"/>
          <w:szCs w:val="18"/>
          <w:b w:val="1"/>
          <w:bCs w:val="1"/>
          <w:color w:val="auto"/>
        </w:rPr>
        <w:t>Exhibit A</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whereby BioXcel contributed certain therapeutic candidates and other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to BTI; and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BTI plans to develop and commercialize such therapeutic candidates; and</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WHEREAS, BioXcel and BTI entered into that certain SSA, under which, among other things, BioXcel agreed to furnish BTI with office space, equipment, services, leased employees, and certain financial support, and BTI agreed to cease accepting such space, equipment, services, leased employees, and financial support pursuant to a separation plan, attached as Exhibit B thereto; and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now wish to amend the SSA in certain regards.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recitals and the terms and conditions set forth herein, the Parties hereto, intending to be legally bound, hereby amend and restate the terms and conditions of the SSA as follows:</w:t>
      </w:r>
    </w:p>
    <w:p>
      <w:pPr>
        <w:spacing w:after="0" w:line="166" w:lineRule="exact"/>
        <w:rPr>
          <w:sz w:val="20"/>
          <w:szCs w:val="20"/>
          <w:color w:val="auto"/>
        </w:rPr>
      </w:pPr>
    </w:p>
    <w:p>
      <w:pPr>
        <w:ind w:left="840" w:hanging="310"/>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[Section intentionally left blank]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hanging="310"/>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Shared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right="360" w:hanging="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The Services</w:t>
      </w:r>
      <w:r>
        <w:rPr>
          <w:rFonts w:ascii="Arial" w:cs="Arial" w:eastAsia="Arial" w:hAnsi="Arial"/>
          <w:sz w:val="18"/>
          <w:szCs w:val="18"/>
          <w:color w:val="auto"/>
        </w:rPr>
        <w:t xml:space="preserve">. BioXcel shall perform for and on behalf of BTI the services set forth on </w:t>
      </w:r>
      <w:r>
        <w:rPr>
          <w:rFonts w:ascii="Arial" w:cs="Arial" w:eastAsia="Arial" w:hAnsi="Arial"/>
          <w:sz w:val="18"/>
          <w:szCs w:val="18"/>
          <w:b w:val="1"/>
          <w:bCs w:val="1"/>
          <w:color w:val="auto"/>
        </w:rPr>
        <w:t>Exhibit C</w:t>
      </w:r>
      <w:r>
        <w:rPr>
          <w:rFonts w:ascii="Arial" w:cs="Arial" w:eastAsia="Arial" w:hAnsi="Arial"/>
          <w:sz w:val="18"/>
          <w:szCs w:val="18"/>
          <w:color w:val="auto"/>
        </w:rPr>
        <w:t>, as may be adjusted from time to time by mutual agreement of the Parties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during the Term, which Services shall include the use of the EvolverAI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ind w:left="1040"/>
        <w:spacing w:after="0"/>
        <w:rPr>
          <w:sz w:val="20"/>
          <w:szCs w:val="20"/>
          <w:color w:val="auto"/>
        </w:rPr>
      </w:pPr>
      <w:r>
        <w:rPr>
          <w:rFonts w:ascii="Arial" w:cs="Arial" w:eastAsia="Arial" w:hAnsi="Arial"/>
          <w:sz w:val="18"/>
          <w:szCs w:val="18"/>
          <w:color w:val="auto"/>
        </w:rPr>
        <w:t>research and development engine.</w:t>
      </w:r>
    </w:p>
    <w:p>
      <w:pPr>
        <w:spacing w:after="0" w:line="239" w:lineRule="exact"/>
        <w:rPr>
          <w:sz w:val="20"/>
          <w:szCs w:val="20"/>
          <w:color w:val="auto"/>
        </w:rPr>
      </w:pPr>
    </w:p>
    <w:p>
      <w:pPr>
        <w:ind w:left="1040" w:right="80" w:hanging="321"/>
        <w:spacing w:after="0" w:line="277" w:lineRule="auto"/>
        <w:tabs>
          <w:tab w:leader="none" w:pos="103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Performance Standards</w:t>
      </w:r>
      <w:r>
        <w:rPr>
          <w:rFonts w:ascii="Arial" w:cs="Arial" w:eastAsia="Arial" w:hAnsi="Arial"/>
          <w:sz w:val="18"/>
          <w:szCs w:val="18"/>
          <w:color w:val="auto"/>
        </w:rPr>
        <w:t>. BioXcel shall perform the Services in a timely, competent, and workmanlike manner and in a nature and at levels consistent with BioXcel’s conduct of its own business.</w:t>
      </w:r>
    </w:p>
    <w:p>
      <w:pPr>
        <w:spacing w:after="0" w:line="170" w:lineRule="exact"/>
        <w:rPr>
          <w:rFonts w:ascii="Arial" w:cs="Arial" w:eastAsia="Arial" w:hAnsi="Arial"/>
          <w:sz w:val="18"/>
          <w:szCs w:val="18"/>
          <w:color w:val="auto"/>
        </w:rPr>
      </w:pPr>
    </w:p>
    <w:p>
      <w:pPr>
        <w:ind w:left="1020" w:hanging="302"/>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30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 consideration of the provision of the following Services:</w:t>
      </w:r>
    </w:p>
    <w:p>
      <w:pPr>
        <w:spacing w:after="0" w:line="239" w:lineRule="exact"/>
        <w:rPr>
          <w:sz w:val="20"/>
          <w:szCs w:val="20"/>
          <w:color w:val="auto"/>
        </w:rPr>
      </w:pPr>
    </w:p>
    <w:p>
      <w:pPr>
        <w:ind w:left="1700" w:right="480" w:hanging="332"/>
        <w:spacing w:after="0" w:line="277" w:lineRule="auto"/>
        <w:tabs>
          <w:tab w:leader="none" w:pos="1698" w:val="left"/>
        </w:tabs>
        <w:numPr>
          <w:ilvl w:val="2"/>
          <w:numId w:val="65"/>
        </w:numPr>
        <w:rPr>
          <w:rFonts w:ascii="Arial" w:cs="Arial" w:eastAsia="Arial" w:hAnsi="Arial"/>
          <w:sz w:val="18"/>
          <w:szCs w:val="18"/>
          <w:color w:val="auto"/>
        </w:rPr>
      </w:pPr>
      <w:r>
        <w:rPr>
          <w:rFonts w:ascii="Arial" w:cs="Arial" w:eastAsia="Arial" w:hAnsi="Arial"/>
          <w:sz w:val="18"/>
          <w:szCs w:val="18"/>
          <w:color w:val="auto"/>
        </w:rPr>
        <w:t>BTI shall pay to BioXcel for Services related to intellectual property prosecution and management as outlined in Exhibit C</w:t>
      </w:r>
    </w:p>
    <w:p>
      <w:pPr>
        <w:spacing w:after="0" w:line="170" w:lineRule="exact"/>
        <w:rPr>
          <w:rFonts w:ascii="Arial" w:cs="Arial" w:eastAsia="Arial" w:hAnsi="Arial"/>
          <w:sz w:val="18"/>
          <w:szCs w:val="18"/>
          <w:color w:val="auto"/>
        </w:rPr>
      </w:pPr>
    </w:p>
    <w:p>
      <w:pPr>
        <w:jc w:val="both"/>
        <w:ind w:left="1700" w:hanging="386"/>
        <w:spacing w:after="0" w:line="263" w:lineRule="auto"/>
        <w:tabs>
          <w:tab w:leader="none" w:pos="1721" w:val="left"/>
        </w:tabs>
        <w:numPr>
          <w:ilvl w:val="2"/>
          <w:numId w:val="65"/>
        </w:numPr>
        <w:rPr>
          <w:rFonts w:ascii="Arial" w:cs="Arial" w:eastAsia="Arial" w:hAnsi="Arial"/>
          <w:sz w:val="18"/>
          <w:szCs w:val="18"/>
          <w:color w:val="auto"/>
        </w:rPr>
      </w:pPr>
      <w:r>
        <w:rPr>
          <w:rFonts w:ascii="Arial" w:cs="Arial" w:eastAsia="Arial" w:hAnsi="Arial"/>
          <w:sz w:val="18"/>
          <w:szCs w:val="18"/>
          <w:color w:val="auto"/>
        </w:rPr>
        <w:t>BTI shall pay to BioXcel the sum of the amounts calculated by multiplying the actual hours spent towards services for and on behalf of BTI with the rates for each type of employee for Services by BioXcel through its subsidiary in India as outlined in Exhibit C.</w:t>
      </w:r>
    </w:p>
    <w:p>
      <w:pPr>
        <w:spacing w:after="0" w:line="197" w:lineRule="exact"/>
        <w:rPr>
          <w:rFonts w:ascii="Arial" w:cs="Arial" w:eastAsia="Arial" w:hAnsi="Arial"/>
          <w:sz w:val="18"/>
          <w:szCs w:val="18"/>
          <w:color w:val="auto"/>
        </w:rPr>
      </w:pPr>
    </w:p>
    <w:p>
      <w:pPr>
        <w:ind w:left="1040" w:right="40" w:hanging="325"/>
        <w:spacing w:after="0" w:line="269" w:lineRule="auto"/>
        <w:tabs>
          <w:tab w:leader="none" w:pos="1031"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EvolverAI Collaborative Services</w:t>
      </w:r>
      <w:r>
        <w:rPr>
          <w:rFonts w:ascii="Arial" w:cs="Arial" w:eastAsia="Arial" w:hAnsi="Arial"/>
          <w:sz w:val="17"/>
          <w:szCs w:val="17"/>
          <w:color w:val="auto"/>
        </w:rPr>
        <w:t>. On or before December 31, 2020, BTI shall have the option to enter into a Collaborative Services Agreement with BioXcel by which BioXcel shall perform product identification and related services for BTI utilizing the EvolverAI Platform. The Parties agree to negotiate the terms of such Collaborative Services Agreement in good faith and that such agreement will incorporate reasonable market 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$30M in the aggregate. BioXcel shall continue to make such product identification and related services available to BTI until at least June 30, 2022.</w:t>
      </w:r>
    </w:p>
    <w:p>
      <w:pPr>
        <w:spacing w:after="0" w:line="185" w:lineRule="exact"/>
        <w:rPr>
          <w:rFonts w:ascii="Arial" w:cs="Arial" w:eastAsia="Arial" w:hAnsi="Arial"/>
          <w:sz w:val="17"/>
          <w:szCs w:val="17"/>
          <w:color w:val="auto"/>
        </w:rPr>
      </w:pPr>
    </w:p>
    <w:p>
      <w:pPr>
        <w:ind w:left="1040" w:right="20" w:hanging="321"/>
        <w:spacing w:after="0" w:line="279" w:lineRule="auto"/>
        <w:tabs>
          <w:tab w:leader="none" w:pos="1021"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BTI shall pay to BioXcel amounts due under Section 2(c). BioXcel shall send invoices to BioXcel for such amounts within thirty (30) days after the end of each calendar month. BTI shall pay each invoice within sixty (60) days after receipt thereof. If any portion of any invoice is disputed, BTI shall pay the undisputed amount, and the Parties shall use good faith efforts to reconcile the disputed amount as soon as possible.</w:t>
      </w:r>
    </w:p>
    <w:p>
      <w:pPr>
        <w:spacing w:after="0" w:line="180" w:lineRule="exact"/>
        <w:rPr>
          <w:rFonts w:ascii="Arial" w:cs="Arial" w:eastAsia="Arial" w:hAnsi="Arial"/>
          <w:sz w:val="17"/>
          <w:szCs w:val="17"/>
          <w:color w:val="auto"/>
        </w:rPr>
      </w:pPr>
    </w:p>
    <w:p>
      <w:pPr>
        <w:ind w:left="380" w:hanging="310"/>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[Section intentionally left blank]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80" w:hanging="310"/>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[Section intentionally left blank]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0" w:right="40" w:hanging="329"/>
        <w:spacing w:after="0" w:line="255" w:lineRule="auto"/>
        <w:tabs>
          <w:tab w:leader="none" w:pos="391"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Separation Plan</w:t>
      </w:r>
      <w:r>
        <w:rPr>
          <w:rFonts w:ascii="Arial" w:cs="Arial" w:eastAsia="Arial" w:hAnsi="Arial"/>
          <w:sz w:val="18"/>
          <w:szCs w:val="18"/>
          <w:color w:val="auto"/>
        </w:rPr>
        <w:t>. BioXcel and BTI hereby acknowledge that the Services shall decrease over time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Separation Plan attached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Separation Plan</w:t>
      </w:r>
      <w:r>
        <w:rPr>
          <w:rFonts w:ascii="Arial" w:cs="Arial" w:eastAsia="Arial" w:hAnsi="Arial"/>
          <w:sz w:val="18"/>
          <w:szCs w:val="18"/>
          <w:color w:val="auto"/>
        </w:rPr>
        <w:t xml:space="preserve">”), as may be adjusted from time to time by mutual agreement of the Parties. The Parties agree to adhere to the terms of the Separation Plan. In the event BTI determines that the Separation Plan must be amended due to changes related to the business of BTI, including the development or commercialization of the therapeutic candidates, BTI shall notify BioXcel in writing and the Parties shall, in good faith, assess any continued support required by BTI. Any amendments to the Separation Plan shall be agreed upon in writing by the Parties and shall be attached in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474345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121" w:name="page122"/>
    <w:bookmarkEnd w:id="121"/>
    <w:p>
      <w:pPr>
        <w:ind w:left="400" w:right="20" w:hanging="329"/>
        <w:spacing w:after="0" w:line="256" w:lineRule="auto"/>
        <w:tabs>
          <w:tab w:leader="none" w:pos="391"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Recusal</w:t>
      </w:r>
      <w:r>
        <w:rPr>
          <w:rFonts w:ascii="Arial" w:cs="Arial" w:eastAsia="Arial" w:hAnsi="Arial"/>
          <w:sz w:val="18"/>
          <w:szCs w:val="18"/>
          <w:color w:val="auto"/>
        </w:rPr>
        <w:t>. The Parties covenant and agree that, in support of the Separation Plan as long as Vimal Mehta is a member of senior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the governing board of both BioXcel and BTI, he may participate in discussions at the senior management and governing board levels for each of BioXcel and BTI but shall not vote on matters coming before either governing board material to this Agreement, the Contribution Agreement or other agreements relating to the relationship between the Parties. Each Party shall ensure that Vimal Mehta recuses himself with respect to governing board matters consistent with this Section 6.</w:t>
      </w:r>
    </w:p>
    <w:p>
      <w:pPr>
        <w:spacing w:after="0" w:line="200" w:lineRule="exact"/>
        <w:rPr>
          <w:rFonts w:ascii="Arial" w:cs="Arial" w:eastAsia="Arial" w:hAnsi="Arial"/>
          <w:sz w:val="18"/>
          <w:szCs w:val="18"/>
          <w:color w:val="auto"/>
        </w:rPr>
      </w:pPr>
    </w:p>
    <w:p>
      <w:pPr>
        <w:ind w:left="400" w:hanging="329"/>
        <w:spacing w:after="0" w:line="256" w:lineRule="auto"/>
        <w:tabs>
          <w:tab w:leader="none" w:pos="391"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Each Party shall maintain the confidentiality of all data, information, records, reports and all other nonpublic</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provided to it by the other Party (the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and shall not disclose any Confidential Information to third parties for any reason unless and only to the extent jointly agreed to, in writing, by the Parties or as required by law. The foregoing applies to information communicated orally, in writing, by computer processes, and includes without limitation, this Agreement, any and all meeting notes, business plans, financial statements, analyses and/or research materials, corporate documents, and correspondence.</w:t>
      </w:r>
    </w:p>
    <w:p>
      <w:pPr>
        <w:spacing w:after="0" w:line="187" w:lineRule="exact"/>
        <w:rPr>
          <w:rFonts w:ascii="Arial" w:cs="Arial" w:eastAsia="Arial" w:hAnsi="Arial"/>
          <w:sz w:val="18"/>
          <w:szCs w:val="18"/>
          <w:color w:val="auto"/>
        </w:rPr>
      </w:pPr>
    </w:p>
    <w:p>
      <w:pPr>
        <w:jc w:val="both"/>
        <w:ind w:left="400"/>
        <w:spacing w:after="0" w:line="285" w:lineRule="auto"/>
        <w:rPr>
          <w:rFonts w:ascii="Arial" w:cs="Arial" w:eastAsia="Arial" w:hAnsi="Arial"/>
          <w:sz w:val="18"/>
          <w:szCs w:val="18"/>
          <w:color w:val="auto"/>
        </w:rPr>
      </w:pPr>
      <w:r>
        <w:rPr>
          <w:rFonts w:ascii="Arial" w:cs="Arial" w:eastAsia="Arial" w:hAnsi="Arial"/>
          <w:sz w:val="16"/>
          <w:szCs w:val="16"/>
          <w:b w:val="1"/>
          <w:bCs w:val="1"/>
          <w:color w:val="auto"/>
        </w:rPr>
        <w:t>Intellectual Property Rights</w:t>
      </w:r>
      <w:r>
        <w:rPr>
          <w:rFonts w:ascii="Arial" w:cs="Arial" w:eastAsia="Arial" w:hAnsi="Arial"/>
          <w:sz w:val="16"/>
          <w:szCs w:val="16"/>
          <w:color w:val="auto"/>
        </w:rPr>
        <w:t>. BioXcel and BTI intend for any work product, including designs, business plans,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correspondence (printed or electronic), discoveries, inventions, improvements, software, works of authorship, information, know-how, or other materials made, conceived, reduced to practice or developed in whole or in part by BioXcel during the Term or within six (6) months after the expiration of the Term in connection with the Services or that relate to the Confidential Information or the business of BTI (the “</w:t>
      </w:r>
      <w:r>
        <w:rPr>
          <w:rFonts w:ascii="Arial" w:cs="Arial" w:eastAsia="Arial" w:hAnsi="Arial"/>
          <w:sz w:val="16"/>
          <w:szCs w:val="16"/>
          <w:b w:val="1"/>
          <w:bCs w:val="1"/>
          <w:i w:val="1"/>
          <w:iCs w:val="1"/>
          <w:color w:val="auto"/>
        </w:rPr>
        <w:t>Developments</w:t>
      </w:r>
      <w:r>
        <w:rPr>
          <w:rFonts w:ascii="Arial" w:cs="Arial" w:eastAsia="Arial" w:hAnsi="Arial"/>
          <w:sz w:val="16"/>
          <w:szCs w:val="16"/>
          <w:color w:val="auto"/>
        </w:rPr>
        <w:t>”) to be works made for hire. BTI shall own all right, title and interest in and to the Developments, and shall be deemed to be the author of the Developments for copyright purposes. Any and all forms of intellectual property rights including, without limitation, patents, trademarks, copyrights, mask rights, trade secrets and proprietary know-how related to or covering property therein resulting from the Services shall be owned by BTI and may be registered exclusively in the name of BTI in the U.S. Copyright Office, the U.S. Patent and Trademark Office, and other similar registries in other countries. BioXcel shall promptly disclose to BTI all Developments and Confidential Information relating to the Services and perform all actions reasonably requested by BTI, whether during or after the Term, to establish and confirm BTI’s ownership of Developments, Confidential Information and related intellectual property, including, without limitation, the execution and delivery of assignments, consents, powers of attorney and other instruments, and provide reasonable assistance to BTI or any of its affiliates in connection with (a) the prosecution of any applications for patents, trademarks, trade names, service marks, reissues thereof or other legal protection thereon, (b) the maintenance, enforcement and renewal of any rights that may be obtained, granted or vest therein, and (c) the prosecution and defense of any actions, proceedings, oppositions or interferences relating thereto. For clarity, Developments shall include any new product candidates and any related inventions identified through the use of EvolverAI in performing the Services.</w:t>
      </w:r>
    </w:p>
    <w:p>
      <w:pPr>
        <w:spacing w:after="0" w:line="184" w:lineRule="exact"/>
        <w:rPr>
          <w:rFonts w:ascii="Arial" w:cs="Arial" w:eastAsia="Arial" w:hAnsi="Arial"/>
          <w:sz w:val="18"/>
          <w:szCs w:val="18"/>
          <w:color w:val="auto"/>
        </w:rPr>
      </w:pPr>
    </w:p>
    <w:p>
      <w:pPr>
        <w:ind w:left="340" w:hanging="273"/>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40" w:right="120" w:hanging="321"/>
        <w:spacing w:after="0" w:line="342" w:lineRule="auto"/>
        <w:tabs>
          <w:tab w:leader="none" w:pos="1021"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Unless terminated earlier in accordance with the terms hereof, the term of this Agreement shall commence as of the Effective Date and terminate immediately upon the completion of the Separation Plan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w:t>
      </w:r>
    </w:p>
    <w:p>
      <w:pPr>
        <w:spacing w:after="0" w:line="137" w:lineRule="exact"/>
        <w:rPr>
          <w:rFonts w:ascii="Arial" w:cs="Arial" w:eastAsia="Arial" w:hAnsi="Arial"/>
          <w:sz w:val="16"/>
          <w:szCs w:val="16"/>
          <w:color w:val="auto"/>
        </w:rPr>
      </w:pPr>
    </w:p>
    <w:p>
      <w:pPr>
        <w:ind w:left="1040" w:right="60" w:hanging="321"/>
        <w:spacing w:after="0" w:line="277" w:lineRule="auto"/>
        <w:tabs>
          <w:tab w:leader="none" w:pos="103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on Mutual Agreement</w:t>
      </w:r>
      <w:r>
        <w:rPr>
          <w:rFonts w:ascii="Arial" w:cs="Arial" w:eastAsia="Arial" w:hAnsi="Arial"/>
          <w:sz w:val="18"/>
          <w:szCs w:val="18"/>
          <w:color w:val="auto"/>
        </w:rPr>
        <w:t>. This Agreement may be terminated by mutual agreement of the Parties hereto at any time during the Term.</w:t>
      </w:r>
    </w:p>
    <w:p>
      <w:pPr>
        <w:spacing w:after="0" w:line="166" w:lineRule="exact"/>
        <w:rPr>
          <w:rFonts w:ascii="Arial" w:cs="Arial" w:eastAsia="Arial" w:hAnsi="Arial"/>
          <w:sz w:val="18"/>
          <w:szCs w:val="18"/>
          <w:color w:val="auto"/>
        </w:rPr>
      </w:pPr>
    </w:p>
    <w:p>
      <w:pPr>
        <w:ind w:left="1020" w:hanging="302"/>
        <w:spacing w:after="0"/>
        <w:tabs>
          <w:tab w:leader="none" w:pos="102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[Section intentionally left blank].</w:t>
      </w:r>
    </w:p>
    <w:p>
      <w:pPr>
        <w:spacing w:after="0" w:line="242" w:lineRule="exact"/>
        <w:rPr>
          <w:rFonts w:ascii="Arial" w:cs="Arial" w:eastAsia="Arial" w:hAnsi="Arial"/>
          <w:sz w:val="18"/>
          <w:szCs w:val="18"/>
          <w:b w:val="1"/>
          <w:bCs w:val="1"/>
          <w:color w:val="auto"/>
        </w:rPr>
      </w:pPr>
    </w:p>
    <w:p>
      <w:pPr>
        <w:ind w:left="1040" w:right="180" w:hanging="321"/>
        <w:spacing w:after="0" w:line="277" w:lineRule="auto"/>
        <w:tabs>
          <w:tab w:leader="none" w:pos="103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on Insolvency of BTI</w:t>
      </w:r>
      <w:r>
        <w:rPr>
          <w:rFonts w:ascii="Arial" w:cs="Arial" w:eastAsia="Arial" w:hAnsi="Arial"/>
          <w:sz w:val="18"/>
          <w:szCs w:val="18"/>
          <w:color w:val="auto"/>
        </w:rPr>
        <w:t>. If BTI becomes bankrupt or insolvent, or makes any assignment for the benefit of creditors, or if a receiver is appointed to take charge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323215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122" w:name="page123"/>
    <w:bookmarkEnd w:id="122"/>
    <w:p>
      <w:pPr>
        <w:ind w:left="1040" w:right="40"/>
        <w:spacing w:after="0" w:line="259" w:lineRule="auto"/>
        <w:rPr>
          <w:sz w:val="20"/>
          <w:szCs w:val="20"/>
          <w:color w:val="auto"/>
        </w:rPr>
      </w:pPr>
      <w:r>
        <w:rPr>
          <w:rFonts w:ascii="Arial" w:cs="Arial" w:eastAsia="Arial" w:hAnsi="Arial"/>
          <w:sz w:val="18"/>
          <w:szCs w:val="18"/>
          <w:color w:val="auto"/>
        </w:rPr>
        <w:t>property and such proceeding is not vacated or terminated within thirty (30) days after its commencement or institution, BioXcel may immediately terminate this Agreement by written notice after the thirty (30)-day period has passed. Any such termination shall be without prejudice to accrued rights of BioXcel, and to other rights and remedies for default.</w:t>
      </w:r>
    </w:p>
    <w:p>
      <w:pPr>
        <w:spacing w:after="0" w:line="200" w:lineRule="exact"/>
        <w:rPr>
          <w:sz w:val="20"/>
          <w:szCs w:val="20"/>
          <w:color w:val="auto"/>
        </w:rPr>
      </w:pPr>
    </w:p>
    <w:p>
      <w:pPr>
        <w:jc w:val="both"/>
        <w:ind w:left="1040" w:right="60" w:hanging="321"/>
        <w:spacing w:after="0" w:line="263" w:lineRule="auto"/>
        <w:tabs>
          <w:tab w:leader="none" w:pos="1021"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Termination for Breach</w:t>
      </w:r>
      <w:r>
        <w:rPr>
          <w:rFonts w:ascii="Arial" w:cs="Arial" w:eastAsia="Arial" w:hAnsi="Arial"/>
          <w:sz w:val="18"/>
          <w:szCs w:val="18"/>
          <w:color w:val="auto"/>
        </w:rPr>
        <w:t>. Either Party may terminate this Agreement upon thirty (30) days’ prior written notice if the other Party is in material breach of this Agreement and fails to cure such material breach within such thirty (30)-day period.</w:t>
      </w:r>
    </w:p>
    <w:p>
      <w:pPr>
        <w:spacing w:after="0" w:line="179" w:lineRule="exact"/>
        <w:rPr>
          <w:rFonts w:ascii="Arial" w:cs="Arial" w:eastAsia="Arial" w:hAnsi="Arial"/>
          <w:sz w:val="18"/>
          <w:szCs w:val="18"/>
          <w:color w:val="auto"/>
        </w:rPr>
      </w:pPr>
    </w:p>
    <w:p>
      <w:pPr>
        <w:ind w:left="380" w:hanging="310"/>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040" w:right="80" w:hanging="321"/>
        <w:spacing w:after="0" w:line="263" w:lineRule="auto"/>
        <w:tabs>
          <w:tab w:leader="none" w:pos="1021"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In connection with the performance of this Agreement, both Parties shall comply with all applicable federal, state and local laws and regulations. The Parties shall cooperate with each other to effect such compliance.</w:t>
      </w:r>
    </w:p>
    <w:p>
      <w:pPr>
        <w:spacing w:after="0" w:line="197" w:lineRule="exact"/>
        <w:rPr>
          <w:rFonts w:ascii="Arial" w:cs="Arial" w:eastAsia="Arial" w:hAnsi="Arial"/>
          <w:sz w:val="18"/>
          <w:szCs w:val="18"/>
          <w:color w:val="auto"/>
        </w:rPr>
      </w:pPr>
    </w:p>
    <w:p>
      <w:pPr>
        <w:ind w:left="1040" w:right="100" w:hanging="321"/>
        <w:spacing w:after="0" w:line="277" w:lineRule="auto"/>
        <w:tabs>
          <w:tab w:leader="none" w:pos="1031"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Coordination Meetings</w:t>
      </w:r>
      <w:r>
        <w:rPr>
          <w:rFonts w:ascii="Arial" w:cs="Arial" w:eastAsia="Arial" w:hAnsi="Arial"/>
          <w:sz w:val="18"/>
          <w:szCs w:val="18"/>
          <w:color w:val="auto"/>
        </w:rPr>
        <w:t>. The Parties agree to meet and confer in good faith on a regular basis to discuss the Services provided hereunder.</w:t>
      </w:r>
    </w:p>
    <w:p>
      <w:pPr>
        <w:spacing w:after="0" w:line="170" w:lineRule="exact"/>
        <w:rPr>
          <w:sz w:val="20"/>
          <w:szCs w:val="20"/>
          <w:color w:val="auto"/>
        </w:rPr>
      </w:pPr>
    </w:p>
    <w:p>
      <w:pPr>
        <w:ind w:left="2600" w:right="20" w:firstLine="9"/>
        <w:spacing w:after="0" w:line="273" w:lineRule="auto"/>
        <w:rPr>
          <w:sz w:val="20"/>
          <w:szCs w:val="20"/>
          <w:color w:val="auto"/>
        </w:rPr>
      </w:pPr>
      <w:r>
        <w:rPr>
          <w:rFonts w:ascii="Arial" w:cs="Arial" w:eastAsia="Arial" w:hAnsi="Arial"/>
          <w:sz w:val="17"/>
          <w:szCs w:val="17"/>
          <w:u w:val="single" w:color="auto"/>
          <w:color w:val="auto"/>
        </w:rPr>
        <w:t>Independent Contractors</w:t>
      </w:r>
      <w:r>
        <w:rPr>
          <w:rFonts w:ascii="Arial" w:cs="Arial" w:eastAsia="Arial" w:hAnsi="Arial"/>
          <w:sz w:val="17"/>
          <w:szCs w:val="17"/>
          <w:color w:val="auto"/>
        </w:rPr>
        <w:t>. The relationship between BioXcel on the one hand and BTI on the other is that of independent contractors, and none of the provisions of this Agreement is intended to create, nor will be construed to create, an agency, partnership or joint venture relationship between the Parties. No Party to this Agreement or any of their respective officers, members or employees, will be deemed to be the agent, employee or representative of another Party by virtue of this Agreement.</w:t>
      </w:r>
    </w:p>
    <w:p>
      <w:pPr>
        <w:spacing w:after="0" w:line="191" w:lineRule="exact"/>
        <w:rPr>
          <w:sz w:val="20"/>
          <w:szCs w:val="20"/>
          <w:color w:val="auto"/>
        </w:rPr>
      </w:pPr>
    </w:p>
    <w:p>
      <w:pPr>
        <w:ind w:left="1040" w:hanging="321"/>
        <w:spacing w:after="0" w:line="254" w:lineRule="auto"/>
        <w:tabs>
          <w:tab w:leader="none" w:pos="102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No Party shall be deemed to be in default of this Agreement if prevented from performing any obligation hereunder for any reason beyond its control, including but not limited to, acts of God, war, civil commotion, fire, flood or casualty, labor difficulties, shortages of or inability to obtain labor, materials or equipment, governmental regulations or restrictions, or unusually severe weather. In any such case, the Parties agree to negotiate in good faith with the goal of preserving this Agreement and the respective rights and obligations of the Parties hereunder, to the extent reasonably practicable. It is agreed that financial inability shall not be deemed a matter beyond a Party’s reasonable control.</w:t>
      </w:r>
    </w:p>
    <w:p>
      <w:pPr>
        <w:spacing w:after="0" w:line="194" w:lineRule="exact"/>
        <w:rPr>
          <w:rFonts w:ascii="Arial" w:cs="Arial" w:eastAsia="Arial" w:hAnsi="Arial"/>
          <w:sz w:val="18"/>
          <w:szCs w:val="18"/>
          <w:color w:val="auto"/>
        </w:rPr>
      </w:pPr>
    </w:p>
    <w:p>
      <w:pPr>
        <w:ind w:left="1040" w:right="20" w:hanging="321"/>
        <w:spacing w:after="0" w:line="263" w:lineRule="auto"/>
        <w:tabs>
          <w:tab w:leader="none" w:pos="103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relating to the subject matter hereof and supersede any prior understandings, agreements, or representations by or between the Parties, written or oral, to the extent they relate in any way to the subject matter hereof.</w:t>
      </w:r>
    </w:p>
    <w:p>
      <w:pPr>
        <w:spacing w:after="0" w:line="197" w:lineRule="exact"/>
        <w:rPr>
          <w:rFonts w:ascii="Arial" w:cs="Arial" w:eastAsia="Arial" w:hAnsi="Arial"/>
          <w:sz w:val="18"/>
          <w:szCs w:val="18"/>
          <w:color w:val="auto"/>
        </w:rPr>
      </w:pPr>
    </w:p>
    <w:p>
      <w:pPr>
        <w:ind w:left="1040" w:right="40" w:hanging="321"/>
        <w:spacing w:after="0" w:line="293" w:lineRule="auto"/>
        <w:tabs>
          <w:tab w:leader="none" w:pos="102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Succession and Assignment</w:t>
      </w:r>
      <w:r>
        <w:rPr>
          <w:rFonts w:ascii="Arial" w:cs="Arial" w:eastAsia="Arial" w:hAnsi="Arial"/>
          <w:sz w:val="16"/>
          <w:szCs w:val="16"/>
          <w:color w:val="auto"/>
        </w:rPr>
        <w:t>. This Agreement shall be binding upon and inure to the benefit of the Parties named herein and their respective successors and permitted assigns. Neither Party may assign either this Agreement or any of its rights, interests, or obligations hereunder without the prior written approval of the other Party. In the event that BioXcel sells, exclusively out-licenses or otherwise disposes of EvolverAI to a third party, BioXcel shall assign this Agreement to such third party and cause such third party to assume this Agreement, solely with respect to the continued provision of Services (including the use of EvolverAI in connection therewith) to BTI.</w:t>
      </w:r>
    </w:p>
    <w:p>
      <w:pPr>
        <w:spacing w:after="0" w:line="177" w:lineRule="exact"/>
        <w:rPr>
          <w:rFonts w:ascii="Arial" w:cs="Arial" w:eastAsia="Arial" w:hAnsi="Arial"/>
          <w:sz w:val="16"/>
          <w:szCs w:val="16"/>
          <w:color w:val="auto"/>
        </w:rPr>
      </w:pPr>
    </w:p>
    <w:p>
      <w:pPr>
        <w:ind w:left="1040" w:right="40" w:hanging="321"/>
        <w:spacing w:after="0" w:line="263" w:lineRule="auto"/>
        <w:tabs>
          <w:tab w:leader="none" w:pos="104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facsimile), each of which shall be deemed an original but all of which together will constitute one and the same instrument. The transmission of a copy of an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331470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123" w:name="page124"/>
    <w:bookmarkEnd w:id="123"/>
    <w:p>
      <w:pPr>
        <w:ind w:left="1040" w:right="60"/>
        <w:spacing w:after="0" w:line="277" w:lineRule="auto"/>
        <w:rPr>
          <w:sz w:val="20"/>
          <w:szCs w:val="20"/>
          <w:color w:val="auto"/>
        </w:rPr>
      </w:pPr>
      <w:r>
        <w:rPr>
          <w:rFonts w:ascii="Arial" w:cs="Arial" w:eastAsia="Arial" w:hAnsi="Arial"/>
          <w:sz w:val="18"/>
          <w:szCs w:val="18"/>
          <w:color w:val="auto"/>
        </w:rPr>
        <w:t>signature page hereof by facsimile or portable document format (.pdf) shall have the same effect as the delivery of a manually executed counterpart hereof.</w:t>
      </w:r>
    </w:p>
    <w:p>
      <w:pPr>
        <w:spacing w:after="0" w:line="184" w:lineRule="exact"/>
        <w:rPr>
          <w:sz w:val="20"/>
          <w:szCs w:val="20"/>
          <w:color w:val="auto"/>
        </w:rPr>
      </w:pPr>
    </w:p>
    <w:p>
      <w:pPr>
        <w:ind w:left="1040" w:right="20" w:hanging="321"/>
        <w:spacing w:after="0" w:line="277" w:lineRule="auto"/>
        <w:tabs>
          <w:tab w:leader="none" w:pos="103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70" w:lineRule="exact"/>
        <w:rPr>
          <w:rFonts w:ascii="Arial" w:cs="Arial" w:eastAsia="Arial" w:hAnsi="Arial"/>
          <w:sz w:val="18"/>
          <w:szCs w:val="18"/>
          <w:color w:val="auto"/>
        </w:rPr>
      </w:pPr>
    </w:p>
    <w:p>
      <w:pPr>
        <w:ind w:left="1040" w:right="180" w:hanging="321"/>
        <w:spacing w:after="0" w:line="272" w:lineRule="auto"/>
        <w:tabs>
          <w:tab w:leader="none" w:pos="103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claims, and other communications hereunder shall be in writing and delivered to a Party at the address listed above. Any notice, request, demand, claim, or other communication hereunder shall be deemed duly given (a) when delivered personally to the recipient, (b) one (1) business day after being sent to the recipient by reputable overnight courier service (charges prepaid), or (c) four (4) business days after being mailed to the recipient by certified or registered mail. Any Party may change the address to which notices, requests, demands, claims, and other communications hereunder are to be delivered by giving the other Party notice in the manner herein set forth.</w:t>
      </w:r>
    </w:p>
    <w:p>
      <w:pPr>
        <w:spacing w:after="0" w:line="190" w:lineRule="exact"/>
        <w:rPr>
          <w:rFonts w:ascii="Arial" w:cs="Arial" w:eastAsia="Arial" w:hAnsi="Arial"/>
          <w:sz w:val="17"/>
          <w:szCs w:val="17"/>
          <w:color w:val="auto"/>
        </w:rPr>
      </w:pPr>
    </w:p>
    <w:p>
      <w:pPr>
        <w:jc w:val="both"/>
        <w:ind w:left="1040" w:right="2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 This Agreement shall be governed by and construed in accordance with the laws of the State of Connecticut without giving effect to any choice or conflict of law provision or rule (whether of the State of Connecticut or any other jurisdiction) that would cause the application of the laws of any jurisdiction other than the State of Connecticut. BOTH OF THE PARTIES HERETO HEREBY IRREVOCABLY WAIVE ANY AND ALL RIGHT TO TRIAL BY JURY IN ANY LEGAL PROCEEDING ARISING OUT OF OR RELATED TO THIS AGREEMENT OR THE TRANSACTIONS CONTEMPLATED HEREBY.</w:t>
      </w:r>
    </w:p>
    <w:p>
      <w:pPr>
        <w:spacing w:after="0" w:line="191" w:lineRule="exact"/>
        <w:rPr>
          <w:sz w:val="20"/>
          <w:szCs w:val="20"/>
          <w:color w:val="auto"/>
        </w:rPr>
      </w:pPr>
    </w:p>
    <w:p>
      <w:pPr>
        <w:ind w:left="1040" w:right="180" w:hanging="321"/>
        <w:spacing w:after="0" w:line="277" w:lineRule="auto"/>
        <w:tabs>
          <w:tab w:leader="none" w:pos="103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amendment of any provision of this Agreement shall be valid unless the same shall be in writing and signed by both of the Parties.</w:t>
      </w:r>
    </w:p>
    <w:p>
      <w:pPr>
        <w:spacing w:after="0" w:line="170" w:lineRule="exact"/>
        <w:rPr>
          <w:rFonts w:ascii="Arial" w:cs="Arial" w:eastAsia="Arial" w:hAnsi="Arial"/>
          <w:sz w:val="18"/>
          <w:szCs w:val="18"/>
          <w:color w:val="auto"/>
        </w:rPr>
      </w:pPr>
    </w:p>
    <w:p>
      <w:pPr>
        <w:ind w:left="1040" w:right="60" w:hanging="321"/>
        <w:spacing w:after="0" w:line="286" w:lineRule="auto"/>
        <w:tabs>
          <w:tab w:leader="none" w:pos="1031"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65" w:lineRule="exact"/>
        <w:rPr>
          <w:rFonts w:ascii="Arial" w:cs="Arial" w:eastAsia="Arial" w:hAnsi="Arial"/>
          <w:sz w:val="17"/>
          <w:szCs w:val="17"/>
          <w:color w:val="auto"/>
        </w:rPr>
      </w:pPr>
    </w:p>
    <w:p>
      <w:pPr>
        <w:ind w:left="1040" w:hanging="321"/>
        <w:spacing w:after="0" w:line="277" w:lineRule="auto"/>
        <w:tabs>
          <w:tab w:leader="none" w:pos="103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Incorporation of Exhibits</w:t>
      </w:r>
      <w:r>
        <w:rPr>
          <w:rFonts w:ascii="Arial" w:cs="Arial" w:eastAsia="Arial" w:hAnsi="Arial"/>
          <w:sz w:val="18"/>
          <w:szCs w:val="18"/>
          <w:color w:val="auto"/>
        </w:rPr>
        <w:t>. The Exhibits identified in this Agreement are incorporated herein by reference and made a part hereof.</w:t>
      </w:r>
    </w:p>
    <w:p>
      <w:pPr>
        <w:spacing w:after="0" w:line="183" w:lineRule="exact"/>
        <w:rPr>
          <w:rFonts w:ascii="Arial" w:cs="Arial" w:eastAsia="Arial" w:hAnsi="Arial"/>
          <w:sz w:val="18"/>
          <w:szCs w:val="18"/>
          <w:color w:val="auto"/>
        </w:rPr>
      </w:pPr>
    </w:p>
    <w:p>
      <w:pPr>
        <w:ind w:left="1040" w:right="140" w:hanging="321"/>
        <w:spacing w:after="0" w:line="273" w:lineRule="auto"/>
        <w:tabs>
          <w:tab w:leader="none" w:pos="103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failure of any Party to this Agreement to assert any of its rights under this Agreement or otherwise shall not constitute a waiver of such rights. The waiver of any such right with respect to particular facts and other circumstances shall not be deemed a waiver with respect to any other facts and circumstances and each such right shall be deemed an ongoing right that may be asserted at any time and from time to time. No right, remedy or election given by any term of this Agreement shall be deemed exclusive but shall be cumulative with all of the rights, remedies and elections available at law or in equity.</w:t>
      </w:r>
    </w:p>
    <w:p>
      <w:pPr>
        <w:spacing w:after="0" w:line="19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494665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124" w:name="page125"/>
    <w:bookmarkEnd w:id="124"/>
    <w:p>
      <w:pPr>
        <w:ind w:left="440" w:right="300" w:firstLine="598"/>
        <w:spacing w:after="0" w:line="277" w:lineRule="auto"/>
        <w:rPr>
          <w:sz w:val="20"/>
          <w:szCs w:val="20"/>
          <w:color w:val="auto"/>
        </w:rPr>
      </w:pPr>
      <w:r>
        <w:rPr>
          <w:rFonts w:ascii="Arial" w:cs="Arial" w:eastAsia="Arial" w:hAnsi="Arial"/>
          <w:sz w:val="18"/>
          <w:szCs w:val="18"/>
          <w:color w:val="181318"/>
        </w:rPr>
        <w:t>IN WITNESS WHEREOF</w:t>
      </w:r>
      <w:r>
        <w:rPr>
          <w:rFonts w:ascii="Arial" w:cs="Arial" w:eastAsia="Arial" w:hAnsi="Arial"/>
          <w:sz w:val="18"/>
          <w:szCs w:val="18"/>
          <w:color w:val="383336"/>
        </w:rPr>
        <w:t>,</w:t>
      </w:r>
      <w:r>
        <w:rPr>
          <w:rFonts w:ascii="Arial" w:cs="Arial" w:eastAsia="Arial" w:hAnsi="Arial"/>
          <w:sz w:val="18"/>
          <w:szCs w:val="18"/>
          <w:color w:val="181318"/>
        </w:rPr>
        <w:t xml:space="preserve"> the Parties hereto have executed this Amended &amp; Restated Separation and Shared Services Agreement as of the Effective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BIOXCEL CORPORATION</w:t>
            </w:r>
          </w:p>
        </w:tc>
        <w:tc>
          <w:tcPr>
            <w:tcW w:w="5040" w:type="dxa"/>
            <w:vAlign w:val="bottom"/>
            <w:gridSpan w:val="2"/>
          </w:tcPr>
          <w:p>
            <w:pPr>
              <w:ind w:left="260"/>
              <w:spacing w:after="0"/>
              <w:rPr>
                <w:sz w:val="20"/>
                <w:szCs w:val="20"/>
                <w:color w:val="auto"/>
              </w:rPr>
            </w:pPr>
            <w:r>
              <w:rPr>
                <w:rFonts w:ascii="Arial" w:cs="Arial" w:eastAsia="Arial" w:hAnsi="Arial"/>
                <w:sz w:val="18"/>
                <w:szCs w:val="18"/>
                <w:b w:val="1"/>
                <w:bCs w:val="1"/>
                <w:color w:val="auto"/>
              </w:rPr>
              <w:t>BIOXCEL THERAPEUTICS, INC.</w:t>
            </w:r>
          </w:p>
        </w:tc>
        <w:tc>
          <w:tcPr>
            <w:tcW w:w="0" w:type="dxa"/>
            <w:vAlign w:val="bottom"/>
          </w:tcPr>
          <w:p>
            <w:pPr>
              <w:spacing w:after="0"/>
              <w:rPr>
                <w:sz w:val="1"/>
                <w:szCs w:val="1"/>
                <w:color w:val="auto"/>
              </w:rPr>
            </w:pPr>
          </w:p>
        </w:tc>
      </w:tr>
      <w:tr>
        <w:trPr>
          <w:trHeight w:val="432"/>
        </w:trPr>
        <w:tc>
          <w:tcPr>
            <w:tcW w:w="520" w:type="dxa"/>
            <w:vAlign w:val="bottom"/>
          </w:tcPr>
          <w:p>
            <w:pPr>
              <w:ind w:left="20"/>
              <w:spacing w:after="0"/>
              <w:rPr>
                <w:sz w:val="20"/>
                <w:szCs w:val="20"/>
                <w:color w:val="auto"/>
              </w:rPr>
            </w:pPr>
            <w:r>
              <w:rPr>
                <w:rFonts w:ascii="Arial" w:cs="Arial" w:eastAsia="Arial" w:hAnsi="Arial"/>
                <w:sz w:val="18"/>
                <w:szCs w:val="18"/>
                <w:color w:val="auto"/>
              </w:rPr>
              <w:t>By:</w:t>
            </w:r>
          </w:p>
        </w:tc>
        <w:tc>
          <w:tcPr>
            <w:tcW w:w="4360" w:type="dxa"/>
            <w:vAlign w:val="bottom"/>
          </w:tcPr>
          <w:p>
            <w:pPr>
              <w:ind w:left="20"/>
              <w:spacing w:after="0"/>
              <w:rPr>
                <w:sz w:val="20"/>
                <w:szCs w:val="20"/>
                <w:color w:val="auto"/>
              </w:rPr>
            </w:pPr>
            <w:r>
              <w:rPr>
                <w:rFonts w:ascii="Arial" w:cs="Arial" w:eastAsia="Arial" w:hAnsi="Arial"/>
                <w:sz w:val="18"/>
                <w:szCs w:val="18"/>
                <w:color w:val="auto"/>
              </w:rPr>
              <w:t>/s/ Ankush Sethi</w:t>
            </w:r>
          </w:p>
        </w:tc>
        <w:tc>
          <w:tcPr>
            <w:tcW w:w="5040" w:type="dxa"/>
            <w:vAlign w:val="bottom"/>
            <w:gridSpan w:val="2"/>
          </w:tcPr>
          <w:p>
            <w:pPr>
              <w:ind w:left="280"/>
              <w:spacing w:after="0"/>
              <w:rPr>
                <w:sz w:val="20"/>
                <w:szCs w:val="20"/>
                <w:color w:val="auto"/>
              </w:rPr>
            </w:pPr>
            <w:r>
              <w:rPr>
                <w:rFonts w:ascii="Arial" w:cs="Arial" w:eastAsia="Arial" w:hAnsi="Arial"/>
                <w:sz w:val="18"/>
                <w:szCs w:val="18"/>
                <w:color w:val="auto"/>
              </w:rPr>
              <w:t>By:   /s/ Dr. Peter Mueller</w:t>
            </w:r>
          </w:p>
        </w:tc>
        <w:tc>
          <w:tcPr>
            <w:tcW w:w="0" w:type="dxa"/>
            <w:vAlign w:val="bottom"/>
          </w:tcPr>
          <w:p>
            <w:pPr>
              <w:spacing w:after="0"/>
              <w:rPr>
                <w:sz w:val="1"/>
                <w:szCs w:val="1"/>
                <w:color w:val="auto"/>
              </w:rPr>
            </w:pPr>
          </w:p>
        </w:tc>
      </w:tr>
      <w:tr>
        <w:trPr>
          <w:trHeight w:val="20"/>
        </w:trPr>
        <w:tc>
          <w:tcPr>
            <w:tcW w:w="520" w:type="dxa"/>
            <w:vAlign w:val="bottom"/>
            <w:vMerge w:val="restart"/>
          </w:tcPr>
          <w:p>
            <w:pPr>
              <w:ind w:left="20"/>
              <w:spacing w:after="0"/>
              <w:rPr>
                <w:sz w:val="20"/>
                <w:szCs w:val="20"/>
                <w:color w:val="auto"/>
              </w:rPr>
            </w:pPr>
            <w:r>
              <w:rPr>
                <w:rFonts w:ascii="Arial" w:cs="Arial" w:eastAsia="Arial" w:hAnsi="Arial"/>
                <w:sz w:val="18"/>
                <w:szCs w:val="18"/>
                <w:color w:val="auto"/>
                <w:w w:val="90"/>
              </w:rPr>
              <w:t>Name:</w:t>
            </w:r>
          </w:p>
        </w:tc>
        <w:tc>
          <w:tcPr>
            <w:tcW w:w="4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vMerge w:val="continue"/>
          </w:tcPr>
          <w:p>
            <w:pPr>
              <w:spacing w:after="0"/>
              <w:rPr>
                <w:sz w:val="16"/>
                <w:szCs w:val="16"/>
                <w:color w:val="auto"/>
              </w:rPr>
            </w:pPr>
          </w:p>
        </w:tc>
        <w:tc>
          <w:tcPr>
            <w:tcW w:w="4360" w:type="dxa"/>
            <w:vAlign w:val="bottom"/>
          </w:tcPr>
          <w:p>
            <w:pPr>
              <w:ind w:left="20"/>
              <w:spacing w:after="0" w:line="195" w:lineRule="exact"/>
              <w:rPr>
                <w:sz w:val="20"/>
                <w:szCs w:val="20"/>
                <w:color w:val="auto"/>
              </w:rPr>
            </w:pPr>
            <w:r>
              <w:rPr>
                <w:rFonts w:ascii="Arial" w:cs="Arial" w:eastAsia="Arial" w:hAnsi="Arial"/>
                <w:sz w:val="18"/>
                <w:szCs w:val="18"/>
                <w:color w:val="auto"/>
              </w:rPr>
              <w:t>Ankush Sethi</w:t>
            </w:r>
          </w:p>
        </w:tc>
        <w:tc>
          <w:tcPr>
            <w:tcW w:w="504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Name:Dr. Peter Mueller</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COO</w:t>
            </w:r>
          </w:p>
        </w:tc>
        <w:tc>
          <w:tcPr>
            <w:tcW w:w="5040" w:type="dxa"/>
            <w:vAlign w:val="bottom"/>
            <w:gridSpan w:val="2"/>
          </w:tcPr>
          <w:p>
            <w:pPr>
              <w:ind w:left="280"/>
              <w:spacing w:after="0"/>
              <w:rPr>
                <w:sz w:val="20"/>
                <w:szCs w:val="20"/>
                <w:color w:val="auto"/>
              </w:rPr>
            </w:pPr>
            <w:r>
              <w:rPr>
                <w:rFonts w:ascii="Arial" w:cs="Arial" w:eastAsia="Arial" w:hAnsi="Arial"/>
                <w:sz w:val="18"/>
                <w:szCs w:val="18"/>
                <w:color w:val="auto"/>
              </w:rPr>
              <w:t>Title:  Chairman</w:t>
            </w:r>
          </w:p>
        </w:tc>
        <w:tc>
          <w:tcPr>
            <w:tcW w:w="0" w:type="dxa"/>
            <w:vAlign w:val="bottom"/>
          </w:tcPr>
          <w:p>
            <w:pPr>
              <w:spacing w:after="0"/>
              <w:rPr>
                <w:sz w:val="1"/>
                <w:szCs w:val="1"/>
                <w:color w:val="auto"/>
              </w:rPr>
            </w:pPr>
          </w:p>
        </w:tc>
      </w:tr>
      <w:tr>
        <w:trPr>
          <w:trHeight w:val="777"/>
        </w:trPr>
        <w:tc>
          <w:tcPr>
            <w:tcW w:w="5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55" w:right="9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&amp; Restated Asset Contribution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[Separately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494665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Plan</w:t>
      </w:r>
    </w:p>
    <w:p>
      <w:pPr>
        <w:spacing w:after="0" w:line="229" w:lineRule="exact"/>
        <w:rPr>
          <w:sz w:val="20"/>
          <w:szCs w:val="20"/>
          <w:color w:val="auto"/>
        </w:rPr>
      </w:pPr>
    </w:p>
    <w:p>
      <w:pPr>
        <w:ind w:left="140" w:right="260"/>
        <w:spacing w:after="0" w:line="277" w:lineRule="auto"/>
        <w:rPr>
          <w:sz w:val="20"/>
          <w:szCs w:val="20"/>
          <w:color w:val="auto"/>
        </w:rPr>
      </w:pPr>
      <w:r>
        <w:rPr>
          <w:rFonts w:ascii="Arial" w:cs="Arial" w:eastAsia="Arial" w:hAnsi="Arial"/>
          <w:sz w:val="18"/>
          <w:szCs w:val="18"/>
          <w:color w:val="auto"/>
        </w:rPr>
        <w:t>BioXcel Therapeutics (BTI) business focus is to develop and commercialize lead candidates contributed by BioXcel (parent) BXCL 501, 502, 701 and 702 and any future candidates.</w:t>
      </w:r>
    </w:p>
    <w:p>
      <w:pPr>
        <w:spacing w:after="0" w:line="184" w:lineRule="exact"/>
        <w:rPr>
          <w:sz w:val="20"/>
          <w:szCs w:val="20"/>
          <w:color w:val="auto"/>
        </w:rPr>
      </w:pPr>
    </w:p>
    <w:p>
      <w:pPr>
        <w:ind w:left="140" w:right="140"/>
        <w:spacing w:after="0" w:line="286" w:lineRule="auto"/>
        <w:rPr>
          <w:sz w:val="20"/>
          <w:szCs w:val="20"/>
          <w:color w:val="auto"/>
        </w:rPr>
      </w:pPr>
      <w:r>
        <w:rPr>
          <w:rFonts w:ascii="Arial" w:cs="Arial" w:eastAsia="Arial" w:hAnsi="Arial"/>
          <w:sz w:val="17"/>
          <w:szCs w:val="17"/>
          <w:color w:val="auto"/>
        </w:rPr>
        <w:t>Operations: BioXcel has assigned key management team to BTI to conduct its business and R&amp;D functions. BTI management team is responsible for management and execution of R&amp;D associated with BXCL501, 502, 701 and 702. In addition, all relevant material contracts assigned to BTI. BTI will continue to use shared services from BioXcel as outlined in Table 1 below.</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Table 1: Separation Plan Timelines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32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Facility / Services / Assets /</w:t>
            </w:r>
          </w:p>
        </w:tc>
        <w:tc>
          <w:tcPr>
            <w:tcW w:w="3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Expected Timeframe</w:t>
            </w:r>
          </w:p>
        </w:tc>
        <w:tc>
          <w:tcPr>
            <w:tcW w:w="33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Additional Details</w:t>
            </w:r>
          </w:p>
        </w:tc>
      </w:tr>
      <w:tr>
        <w:trPr>
          <w:trHeight w:val="234"/>
        </w:trPr>
        <w:tc>
          <w:tcPr>
            <w:tcW w:w="33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Employees</w:t>
            </w:r>
          </w:p>
        </w:tc>
        <w:tc>
          <w:tcPr>
            <w:tcW w:w="330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r>
      <w:tr>
        <w:trPr>
          <w:trHeight w:val="54"/>
        </w:trPr>
        <w:tc>
          <w:tcPr>
            <w:tcW w:w="3320" w:type="dxa"/>
            <w:vAlign w:val="bottom"/>
            <w:tcBorders>
              <w:left w:val="single" w:sz="8" w:color="auto"/>
              <w:bottom w:val="single" w:sz="8" w:color="auto"/>
              <w:right w:val="single" w:sz="8" w:color="auto"/>
            </w:tcBorders>
            <w:gridSpan w:val="2"/>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224"/>
        </w:trPr>
        <w:tc>
          <w:tcPr>
            <w:tcW w:w="33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rPr>
              <w:t>Shared Services (Section 2)</w:t>
            </w:r>
          </w:p>
        </w:tc>
        <w:tc>
          <w:tcPr>
            <w:tcW w:w="33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r>
      <w:tr>
        <w:trPr>
          <w:trHeight w:val="188"/>
        </w:trPr>
        <w:tc>
          <w:tcPr>
            <w:tcW w:w="560" w:type="dxa"/>
            <w:vAlign w:val="bottom"/>
            <w:tcBorders>
              <w:left w:val="single" w:sz="8" w:color="auto"/>
              <w:bottom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r>
      <w:tr>
        <w:trPr>
          <w:trHeight w:val="195"/>
        </w:trPr>
        <w:tc>
          <w:tcPr>
            <w:tcW w:w="560" w:type="dxa"/>
            <w:vAlign w:val="bottom"/>
            <w:tcBorders>
              <w:left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i.</w:t>
            </w:r>
          </w:p>
        </w:tc>
        <w:tc>
          <w:tcPr>
            <w:tcW w:w="276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Services in the nature of support</w:t>
            </w:r>
          </w:p>
        </w:tc>
        <w:tc>
          <w:tcPr>
            <w:tcW w:w="3300" w:type="dxa"/>
            <w:vAlign w:val="bottom"/>
            <w:tcBorders>
              <w:right w:val="single" w:sz="8" w:color="auto"/>
            </w:tcBorders>
          </w:tcPr>
          <w:p>
            <w:pPr>
              <w:ind w:left="640"/>
              <w:spacing w:after="0" w:line="195" w:lineRule="exact"/>
              <w:rPr>
                <w:sz w:val="20"/>
                <w:szCs w:val="20"/>
                <w:color w:val="auto"/>
              </w:rPr>
            </w:pPr>
            <w:r>
              <w:rPr>
                <w:rFonts w:ascii="Arial" w:cs="Arial" w:eastAsia="Arial" w:hAnsi="Arial"/>
                <w:sz w:val="18"/>
                <w:szCs w:val="18"/>
                <w:color w:val="auto"/>
                <w:w w:val="91"/>
              </w:rPr>
              <w:t>Indefinitely, as may be agreed upon</w:t>
            </w:r>
          </w:p>
        </w:tc>
        <w:tc>
          <w:tcPr>
            <w:tcW w:w="33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27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 intellectual property</w:t>
            </w:r>
          </w:p>
        </w:tc>
        <w:tc>
          <w:tcPr>
            <w:tcW w:w="33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by the Parties</w:t>
            </w:r>
          </w:p>
        </w:tc>
        <w:tc>
          <w:tcPr>
            <w:tcW w:w="3300" w:type="dxa"/>
            <w:vAlign w:val="bottom"/>
            <w:tcBorders>
              <w:right w:val="single" w:sz="8" w:color="auto"/>
            </w:tcBorders>
          </w:tcPr>
          <w:p>
            <w:pPr>
              <w:spacing w:after="0"/>
              <w:rPr>
                <w:sz w:val="18"/>
                <w:szCs w:val="18"/>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27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prosecution and management</w:t>
            </w:r>
          </w:p>
        </w:tc>
        <w:tc>
          <w:tcPr>
            <w:tcW w:w="330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r>
      <w:tr>
        <w:trPr>
          <w:trHeight w:val="418"/>
        </w:trPr>
        <w:tc>
          <w:tcPr>
            <w:tcW w:w="56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rPr>
              <w:t>ii.</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Services by BioXcel thru its</w:t>
            </w:r>
          </w:p>
        </w:tc>
        <w:tc>
          <w:tcPr>
            <w:tcW w:w="33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Indefinitely, as may be agreed upon</w:t>
            </w:r>
          </w:p>
        </w:tc>
        <w:tc>
          <w:tcPr>
            <w:tcW w:w="3300" w:type="dxa"/>
            <w:vAlign w:val="bottom"/>
            <w:tcBorders>
              <w:right w:val="single" w:sz="8" w:color="auto"/>
            </w:tcBorders>
          </w:tcPr>
          <w:p>
            <w:pPr>
              <w:spacing w:after="0"/>
              <w:rPr>
                <w:sz w:val="24"/>
                <w:szCs w:val="24"/>
                <w:color w:val="auto"/>
              </w:rPr>
            </w:pPr>
          </w:p>
        </w:tc>
      </w:tr>
      <w:tr>
        <w:trPr>
          <w:trHeight w:val="230"/>
        </w:trPr>
        <w:tc>
          <w:tcPr>
            <w:tcW w:w="56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subsidiary in the USA and India</w:t>
            </w:r>
          </w:p>
        </w:tc>
        <w:tc>
          <w:tcPr>
            <w:tcW w:w="330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by the Parties</w:t>
            </w:r>
          </w:p>
        </w:tc>
        <w:tc>
          <w:tcPr>
            <w:tcW w:w="3300" w:type="dxa"/>
            <w:vAlign w:val="bottom"/>
            <w:tcBorders>
              <w:bottom w:val="single" w:sz="8" w:color="auto"/>
              <w:right w:val="single" w:sz="8" w:color="auto"/>
            </w:tcBorders>
          </w:tcPr>
          <w:p>
            <w:pPr>
              <w:spacing w:after="0"/>
              <w:rPr>
                <w:sz w:val="20"/>
                <w:szCs w:val="20"/>
                <w:color w:val="auto"/>
              </w:rPr>
            </w:pPr>
          </w:p>
        </w:tc>
      </w:tr>
      <w:tr>
        <w:trPr>
          <w:trHeight w:val="986"/>
        </w:trPr>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05" w:right="9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Services</w:t>
      </w:r>
    </w:p>
    <w:p>
      <w:pPr>
        <w:spacing w:after="0" w:line="225" w:lineRule="exact"/>
        <w:rPr>
          <w:sz w:val="20"/>
          <w:szCs w:val="20"/>
          <w:color w:val="auto"/>
        </w:rPr>
      </w:pPr>
    </w:p>
    <w:p>
      <w:pPr>
        <w:ind w:left="140" w:right="440" w:hanging="2"/>
        <w:spacing w:after="0" w:line="277" w:lineRule="auto"/>
        <w:tabs>
          <w:tab w:leader="none" w:pos="3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BioXcel shall provide the following Services to BTI using the following rates, as may be adjusted from time to time by mutual agreement of the Parties:</w:t>
      </w:r>
    </w:p>
    <w:p>
      <w:pPr>
        <w:spacing w:after="0" w:line="170" w:lineRule="exact"/>
        <w:rPr>
          <w:rFonts w:ascii="Arial" w:cs="Arial" w:eastAsia="Arial" w:hAnsi="Arial"/>
          <w:sz w:val="18"/>
          <w:szCs w:val="18"/>
          <w:color w:val="auto"/>
        </w:rPr>
      </w:pPr>
    </w:p>
    <w:p>
      <w:pPr>
        <w:ind w:left="840" w:hanging="310"/>
        <w:spacing w:after="0"/>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Services for intellectual property prosecution and management (Flexible).</w:t>
      </w:r>
    </w:p>
    <w:p>
      <w:pPr>
        <w:spacing w:after="0" w:line="238" w:lineRule="exact"/>
        <w:rPr>
          <w:rFonts w:ascii="Arial" w:cs="Arial" w:eastAsia="Arial" w:hAnsi="Arial"/>
          <w:sz w:val="18"/>
          <w:szCs w:val="18"/>
          <w:color w:val="auto"/>
        </w:rPr>
      </w:pPr>
    </w:p>
    <w:p>
      <w:pPr>
        <w:ind w:left="1500" w:right="120" w:hanging="321"/>
        <w:spacing w:after="0" w:line="277" w:lineRule="auto"/>
        <w:tabs>
          <w:tab w:leader="none" w:pos="1471"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fee of $250 per hour for a maximum of twenty hours per month. Fee shall be $500 per hour upon financing event of $5,000,000 or an IPO for BTI.</w:t>
      </w:r>
    </w:p>
    <w:p>
      <w:pPr>
        <w:spacing w:after="0" w:line="183" w:lineRule="exact"/>
        <w:rPr>
          <w:rFonts w:ascii="Arial" w:cs="Arial" w:eastAsia="Arial" w:hAnsi="Arial"/>
          <w:sz w:val="18"/>
          <w:szCs w:val="18"/>
          <w:color w:val="auto"/>
        </w:rPr>
      </w:pPr>
    </w:p>
    <w:p>
      <w:pPr>
        <w:ind w:left="860" w:right="220" w:hanging="329"/>
        <w:spacing w:after="0" w:line="277" w:lineRule="auto"/>
        <w:tabs>
          <w:tab w:leader="none" w:pos="8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Services by BioXcel directly, or through its subsidiary in India, for various departments and corresponding hourly rates are outlined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661"/>
        </w:trPr>
        <w:tc>
          <w:tcPr>
            <w:tcW w:w="1020" w:type="dxa"/>
            <w:vAlign w:val="bottom"/>
            <w:tcBorders>
              <w:right w:val="single" w:sz="8" w:color="auto"/>
            </w:tcBorders>
          </w:tcPr>
          <w:p>
            <w:pPr>
              <w:spacing w:after="0"/>
              <w:rPr>
                <w:sz w:val="24"/>
                <w:szCs w:val="24"/>
                <w:color w:val="auto"/>
              </w:rPr>
            </w:pPr>
          </w:p>
        </w:tc>
        <w:tc>
          <w:tcPr>
            <w:tcW w:w="396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Title - Department (USA)</w:t>
            </w:r>
          </w:p>
        </w:tc>
        <w:tc>
          <w:tcPr>
            <w:tcW w:w="3960" w:type="dxa"/>
            <w:vAlign w:val="bottom"/>
            <w:tcBorders>
              <w:top w:val="single" w:sz="8" w:color="auto"/>
              <w:bottom w:val="single" w:sz="8" w:color="auto"/>
              <w:right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Rate ($)</w:t>
            </w:r>
          </w:p>
        </w:tc>
        <w:tc>
          <w:tcPr>
            <w:tcW w:w="980" w:type="dxa"/>
            <w:vAlign w:val="bottom"/>
          </w:tcPr>
          <w:p>
            <w:pPr>
              <w:spacing w:after="0"/>
              <w:rPr>
                <w:sz w:val="24"/>
                <w:szCs w:val="24"/>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CSO AI Applications</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642"/>
        </w:trPr>
        <w:tc>
          <w:tcPr>
            <w:tcW w:w="1020" w:type="dxa"/>
            <w:vAlign w:val="bottom"/>
            <w:tcBorders>
              <w:right w:val="single" w:sz="8" w:color="auto"/>
            </w:tcBorders>
          </w:tcPr>
          <w:p>
            <w:pPr>
              <w:spacing w:after="0"/>
              <w:rPr>
                <w:sz w:val="24"/>
                <w:szCs w:val="24"/>
                <w:color w:val="auto"/>
              </w:rPr>
            </w:pPr>
          </w:p>
        </w:tc>
        <w:tc>
          <w:tcPr>
            <w:tcW w:w="39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Title - Department (India)</w:t>
            </w:r>
          </w:p>
        </w:tc>
        <w:tc>
          <w:tcPr>
            <w:tcW w:w="3960" w:type="dxa"/>
            <w:vAlign w:val="bottom"/>
            <w:tcBorders>
              <w:bottom w:val="single" w:sz="8" w:color="auto"/>
              <w:right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Rate ($)</w:t>
            </w:r>
          </w:p>
        </w:tc>
        <w:tc>
          <w:tcPr>
            <w:tcW w:w="980" w:type="dxa"/>
            <w:vAlign w:val="bottom"/>
          </w:tcPr>
          <w:p>
            <w:pPr>
              <w:spacing w:after="0"/>
              <w:rPr>
                <w:sz w:val="24"/>
                <w:szCs w:val="24"/>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Managing Director</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Director-Data Sciences</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Assistant Director-Drug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Assistant Director-Drug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Manager-Drug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Principal Analyst-Drug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Principal Analyst-Drug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Principal Analyst-Drug Discovery</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Principal Analyst-Medical Analytics</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Principal Analyst-Data Science</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Assistant Director-Commercial Analytics</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Manager-IP Analytics</w:t>
            </w:r>
          </w:p>
        </w:tc>
        <w:tc>
          <w:tcPr>
            <w:tcW w:w="3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195"/>
        </w:trPr>
        <w:tc>
          <w:tcPr>
            <w:tcW w:w="102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jc w:val="right"/>
              <w:ind w:right="610"/>
              <w:spacing w:after="0" w:line="195" w:lineRule="exact"/>
              <w:rPr>
                <w:sz w:val="20"/>
                <w:szCs w:val="20"/>
                <w:color w:val="auto"/>
              </w:rPr>
            </w:pPr>
            <w:r>
              <w:rPr>
                <w:rFonts w:ascii="Arial" w:cs="Arial" w:eastAsia="Arial" w:hAnsi="Arial"/>
                <w:sz w:val="18"/>
                <w:szCs w:val="18"/>
                <w:color w:val="auto"/>
                <w:w w:val="89"/>
              </w:rPr>
              <w:t>Apply nearest rate applicable based on Title -</w:t>
            </w:r>
          </w:p>
        </w:tc>
        <w:tc>
          <w:tcPr>
            <w:tcW w:w="980" w:type="dxa"/>
            <w:vAlign w:val="bottom"/>
          </w:tcPr>
          <w:p>
            <w:pPr>
              <w:spacing w:after="0"/>
              <w:rPr>
                <w:sz w:val="16"/>
                <w:szCs w:val="16"/>
                <w:color w:val="auto"/>
              </w:rPr>
            </w:pPr>
          </w:p>
        </w:tc>
      </w:tr>
      <w:tr>
        <w:trPr>
          <w:trHeight w:val="230"/>
        </w:trPr>
        <w:tc>
          <w:tcPr>
            <w:tcW w:w="1020" w:type="dxa"/>
            <w:vAlign w:val="bottom"/>
            <w:tcBorders>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color w:val="auto"/>
                <w:w w:val="87"/>
              </w:rPr>
              <w:t>Department above</w:t>
            </w:r>
          </w:p>
        </w:tc>
        <w:tc>
          <w:tcPr>
            <w:tcW w:w="980" w:type="dxa"/>
            <w:vAlign w:val="bottom"/>
          </w:tcPr>
          <w:p>
            <w:pPr>
              <w:spacing w:after="0"/>
              <w:rPr>
                <w:sz w:val="20"/>
                <w:szCs w:val="20"/>
                <w:color w:val="auto"/>
              </w:rPr>
            </w:pPr>
          </w:p>
        </w:tc>
      </w:tr>
      <w:tr>
        <w:trPr>
          <w:trHeight w:val="224"/>
        </w:trPr>
        <w:tc>
          <w:tcPr>
            <w:tcW w:w="10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 be adjusted to CPI every year.</w:t>
            </w:r>
          </w:p>
        </w:tc>
        <w:tc>
          <w:tcPr>
            <w:tcW w:w="39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546"/>
        </w:trPr>
        <w:tc>
          <w:tcPr>
            <w:tcW w:w="10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05"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BioXcel Therapeutics, Inc.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ind w:left="78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BioXcel Therapeutics, Inc.</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New Haven, CT</w:t>
      </w:r>
    </w:p>
    <w:p>
      <w:pPr>
        <w:spacing w:after="0" w:line="188" w:lineRule="exact"/>
        <w:rPr>
          <w:sz w:val="20"/>
          <w:szCs w:val="20"/>
          <w:color w:val="auto"/>
        </w:rPr>
      </w:pPr>
    </w:p>
    <w:p>
      <w:pPr>
        <w:jc w:val="both"/>
        <w:ind w:left="540" w:right="219"/>
        <w:spacing w:after="0" w:line="236" w:lineRule="auto"/>
        <w:rPr>
          <w:sz w:val="20"/>
          <w:szCs w:val="20"/>
          <w:color w:val="auto"/>
        </w:rPr>
      </w:pPr>
      <w:r>
        <w:rPr>
          <w:rFonts w:ascii="Arial" w:cs="Arial" w:eastAsia="Arial" w:hAnsi="Arial"/>
          <w:sz w:val="22"/>
          <w:szCs w:val="22"/>
          <w:color w:val="auto"/>
        </w:rPr>
        <w:t>We hereby consent to the incorporation by reference in the Registration Statements on Form S3 (No. 333-230674) and Form S-8 (No. 333-235282) of BioXcel Therapeutics, Inc. of our report dated March 9, 2020, relating to the financial statements of BioXcel Therapeutics, Inc., which appears in this Annual Report on Form 10-K for the fiscal year ended December 31, 2019.</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 BDO USA, LLP</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Stamford, CT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March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right="159"/>
        <w:spacing w:after="0" w:line="249" w:lineRule="auto"/>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620395</wp:posOffset>
            </wp:positionV>
            <wp:extent cx="524637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144" w:lineRule="exact"/>
        <w:rPr>
          <w:sz w:val="20"/>
          <w:szCs w:val="20"/>
          <w:color w:val="auto"/>
        </w:rPr>
      </w:pPr>
    </w:p>
    <w:p>
      <w:pPr>
        <w:ind w:left="640" w:right="659" w:hanging="377"/>
        <w:spacing w:after="0" w:line="246"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2019 of BioXcel Therapeutics, Inc.;</w:t>
      </w:r>
    </w:p>
    <w:p>
      <w:pPr>
        <w:spacing w:after="0" w:line="129" w:lineRule="exact"/>
        <w:rPr>
          <w:rFonts w:ascii="Arial" w:cs="Arial" w:eastAsia="Arial" w:hAnsi="Arial"/>
          <w:sz w:val="18"/>
          <w:szCs w:val="18"/>
          <w:color w:val="auto"/>
        </w:rPr>
      </w:pPr>
    </w:p>
    <w:p>
      <w:pPr>
        <w:ind w:left="640" w:right="359" w:hanging="377"/>
        <w:spacing w:after="0" w:line="235"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40" w:right="239" w:hanging="377"/>
        <w:spacing w:after="0" w:line="235"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640" w:right="259" w:hanging="377"/>
        <w:spacing w:after="0" w:line="276"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6"/>
          <w:szCs w:val="16"/>
          <w:color w:val="auto"/>
        </w:rPr>
      </w:pPr>
    </w:p>
    <w:p>
      <w:pPr>
        <w:ind w:left="1080" w:right="259" w:hanging="385"/>
        <w:spacing w:after="0" w:line="231"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080" w:right="259" w:hanging="385"/>
        <w:spacing w:after="0" w:line="231"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1080" w:right="459" w:hanging="385"/>
        <w:spacing w:after="0" w:line="235"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080" w:right="239" w:hanging="385"/>
        <w:spacing w:after="0" w:line="231"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40" w:right="419" w:hanging="377"/>
        <w:spacing w:after="0" w:line="235"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1080" w:right="239" w:hanging="385"/>
        <w:spacing w:after="0" w:line="235"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080" w:right="359" w:hanging="385"/>
        <w:spacing w:after="0" w:line="246"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520" w:right="2699" w:hanging="4656"/>
        <w:spacing w:after="0" w:line="236" w:lineRule="auto"/>
        <w:tabs>
          <w:tab w:leader="none" w:pos="450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 /s/ Vimal Mehta Vimal Mehta,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-120015</wp:posOffset>
            </wp:positionV>
            <wp:extent cx="24942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860"/>
        <w:spacing w:after="0" w:line="21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450215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144" w:lineRule="exact"/>
        <w:rPr>
          <w:sz w:val="20"/>
          <w:szCs w:val="20"/>
          <w:color w:val="auto"/>
        </w:rPr>
      </w:pPr>
    </w:p>
    <w:p>
      <w:pPr>
        <w:ind w:left="640" w:right="659" w:hanging="377"/>
        <w:spacing w:after="0" w:line="246"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2019 of BioXcel Therapeutics, Inc.;</w:t>
      </w:r>
    </w:p>
    <w:p>
      <w:pPr>
        <w:spacing w:after="0" w:line="129" w:lineRule="exact"/>
        <w:rPr>
          <w:rFonts w:ascii="Arial" w:cs="Arial" w:eastAsia="Arial" w:hAnsi="Arial"/>
          <w:sz w:val="18"/>
          <w:szCs w:val="18"/>
          <w:color w:val="auto"/>
        </w:rPr>
      </w:pPr>
    </w:p>
    <w:p>
      <w:pPr>
        <w:ind w:left="640" w:right="359" w:hanging="377"/>
        <w:spacing w:after="0" w:line="235"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40" w:right="239" w:hanging="377"/>
        <w:spacing w:after="0" w:line="235"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640" w:right="259" w:hanging="377"/>
        <w:spacing w:after="0" w:line="276"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6"/>
          <w:szCs w:val="16"/>
          <w:color w:val="auto"/>
        </w:rPr>
      </w:pPr>
    </w:p>
    <w:p>
      <w:pPr>
        <w:ind w:left="1240" w:right="319" w:hanging="383"/>
        <w:spacing w:after="0" w:line="231"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240" w:right="299" w:hanging="383"/>
        <w:spacing w:after="0" w:line="231"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1240" w:right="279" w:hanging="383"/>
        <w:spacing w:after="0" w:line="235"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240" w:right="579" w:hanging="383"/>
        <w:spacing w:after="0" w:line="246" w:lineRule="auto"/>
        <w:tabs>
          <w:tab w:leader="none" w:pos="12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640" w:right="419" w:hanging="377"/>
        <w:spacing w:after="0" w:line="235"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1240" w:right="419" w:hanging="383"/>
        <w:spacing w:after="0" w:line="235"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240" w:right="999" w:hanging="383"/>
        <w:spacing w:after="0" w:line="246"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0"/>
        <w:spacing w:after="0"/>
        <w:tabs>
          <w:tab w:leader="none" w:pos="450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6"/>
          <w:szCs w:val="16"/>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6350</wp:posOffset>
            </wp:positionV>
            <wp:extent cx="24942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4860"/>
        <w:spacing w:after="0" w:line="232" w:lineRule="auto"/>
        <w:rPr>
          <w:sz w:val="20"/>
          <w:szCs w:val="20"/>
          <w:color w:val="auto"/>
        </w:rPr>
      </w:pPr>
      <w:r>
        <w:rPr>
          <w:rFonts w:ascii="Arial" w:cs="Arial" w:eastAsia="Arial" w:hAnsi="Arial"/>
          <w:sz w:val="18"/>
          <w:szCs w:val="18"/>
          <w:color w:val="auto"/>
        </w:rPr>
        <w:t>Richard Steinhart</w:t>
      </w:r>
    </w:p>
    <w:p>
      <w:pPr>
        <w:ind w:left="486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450215</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3" w:name="page134"/>
    <w:bookmarkEnd w:id="133"/>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200" w:right="21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left="200" w:right="279" w:firstLine="648"/>
        <w:spacing w:after="0" w:line="219"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1080" w:right="859" w:hanging="385"/>
        <w:spacing w:after="0" w:line="246"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29" w:lineRule="exact"/>
        <w:rPr>
          <w:rFonts w:ascii="Arial" w:cs="Arial" w:eastAsia="Arial" w:hAnsi="Arial"/>
          <w:sz w:val="18"/>
          <w:szCs w:val="18"/>
          <w:color w:val="auto"/>
        </w:rPr>
      </w:pPr>
    </w:p>
    <w:p>
      <w:pPr>
        <w:ind w:left="1080" w:right="299" w:hanging="385"/>
        <w:spacing w:after="0" w:line="246"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320" w:right="2819" w:hanging="4548"/>
        <w:spacing w:after="0" w:line="236" w:lineRule="auto"/>
        <w:tabs>
          <w:tab w:leader="none" w:pos="430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 /s/ Vimal Mehta Vimal Mehta,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-120015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760"/>
        <w:spacing w:after="0" w:line="21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561975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4" w:name="page135"/>
    <w:bookmarkEnd w:id="134"/>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ind w:left="200" w:right="21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left="200" w:right="279" w:firstLine="648"/>
        <w:spacing w:after="0" w:line="219"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1080" w:right="859" w:hanging="385"/>
        <w:spacing w:after="0" w:line="24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29" w:lineRule="exact"/>
        <w:rPr>
          <w:rFonts w:ascii="Arial" w:cs="Arial" w:eastAsia="Arial" w:hAnsi="Arial"/>
          <w:sz w:val="18"/>
          <w:szCs w:val="18"/>
          <w:color w:val="auto"/>
        </w:rPr>
      </w:pPr>
    </w:p>
    <w:p>
      <w:pPr>
        <w:ind w:left="1080" w:right="299" w:hanging="385"/>
        <w:spacing w:after="0" w:line="24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200"/>
        <w:spacing w:after="0"/>
        <w:tabs>
          <w:tab w:leader="none" w:pos="450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6"/>
          <w:szCs w:val="16"/>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6350</wp:posOffset>
            </wp:positionV>
            <wp:extent cx="24942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860"/>
        <w:spacing w:after="0" w:line="232" w:lineRule="auto"/>
        <w:rPr>
          <w:sz w:val="20"/>
          <w:szCs w:val="20"/>
          <w:color w:val="auto"/>
        </w:rPr>
      </w:pPr>
      <w:r>
        <w:rPr>
          <w:rFonts w:ascii="Arial" w:cs="Arial" w:eastAsia="Arial" w:hAnsi="Arial"/>
          <w:sz w:val="18"/>
          <w:szCs w:val="18"/>
          <w:color w:val="auto"/>
        </w:rPr>
        <w:t>Richard Steinhart</w:t>
      </w:r>
    </w:p>
    <w:p>
      <w:pPr>
        <w:ind w:left="486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561975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lvl w:ilvl="1">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lvl w:ilvl="1">
      <w:lvlJc w:val="left"/>
      <w:lvlText w:val="·"/>
      <w:numFmt w:val="bullet"/>
      <w:start w:val="1"/>
    </w:lvl>
  </w:abstractNum>
  <w:abstractNum w:abstractNumId="53">
    <w:nsid w:val="1DBABF00"/>
    <w:multiLevelType w:val="hybridMultilevel"/>
    <w:lvl w:ilvl="0">
      <w:lvlJc w:val="left"/>
      <w:lvlText w:val="·"/>
      <w:numFmt w:val="bullet"/>
      <w:start w:val="1"/>
    </w:lvl>
    <w:lvl w:ilvl="1">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decimal"/>
      <w:start w:val="1"/>
    </w:lvl>
    <w:lvl w:ilvl="1">
      <w:lvlJc w:val="left"/>
      <w:lvlText w:val="%2"/>
      <w:numFmt w:val="lowerLetter"/>
      <w:start w:val="1"/>
    </w:lvl>
  </w:abstractNum>
  <w:abstractNum w:abstractNumId="63">
    <w:nsid w:val="799D0247"/>
    <w:multiLevelType w:val="hybridMultilevel"/>
    <w:lvl w:ilvl="0">
      <w:lvlJc w:val="left"/>
      <w:lvlText w:val="%1."/>
      <w:numFmt w:val="lowerLetter"/>
      <w:start w:val="2"/>
    </w:lvl>
  </w:abstractNum>
  <w:abstractNum w:abstractNumId="64">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42C296B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168E121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7">
    <w:nsid w:val="1EBA5D23"/>
    <w:multiLevelType w:val="hybridMultilevel"/>
    <w:lvl w:ilvl="0">
      <w:lvlJc w:val="left"/>
      <w:lvlText w:val="%1."/>
      <w:numFmt w:val="decimal"/>
      <w:start w:val="6"/>
    </w:lvl>
    <w:lvl w:ilvl="1">
      <w:lvlJc w:val="left"/>
      <w:lvlText w:val="%2."/>
      <w:numFmt w:val="lowerLetter"/>
      <w:start w:val="1"/>
    </w:lvl>
  </w:abstractNum>
  <w:abstractNum w:abstractNumId="68">
    <w:nsid w:val="661E3F1E"/>
    <w:multiLevelType w:val="hybridMultilevel"/>
    <w:lvl w:ilvl="0">
      <w:lvlJc w:val="left"/>
      <w:lvlText w:val="%1"/>
      <w:numFmt w:val="decimal"/>
      <w:start w:val="1"/>
    </w:lvl>
    <w:lvl w:ilvl="1">
      <w:lvlJc w:val="left"/>
      <w:lvlText w:val="%2."/>
      <w:numFmt w:val="lowerLetter"/>
      <w:start w:val="5"/>
    </w:lvl>
  </w:abstractNum>
  <w:abstractNum w:abstractNumId="69">
    <w:nsid w:val="5DC79EA8"/>
    <w:multiLevelType w:val="hybridMultilevel"/>
    <w:lvl w:ilvl="0">
      <w:lvlJc w:val="left"/>
      <w:lvlText w:val="%1."/>
      <w:numFmt w:val="decimal"/>
      <w:start w:val="9"/>
    </w:lvl>
    <w:lvl w:ilvl="1">
      <w:lvlJc w:val="left"/>
      <w:lvlText w:val="%2."/>
      <w:numFmt w:val="lowerLetter"/>
      <w:start w:val="1"/>
    </w:lvl>
  </w:abstractNum>
  <w:abstractNum w:abstractNumId="70">
    <w:nsid w:val="540A471C"/>
    <w:multiLevelType w:val="hybridMultilevel"/>
    <w:lvl w:ilvl="0">
      <w:lvlJc w:val="left"/>
      <w:lvlText w:val="%1."/>
      <w:numFmt w:val="lowerLetter"/>
      <w:start w:val="3"/>
    </w:lvl>
  </w:abstractNum>
  <w:abstractNum w:abstractNumId="71">
    <w:nsid w:val="7BD3EE7B"/>
    <w:multiLevelType w:val="hybridMultilevel"/>
    <w:lvl w:ilvl="0">
      <w:lvlJc w:val="left"/>
      <w:lvlText w:val="%1."/>
      <w:numFmt w:val="lowerLetter"/>
      <w:start w:val="7"/>
    </w:lvl>
  </w:abstractNum>
  <w:abstractNum w:abstractNumId="72">
    <w:nsid w:val="51D9C564"/>
    <w:multiLevelType w:val="hybridMultilevel"/>
    <w:lvl w:ilvl="0">
      <w:lvlJc w:val="left"/>
      <w:lvlText w:val="%1."/>
      <w:numFmt w:val="lowerLetter"/>
      <w:start w:val="10"/>
    </w:lvl>
  </w:abstractNum>
  <w:abstractNum w:abstractNumId="73">
    <w:nsid w:val="613EFDC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14" Type="http://schemas.openxmlformats.org/officeDocument/2006/relationships/hyperlink" Target="http://www.sec.gov/Archives/edgar/data/1720893/000110465918016770/a18-8090_1ex3d1.htm" TargetMode="External"/><Relationship Id="rId115" Type="http://schemas.openxmlformats.org/officeDocument/2006/relationships/hyperlink" Target="http://www.sec.gov/Archives/edgar/data/1720893/000110465918016770/a18-8090_1ex3d2.htm" TargetMode="External"/><Relationship Id="rId116" Type="http://schemas.openxmlformats.org/officeDocument/2006/relationships/hyperlink" Target="http://www.sec.gov/Archives/edgar/data/1720893/000104746918001032/a2234645zex-4_2.htm" TargetMode="External"/><Relationship Id="rId117" Type="http://schemas.openxmlformats.org/officeDocument/2006/relationships/hyperlink" Target="http://www.sec.gov/Archives/edgar/data/1720893/000110465920023567/tm209375d4_ex10-1.htm" TargetMode="External"/><Relationship Id="rId118" Type="http://schemas.openxmlformats.org/officeDocument/2006/relationships/hyperlink" Target="http://www.sec.gov/Archives/edgar/data/1720893/000104746918000756/a2234454zex-10_2.htm" TargetMode="External"/><Relationship Id="rId119" Type="http://schemas.openxmlformats.org/officeDocument/2006/relationships/hyperlink" Target="http://www.sec.gov/Archives/edgar/data/1720893/000104746918001032/a2234645zex-10_13.htm" TargetMode="External"/><Relationship Id="rId120" Type="http://schemas.openxmlformats.org/officeDocument/2006/relationships/hyperlink" Target="http://www.sec.gov/Archives/edgar/data/1720893/000155837018009109/btai-20180930ex10136c792.htm" TargetMode="External"/><Relationship Id="rId121" Type="http://schemas.openxmlformats.org/officeDocument/2006/relationships/hyperlink" Target="http://www.sec.gov/Archives/edgar/data/1720893/000110465918053383/a18-21149_1ex10d1.htm" TargetMode="External"/><Relationship Id="rId122" Type="http://schemas.openxmlformats.org/officeDocument/2006/relationships/hyperlink" Target="http://www.sec.gov/Archives/edgar/data/1720893/000104746918000756/a2234454zex-10_3.htm" TargetMode="External"/><Relationship Id="rId123" Type="http://schemas.openxmlformats.org/officeDocument/2006/relationships/hyperlink" Target="http://www.sec.gov/Archives/edgar/data/1720893/000104746918000756/a2234454zex-10_4.htm" TargetMode="External"/><Relationship Id="rId124" Type="http://schemas.openxmlformats.org/officeDocument/2006/relationships/hyperlink" Target="http://www.sec.gov/Archives/edgar/data/1720893/000104746918000756/a2234454zex-10_5.htm" TargetMode="External"/><Relationship Id="rId125" Type="http://schemas.openxmlformats.org/officeDocument/2006/relationships/hyperlink" Target="http://www.sec.gov/Archives/edgar/data/1720893/000104746918000756/a2234454zex-10_6.htm" TargetMode="External"/><Relationship Id="rId126" Type="http://schemas.openxmlformats.org/officeDocument/2006/relationships/hyperlink" Target="http://www.sec.gov/Archives/edgar/data/1720893/000110465918016770/a18-8090_1ex10d1.htm" TargetMode="External"/><Relationship Id="rId127" Type="http://schemas.openxmlformats.org/officeDocument/2006/relationships/hyperlink" Target="http://www.sec.gov/Archives/edgar/data/1720893/000104746918000756/a2234454zex-10_11.htm" TargetMode="External"/><Relationship Id="rId128" Type="http://schemas.openxmlformats.org/officeDocument/2006/relationships/hyperlink" Target="http://www.sec.gov/Archives/edgar/data/1720893/000104746918000756/a2234454zex-10_12.htm" TargetMode="External"/><Relationship Id="rId129" Type="http://schemas.openxmlformats.org/officeDocument/2006/relationships/hyperlink" Target="http://www.sec.gov/Archives/edgar/data/1720893/000110465918038902/a18-1496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2020-03-09T08:27:27Z</dcterms:created>
  <dcterms:modified xsi:type="dcterms:W3CDTF">2020-03-09T08:27:27Z</dcterms:modified>
</cp:coreProperties>
</file>