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17, 2023</w:t>
      </w:r>
    </w:p>
    <w:p>
      <w:pPr>
        <w:spacing w:after="0" w:line="32"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714502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70485</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BioXcel Therapeutics,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6" w:lineRule="exact"/>
        <w:rPr>
          <w:sz w:val="24"/>
          <w:szCs w:val="24"/>
          <w:color w:val="auto"/>
        </w:rPr>
      </w:pPr>
    </w:p>
    <w:tbl>
      <w:tblPr>
        <w:tblLayout w:type="fixed"/>
        <w:tblInd w:w="1840" w:type="dxa"/>
        <w:tblCellMar>
          <w:top w:w="0" w:type="dxa"/>
          <w:left w:w="0" w:type="dxa"/>
          <w:bottom w:w="0" w:type="dxa"/>
          <w:right w:w="0" w:type="dxa"/>
        </w:tblCellMar>
      </w:tblPr>
      <w:tr>
        <w:trPr>
          <w:trHeight w:val="200"/>
        </w:trPr>
        <w:tc>
          <w:tcPr>
            <w:tcW w:w="4000" w:type="dxa"/>
            <w:vAlign w:val="bottom"/>
          </w:tcPr>
          <w:p>
            <w:pPr>
              <w:jc w:val="center"/>
              <w:ind w:right="197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center"/>
              <w:ind w:left="1978"/>
              <w:spacing w:after="0"/>
              <w:rPr>
                <w:sz w:val="20"/>
                <w:szCs w:val="20"/>
                <w:color w:val="auto"/>
              </w:rPr>
            </w:pPr>
            <w:r>
              <w:rPr>
                <w:rFonts w:ascii="Times New Roman" w:cs="Times New Roman" w:eastAsia="Times New Roman" w:hAnsi="Times New Roman"/>
                <w:sz w:val="16"/>
                <w:szCs w:val="16"/>
                <w:b w:val="1"/>
                <w:bCs w:val="1"/>
                <w:color w:val="auto"/>
              </w:rPr>
              <w:t>82-1386754</w:t>
            </w:r>
          </w:p>
        </w:tc>
      </w:tr>
      <w:tr>
        <w:trPr>
          <w:trHeight w:val="196"/>
        </w:trPr>
        <w:tc>
          <w:tcPr>
            <w:tcW w:w="4000" w:type="dxa"/>
            <w:vAlign w:val="bottom"/>
          </w:tcPr>
          <w:p>
            <w:pPr>
              <w:jc w:val="center"/>
              <w:ind w:right="1978"/>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260" w:type="dxa"/>
            <w:vAlign w:val="bottom"/>
          </w:tcPr>
          <w:p>
            <w:pPr>
              <w:jc w:val="center"/>
              <w:ind w:left="1978"/>
              <w:spacing w:after="0"/>
              <w:rPr>
                <w:sz w:val="20"/>
                <w:szCs w:val="20"/>
                <w:color w:val="auto"/>
              </w:rPr>
            </w:pPr>
            <w:r>
              <w:rPr>
                <w:rFonts w:ascii="Times New Roman" w:cs="Times New Roman" w:eastAsia="Times New Roman" w:hAnsi="Times New Roman"/>
                <w:sz w:val="16"/>
                <w:szCs w:val="16"/>
                <w:color w:val="auto"/>
              </w:rPr>
              <w:t>(I.R.S. Employer</w:t>
            </w:r>
          </w:p>
        </w:tc>
      </w:tr>
      <w:tr>
        <w:trPr>
          <w:trHeight w:val="212"/>
        </w:trPr>
        <w:tc>
          <w:tcPr>
            <w:tcW w:w="4000" w:type="dxa"/>
            <w:vAlign w:val="bottom"/>
          </w:tcPr>
          <w:p>
            <w:pPr>
              <w:jc w:val="center"/>
              <w:ind w:right="1958"/>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left="1978"/>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555 Long Wharf Drive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Haven, CT 06511 (475) 238-6837</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BioXcel Therapeutics, Inc. 2020 Incentive Award Plan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BioXcel Therapeutics, Inc. 2020 Employee Stock Purchase Plan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(Full title of the plans)</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Vimal Mehta, Ph.D.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BioXcel Therapeutics,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555 Long Wharf Drive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Haven, CT 06511 (475) 238-6837</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Peter N. Handrinos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Ellen Smiley</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Latham &amp; Watkins LLP</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200 Clarendon Street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Boston, MA 02116</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(617) 948-6060</w:t>
      </w:r>
    </w:p>
    <w:p>
      <w:pPr>
        <w:spacing w:after="0" w:line="193"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4"/>
        </w:trPr>
        <w:tc>
          <w:tcPr>
            <w:tcW w:w="1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4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63"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5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168910</wp:posOffset>
            </wp:positionV>
            <wp:extent cx="714502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604520</wp:posOffset>
            </wp:positionV>
            <wp:extent cx="71450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12" w:lineRule="exact"/>
        <w:rPr>
          <w:sz w:val="20"/>
          <w:szCs w:val="20"/>
          <w:color w:val="auto"/>
        </w:rPr>
      </w:pPr>
    </w:p>
    <w:p>
      <w:pPr>
        <w:jc w:val="both"/>
        <w:ind w:firstLine="588"/>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Registration Statement on Form S-8 is being filed with the Securities and Exchange Commission (the “Commission”) for the purpose of registering an additional 1,407,361 shares of common stock, par value $0.001 per share (the “Common Stock”), of BioXcel Therapeutics, Inc. (the “Company”), issuable under the following employee benefit plans for which a registration statement of the Company on Form S-8 (File Nos. </w:t>
      </w:r>
      <w:hyperlink r:id="rId13">
        <w:r>
          <w:rPr>
            <w:rFonts w:ascii="Times New Roman" w:cs="Times New Roman" w:eastAsia="Times New Roman" w:hAnsi="Times New Roman"/>
            <w:sz w:val="16"/>
            <w:szCs w:val="16"/>
            <w:u w:val="single" w:color="auto"/>
            <w:color w:val="0000EE"/>
          </w:rPr>
          <w:t>333-238580</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14">
        <w:r>
          <w:rPr>
            <w:rFonts w:ascii="Times New Roman" w:cs="Times New Roman" w:eastAsia="Times New Roman" w:hAnsi="Times New Roman"/>
            <w:sz w:val="16"/>
            <w:szCs w:val="16"/>
            <w:u w:val="single" w:color="auto"/>
            <w:color w:val="0000EE"/>
          </w:rPr>
          <w:t>333-266922</w:t>
        </w:r>
      </w:hyperlink>
      <w:r>
        <w:rPr>
          <w:rFonts w:ascii="Times New Roman" w:cs="Times New Roman" w:eastAsia="Times New Roman" w:hAnsi="Times New Roman"/>
          <w:sz w:val="16"/>
          <w:szCs w:val="16"/>
          <w:color w:val="auto"/>
        </w:rPr>
        <w:t>) is effective: (i) the BioXcel Therapeutics, Inc. 2020 Incentive Award Plan (the “2020 Plan”) and (ii) the BioXcel Therapeutics, Inc. 2020 Employee Stock Purchase Plan (the “2020 ESPP”).</w:t>
      </w:r>
    </w:p>
    <w:p>
      <w:pPr>
        <w:spacing w:after="0" w:line="162" w:lineRule="exact"/>
        <w:rPr>
          <w:sz w:val="20"/>
          <w:szCs w:val="20"/>
          <w:color w:val="auto"/>
        </w:rPr>
      </w:pPr>
    </w:p>
    <w:p>
      <w:pPr>
        <w:jc w:val="both"/>
        <w:ind w:firstLine="588"/>
        <w:spacing w:after="0" w:line="291" w:lineRule="auto"/>
        <w:rPr>
          <w:sz w:val="20"/>
          <w:szCs w:val="20"/>
          <w:color w:val="auto"/>
        </w:rPr>
      </w:pPr>
      <w:r>
        <w:rPr>
          <w:rFonts w:ascii="Times New Roman" w:cs="Times New Roman" w:eastAsia="Times New Roman" w:hAnsi="Times New Roman"/>
          <w:sz w:val="16"/>
          <w:szCs w:val="16"/>
          <w:color w:val="auto"/>
        </w:rPr>
        <w:t>Pursuant to General Instruction E of Form S-8, the contents of the above-referenced prior registration statements are incorporated into this Registration Statement by reference to the extent not modified or superseded hereby or by any subsequently filed document, which is incorporated by reference herein or therein.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69"/>
        </w:trPr>
        <w:tc>
          <w:tcPr>
            <w:tcW w:w="84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80" w:type="dxa"/>
            <w:vAlign w:val="bottom"/>
            <w:gridSpan w:val="10"/>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40"/>
              <w:spacing w:after="0" w:line="169" w:lineRule="exact"/>
              <w:rPr>
                <w:sz w:val="20"/>
                <w:szCs w:val="20"/>
                <w:color w:val="auto"/>
              </w:rPr>
            </w:pPr>
            <w:r>
              <w:rPr>
                <w:rFonts w:ascii="Times New Roman" w:cs="Times New Roman" w:eastAsia="Times New Roman" w:hAnsi="Times New Roman"/>
                <w:sz w:val="16"/>
                <w:szCs w:val="16"/>
                <w:b w:val="1"/>
                <w:bCs w:val="1"/>
                <w:color w:val="auto"/>
              </w:rPr>
              <w:t>File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10"/>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83"/>
              </w:rPr>
              <w:t>Form</w:t>
            </w: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20" w:type="dxa"/>
            <w:vAlign w:val="bottom"/>
          </w:tcPr>
          <w:p>
            <w:pPr>
              <w:spacing w:after="0"/>
              <w:rPr>
                <w:sz w:val="18"/>
                <w:szCs w:val="18"/>
                <w:color w:val="auto"/>
              </w:rPr>
            </w:pPr>
          </w:p>
        </w:tc>
        <w:tc>
          <w:tcPr>
            <w:tcW w:w="7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8"/>
                <w:szCs w:val="18"/>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tc>
        <w:tc>
          <w:tcPr>
            <w:tcW w:w="0" w:type="dxa"/>
            <w:vAlign w:val="bottom"/>
          </w:tcPr>
          <w:p>
            <w:pPr>
              <w:spacing w:after="0"/>
              <w:rPr>
                <w:sz w:val="1"/>
                <w:szCs w:val="1"/>
                <w:color w:val="auto"/>
              </w:rPr>
            </w:pPr>
          </w:p>
        </w:tc>
      </w:tr>
      <w:tr>
        <w:trPr>
          <w:trHeight w:val="348"/>
        </w:trPr>
        <w:tc>
          <w:tcPr>
            <w:tcW w:w="600" w:type="dxa"/>
            <w:vAlign w:val="bottom"/>
            <w:gridSpan w:val="4"/>
          </w:tcPr>
          <w:p>
            <w:pPr>
              <w:jc w:val="right"/>
              <w:spacing w:after="0"/>
              <w:rPr>
                <w:rFonts w:ascii="Times New Roman" w:cs="Times New Roman" w:eastAsia="Times New Roman" w:hAnsi="Times New Roman"/>
                <w:sz w:val="16"/>
                <w:szCs w:val="16"/>
                <w:color w:val="0000EE"/>
              </w:rPr>
            </w:pPr>
            <w:hyperlink r:id="rId15">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hyperlink>
          </w:p>
        </w:tc>
        <w:tc>
          <w:tcPr>
            <w:tcW w:w="240" w:type="dxa"/>
            <w:vAlign w:val="bottom"/>
          </w:tcPr>
          <w:p>
            <w:pPr>
              <w:spacing w:after="0"/>
              <w:rPr>
                <w:sz w:val="24"/>
                <w:szCs w:val="24"/>
                <w:color w:val="auto"/>
              </w:rPr>
            </w:pPr>
          </w:p>
        </w:tc>
        <w:tc>
          <w:tcPr>
            <w:tcW w:w="4940" w:type="dxa"/>
            <w:vAlign w:val="bottom"/>
            <w:gridSpan w:val="13"/>
          </w:tcPr>
          <w:p>
            <w:pPr>
              <w:spacing w:after="0"/>
              <w:rPr>
                <w:rFonts w:ascii="Times New Roman" w:cs="Times New Roman" w:eastAsia="Times New Roman" w:hAnsi="Times New Roman"/>
                <w:sz w:val="16"/>
                <w:szCs w:val="16"/>
                <w:color w:val="0000EE"/>
              </w:rPr>
            </w:pPr>
            <w:hyperlink r:id="rId15">
              <w:r>
                <w:rPr>
                  <w:rFonts w:ascii="Times New Roman" w:cs="Times New Roman" w:eastAsia="Times New Roman" w:hAnsi="Times New Roman"/>
                  <w:sz w:val="16"/>
                  <w:szCs w:val="16"/>
                  <w:color w:val="0000EE"/>
                </w:rPr>
                <w:t>Amended and Restated Certificate of Incorporation</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center"/>
              <w:ind w:right="220"/>
              <w:spacing w:after="0"/>
              <w:rPr>
                <w:rFonts w:ascii="Times New Roman" w:cs="Times New Roman" w:eastAsia="Times New Roman" w:hAnsi="Times New Roman"/>
                <w:sz w:val="16"/>
                <w:szCs w:val="16"/>
                <w:color w:val="0000EE"/>
                <w:w w:val="91"/>
              </w:rPr>
            </w:pPr>
            <w:hyperlink r:id="rId15">
              <w:r>
                <w:rPr>
                  <w:rFonts w:ascii="Times New Roman" w:cs="Times New Roman" w:eastAsia="Times New Roman" w:hAnsi="Times New Roman"/>
                  <w:sz w:val="16"/>
                  <w:szCs w:val="16"/>
                  <w:color w:val="0000EE"/>
                  <w:w w:val="91"/>
                </w:rPr>
                <w:t>10-Q</w:t>
              </w:r>
            </w:hyperlink>
          </w:p>
        </w:tc>
        <w:tc>
          <w:tcPr>
            <w:tcW w:w="740" w:type="dxa"/>
            <w:vAlign w:val="bottom"/>
            <w:gridSpan w:val="2"/>
          </w:tcPr>
          <w:p>
            <w:pPr>
              <w:jc w:val="center"/>
              <w:spacing w:after="0"/>
              <w:rPr>
                <w:rFonts w:ascii="Times New Roman" w:cs="Times New Roman" w:eastAsia="Times New Roman" w:hAnsi="Times New Roman"/>
                <w:sz w:val="16"/>
                <w:szCs w:val="16"/>
                <w:color w:val="0000EE"/>
              </w:rPr>
            </w:pPr>
            <w:hyperlink r:id="rId15">
              <w:r>
                <w:rPr>
                  <w:rFonts w:ascii="Times New Roman" w:cs="Times New Roman" w:eastAsia="Times New Roman" w:hAnsi="Times New Roman"/>
                  <w:sz w:val="16"/>
                  <w:szCs w:val="16"/>
                  <w:color w:val="0000EE"/>
                </w:rPr>
                <w:t>001-38410</w:t>
              </w:r>
            </w:hyperlink>
          </w:p>
        </w:tc>
        <w:tc>
          <w:tcPr>
            <w:tcW w:w="40" w:type="dxa"/>
            <w:vAlign w:val="bottom"/>
          </w:tcPr>
          <w:p>
            <w:pPr>
              <w:spacing w:after="0"/>
              <w:rPr>
                <w:sz w:val="24"/>
                <w:szCs w:val="24"/>
                <w:color w:val="auto"/>
              </w:rPr>
            </w:pPr>
          </w:p>
        </w:tc>
        <w:tc>
          <w:tcPr>
            <w:tcW w:w="1780" w:type="dxa"/>
            <w:vAlign w:val="bottom"/>
            <w:gridSpan w:val="4"/>
          </w:tcPr>
          <w:p>
            <w:pPr>
              <w:jc w:val="center"/>
              <w:ind w:left="38"/>
              <w:spacing w:after="0"/>
              <w:rPr>
                <w:rFonts w:ascii="Times New Roman" w:cs="Times New Roman" w:eastAsia="Times New Roman" w:hAnsi="Times New Roman"/>
                <w:sz w:val="16"/>
                <w:szCs w:val="16"/>
                <w:color w:val="0000EE"/>
              </w:rPr>
            </w:pPr>
            <w:hyperlink r:id="rId15">
              <w:r>
                <w:rPr>
                  <w:rFonts w:ascii="Times New Roman" w:cs="Times New Roman" w:eastAsia="Times New Roman" w:hAnsi="Times New Roman"/>
                  <w:sz w:val="16"/>
                  <w:szCs w:val="16"/>
                  <w:color w:val="0000EE"/>
                </w:rPr>
                <w:t>8-10-2021</w:t>
              </w:r>
            </w:hyperlink>
          </w:p>
        </w:tc>
        <w:tc>
          <w:tcPr>
            <w:tcW w:w="620" w:type="dxa"/>
            <w:vAlign w:val="bottom"/>
            <w:gridSpan w:val="3"/>
          </w:tcPr>
          <w:p>
            <w:pPr>
              <w:jc w:val="center"/>
              <w:ind w:left="338"/>
              <w:spacing w:after="0"/>
              <w:rPr>
                <w:rFonts w:ascii="Times New Roman" w:cs="Times New Roman" w:eastAsia="Times New Roman" w:hAnsi="Times New Roman"/>
                <w:sz w:val="16"/>
                <w:szCs w:val="16"/>
                <w:color w:val="0000EE"/>
                <w:w w:val="99"/>
              </w:rPr>
            </w:pPr>
            <w:hyperlink r:id="rId15">
              <w:r>
                <w:rPr>
                  <w:rFonts w:ascii="Times New Roman" w:cs="Times New Roman" w:eastAsia="Times New Roman" w:hAnsi="Times New Roman"/>
                  <w:sz w:val="16"/>
                  <w:szCs w:val="16"/>
                  <w:color w:val="0000EE"/>
                  <w:w w:val="99"/>
                </w:rPr>
                <w:t>3.</w:t>
              </w:r>
              <w:r>
                <w:rPr>
                  <w:rFonts w:ascii="Times New Roman" w:cs="Times New Roman" w:eastAsia="Times New Roman" w:hAnsi="Times New Roman"/>
                  <w:sz w:val="16"/>
                  <w:szCs w:val="16"/>
                  <w:u w:val="single" w:color="auto"/>
                  <w:color w:val="0000EE"/>
                  <w:w w:val="99"/>
                </w:rPr>
                <w:t>1</w:t>
              </w:r>
            </w:hyperlink>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 w:type="dxa"/>
            <w:vAlign w:val="bottom"/>
            <w:gridSpan w:val="4"/>
          </w:tcPr>
          <w:p>
            <w:pPr>
              <w:jc w:val="right"/>
              <w:spacing w:after="0"/>
              <w:rPr>
                <w:rFonts w:ascii="Times New Roman" w:cs="Times New Roman" w:eastAsia="Times New Roman" w:hAnsi="Times New Roman"/>
                <w:sz w:val="16"/>
                <w:szCs w:val="16"/>
                <w:color w:val="0000EE"/>
              </w:rPr>
            </w:pPr>
            <w:hyperlink r:id="rId16">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2</w:t>
              </w:r>
            </w:hyperlink>
          </w:p>
        </w:tc>
        <w:tc>
          <w:tcPr>
            <w:tcW w:w="240" w:type="dxa"/>
            <w:vAlign w:val="bottom"/>
          </w:tcPr>
          <w:p>
            <w:pPr>
              <w:spacing w:after="0"/>
              <w:rPr>
                <w:sz w:val="24"/>
                <w:szCs w:val="24"/>
                <w:color w:val="auto"/>
              </w:rPr>
            </w:pPr>
          </w:p>
        </w:tc>
        <w:tc>
          <w:tcPr>
            <w:tcW w:w="4940" w:type="dxa"/>
            <w:vAlign w:val="bottom"/>
            <w:gridSpan w:val="13"/>
          </w:tcPr>
          <w:p>
            <w:pPr>
              <w:spacing w:after="0"/>
              <w:rPr>
                <w:rFonts w:ascii="Times New Roman" w:cs="Times New Roman" w:eastAsia="Times New Roman" w:hAnsi="Times New Roman"/>
                <w:sz w:val="16"/>
                <w:szCs w:val="16"/>
                <w:color w:val="0000EE"/>
              </w:rPr>
            </w:pPr>
            <w:hyperlink r:id="rId16">
              <w:r>
                <w:rPr>
                  <w:rFonts w:ascii="Times New Roman" w:cs="Times New Roman" w:eastAsia="Times New Roman" w:hAnsi="Times New Roman"/>
                  <w:sz w:val="16"/>
                  <w:szCs w:val="16"/>
                  <w:color w:val="0000EE"/>
                </w:rPr>
                <w:t>Amended and Restated Bylaws</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center"/>
              <w:ind w:right="260"/>
              <w:spacing w:after="0"/>
              <w:rPr>
                <w:rFonts w:ascii="Times New Roman" w:cs="Times New Roman" w:eastAsia="Times New Roman" w:hAnsi="Times New Roman"/>
                <w:sz w:val="16"/>
                <w:szCs w:val="16"/>
                <w:color w:val="0000EE"/>
              </w:rPr>
            </w:pPr>
            <w:hyperlink r:id="rId16">
              <w:r>
                <w:rPr>
                  <w:rFonts w:ascii="Times New Roman" w:cs="Times New Roman" w:eastAsia="Times New Roman" w:hAnsi="Times New Roman"/>
                  <w:sz w:val="16"/>
                  <w:szCs w:val="16"/>
                  <w:color w:val="0000EE"/>
                </w:rPr>
                <w:t>8-K</w:t>
              </w:r>
            </w:hyperlink>
          </w:p>
        </w:tc>
        <w:tc>
          <w:tcPr>
            <w:tcW w:w="740" w:type="dxa"/>
            <w:vAlign w:val="bottom"/>
            <w:gridSpan w:val="2"/>
          </w:tcPr>
          <w:p>
            <w:pPr>
              <w:jc w:val="center"/>
              <w:spacing w:after="0"/>
              <w:rPr>
                <w:rFonts w:ascii="Times New Roman" w:cs="Times New Roman" w:eastAsia="Times New Roman" w:hAnsi="Times New Roman"/>
                <w:sz w:val="16"/>
                <w:szCs w:val="16"/>
                <w:color w:val="0000EE"/>
              </w:rPr>
            </w:pPr>
            <w:hyperlink r:id="rId16">
              <w:r>
                <w:rPr>
                  <w:rFonts w:ascii="Times New Roman" w:cs="Times New Roman" w:eastAsia="Times New Roman" w:hAnsi="Times New Roman"/>
                  <w:sz w:val="16"/>
                  <w:szCs w:val="16"/>
                  <w:color w:val="0000EE"/>
                </w:rPr>
                <w:t>001-38410</w:t>
              </w:r>
            </w:hyperlink>
          </w:p>
        </w:tc>
        <w:tc>
          <w:tcPr>
            <w:tcW w:w="40" w:type="dxa"/>
            <w:vAlign w:val="bottom"/>
          </w:tcPr>
          <w:p>
            <w:pPr>
              <w:spacing w:after="0"/>
              <w:rPr>
                <w:sz w:val="24"/>
                <w:szCs w:val="24"/>
                <w:color w:val="auto"/>
              </w:rPr>
            </w:pPr>
          </w:p>
        </w:tc>
        <w:tc>
          <w:tcPr>
            <w:tcW w:w="1780" w:type="dxa"/>
            <w:vAlign w:val="bottom"/>
            <w:gridSpan w:val="4"/>
          </w:tcPr>
          <w:p>
            <w:pPr>
              <w:jc w:val="center"/>
              <w:ind w:left="38"/>
              <w:spacing w:after="0"/>
              <w:rPr>
                <w:rFonts w:ascii="Times New Roman" w:cs="Times New Roman" w:eastAsia="Times New Roman" w:hAnsi="Times New Roman"/>
                <w:sz w:val="16"/>
                <w:szCs w:val="16"/>
                <w:color w:val="0000EE"/>
              </w:rPr>
            </w:pPr>
            <w:hyperlink r:id="rId16">
              <w:r>
                <w:rPr>
                  <w:rFonts w:ascii="Times New Roman" w:cs="Times New Roman" w:eastAsia="Times New Roman" w:hAnsi="Times New Roman"/>
                  <w:sz w:val="16"/>
                  <w:szCs w:val="16"/>
                  <w:color w:val="0000EE"/>
                </w:rPr>
                <w:t>3-13-2018</w:t>
              </w:r>
            </w:hyperlink>
          </w:p>
        </w:tc>
        <w:tc>
          <w:tcPr>
            <w:tcW w:w="620" w:type="dxa"/>
            <w:vAlign w:val="bottom"/>
            <w:gridSpan w:val="3"/>
          </w:tcPr>
          <w:p>
            <w:pPr>
              <w:jc w:val="center"/>
              <w:ind w:left="338"/>
              <w:spacing w:after="0"/>
              <w:rPr>
                <w:rFonts w:ascii="Times New Roman" w:cs="Times New Roman" w:eastAsia="Times New Roman" w:hAnsi="Times New Roman"/>
                <w:sz w:val="16"/>
                <w:szCs w:val="16"/>
                <w:color w:val="0000EE"/>
                <w:w w:val="99"/>
              </w:rPr>
            </w:pPr>
            <w:hyperlink r:id="rId16">
              <w:r>
                <w:rPr>
                  <w:rFonts w:ascii="Times New Roman" w:cs="Times New Roman" w:eastAsia="Times New Roman" w:hAnsi="Times New Roman"/>
                  <w:sz w:val="16"/>
                  <w:szCs w:val="16"/>
                  <w:color w:val="0000EE"/>
                  <w:w w:val="99"/>
                </w:rPr>
                <w:t>3.</w:t>
              </w:r>
              <w:r>
                <w:rPr>
                  <w:rFonts w:ascii="Times New Roman" w:cs="Times New Roman" w:eastAsia="Times New Roman" w:hAnsi="Times New Roman"/>
                  <w:sz w:val="16"/>
                  <w:szCs w:val="16"/>
                  <w:u w:val="single" w:color="auto"/>
                  <w:color w:val="0000EE"/>
                  <w:w w:val="99"/>
                </w:rPr>
                <w:t>2</w:t>
              </w:r>
            </w:hyperlink>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 w:type="dxa"/>
            <w:vAlign w:val="bottom"/>
            <w:gridSpan w:val="4"/>
          </w:tcPr>
          <w:p>
            <w:pPr>
              <w:jc w:val="right"/>
              <w:spacing w:after="0"/>
              <w:rPr>
                <w:rFonts w:ascii="Times New Roman" w:cs="Times New Roman" w:eastAsia="Times New Roman" w:hAnsi="Times New Roman"/>
                <w:sz w:val="16"/>
                <w:szCs w:val="16"/>
                <w:color w:val="0000EE"/>
              </w:rPr>
            </w:pPr>
            <w:hyperlink r:id="rId17">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3</w:t>
              </w:r>
            </w:hyperlink>
          </w:p>
        </w:tc>
        <w:tc>
          <w:tcPr>
            <w:tcW w:w="240" w:type="dxa"/>
            <w:vAlign w:val="bottom"/>
          </w:tcPr>
          <w:p>
            <w:pPr>
              <w:spacing w:after="0"/>
              <w:rPr>
                <w:sz w:val="24"/>
                <w:szCs w:val="24"/>
                <w:color w:val="auto"/>
              </w:rPr>
            </w:pPr>
          </w:p>
        </w:tc>
        <w:tc>
          <w:tcPr>
            <w:tcW w:w="4940" w:type="dxa"/>
            <w:vAlign w:val="bottom"/>
            <w:gridSpan w:val="13"/>
          </w:tcPr>
          <w:p>
            <w:pPr>
              <w:spacing w:after="0"/>
              <w:rPr>
                <w:rFonts w:ascii="Times New Roman" w:cs="Times New Roman" w:eastAsia="Times New Roman" w:hAnsi="Times New Roman"/>
                <w:sz w:val="16"/>
                <w:szCs w:val="16"/>
                <w:color w:val="0000EE"/>
              </w:rPr>
            </w:pPr>
            <w:hyperlink r:id="rId17">
              <w:r>
                <w:rPr>
                  <w:rFonts w:ascii="Times New Roman" w:cs="Times New Roman" w:eastAsia="Times New Roman" w:hAnsi="Times New Roman"/>
                  <w:sz w:val="16"/>
                  <w:szCs w:val="16"/>
                  <w:color w:val="0000EE"/>
                </w:rPr>
                <w:t>Specimen Stock Certificate evidencing the shares of common stock.</w:t>
              </w:r>
            </w:hyperlink>
          </w:p>
        </w:tc>
        <w:tc>
          <w:tcPr>
            <w:tcW w:w="120" w:type="dxa"/>
            <w:vAlign w:val="bottom"/>
          </w:tcPr>
          <w:p>
            <w:pPr>
              <w:spacing w:after="0"/>
              <w:rPr>
                <w:sz w:val="24"/>
                <w:szCs w:val="24"/>
                <w:color w:val="auto"/>
              </w:rPr>
            </w:pPr>
          </w:p>
        </w:tc>
        <w:tc>
          <w:tcPr>
            <w:tcW w:w="660" w:type="dxa"/>
            <w:vAlign w:val="bottom"/>
            <w:gridSpan w:val="4"/>
          </w:tcPr>
          <w:p>
            <w:pPr>
              <w:jc w:val="center"/>
              <w:ind w:right="120"/>
              <w:spacing w:after="0"/>
              <w:rPr>
                <w:rFonts w:ascii="Times New Roman" w:cs="Times New Roman" w:eastAsia="Times New Roman" w:hAnsi="Times New Roman"/>
                <w:sz w:val="16"/>
                <w:szCs w:val="16"/>
                <w:color w:val="0000EE"/>
                <w:w w:val="99"/>
              </w:rPr>
            </w:pPr>
            <w:hyperlink r:id="rId17">
              <w:r>
                <w:rPr>
                  <w:rFonts w:ascii="Times New Roman" w:cs="Times New Roman" w:eastAsia="Times New Roman" w:hAnsi="Times New Roman"/>
                  <w:sz w:val="16"/>
                  <w:szCs w:val="16"/>
                  <w:color w:val="0000EE"/>
                  <w:w w:val="99"/>
                </w:rPr>
                <w:t>S-1/A</w:t>
              </w:r>
            </w:hyperlink>
          </w:p>
        </w:tc>
        <w:tc>
          <w:tcPr>
            <w:tcW w:w="740" w:type="dxa"/>
            <w:vAlign w:val="bottom"/>
            <w:gridSpan w:val="2"/>
          </w:tcPr>
          <w:p>
            <w:pPr>
              <w:jc w:val="center"/>
              <w:spacing w:after="0"/>
              <w:rPr>
                <w:rFonts w:ascii="Times New Roman" w:cs="Times New Roman" w:eastAsia="Times New Roman" w:hAnsi="Times New Roman"/>
                <w:sz w:val="16"/>
                <w:szCs w:val="16"/>
                <w:color w:val="0000EE"/>
              </w:rPr>
            </w:pPr>
            <w:hyperlink r:id="rId17">
              <w:r>
                <w:rPr>
                  <w:rFonts w:ascii="Times New Roman" w:cs="Times New Roman" w:eastAsia="Times New Roman" w:hAnsi="Times New Roman"/>
                  <w:sz w:val="16"/>
                  <w:szCs w:val="16"/>
                  <w:color w:val="0000EE"/>
                </w:rPr>
                <w:t>333-22990</w:t>
              </w:r>
            </w:hyperlink>
          </w:p>
        </w:tc>
        <w:tc>
          <w:tcPr>
            <w:tcW w:w="40" w:type="dxa"/>
            <w:vAlign w:val="bottom"/>
          </w:tcPr>
          <w:p>
            <w:pPr>
              <w:spacing w:after="0"/>
              <w:rPr>
                <w:sz w:val="24"/>
                <w:szCs w:val="24"/>
                <w:color w:val="auto"/>
              </w:rPr>
            </w:pPr>
          </w:p>
        </w:tc>
        <w:tc>
          <w:tcPr>
            <w:tcW w:w="1780" w:type="dxa"/>
            <w:vAlign w:val="bottom"/>
            <w:gridSpan w:val="4"/>
          </w:tcPr>
          <w:p>
            <w:pPr>
              <w:jc w:val="center"/>
              <w:ind w:left="38"/>
              <w:spacing w:after="0"/>
              <w:rPr>
                <w:rFonts w:ascii="Times New Roman" w:cs="Times New Roman" w:eastAsia="Times New Roman" w:hAnsi="Times New Roman"/>
                <w:sz w:val="16"/>
                <w:szCs w:val="16"/>
                <w:color w:val="0000EE"/>
              </w:rPr>
            </w:pPr>
            <w:hyperlink r:id="rId17">
              <w:r>
                <w:rPr>
                  <w:rFonts w:ascii="Times New Roman" w:cs="Times New Roman" w:eastAsia="Times New Roman" w:hAnsi="Times New Roman"/>
                  <w:sz w:val="16"/>
                  <w:szCs w:val="16"/>
                  <w:color w:val="0000EE"/>
                </w:rPr>
                <w:t>2-26-2018</w:t>
              </w:r>
            </w:hyperlink>
          </w:p>
        </w:tc>
        <w:tc>
          <w:tcPr>
            <w:tcW w:w="620" w:type="dxa"/>
            <w:vAlign w:val="bottom"/>
            <w:gridSpan w:val="3"/>
          </w:tcPr>
          <w:p>
            <w:pPr>
              <w:jc w:val="center"/>
              <w:ind w:left="338"/>
              <w:spacing w:after="0"/>
              <w:rPr>
                <w:rFonts w:ascii="Times New Roman" w:cs="Times New Roman" w:eastAsia="Times New Roman" w:hAnsi="Times New Roman"/>
                <w:sz w:val="16"/>
                <w:szCs w:val="16"/>
                <w:color w:val="0000EE"/>
                <w:w w:val="99"/>
              </w:rPr>
            </w:pPr>
            <w:hyperlink r:id="rId17">
              <w:r>
                <w:rPr>
                  <w:rFonts w:ascii="Times New Roman" w:cs="Times New Roman" w:eastAsia="Times New Roman" w:hAnsi="Times New Roman"/>
                  <w:sz w:val="16"/>
                  <w:szCs w:val="16"/>
                  <w:color w:val="0000EE"/>
                  <w:w w:val="99"/>
                </w:rPr>
                <w:t>4.</w:t>
              </w:r>
              <w:r>
                <w:rPr>
                  <w:rFonts w:ascii="Times New Roman" w:cs="Times New Roman" w:eastAsia="Times New Roman" w:hAnsi="Times New Roman"/>
                  <w:sz w:val="16"/>
                  <w:szCs w:val="16"/>
                  <w:u w:val="single" w:color="auto"/>
                  <w:color w:val="0000EE"/>
                  <w:w w:val="99"/>
                </w:rPr>
                <w:t>2</w:t>
              </w:r>
            </w:hyperlink>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5.</w:t>
            </w:r>
            <w:r>
              <w:rPr>
                <w:rFonts w:ascii="Times New Roman" w:cs="Times New Roman" w:eastAsia="Times New Roman" w:hAnsi="Times New Roman"/>
                <w:sz w:val="16"/>
                <w:szCs w:val="16"/>
                <w:u w:val="single" w:color="auto"/>
                <w:color w:val="0000EE"/>
              </w:rPr>
              <w:t>1</w:t>
            </w:r>
          </w:p>
        </w:tc>
        <w:tc>
          <w:tcPr>
            <w:tcW w:w="240" w:type="dxa"/>
            <w:vAlign w:val="bottom"/>
          </w:tcPr>
          <w:p>
            <w:pPr>
              <w:spacing w:after="0"/>
              <w:rPr>
                <w:sz w:val="24"/>
                <w:szCs w:val="24"/>
                <w:color w:val="auto"/>
              </w:rPr>
            </w:pPr>
          </w:p>
        </w:tc>
        <w:tc>
          <w:tcPr>
            <w:tcW w:w="4940" w:type="dxa"/>
            <w:vAlign w:val="bottom"/>
            <w:gridSpan w:val="13"/>
          </w:tcPr>
          <w:p>
            <w:pPr>
              <w:spacing w:after="0"/>
              <w:rPr>
                <w:sz w:val="20"/>
                <w:szCs w:val="20"/>
                <w:color w:val="auto"/>
              </w:rPr>
            </w:pPr>
            <w:r>
              <w:rPr>
                <w:rFonts w:ascii="Times New Roman" w:cs="Times New Roman" w:eastAsia="Times New Roman" w:hAnsi="Times New Roman"/>
                <w:sz w:val="16"/>
                <w:szCs w:val="16"/>
                <w:color w:val="0000EE"/>
              </w:rPr>
              <w:t>Opinion of Latham &amp; Watkins LLP</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4"/>
          </w:tcPr>
          <w:p>
            <w:pPr>
              <w:jc w:val="center"/>
              <w:ind w:left="58"/>
              <w:spacing w:after="0"/>
              <w:rPr>
                <w:sz w:val="20"/>
                <w:szCs w:val="20"/>
                <w:color w:val="auto"/>
              </w:rPr>
            </w:pPr>
            <w:r>
              <w:rPr>
                <w:rFonts w:ascii="Times New Roman" w:cs="Times New Roman" w:eastAsia="Times New Roman" w:hAnsi="Times New Roman"/>
                <w:sz w:val="16"/>
                <w:szCs w:val="16"/>
                <w:color w:val="0000EE"/>
                <w:w w:val="99"/>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u w:val="single" w:color="auto"/>
                <w:color w:val="0000EE"/>
              </w:rPr>
              <w:t>1</w:t>
            </w:r>
          </w:p>
        </w:tc>
        <w:tc>
          <w:tcPr>
            <w:tcW w:w="240" w:type="dxa"/>
            <w:vAlign w:val="bottom"/>
          </w:tcPr>
          <w:p>
            <w:pPr>
              <w:spacing w:after="0"/>
              <w:rPr>
                <w:sz w:val="24"/>
                <w:szCs w:val="24"/>
                <w:color w:val="auto"/>
              </w:rPr>
            </w:pPr>
          </w:p>
        </w:tc>
        <w:tc>
          <w:tcPr>
            <w:tcW w:w="4940" w:type="dxa"/>
            <w:vAlign w:val="bottom"/>
            <w:gridSpan w:val="13"/>
          </w:tcPr>
          <w:p>
            <w:pPr>
              <w:spacing w:after="0"/>
              <w:rPr>
                <w:sz w:val="20"/>
                <w:szCs w:val="20"/>
                <w:color w:val="auto"/>
              </w:rPr>
            </w:pPr>
            <w:r>
              <w:rPr>
                <w:rFonts w:ascii="Times New Roman" w:cs="Times New Roman" w:eastAsia="Times New Roman" w:hAnsi="Times New Roman"/>
                <w:sz w:val="16"/>
                <w:szCs w:val="16"/>
                <w:color w:val="0000EE"/>
              </w:rPr>
              <w:t>Consent of Ernst &amp; Young, LLP, independent registered public accounting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4"/>
          </w:tcPr>
          <w:p>
            <w:pPr>
              <w:jc w:val="center"/>
              <w:ind w:left="58"/>
              <w:spacing w:after="0"/>
              <w:rPr>
                <w:sz w:val="20"/>
                <w:szCs w:val="20"/>
                <w:color w:val="auto"/>
              </w:rPr>
            </w:pPr>
            <w:r>
              <w:rPr>
                <w:rFonts w:ascii="Times New Roman" w:cs="Times New Roman" w:eastAsia="Times New Roman" w:hAnsi="Times New Roman"/>
                <w:sz w:val="16"/>
                <w:szCs w:val="16"/>
                <w:color w:val="0000EE"/>
                <w:w w:val="99"/>
              </w:rPr>
              <w:t>*</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6"/>
                <w:szCs w:val="16"/>
                <w:color w:val="0000EE"/>
                <w:w w:val="94"/>
              </w:rPr>
              <w:t>firm</w:t>
            </w:r>
          </w:p>
        </w:tc>
        <w:tc>
          <w:tcPr>
            <w:tcW w:w="4580" w:type="dxa"/>
            <w:vAlign w:val="bottom"/>
            <w:tcBorders>
              <w:top w:val="single" w:sz="8" w:color="0000EE"/>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u w:val="single" w:color="auto"/>
                <w:color w:val="0000EE"/>
              </w:rPr>
              <w:t>2</w:t>
            </w:r>
          </w:p>
        </w:tc>
        <w:tc>
          <w:tcPr>
            <w:tcW w:w="240" w:type="dxa"/>
            <w:vAlign w:val="bottom"/>
          </w:tcPr>
          <w:p>
            <w:pPr>
              <w:spacing w:after="0"/>
              <w:rPr>
                <w:sz w:val="24"/>
                <w:szCs w:val="24"/>
                <w:color w:val="auto"/>
              </w:rPr>
            </w:pPr>
          </w:p>
        </w:tc>
        <w:tc>
          <w:tcPr>
            <w:tcW w:w="4940" w:type="dxa"/>
            <w:vAlign w:val="bottom"/>
            <w:gridSpan w:val="13"/>
          </w:tcPr>
          <w:p>
            <w:pPr>
              <w:spacing w:after="0"/>
              <w:rPr>
                <w:sz w:val="20"/>
                <w:szCs w:val="20"/>
                <w:color w:val="auto"/>
              </w:rPr>
            </w:pPr>
            <w:r>
              <w:rPr>
                <w:rFonts w:ascii="Times New Roman" w:cs="Times New Roman" w:eastAsia="Times New Roman" w:hAnsi="Times New Roman"/>
                <w:sz w:val="16"/>
                <w:szCs w:val="16"/>
                <w:color w:val="0000EE"/>
              </w:rPr>
              <w:t>Consent of Latham &amp; Watkins LLP (included in Exhibit 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4"/>
          </w:tcPr>
          <w:p>
            <w:pPr>
              <w:jc w:val="center"/>
              <w:ind w:left="58"/>
              <w:spacing w:after="0"/>
              <w:rPr>
                <w:sz w:val="20"/>
                <w:szCs w:val="20"/>
                <w:color w:val="auto"/>
              </w:rPr>
            </w:pPr>
            <w:r>
              <w:rPr>
                <w:rFonts w:ascii="Times New Roman" w:cs="Times New Roman" w:eastAsia="Times New Roman" w:hAnsi="Times New Roman"/>
                <w:sz w:val="16"/>
                <w:szCs w:val="16"/>
                <w:color w:val="0000EE"/>
                <w:w w:val="99"/>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24.</w:t>
            </w:r>
            <w:r>
              <w:rPr>
                <w:rFonts w:ascii="Times New Roman" w:cs="Times New Roman" w:eastAsia="Times New Roman" w:hAnsi="Times New Roman"/>
                <w:sz w:val="16"/>
                <w:szCs w:val="16"/>
                <w:u w:val="single" w:color="auto"/>
                <w:color w:val="0000EE"/>
              </w:rPr>
              <w:t>1</w:t>
            </w:r>
          </w:p>
        </w:tc>
        <w:tc>
          <w:tcPr>
            <w:tcW w:w="240" w:type="dxa"/>
            <w:vAlign w:val="bottom"/>
          </w:tcPr>
          <w:p>
            <w:pPr>
              <w:spacing w:after="0"/>
              <w:rPr>
                <w:sz w:val="24"/>
                <w:szCs w:val="24"/>
                <w:color w:val="auto"/>
              </w:rPr>
            </w:pPr>
          </w:p>
        </w:tc>
        <w:tc>
          <w:tcPr>
            <w:tcW w:w="4940" w:type="dxa"/>
            <w:vAlign w:val="bottom"/>
            <w:gridSpan w:val="13"/>
          </w:tcPr>
          <w:p>
            <w:pPr>
              <w:spacing w:after="0"/>
              <w:rPr>
                <w:sz w:val="20"/>
                <w:szCs w:val="20"/>
                <w:color w:val="auto"/>
              </w:rPr>
            </w:pPr>
            <w:r>
              <w:rPr>
                <w:rFonts w:ascii="Times New Roman" w:cs="Times New Roman" w:eastAsia="Times New Roman" w:hAnsi="Times New Roman"/>
                <w:sz w:val="16"/>
                <w:szCs w:val="16"/>
                <w:color w:val="0000EE"/>
              </w:rPr>
              <w:t>Power of Attorney (included on the signature page of the Registration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4"/>
          </w:tcPr>
          <w:p>
            <w:pPr>
              <w:jc w:val="center"/>
              <w:ind w:left="58"/>
              <w:spacing w:after="0"/>
              <w:rPr>
                <w:sz w:val="20"/>
                <w:szCs w:val="20"/>
                <w:color w:val="auto"/>
              </w:rPr>
            </w:pPr>
            <w:r>
              <w:rPr>
                <w:rFonts w:ascii="Times New Roman" w:cs="Times New Roman" w:eastAsia="Times New Roman" w:hAnsi="Times New Roman"/>
                <w:sz w:val="16"/>
                <w:szCs w:val="16"/>
                <w:color w:val="0000EE"/>
                <w:w w:val="99"/>
              </w:rPr>
              <w:t>*</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top w:val="single" w:sz="8" w:color="0000EE"/>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6"/>
                <w:szCs w:val="16"/>
                <w:color w:val="0000EE"/>
                <w:w w:val="98"/>
              </w:rPr>
              <w:t>Statement).</w:t>
            </w:r>
          </w:p>
        </w:tc>
        <w:tc>
          <w:tcPr>
            <w:tcW w:w="3820" w:type="dxa"/>
            <w:vAlign w:val="bottom"/>
            <w:tcBorders>
              <w:top w:val="single" w:sz="8" w:color="0000EE"/>
            </w:tcBorders>
            <w:gridSpan w:val="9"/>
          </w:tcPr>
          <w:p>
            <w:pPr>
              <w:spacing w:after="0"/>
              <w:rPr>
                <w:sz w:val="13"/>
                <w:szCs w:val="13"/>
                <w:color w:val="auto"/>
              </w:rPr>
            </w:pPr>
          </w:p>
        </w:tc>
        <w:tc>
          <w:tcPr>
            <w:tcW w:w="3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600" w:type="dxa"/>
            <w:vAlign w:val="bottom"/>
            <w:gridSpan w:val="4"/>
          </w:tcPr>
          <w:p>
            <w:pPr>
              <w:jc w:val="right"/>
              <w:spacing w:after="0"/>
              <w:rPr>
                <w:rFonts w:ascii="Times New Roman" w:cs="Times New Roman" w:eastAsia="Times New Roman" w:hAnsi="Times New Roman"/>
                <w:sz w:val="16"/>
                <w:szCs w:val="16"/>
                <w:color w:val="0000EE"/>
              </w:rPr>
            </w:pPr>
            <w:hyperlink r:id="rId18">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1</w:t>
              </w:r>
            </w:hyperlink>
          </w:p>
        </w:tc>
        <w:tc>
          <w:tcPr>
            <w:tcW w:w="240" w:type="dxa"/>
            <w:vAlign w:val="bottom"/>
          </w:tcPr>
          <w:p>
            <w:pPr>
              <w:spacing w:after="0"/>
              <w:rPr>
                <w:sz w:val="24"/>
                <w:szCs w:val="24"/>
                <w:color w:val="auto"/>
              </w:rPr>
            </w:pPr>
          </w:p>
        </w:tc>
        <w:tc>
          <w:tcPr>
            <w:tcW w:w="4940" w:type="dxa"/>
            <w:vAlign w:val="bottom"/>
            <w:gridSpan w:val="13"/>
          </w:tcPr>
          <w:p>
            <w:pPr>
              <w:spacing w:after="0"/>
              <w:rPr>
                <w:rFonts w:ascii="Times New Roman" w:cs="Times New Roman" w:eastAsia="Times New Roman" w:hAnsi="Times New Roman"/>
                <w:sz w:val="16"/>
                <w:szCs w:val="16"/>
                <w:color w:val="0000EE"/>
              </w:rPr>
            </w:pPr>
            <w:hyperlink r:id="rId18">
              <w:r>
                <w:rPr>
                  <w:rFonts w:ascii="Times New Roman" w:cs="Times New Roman" w:eastAsia="Times New Roman" w:hAnsi="Times New Roman"/>
                  <w:sz w:val="16"/>
                  <w:szCs w:val="16"/>
                  <w:color w:val="0000EE"/>
                </w:rPr>
                <w:t>BioXcel Therapeutics, Inc. 2020 Incentive Award Plan</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center"/>
              <w:ind w:right="220"/>
              <w:spacing w:after="0"/>
              <w:rPr>
                <w:rFonts w:ascii="Times New Roman" w:cs="Times New Roman" w:eastAsia="Times New Roman" w:hAnsi="Times New Roman"/>
                <w:sz w:val="16"/>
                <w:szCs w:val="16"/>
                <w:color w:val="0000EE"/>
                <w:w w:val="91"/>
              </w:rPr>
            </w:pPr>
            <w:hyperlink r:id="rId18">
              <w:r>
                <w:rPr>
                  <w:rFonts w:ascii="Times New Roman" w:cs="Times New Roman" w:eastAsia="Times New Roman" w:hAnsi="Times New Roman"/>
                  <w:sz w:val="16"/>
                  <w:szCs w:val="16"/>
                  <w:color w:val="0000EE"/>
                  <w:w w:val="91"/>
                </w:rPr>
                <w:t>10-Q</w:t>
              </w:r>
            </w:hyperlink>
          </w:p>
        </w:tc>
        <w:tc>
          <w:tcPr>
            <w:tcW w:w="740" w:type="dxa"/>
            <w:vAlign w:val="bottom"/>
            <w:gridSpan w:val="2"/>
          </w:tcPr>
          <w:p>
            <w:pPr>
              <w:jc w:val="center"/>
              <w:spacing w:after="0"/>
              <w:rPr>
                <w:rFonts w:ascii="Times New Roman" w:cs="Times New Roman" w:eastAsia="Times New Roman" w:hAnsi="Times New Roman"/>
                <w:sz w:val="16"/>
                <w:szCs w:val="16"/>
                <w:color w:val="0000EE"/>
              </w:rPr>
            </w:pPr>
            <w:hyperlink r:id="rId18">
              <w:r>
                <w:rPr>
                  <w:rFonts w:ascii="Times New Roman" w:cs="Times New Roman" w:eastAsia="Times New Roman" w:hAnsi="Times New Roman"/>
                  <w:sz w:val="16"/>
                  <w:szCs w:val="16"/>
                  <w:color w:val="0000EE"/>
                </w:rPr>
                <w:t>001-38410</w:t>
              </w:r>
            </w:hyperlink>
          </w:p>
        </w:tc>
        <w:tc>
          <w:tcPr>
            <w:tcW w:w="40" w:type="dxa"/>
            <w:vAlign w:val="bottom"/>
          </w:tcPr>
          <w:p>
            <w:pPr>
              <w:spacing w:after="0"/>
              <w:rPr>
                <w:sz w:val="24"/>
                <w:szCs w:val="24"/>
                <w:color w:val="auto"/>
              </w:rPr>
            </w:pPr>
          </w:p>
        </w:tc>
        <w:tc>
          <w:tcPr>
            <w:tcW w:w="1780" w:type="dxa"/>
            <w:vAlign w:val="bottom"/>
            <w:gridSpan w:val="4"/>
          </w:tcPr>
          <w:p>
            <w:pPr>
              <w:jc w:val="center"/>
              <w:ind w:left="38"/>
              <w:spacing w:after="0"/>
              <w:rPr>
                <w:rFonts w:ascii="Times New Roman" w:cs="Times New Roman" w:eastAsia="Times New Roman" w:hAnsi="Times New Roman"/>
                <w:sz w:val="16"/>
                <w:szCs w:val="16"/>
                <w:color w:val="0000EE"/>
              </w:rPr>
            </w:pPr>
            <w:hyperlink r:id="rId18">
              <w:r>
                <w:rPr>
                  <w:rFonts w:ascii="Times New Roman" w:cs="Times New Roman" w:eastAsia="Times New Roman" w:hAnsi="Times New Roman"/>
                  <w:sz w:val="16"/>
                  <w:szCs w:val="16"/>
                  <w:color w:val="0000EE"/>
                </w:rPr>
                <w:t>8-14-2020</w:t>
              </w:r>
            </w:hyperlink>
          </w:p>
        </w:tc>
        <w:tc>
          <w:tcPr>
            <w:tcW w:w="900" w:type="dxa"/>
            <w:vAlign w:val="bottom"/>
            <w:gridSpan w:val="4"/>
          </w:tcPr>
          <w:p>
            <w:pPr>
              <w:jc w:val="center"/>
              <w:ind w:left="38"/>
              <w:spacing w:after="0"/>
              <w:rPr>
                <w:rFonts w:ascii="Times New Roman" w:cs="Times New Roman" w:eastAsia="Times New Roman" w:hAnsi="Times New Roman"/>
                <w:sz w:val="16"/>
                <w:szCs w:val="16"/>
                <w:color w:val="0000EE"/>
              </w:rPr>
            </w:pPr>
            <w:hyperlink r:id="rId1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right w:val="single" w:sz="8" w:color="0000EE"/>
            </w:tcBorders>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 w:type="dxa"/>
            <w:vAlign w:val="bottom"/>
            <w:gridSpan w:val="4"/>
          </w:tcPr>
          <w:p>
            <w:pPr>
              <w:jc w:val="right"/>
              <w:spacing w:after="0"/>
              <w:rPr>
                <w:rFonts w:ascii="Times New Roman" w:cs="Times New Roman" w:eastAsia="Times New Roman" w:hAnsi="Times New Roman"/>
                <w:sz w:val="16"/>
                <w:szCs w:val="16"/>
                <w:color w:val="0000EE"/>
              </w:rPr>
            </w:pPr>
            <w:hyperlink r:id="rId19">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2</w:t>
              </w:r>
            </w:hyperlink>
          </w:p>
        </w:tc>
        <w:tc>
          <w:tcPr>
            <w:tcW w:w="240" w:type="dxa"/>
            <w:vAlign w:val="bottom"/>
          </w:tcPr>
          <w:p>
            <w:pPr>
              <w:spacing w:after="0"/>
              <w:rPr>
                <w:sz w:val="24"/>
                <w:szCs w:val="24"/>
                <w:color w:val="auto"/>
              </w:rPr>
            </w:pPr>
          </w:p>
        </w:tc>
        <w:tc>
          <w:tcPr>
            <w:tcW w:w="4940" w:type="dxa"/>
            <w:vAlign w:val="bottom"/>
            <w:gridSpan w:val="13"/>
          </w:tcPr>
          <w:p>
            <w:pPr>
              <w:spacing w:after="0"/>
              <w:rPr>
                <w:rFonts w:ascii="Times New Roman" w:cs="Times New Roman" w:eastAsia="Times New Roman" w:hAnsi="Times New Roman"/>
                <w:sz w:val="16"/>
                <w:szCs w:val="16"/>
                <w:color w:val="0000EE"/>
              </w:rPr>
            </w:pPr>
            <w:hyperlink r:id="rId19">
              <w:r>
                <w:rPr>
                  <w:rFonts w:ascii="Times New Roman" w:cs="Times New Roman" w:eastAsia="Times New Roman" w:hAnsi="Times New Roman"/>
                  <w:sz w:val="16"/>
                  <w:szCs w:val="16"/>
                  <w:color w:val="0000EE"/>
                </w:rPr>
                <w:t>BioXcel Therapeutics, Inc. 2020 Employee Stock Purchase Plan</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3"/>
          </w:tcPr>
          <w:p>
            <w:pPr>
              <w:jc w:val="center"/>
              <w:ind w:right="220"/>
              <w:spacing w:after="0"/>
              <w:rPr>
                <w:rFonts w:ascii="Times New Roman" w:cs="Times New Roman" w:eastAsia="Times New Roman" w:hAnsi="Times New Roman"/>
                <w:sz w:val="16"/>
                <w:szCs w:val="16"/>
                <w:color w:val="0000EE"/>
                <w:w w:val="91"/>
              </w:rPr>
            </w:pPr>
            <w:hyperlink r:id="rId19">
              <w:r>
                <w:rPr>
                  <w:rFonts w:ascii="Times New Roman" w:cs="Times New Roman" w:eastAsia="Times New Roman" w:hAnsi="Times New Roman"/>
                  <w:sz w:val="16"/>
                  <w:szCs w:val="16"/>
                  <w:color w:val="0000EE"/>
                  <w:w w:val="91"/>
                </w:rPr>
                <w:t>10-Q</w:t>
              </w:r>
            </w:hyperlink>
          </w:p>
        </w:tc>
        <w:tc>
          <w:tcPr>
            <w:tcW w:w="740" w:type="dxa"/>
            <w:vAlign w:val="bottom"/>
            <w:gridSpan w:val="2"/>
          </w:tcPr>
          <w:p>
            <w:pPr>
              <w:jc w:val="center"/>
              <w:spacing w:after="0"/>
              <w:rPr>
                <w:rFonts w:ascii="Times New Roman" w:cs="Times New Roman" w:eastAsia="Times New Roman" w:hAnsi="Times New Roman"/>
                <w:sz w:val="16"/>
                <w:szCs w:val="16"/>
                <w:color w:val="0000EE"/>
              </w:rPr>
            </w:pPr>
            <w:hyperlink r:id="rId19">
              <w:r>
                <w:rPr>
                  <w:rFonts w:ascii="Times New Roman" w:cs="Times New Roman" w:eastAsia="Times New Roman" w:hAnsi="Times New Roman"/>
                  <w:sz w:val="16"/>
                  <w:szCs w:val="16"/>
                  <w:color w:val="0000EE"/>
                </w:rPr>
                <w:t>001-38410</w:t>
              </w:r>
            </w:hyperlink>
          </w:p>
        </w:tc>
        <w:tc>
          <w:tcPr>
            <w:tcW w:w="40" w:type="dxa"/>
            <w:vAlign w:val="bottom"/>
          </w:tcPr>
          <w:p>
            <w:pPr>
              <w:spacing w:after="0"/>
              <w:rPr>
                <w:sz w:val="24"/>
                <w:szCs w:val="24"/>
                <w:color w:val="auto"/>
              </w:rPr>
            </w:pPr>
          </w:p>
        </w:tc>
        <w:tc>
          <w:tcPr>
            <w:tcW w:w="1780" w:type="dxa"/>
            <w:vAlign w:val="bottom"/>
            <w:gridSpan w:val="4"/>
          </w:tcPr>
          <w:p>
            <w:pPr>
              <w:jc w:val="center"/>
              <w:ind w:left="38"/>
              <w:spacing w:after="0"/>
              <w:rPr>
                <w:rFonts w:ascii="Times New Roman" w:cs="Times New Roman" w:eastAsia="Times New Roman" w:hAnsi="Times New Roman"/>
                <w:sz w:val="16"/>
                <w:szCs w:val="16"/>
                <w:color w:val="0000EE"/>
              </w:rPr>
            </w:pPr>
            <w:hyperlink r:id="rId19">
              <w:r>
                <w:rPr>
                  <w:rFonts w:ascii="Times New Roman" w:cs="Times New Roman" w:eastAsia="Times New Roman" w:hAnsi="Times New Roman"/>
                  <w:sz w:val="16"/>
                  <w:szCs w:val="16"/>
                  <w:color w:val="0000EE"/>
                </w:rPr>
                <w:t>8-14-2020</w:t>
              </w:r>
            </w:hyperlink>
          </w:p>
        </w:tc>
        <w:tc>
          <w:tcPr>
            <w:tcW w:w="900" w:type="dxa"/>
            <w:vAlign w:val="bottom"/>
            <w:gridSpan w:val="4"/>
          </w:tcPr>
          <w:p>
            <w:pPr>
              <w:jc w:val="center"/>
              <w:ind w:left="38"/>
              <w:spacing w:after="0"/>
              <w:rPr>
                <w:rFonts w:ascii="Times New Roman" w:cs="Times New Roman" w:eastAsia="Times New Roman" w:hAnsi="Times New Roman"/>
                <w:sz w:val="16"/>
                <w:szCs w:val="16"/>
                <w:color w:val="0000EE"/>
              </w:rPr>
            </w:pPr>
            <w:hyperlink r:id="rId1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140" w:type="dxa"/>
            <w:vAlign w:val="bottom"/>
            <w:gridSpan w:val="6"/>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107.</w:t>
            </w:r>
            <w:r>
              <w:rPr>
                <w:rFonts w:ascii="Times New Roman" w:cs="Times New Roman" w:eastAsia="Times New Roman" w:hAnsi="Times New Roman"/>
                <w:sz w:val="16"/>
                <w:szCs w:val="16"/>
                <w:u w:val="single" w:color="auto"/>
                <w:color w:val="0000EE"/>
              </w:rPr>
              <w:t>1</w:t>
            </w:r>
          </w:p>
        </w:tc>
        <w:tc>
          <w:tcPr>
            <w:tcW w:w="240" w:type="dxa"/>
            <w:vAlign w:val="bottom"/>
          </w:tcPr>
          <w:p>
            <w:pPr>
              <w:spacing w:after="0"/>
              <w:rPr>
                <w:sz w:val="24"/>
                <w:szCs w:val="24"/>
                <w:color w:val="auto"/>
              </w:rPr>
            </w:pPr>
          </w:p>
        </w:tc>
        <w:tc>
          <w:tcPr>
            <w:tcW w:w="4940" w:type="dxa"/>
            <w:vAlign w:val="bottom"/>
            <w:gridSpan w:val="13"/>
          </w:tcPr>
          <w:p>
            <w:pPr>
              <w:spacing w:after="0"/>
              <w:rPr>
                <w:sz w:val="20"/>
                <w:szCs w:val="20"/>
                <w:color w:val="auto"/>
              </w:rPr>
            </w:pPr>
            <w:r>
              <w:rPr>
                <w:rFonts w:ascii="Times New Roman" w:cs="Times New Roman" w:eastAsia="Times New Roman" w:hAnsi="Times New Roman"/>
                <w:sz w:val="16"/>
                <w:szCs w:val="16"/>
                <w:color w:val="0000EE"/>
              </w:rPr>
              <w:t>Filing Fee Table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4"/>
          </w:tcPr>
          <w:p>
            <w:pPr>
              <w:jc w:val="center"/>
              <w:ind w:left="58"/>
              <w:spacing w:after="0"/>
              <w:rPr>
                <w:sz w:val="20"/>
                <w:szCs w:val="20"/>
                <w:color w:val="auto"/>
              </w:rPr>
            </w:pPr>
            <w:r>
              <w:rPr>
                <w:rFonts w:ascii="Times New Roman" w:cs="Times New Roman" w:eastAsia="Times New Roman" w:hAnsi="Times New Roman"/>
                <w:sz w:val="16"/>
                <w:szCs w:val="16"/>
                <w:color w:val="0000EE"/>
                <w:w w:val="99"/>
              </w:rPr>
              <w:t>*</w:t>
            </w:r>
          </w:p>
        </w:tc>
        <w:tc>
          <w:tcPr>
            <w:tcW w:w="0" w:type="dxa"/>
            <w:vAlign w:val="bottom"/>
          </w:tcPr>
          <w:p>
            <w:pPr>
              <w:spacing w:after="0"/>
              <w:rPr>
                <w:sz w:val="1"/>
                <w:szCs w:val="1"/>
                <w:color w:val="auto"/>
              </w:rPr>
            </w:pPr>
          </w:p>
        </w:tc>
      </w:tr>
      <w:tr>
        <w:trPr>
          <w:trHeight w:val="630"/>
        </w:trPr>
        <w:tc>
          <w:tcPr>
            <w:tcW w:w="2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Haven, State of Connecticut, on this 17th day of March, 2023.</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BIOXCEL THERAPEUTICS, INC.</w:t>
      </w:r>
    </w:p>
    <w:p>
      <w:pPr>
        <w:spacing w:after="0" w:line="212" w:lineRule="exact"/>
        <w:rPr>
          <w:sz w:val="20"/>
          <w:szCs w:val="20"/>
          <w:color w:val="auto"/>
        </w:rPr>
      </w:pPr>
    </w:p>
    <w:p>
      <w:pPr>
        <w:ind w:left="5640"/>
        <w:spacing w:after="0"/>
        <w:tabs>
          <w:tab w:leader="none" w:pos="5940" w:val="left"/>
        </w:tabs>
        <w:rPr>
          <w:sz w:val="20"/>
          <w:szCs w:val="20"/>
          <w:color w:val="auto"/>
        </w:rPr>
      </w:pPr>
      <w:r>
        <w:rPr>
          <w:rFonts w:ascii="Times New Roman" w:cs="Times New Roman" w:eastAsia="Times New Roman" w:hAnsi="Times New Roman"/>
          <w:sz w:val="16"/>
          <w:szCs w:val="16"/>
          <w:color w:val="auto"/>
        </w:rPr>
        <w:t>By</w:t>
        <w:tab/>
        <w:t>/s/ Vimal Mehta</w:t>
      </w:r>
    </w:p>
    <w:p>
      <w:pPr>
        <w:spacing w:after="0" w:line="2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-115570</wp:posOffset>
            </wp:positionV>
            <wp:extent cx="33547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354705" cy="7620"/>
                    </a:xfrm>
                    <a:prstGeom prst="rect">
                      <a:avLst/>
                    </a:prstGeom>
                    <a:noFill/>
                  </pic:spPr>
                </pic:pic>
              </a:graphicData>
            </a:graphic>
          </wp:anchor>
        </w:drawing>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12" w:lineRule="exact"/>
        <w:rPr>
          <w:sz w:val="20"/>
          <w:szCs w:val="20"/>
          <w:color w:val="auto"/>
        </w:rPr>
      </w:pPr>
    </w:p>
    <w:p>
      <w:pPr>
        <w:jc w:val="both"/>
        <w:ind w:firstLine="588"/>
        <w:spacing w:after="0" w:line="260" w:lineRule="auto"/>
        <w:rPr>
          <w:sz w:val="20"/>
          <w:szCs w:val="20"/>
          <w:color w:val="auto"/>
        </w:rPr>
      </w:pPr>
      <w:r>
        <w:rPr>
          <w:rFonts w:ascii="Times New Roman" w:cs="Times New Roman" w:eastAsia="Times New Roman" w:hAnsi="Times New Roman"/>
          <w:sz w:val="16"/>
          <w:szCs w:val="16"/>
          <w:color w:val="auto"/>
        </w:rPr>
        <w:t>Each of the undersigned officers and directors of the registrant hereby severally constitutes and appoints Vimal Mehta, Ph.D. and Richard Steinhart,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70" w:lineRule="exact"/>
        <w:rPr>
          <w:sz w:val="20"/>
          <w:szCs w:val="20"/>
          <w:color w:val="auto"/>
        </w:rPr>
      </w:pPr>
    </w:p>
    <w:p>
      <w:pPr>
        <w:jc w:val="both"/>
        <w:ind w:firstLine="588"/>
        <w:spacing w:after="0" w:line="291"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has been signed by the following persons in the capacities held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40" w:type="dxa"/>
            <w:vAlign w:val="bottom"/>
          </w:tcPr>
          <w:p>
            <w:pPr>
              <w:spacing w:after="0"/>
              <w:rPr>
                <w:sz w:val="18"/>
                <w:szCs w:val="18"/>
                <w:color w:val="auto"/>
              </w:rPr>
            </w:pPr>
          </w:p>
        </w:tc>
        <w:tc>
          <w:tcPr>
            <w:tcW w:w="48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38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Vimal Mehta, Ph.D.</w:t>
            </w:r>
          </w:p>
        </w:tc>
        <w:tc>
          <w:tcPr>
            <w:tcW w:w="1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2023</w:t>
            </w: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Vimal Mehta, Ph.D.</w:t>
            </w:r>
          </w:p>
        </w:tc>
        <w:tc>
          <w:tcPr>
            <w:tcW w:w="14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Richard Steinhart</w:t>
            </w:r>
          </w:p>
        </w:tc>
        <w:tc>
          <w:tcPr>
            <w:tcW w:w="1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2023</w:t>
            </w: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Richard Steinhart</w:t>
            </w:r>
          </w:p>
        </w:tc>
        <w:tc>
          <w:tcPr>
            <w:tcW w:w="14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 and principal accounting officer)</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Peter Mueller, Ph.D.</w:t>
            </w:r>
          </w:p>
        </w:tc>
        <w:tc>
          <w:tcPr>
            <w:tcW w:w="1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2023</w:t>
            </w: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Peter Mueller, Ph.D.</w:t>
            </w:r>
          </w:p>
        </w:tc>
        <w:tc>
          <w:tcPr>
            <w:tcW w:w="1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June Bray</w:t>
            </w:r>
          </w:p>
        </w:tc>
        <w:tc>
          <w:tcPr>
            <w:tcW w:w="140" w:type="dxa"/>
            <w:vAlign w:val="bottom"/>
          </w:tcPr>
          <w:p>
            <w:pPr>
              <w:spacing w:after="0"/>
              <w:rPr>
                <w:sz w:val="24"/>
                <w:szCs w:val="24"/>
                <w:color w:val="auto"/>
              </w:rPr>
            </w:pPr>
          </w:p>
        </w:tc>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2023</w:t>
            </w: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Bray</w:t>
            </w:r>
          </w:p>
        </w:tc>
        <w:tc>
          <w:tcPr>
            <w:tcW w:w="1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Sandeep Laumas, M.D.</w:t>
            </w:r>
          </w:p>
        </w:tc>
        <w:tc>
          <w:tcPr>
            <w:tcW w:w="140" w:type="dxa"/>
            <w:vAlign w:val="bottom"/>
          </w:tcPr>
          <w:p>
            <w:pPr>
              <w:spacing w:after="0"/>
              <w:rPr>
                <w:sz w:val="24"/>
                <w:szCs w:val="24"/>
                <w:color w:val="auto"/>
              </w:rPr>
            </w:pPr>
          </w:p>
        </w:tc>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2023</w:t>
            </w: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Sandeep Laumas, M.D.</w:t>
            </w:r>
          </w:p>
        </w:tc>
        <w:tc>
          <w:tcPr>
            <w:tcW w:w="1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Krishnan Nandabalan, Ph.D.</w:t>
            </w:r>
          </w:p>
        </w:tc>
        <w:tc>
          <w:tcPr>
            <w:tcW w:w="140" w:type="dxa"/>
            <w:vAlign w:val="bottom"/>
          </w:tcPr>
          <w:p>
            <w:pPr>
              <w:spacing w:after="0"/>
              <w:rPr>
                <w:sz w:val="24"/>
                <w:szCs w:val="24"/>
                <w:color w:val="auto"/>
              </w:rPr>
            </w:pPr>
          </w:p>
        </w:tc>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2023</w:t>
            </w: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Krishnan Nandabalan, Ph.D.</w:t>
            </w:r>
          </w:p>
        </w:tc>
        <w:tc>
          <w:tcPr>
            <w:tcW w:w="1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Michal Votruba, M.D., Ph.D.</w:t>
            </w:r>
          </w:p>
        </w:tc>
        <w:tc>
          <w:tcPr>
            <w:tcW w:w="140" w:type="dxa"/>
            <w:vAlign w:val="bottom"/>
          </w:tcPr>
          <w:p>
            <w:pPr>
              <w:spacing w:after="0"/>
              <w:rPr>
                <w:sz w:val="24"/>
                <w:szCs w:val="24"/>
                <w:color w:val="auto"/>
              </w:rPr>
            </w:pPr>
          </w:p>
        </w:tc>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2023</w:t>
            </w: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Michal Votruba, M.D., Ph.D.</w:t>
            </w:r>
          </w:p>
        </w:tc>
        <w:tc>
          <w:tcPr>
            <w:tcW w:w="1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Michael Miller</w:t>
            </w:r>
          </w:p>
        </w:tc>
        <w:tc>
          <w:tcPr>
            <w:tcW w:w="140" w:type="dxa"/>
            <w:vAlign w:val="bottom"/>
          </w:tcPr>
          <w:p>
            <w:pPr>
              <w:spacing w:after="0"/>
              <w:rPr>
                <w:sz w:val="24"/>
                <w:szCs w:val="24"/>
                <w:color w:val="auto"/>
              </w:rPr>
            </w:pPr>
          </w:p>
        </w:tc>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March 17, 2023</w:t>
            </w: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Miller</w:t>
            </w:r>
          </w:p>
        </w:tc>
        <w:tc>
          <w:tcPr>
            <w:tcW w:w="1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97"/>
        </w:trPr>
        <w:tc>
          <w:tcPr>
            <w:tcW w:w="4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1116330</wp:posOffset>
            </wp:positionV>
            <wp:extent cx="6226810" cy="770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226810" cy="77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BioXcel Therapeutics,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555 Long Wharf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Haven, Connecticut 06511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 Registration Statement on Form S-8; 1,407,361 shares of common stock, par value $0.001 per share, of BioXcel Therapeutics,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addressee set forth above:</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199"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6"/>
          <w:szCs w:val="16"/>
          <w:color w:val="auto"/>
        </w:rPr>
        <w:t>1271 Avenue of the Americas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New York, New York 10020-1401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+1.212.906.1200</w:t>
      </w:r>
    </w:p>
    <w:p>
      <w:pPr>
        <w:spacing w:after="0" w:line="12" w:lineRule="exact"/>
        <w:rPr>
          <w:sz w:val="20"/>
          <w:szCs w:val="20"/>
          <w:color w:val="auto"/>
        </w:rPr>
      </w:pPr>
    </w:p>
    <w:p>
      <w:pPr>
        <w:ind w:right="60" w:firstLine="41"/>
        <w:spacing w:after="0" w:line="271" w:lineRule="auto"/>
        <w:rPr>
          <w:sz w:val="20"/>
          <w:szCs w:val="20"/>
          <w:color w:val="auto"/>
        </w:rPr>
      </w:pPr>
      <w:r>
        <w:rPr>
          <w:rFonts w:ascii="Times New Roman" w:cs="Times New Roman" w:eastAsia="Times New Roman" w:hAnsi="Times New Roman"/>
          <w:sz w:val="16"/>
          <w:szCs w:val="16"/>
          <w:color w:val="auto"/>
        </w:rPr>
        <w:t>Fax: +1.212.751.4864 www.lw.com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FIRM / AFFILIATE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OFFICES</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Austin</w:t>
      </w:r>
      <w:r>
        <w:rPr>
          <w:sz w:val="20"/>
          <w:szCs w:val="20"/>
          <w:color w:val="auto"/>
        </w:rPr>
        <w:tab/>
      </w:r>
      <w:r>
        <w:rPr>
          <w:rFonts w:ascii="Times New Roman" w:cs="Times New Roman" w:eastAsia="Times New Roman" w:hAnsi="Times New Roman"/>
          <w:sz w:val="16"/>
          <w:szCs w:val="16"/>
          <w:color w:val="auto"/>
        </w:rPr>
        <w:t>Milan</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Beijing</w:t>
        <w:tab/>
        <w:t>Munich</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Boston</w:t>
      </w:r>
      <w:r>
        <w:rPr>
          <w:sz w:val="20"/>
          <w:szCs w:val="20"/>
          <w:color w:val="auto"/>
        </w:rPr>
        <w:tab/>
      </w:r>
      <w:r>
        <w:rPr>
          <w:rFonts w:ascii="Times New Roman" w:cs="Times New Roman" w:eastAsia="Times New Roman" w:hAnsi="Times New Roman"/>
          <w:sz w:val="16"/>
          <w:szCs w:val="16"/>
          <w:color w:val="auto"/>
        </w:rPr>
        <w:t>New York</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Brussels</w:t>
        <w:tab/>
        <w:t>Orange</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County</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Century</w:t>
        <w:tab/>
        <w:t>Paris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Chicago</w:t>
        <w:tab/>
        <w:t>Riyadh</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Dubai</w:t>
      </w:r>
      <w:r>
        <w:rPr>
          <w:sz w:val="20"/>
          <w:szCs w:val="20"/>
          <w:color w:val="auto"/>
        </w:rPr>
        <w:tab/>
      </w:r>
      <w:r>
        <w:rPr>
          <w:rFonts w:ascii="Times New Roman" w:cs="Times New Roman" w:eastAsia="Times New Roman" w:hAnsi="Times New Roman"/>
          <w:sz w:val="16"/>
          <w:szCs w:val="16"/>
          <w:color w:val="auto"/>
        </w:rPr>
        <w:t>San Diego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DüsseldorfSan</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Francisco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Frankfurt Seoul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Hamburg  Shanghai</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Hong</w:t>
      </w:r>
      <w:r>
        <w:rPr>
          <w:sz w:val="20"/>
          <w:szCs w:val="20"/>
          <w:color w:val="auto"/>
        </w:rPr>
        <w:tab/>
      </w:r>
      <w:r>
        <w:rPr>
          <w:rFonts w:ascii="Times New Roman" w:cs="Times New Roman" w:eastAsia="Times New Roman" w:hAnsi="Times New Roman"/>
          <w:sz w:val="16"/>
          <w:szCs w:val="16"/>
          <w:color w:val="auto"/>
        </w:rPr>
        <w:t>Silicon</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Kong</w:t>
      </w:r>
      <w:r>
        <w:rPr>
          <w:sz w:val="20"/>
          <w:szCs w:val="20"/>
          <w:color w:val="auto"/>
        </w:rPr>
        <w:tab/>
      </w:r>
      <w:r>
        <w:rPr>
          <w:rFonts w:ascii="Times New Roman" w:cs="Times New Roman" w:eastAsia="Times New Roman" w:hAnsi="Times New Roman"/>
          <w:sz w:val="16"/>
          <w:szCs w:val="16"/>
          <w:color w:val="auto"/>
        </w:rPr>
        <w:t>Valley</w:t>
      </w:r>
    </w:p>
    <w:p>
      <w:pPr>
        <w:spacing w:after="0" w:line="1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6"/>
          <w:szCs w:val="16"/>
          <w:color w:val="auto"/>
        </w:rPr>
        <w:t>Houston Singapore London Tel Aviv</w:t>
      </w:r>
    </w:p>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Los</w:t>
      </w:r>
      <w:r>
        <w:rPr>
          <w:sz w:val="20"/>
          <w:szCs w:val="20"/>
          <w:color w:val="auto"/>
        </w:rPr>
        <w:tab/>
      </w:r>
      <w:r>
        <w:rPr>
          <w:rFonts w:ascii="Times New Roman" w:cs="Times New Roman" w:eastAsia="Times New Roman" w:hAnsi="Times New Roman"/>
          <w:sz w:val="16"/>
          <w:szCs w:val="16"/>
          <w:color w:val="auto"/>
        </w:rPr>
        <w:t>Tokyo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Angeles</w:t>
      </w:r>
    </w:p>
    <w:p>
      <w:pPr>
        <w:spacing w:after="0" w:line="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6"/>
          <w:szCs w:val="16"/>
          <w:color w:val="auto"/>
        </w:rPr>
        <w:t>Madrid</w:t>
        <w:tab/>
        <w:t>Washington,</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D.C.</w:t>
      </w:r>
    </w:p>
    <w:p>
      <w:pPr>
        <w:spacing w:after="0" w:line="993" w:lineRule="exact"/>
        <w:rPr>
          <w:sz w:val="20"/>
          <w:szCs w:val="20"/>
          <w:color w:val="auto"/>
        </w:rPr>
      </w:pPr>
    </w:p>
    <w:p>
      <w:pPr>
        <w:sectPr>
          <w:pgSz w:w="11900" w:h="16838" w:orient="portrait"/>
          <w:cols w:equalWidth="0" w:num="2">
            <w:col w:w="9080" w:space="720"/>
            <w:col w:w="1540"/>
          </w:cols>
          <w:pgMar w:left="320" w:top="331" w:right="239" w:bottom="1440" w:gutter="0" w:footer="0" w:header="0"/>
        </w:sectPr>
      </w:pPr>
    </w:p>
    <w:p>
      <w:pPr>
        <w:spacing w:after="0" w:line="4" w:lineRule="exact"/>
        <w:rPr>
          <w:sz w:val="20"/>
          <w:szCs w:val="20"/>
          <w:color w:val="auto"/>
        </w:rPr>
      </w:pPr>
    </w:p>
    <w:p>
      <w:pPr>
        <w:jc w:val="both"/>
        <w:ind w:right="100" w:firstLine="588"/>
        <w:spacing w:after="0" w:line="262" w:lineRule="auto"/>
        <w:rPr>
          <w:sz w:val="20"/>
          <w:szCs w:val="20"/>
          <w:color w:val="auto"/>
        </w:rPr>
      </w:pPr>
      <w:r>
        <w:rPr>
          <w:rFonts w:ascii="Times New Roman" w:cs="Times New Roman" w:eastAsia="Times New Roman" w:hAnsi="Times New Roman"/>
          <w:sz w:val="16"/>
          <w:szCs w:val="16"/>
          <w:color w:val="auto"/>
        </w:rPr>
        <w:t>We have acted as special counsel to BioXcel Therapeutics,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in connection with the registration by the Company of 1,125,889 shares (the “</w:t>
      </w:r>
      <w:r>
        <w:rPr>
          <w:rFonts w:ascii="Times New Roman" w:cs="Times New Roman" w:eastAsia="Times New Roman" w:hAnsi="Times New Roman"/>
          <w:sz w:val="16"/>
          <w:szCs w:val="16"/>
          <w:b w:val="1"/>
          <w:bCs w:val="1"/>
          <w:i w:val="1"/>
          <w:iCs w:val="1"/>
          <w:color w:val="auto"/>
        </w:rPr>
        <w:t>Plan Shares</w:t>
      </w:r>
      <w:r>
        <w:rPr>
          <w:rFonts w:ascii="Times New Roman" w:cs="Times New Roman" w:eastAsia="Times New Roman" w:hAnsi="Times New Roman"/>
          <w:sz w:val="16"/>
          <w:szCs w:val="16"/>
          <w:color w:val="auto"/>
        </w:rPr>
        <w:t>”) of its common stock, $0.001 par value per share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issuable under the BioXcel Therapeutics, Inc. 2020 Incentive Award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and 281,472 shares (the “</w:t>
      </w:r>
      <w:r>
        <w:rPr>
          <w:rFonts w:ascii="Times New Roman" w:cs="Times New Roman" w:eastAsia="Times New Roman" w:hAnsi="Times New Roman"/>
          <w:sz w:val="16"/>
          <w:szCs w:val="16"/>
          <w:b w:val="1"/>
          <w:bCs w:val="1"/>
          <w:i w:val="1"/>
          <w:iCs w:val="1"/>
          <w:color w:val="auto"/>
        </w:rPr>
        <w:t>ESPP Shares</w:t>
      </w:r>
      <w:r>
        <w:rPr>
          <w:rFonts w:ascii="Times New Roman" w:cs="Times New Roman" w:eastAsia="Times New Roman" w:hAnsi="Times New Roman"/>
          <w:sz w:val="16"/>
          <w:szCs w:val="16"/>
          <w:color w:val="auto"/>
        </w:rPr>
        <w:t>” and, together with the Plan Shares,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of Common Stock issuable under the BioXcel Therapeutics, Inc. 2020 Employee Stock Purchase Plan (the “</w:t>
      </w:r>
      <w:r>
        <w:rPr>
          <w:rFonts w:ascii="Times New Roman" w:cs="Times New Roman" w:eastAsia="Times New Roman" w:hAnsi="Times New Roman"/>
          <w:sz w:val="16"/>
          <w:szCs w:val="16"/>
          <w:b w:val="1"/>
          <w:bCs w:val="1"/>
          <w:i w:val="1"/>
          <w:iCs w:val="1"/>
          <w:color w:val="auto"/>
        </w:rPr>
        <w:t>ESPP</w:t>
      </w:r>
      <w:r>
        <w:rPr>
          <w:rFonts w:ascii="Times New Roman" w:cs="Times New Roman" w:eastAsia="Times New Roman" w:hAnsi="Times New Roman"/>
          <w:sz w:val="16"/>
          <w:szCs w:val="16"/>
          <w:color w:val="auto"/>
        </w:rPr>
        <w:t>”). The Shares are included in a registration statement on Form S-8 under the Securities Act of 1933, as amended (the “</w:t>
      </w:r>
      <w:r>
        <w:rPr>
          <w:rFonts w:ascii="Times New Roman" w:cs="Times New Roman" w:eastAsia="Times New Roman" w:hAnsi="Times New Roman"/>
          <w:sz w:val="16"/>
          <w:szCs w:val="16"/>
          <w:b w:val="1"/>
          <w:bCs w:val="1"/>
          <w:i w:val="1"/>
          <w:iCs w:val="1"/>
          <w:color w:val="auto"/>
        </w:rPr>
        <w:t>Act</w:t>
      </w:r>
      <w:r>
        <w:rPr>
          <w:rFonts w:ascii="Times New Roman" w:cs="Times New Roman" w:eastAsia="Times New Roman" w:hAnsi="Times New Roman"/>
          <w:sz w:val="16"/>
          <w:szCs w:val="16"/>
          <w:color w:val="auto"/>
        </w:rPr>
        <w:t>”), filed with the Securities and Exchange Commission (the “</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on March 15, 2023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67" w:lineRule="exact"/>
        <w:rPr>
          <w:sz w:val="20"/>
          <w:szCs w:val="20"/>
          <w:color w:val="auto"/>
        </w:rPr>
      </w:pPr>
    </w:p>
    <w:p>
      <w:pPr>
        <w:jc w:val="both"/>
        <w:ind w:right="100" w:firstLine="588"/>
        <w:spacing w:after="0" w:line="273" w:lineRule="auto"/>
        <w:rPr>
          <w:sz w:val="20"/>
          <w:szCs w:val="20"/>
          <w:color w:val="auto"/>
        </w:rPr>
      </w:pPr>
      <w:r>
        <w:rPr>
          <w:rFonts w:ascii="Times New Roman" w:cs="Times New Roman" w:eastAsia="Times New Roman" w:hAnsi="Times New Roman"/>
          <w:sz w:val="16"/>
          <w:szCs w:val="16"/>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6"/>
          <w:szCs w:val="16"/>
          <w:b w:val="1"/>
          <w:bCs w:val="1"/>
          <w:i w:val="1"/>
          <w:iCs w:val="1"/>
          <w:color w:val="auto"/>
        </w:rPr>
        <w:t>DGCL</w:t>
      </w:r>
      <w:r>
        <w:rPr>
          <w:rFonts w:ascii="Times New Roman" w:cs="Times New Roman" w:eastAsia="Times New Roman" w:hAnsi="Times New Roman"/>
          <w:sz w:val="16"/>
          <w:szCs w:val="16"/>
          <w:color w:val="auto"/>
        </w:rPr>
        <w:t>”), and we express no opinion with respect to any other laws.</w:t>
      </w:r>
    </w:p>
    <w:p>
      <w:pPr>
        <w:spacing w:after="0" w:line="157" w:lineRule="exact"/>
        <w:rPr>
          <w:sz w:val="20"/>
          <w:szCs w:val="20"/>
          <w:color w:val="auto"/>
        </w:rPr>
      </w:pPr>
    </w:p>
    <w:p>
      <w:pPr>
        <w:jc w:val="both"/>
        <w:ind w:right="100" w:firstLine="588"/>
        <w:spacing w:after="0" w:line="261" w:lineRule="auto"/>
        <w:rPr>
          <w:sz w:val="20"/>
          <w:szCs w:val="20"/>
          <w:color w:val="auto"/>
        </w:rPr>
      </w:pPr>
      <w:r>
        <w:rPr>
          <w:rFonts w:ascii="Times New Roman" w:cs="Times New Roman" w:eastAsia="Times New Roman" w:hAnsi="Times New Roman"/>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recipients thereof, and have been issued by the Company against payment therefor in the circumstances contemplated by and pursuant to the Plan and the ESPP, and assuming in each case that the individual issuances, grants or awards under the Plan or the ESPP, as applicable, are duly authorized by all necessary corporate action and duly issued, granted or awarded and exercised in accordance with the requirements of law and the Plan or the ESPP (and the agreements and awards duly adopted thereunder and in accordance therewith), as applicable,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as provided in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382270</wp:posOffset>
            </wp:positionV>
            <wp:extent cx="71450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340"/>
          </w:cols>
          <w:pgMar w:left="320" w:top="331"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March 17,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6226810" cy="700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6226810" cy="70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588"/>
        <w:spacing w:after="0" w:line="273" w:lineRule="auto"/>
        <w:rPr>
          <w:sz w:val="20"/>
          <w:szCs w:val="20"/>
          <w:color w:val="auto"/>
        </w:rPr>
      </w:pPr>
      <w:r>
        <w:rPr>
          <w:rFonts w:ascii="Times New Roman" w:cs="Times New Roman" w:eastAsia="Times New Roman" w:hAnsi="Times New Roman"/>
          <w:sz w:val="16"/>
          <w:szCs w:val="16"/>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Sincerely,</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415290</wp:posOffset>
            </wp:positionV>
            <wp:extent cx="71450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40"/>
          </w:cols>
          <w:pgMar w:left="320" w:top="83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1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(Form S-8) pertaining to the BioXcel Therapeutics, Inc. 2020 Incentive Award Plan and the BioXcel Therapeutics, Inc. 2020 Employee Stock Purchase Plan of our report dated March 15, 2023, with respect to the consolidated financial statements of BioXcel Therapeutics, Inc. included in its Annual Report (Form 10-K) for the year ended December 31, 2022, filed with the Securities and Exchange Commission.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Stamford, Connecticut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71450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107.1</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Calculation of Filing Fee Tables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S-8</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 Type)</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BioXcel Therapeutics,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1—Newly Registered Securities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Fee</w:t>
            </w: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Proposed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22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Security Class</w:t>
            </w:r>
          </w:p>
        </w:tc>
        <w:tc>
          <w:tcPr>
            <w:tcW w:w="1240" w:type="dxa"/>
            <w:vAlign w:val="bottom"/>
            <w:gridSpan w:val="2"/>
            <w:vMerge w:val="continue"/>
          </w:tcPr>
          <w:p>
            <w:pPr>
              <w:spacing w:after="0"/>
              <w:rPr>
                <w:sz w:val="11"/>
                <w:szCs w:val="11"/>
                <w:color w:val="auto"/>
              </w:rPr>
            </w:pPr>
          </w:p>
        </w:tc>
        <w:tc>
          <w:tcPr>
            <w:tcW w:w="14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0" w:type="dxa"/>
            <w:vAlign w:val="bottom"/>
          </w:tcPr>
          <w:p>
            <w:pPr>
              <w:spacing w:after="0"/>
              <w:rPr>
                <w:sz w:val="1"/>
                <w:szCs w:val="1"/>
                <w:color w:val="auto"/>
              </w:rPr>
            </w:pPr>
          </w:p>
        </w:tc>
      </w:tr>
      <w:tr>
        <w:trPr>
          <w:trHeight w:val="135"/>
        </w:trPr>
        <w:tc>
          <w:tcPr>
            <w:tcW w:w="1000" w:type="dxa"/>
            <w:vAlign w:val="bottom"/>
            <w:gridSpan w:val="2"/>
            <w:vMerge w:val="continue"/>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Calculation</w:t>
            </w:r>
          </w:p>
        </w:tc>
        <w:tc>
          <w:tcPr>
            <w:tcW w:w="1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Offering Price</w:t>
            </w:r>
          </w:p>
        </w:tc>
        <w:tc>
          <w:tcPr>
            <w:tcW w:w="1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1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Type</w:t>
            </w:r>
          </w:p>
        </w:tc>
        <w:tc>
          <w:tcPr>
            <w:tcW w:w="2240" w:type="dxa"/>
            <w:vAlign w:val="bottom"/>
            <w:gridSpan w:val="2"/>
          </w:tcPr>
          <w:p>
            <w:pPr>
              <w:ind w:left="94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Registered(1)</w:t>
            </w:r>
          </w:p>
        </w:tc>
        <w:tc>
          <w:tcPr>
            <w:tcW w:w="10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Per Unit</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Offering Price</w:t>
            </w: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Registration Fee</w:t>
            </w:r>
          </w:p>
        </w:tc>
        <w:tc>
          <w:tcPr>
            <w:tcW w:w="0" w:type="dxa"/>
            <w:vAlign w:val="bottom"/>
          </w:tcPr>
          <w:p>
            <w:pPr>
              <w:spacing w:after="0"/>
              <w:rPr>
                <w:sz w:val="1"/>
                <w:szCs w:val="1"/>
                <w:color w:val="auto"/>
              </w:rPr>
            </w:pPr>
          </w:p>
        </w:tc>
      </w:tr>
      <w:tr>
        <w:trPr>
          <w:trHeight w:val="107"/>
        </w:trPr>
        <w:tc>
          <w:tcPr>
            <w:tcW w:w="90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Equity</w:t>
            </w:r>
          </w:p>
        </w:tc>
        <w:tc>
          <w:tcPr>
            <w:tcW w:w="100" w:type="dxa"/>
            <w:vAlign w:val="bottom"/>
            <w:tcBorders>
              <w:top w:val="single" w:sz="8" w:color="CCEEFF"/>
            </w:tcBorders>
            <w:shd w:val="clear" w:color="auto" w:fill="CCEEFF"/>
          </w:tcPr>
          <w:p>
            <w:pPr>
              <w:spacing w:after="0"/>
              <w:rPr>
                <w:sz w:val="9"/>
                <w:szCs w:val="9"/>
                <w:color w:val="auto"/>
              </w:rPr>
            </w:pPr>
          </w:p>
        </w:tc>
        <w:tc>
          <w:tcPr>
            <w:tcW w:w="214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Common stock, $0.001 par value per</w:t>
            </w:r>
          </w:p>
        </w:tc>
        <w:tc>
          <w:tcPr>
            <w:tcW w:w="10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Rule 457(c) and</w:t>
            </w:r>
          </w:p>
        </w:tc>
        <w:tc>
          <w:tcPr>
            <w:tcW w:w="120" w:type="dxa"/>
            <w:vAlign w:val="bottom"/>
            <w:tcBorders>
              <w:top w:val="single" w:sz="8" w:color="CCEEFF"/>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2020 Incentive Award Plan</w:t>
            </w: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Rule 457(h)</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1,125,889(2)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21.25(4)</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23,925,141.25</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0.00011020</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2,636.55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0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rPr>
              <w:t>Equity</w:t>
            </w:r>
          </w:p>
        </w:tc>
        <w:tc>
          <w:tcPr>
            <w:tcW w:w="224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rPr>
              <w:t>Common stock, $0.001 par value per</w:t>
            </w: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share, 2020 Employee Stock Purchase</w:t>
            </w:r>
          </w:p>
        </w:tc>
        <w:tc>
          <w:tcPr>
            <w:tcW w:w="12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Rule 457(c) and</w:t>
            </w: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Plan</w:t>
            </w: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Rule 457(h)</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281,472(3)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21.25(4)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5,981,280.00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0.00011020</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659.14</w:t>
            </w:r>
          </w:p>
        </w:tc>
        <w:tc>
          <w:tcPr>
            <w:tcW w:w="0" w:type="dxa"/>
            <w:vAlign w:val="bottom"/>
          </w:tcPr>
          <w:p>
            <w:pPr>
              <w:spacing w:after="0"/>
              <w:rPr>
                <w:sz w:val="1"/>
                <w:szCs w:val="1"/>
                <w:color w:val="auto"/>
              </w:rPr>
            </w:pPr>
          </w:p>
        </w:tc>
      </w:tr>
      <w:tr>
        <w:trPr>
          <w:trHeight w:val="127"/>
        </w:trPr>
        <w:tc>
          <w:tcPr>
            <w:tcW w:w="3240" w:type="dxa"/>
            <w:vAlign w:val="bottom"/>
            <w:tcBorders>
              <w:top w:val="single" w:sz="8" w:color="CCEEFF"/>
            </w:tcBorders>
            <w:gridSpan w:val="4"/>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Offering Amounts</w:t>
            </w:r>
          </w:p>
        </w:tc>
        <w:tc>
          <w:tcPr>
            <w:tcW w:w="1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29,906,421.25</w:t>
            </w:r>
          </w:p>
        </w:tc>
        <w:tc>
          <w:tcPr>
            <w:tcW w:w="2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3,295.69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240" w:type="dxa"/>
            <w:vAlign w:val="bottom"/>
            <w:tcBorders>
              <w:bottom w:val="single" w:sz="8" w:color="CCEEFF"/>
            </w:tcBorders>
            <w:gridSpan w:val="4"/>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Total Fee Offsets(5)</w:t>
            </w:r>
          </w:p>
        </w:tc>
        <w:tc>
          <w:tcPr>
            <w:tcW w:w="1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Net Fee Due</w:t>
            </w:r>
          </w:p>
        </w:tc>
        <w:tc>
          <w:tcPr>
            <w:tcW w:w="2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3,295.69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left="620" w:right="20" w:hanging="316"/>
        <w:spacing w:after="0" w:line="234" w:lineRule="auto"/>
        <w:tabs>
          <w:tab w:leader="none" w:pos="6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Rule 416(b) under the Securities Act of 1933, as amended (the “Securities Act”), the shares of common stock, par value $0.001 per share (the “Common Stock”), of BioXcel Therapeutics, Inc. (the “Registrant”) being registered hereunder include such indeterminate number of shares of the Common Stock as may be issuable with respect to the shares of the Common Stock being registered hereunder as a result of stock splits, stock dividends or similar transactions.</w:t>
      </w:r>
    </w:p>
    <w:p>
      <w:pPr>
        <w:spacing w:after="0" w:line="102" w:lineRule="exact"/>
        <w:rPr>
          <w:rFonts w:ascii="Times New Roman" w:cs="Times New Roman" w:eastAsia="Times New Roman" w:hAnsi="Times New Roman"/>
          <w:sz w:val="13"/>
          <w:szCs w:val="13"/>
          <w:color w:val="auto"/>
        </w:rPr>
      </w:pPr>
    </w:p>
    <w:p>
      <w:pPr>
        <w:ind w:left="620" w:right="20" w:hanging="316"/>
        <w:spacing w:after="0" w:line="246" w:lineRule="auto"/>
        <w:tabs>
          <w:tab w:leader="none" w:pos="6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1,125,889 shares of the Registrant’s Common Stock that were automatically added to the shares authorized for issuance under the Company’s 2020 Incentive Award Plan (as amended, the “2020 Plan”) on January 1, 2023 pursuant to an “evergreen” provision contained in the 2020 Plan or that have otherwise become issauble under the 2020 Plan.</w:t>
      </w:r>
    </w:p>
    <w:p>
      <w:pPr>
        <w:spacing w:after="0" w:line="98" w:lineRule="exact"/>
        <w:rPr>
          <w:rFonts w:ascii="Times New Roman" w:cs="Times New Roman" w:eastAsia="Times New Roman" w:hAnsi="Times New Roman"/>
          <w:sz w:val="13"/>
          <w:szCs w:val="13"/>
          <w:color w:val="auto"/>
        </w:rPr>
      </w:pPr>
    </w:p>
    <w:p>
      <w:pPr>
        <w:ind w:left="620" w:right="20" w:hanging="316"/>
        <w:spacing w:after="0" w:line="246" w:lineRule="auto"/>
        <w:tabs>
          <w:tab w:leader="none" w:pos="6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281,472 shares of the Registrant’s Common Stock that were automatically added to the shares authorized for issuance under the Company’s 2020 Employee Stock Purchase Plan (as amended, the “2020 ESPP”) on January 1, 2023 pursuant to an “evergreen” provision contained in the 2020 ESPP.</w:t>
      </w:r>
    </w:p>
    <w:p>
      <w:pPr>
        <w:spacing w:after="0" w:line="98" w:lineRule="exact"/>
        <w:rPr>
          <w:rFonts w:ascii="Times New Roman" w:cs="Times New Roman" w:eastAsia="Times New Roman" w:hAnsi="Times New Roman"/>
          <w:sz w:val="13"/>
          <w:szCs w:val="13"/>
          <w:color w:val="auto"/>
        </w:rPr>
      </w:pPr>
    </w:p>
    <w:p>
      <w:pPr>
        <w:ind w:left="620" w:right="20" w:hanging="316"/>
        <w:spacing w:after="0" w:line="246" w:lineRule="auto"/>
        <w:tabs>
          <w:tab w:leader="none" w:pos="6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pursuant to Rules 457(c) and 457(h) of the Securities Act, and based upon the average of the high and low prices of the Registrant’s Common Stock on March 13, 2023 as reported on The Nasdaq Capital Market.</w:t>
      </w:r>
    </w:p>
    <w:p>
      <w:pPr>
        <w:spacing w:after="0" w:line="98" w:lineRule="exact"/>
        <w:rPr>
          <w:rFonts w:ascii="Times New Roman" w:cs="Times New Roman" w:eastAsia="Times New Roman" w:hAnsi="Times New Roman"/>
          <w:sz w:val="13"/>
          <w:szCs w:val="13"/>
          <w:color w:val="auto"/>
        </w:rPr>
      </w:pPr>
    </w:p>
    <w:p>
      <w:pPr>
        <w:ind w:left="620" w:hanging="316"/>
        <w:spacing w:after="0"/>
        <w:tabs>
          <w:tab w:leader="none" w:pos="6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392430</wp:posOffset>
            </wp:positionV>
            <wp:extent cx="7145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sectPr>
      <w:pgSz w:w="11900" w:h="16838" w:orient="portrait"/>
      <w:cols w:equalWidth="0" w:num="1">
        <w:col w:w="11260"/>
      </w:cols>
      <w:pgMar w:left="320" w:top="3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eg"/><Relationship Id="rId22" Type="http://schemas.openxmlformats.org/officeDocument/2006/relationships/image" Target="media/image8.png"/><Relationship Id="rId23" Type="http://schemas.openxmlformats.org/officeDocument/2006/relationships/image" Target="media/image9.jpe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13" Type="http://schemas.openxmlformats.org/officeDocument/2006/relationships/hyperlink" Target="https://www.sec.gov/Archives/edgar/data/1720893/000110465920064878/a20-20281_1s8.htm" TargetMode="External"/><Relationship Id="rId14" Type="http://schemas.openxmlformats.org/officeDocument/2006/relationships/hyperlink" Target="https://www.sec.gov/Archives/edgar/data/1720893/000110465922091827/tm2223467d1_s8.htm" TargetMode="External"/><Relationship Id="rId15" Type="http://schemas.openxmlformats.org/officeDocument/2006/relationships/hyperlink" Target="https://www.sec.gov/Archives/edgar/data/1720893/000155837021011074/btai-20210630xex3d1.htm" TargetMode="External"/><Relationship Id="rId16" Type="http://schemas.openxmlformats.org/officeDocument/2006/relationships/hyperlink" Target="https://www.sec.gov/Archives/edgar/data/1720893/000110465918016770/a18-8090_1ex3d2.htm" TargetMode="External"/><Relationship Id="rId17" Type="http://schemas.openxmlformats.org/officeDocument/2006/relationships/hyperlink" Target="https://www.sec.gov/Archives/edgar/data/1720893/000104746918001032/a2234645zex-4_2.htm" TargetMode="External"/><Relationship Id="rId18" Type="http://schemas.openxmlformats.org/officeDocument/2006/relationships/hyperlink" Target="https://www.sec.gov/Archives/edgar/data/1720893/000155837020010611/btai-20200630ex101dd8d33.htm" TargetMode="External"/><Relationship Id="rId19" Type="http://schemas.openxmlformats.org/officeDocument/2006/relationships/hyperlink" Target="https://www.sec.gov/Archives/edgar/data/1720893/000110465920064759/tm2020394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2023-03-17T16:09:38Z</dcterms:created>
  <dcterms:modified xsi:type="dcterms:W3CDTF">2023-03-17T16:09:38Z</dcterms:modified>
</cp:coreProperties>
</file>