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400685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72390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89535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4" w:lineRule="exact"/>
        <w:rPr>
          <w:sz w:val="24"/>
          <w:szCs w:val="24"/>
          <w:color w:val="auto"/>
        </w:rPr>
      </w:pPr>
    </w:p>
    <w:p>
      <w:pPr>
        <w:jc w:val="center"/>
        <w:ind w:left="3460" w:right="440" w:hanging="3168"/>
        <w:spacing w:after="0" w:line="375" w:lineRule="auto"/>
        <w:tabs>
          <w:tab w:leader="none" w:pos="75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760" w:hanging="468"/>
        <w:spacing w:after="0"/>
        <w:tabs>
          <w:tab w:leader="none" w:pos="7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41" w:lineRule="exact"/>
        <w:rPr>
          <w:sz w:val="24"/>
          <w:szCs w:val="24"/>
          <w:color w:val="auto"/>
        </w:rPr>
      </w:pPr>
    </w:p>
    <w:tbl>
      <w:tblPr>
        <w:tblLayout w:type="fixed"/>
        <w:tblInd w:w="1500" w:type="dxa"/>
        <w:tblCellMar>
          <w:top w:w="0" w:type="dxa"/>
          <w:left w:w="0" w:type="dxa"/>
          <w:bottom w:w="0" w:type="dxa"/>
          <w:right w:w="0" w:type="dxa"/>
        </w:tblCellMar>
      </w:tblPr>
      <w:tr>
        <w:trPr>
          <w:trHeight w:val="234"/>
        </w:trPr>
        <w:tc>
          <w:tcPr>
            <w:tcW w:w="5540" w:type="dxa"/>
            <w:vAlign w:val="bottom"/>
            <w:gridSpan w:val="3"/>
          </w:tcPr>
          <w:p>
            <w:pPr>
              <w:ind w:left="2020"/>
              <w:spacing w:after="0"/>
              <w:rPr>
                <w:sz w:val="20"/>
                <w:szCs w:val="20"/>
                <w:color w:val="auto"/>
              </w:rPr>
            </w:pPr>
            <w:r>
              <w:rPr>
                <w:rFonts w:ascii="Arial" w:cs="Arial" w:eastAsia="Arial" w:hAnsi="Arial"/>
                <w:sz w:val="18"/>
                <w:szCs w:val="18"/>
                <w:b w:val="1"/>
                <w:bCs w:val="1"/>
                <w:color w:val="auto"/>
              </w:rPr>
              <w:t>For the transition period from</w:t>
            </w:r>
          </w:p>
        </w:tc>
        <w:tc>
          <w:tcPr>
            <w:tcW w:w="1340" w:type="dxa"/>
            <w:vAlign w:val="bottom"/>
          </w:tcPr>
          <w:p>
            <w:pPr>
              <w:ind w:left="44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38"/>
        </w:trPr>
        <w:tc>
          <w:tcPr>
            <w:tcW w:w="2400" w:type="dxa"/>
            <w:vAlign w:val="bottom"/>
          </w:tcPr>
          <w:p>
            <w:pPr>
              <w:spacing w:after="0"/>
              <w:rPr>
                <w:sz w:val="20"/>
                <w:szCs w:val="20"/>
                <w:color w:val="auto"/>
              </w:rPr>
            </w:pPr>
          </w:p>
        </w:tc>
        <w:tc>
          <w:tcPr>
            <w:tcW w:w="3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Commission File Number: 001-38410</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2400" w:type="dxa"/>
            <w:vAlign w:val="bottom"/>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0"/>
        </w:trPr>
        <w:tc>
          <w:tcPr>
            <w:tcW w:w="5540" w:type="dxa"/>
            <w:vAlign w:val="bottom"/>
            <w:gridSpan w:val="3"/>
          </w:tcPr>
          <w:p>
            <w:pPr>
              <w:jc w:val="center"/>
              <w:ind w:left="1761"/>
              <w:spacing w:after="0"/>
              <w:rPr>
                <w:sz w:val="20"/>
                <w:szCs w:val="20"/>
                <w:color w:val="auto"/>
              </w:rPr>
            </w:pPr>
            <w:r>
              <w:rPr>
                <w:rFonts w:ascii="Arial" w:cs="Arial" w:eastAsia="Arial" w:hAnsi="Arial"/>
                <w:sz w:val="25"/>
                <w:szCs w:val="25"/>
                <w:b w:val="1"/>
                <w:bCs w:val="1"/>
                <w:color w:val="auto"/>
                <w:w w:val="91"/>
              </w:rPr>
              <w:t>BioXcel Therapeutics, Inc.</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540" w:type="dxa"/>
            <w:vAlign w:val="bottom"/>
            <w:gridSpan w:val="3"/>
          </w:tcPr>
          <w:p>
            <w:pPr>
              <w:jc w:val="center"/>
              <w:ind w:left="1761"/>
              <w:spacing w:after="0"/>
              <w:rPr>
                <w:sz w:val="20"/>
                <w:szCs w:val="20"/>
                <w:color w:val="auto"/>
              </w:rPr>
            </w:pPr>
            <w:r>
              <w:rPr>
                <w:rFonts w:ascii="Arial" w:cs="Arial" w:eastAsia="Arial" w:hAnsi="Arial"/>
                <w:sz w:val="14"/>
                <w:szCs w:val="14"/>
                <w:color w:val="auto"/>
                <w:w w:val="93"/>
              </w:rPr>
              <w:t>(Exact Name of Registrant as Specified in its Charter)</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400" w:type="dxa"/>
            <w:vAlign w:val="bottom"/>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5540" w:type="dxa"/>
            <w:vAlign w:val="bottom"/>
            <w:gridSpan w:val="3"/>
          </w:tcPr>
          <w:p>
            <w:pPr>
              <w:jc w:val="center"/>
              <w:ind w:right="3240"/>
              <w:spacing w:after="0"/>
              <w:rPr>
                <w:sz w:val="20"/>
                <w:szCs w:val="20"/>
                <w:color w:val="auto"/>
              </w:rPr>
            </w:pPr>
            <w:r>
              <w:rPr>
                <w:rFonts w:ascii="Arial" w:cs="Arial" w:eastAsia="Arial" w:hAnsi="Arial"/>
                <w:sz w:val="14"/>
                <w:szCs w:val="14"/>
                <w:b w:val="1"/>
                <w:bCs w:val="1"/>
                <w:color w:val="auto"/>
                <w:w w:val="94"/>
              </w:rPr>
              <w:t>Delaware</w:t>
            </w:r>
          </w:p>
        </w:tc>
        <w:tc>
          <w:tcPr>
            <w:tcW w:w="1340" w:type="dxa"/>
            <w:vAlign w:val="bottom"/>
          </w:tcPr>
          <w:p>
            <w:pPr>
              <w:jc w:val="center"/>
              <w:ind w:left="205"/>
              <w:spacing w:after="0" w:line="161" w:lineRule="exact"/>
              <w:rPr>
                <w:sz w:val="20"/>
                <w:szCs w:val="20"/>
                <w:color w:val="auto"/>
              </w:rPr>
            </w:pPr>
            <w:r>
              <w:rPr>
                <w:rFonts w:ascii="Arial" w:cs="Arial" w:eastAsia="Arial" w:hAnsi="Arial"/>
                <w:sz w:val="14"/>
                <w:szCs w:val="14"/>
                <w:b w:val="1"/>
                <w:bCs w:val="1"/>
                <w:color w:val="auto"/>
                <w:w w:val="94"/>
              </w:rPr>
              <w:t>82</w:t>
            </w:r>
            <w:r>
              <w:rPr>
                <w:rFonts w:ascii="MS PGothic" w:cs="MS PGothic" w:eastAsia="MS PGothic" w:hAnsi="MS PGothic"/>
                <w:sz w:val="14"/>
                <w:szCs w:val="14"/>
                <w:b w:val="1"/>
                <w:bCs w:val="1"/>
                <w:color w:val="auto"/>
                <w:w w:val="94"/>
              </w:rPr>
              <w:t>‑</w:t>
            </w:r>
            <w:r>
              <w:rPr>
                <w:rFonts w:ascii="Arial" w:cs="Arial" w:eastAsia="Arial" w:hAnsi="Arial"/>
                <w:sz w:val="14"/>
                <w:szCs w:val="14"/>
                <w:b w:val="1"/>
                <w:bCs w:val="1"/>
                <w:color w:val="auto"/>
                <w:w w:val="94"/>
              </w:rPr>
              <w:t>1386754</w:t>
            </w:r>
          </w:p>
        </w:tc>
        <w:tc>
          <w:tcPr>
            <w:tcW w:w="0" w:type="dxa"/>
            <w:vAlign w:val="bottom"/>
          </w:tcPr>
          <w:p>
            <w:pPr>
              <w:spacing w:after="0"/>
              <w:rPr>
                <w:sz w:val="1"/>
                <w:szCs w:val="1"/>
                <w:color w:val="auto"/>
              </w:rPr>
            </w:pPr>
          </w:p>
        </w:tc>
      </w:tr>
      <w:tr>
        <w:trPr>
          <w:trHeight w:val="149"/>
        </w:trPr>
        <w:tc>
          <w:tcPr>
            <w:tcW w:w="5540" w:type="dxa"/>
            <w:vAlign w:val="bottom"/>
            <w:gridSpan w:val="3"/>
          </w:tcPr>
          <w:p>
            <w:pPr>
              <w:jc w:val="center"/>
              <w:ind w:right="3240"/>
              <w:spacing w:after="0" w:line="149" w:lineRule="exact"/>
              <w:rPr>
                <w:sz w:val="20"/>
                <w:szCs w:val="20"/>
                <w:color w:val="auto"/>
              </w:rPr>
            </w:pPr>
            <w:r>
              <w:rPr>
                <w:rFonts w:ascii="Arial" w:cs="Arial" w:eastAsia="Arial" w:hAnsi="Arial"/>
                <w:sz w:val="14"/>
                <w:szCs w:val="14"/>
                <w:color w:val="auto"/>
                <w:w w:val="94"/>
              </w:rPr>
              <w:t>(State or other jurisdiction of</w:t>
            </w:r>
          </w:p>
        </w:tc>
        <w:tc>
          <w:tcPr>
            <w:tcW w:w="1340" w:type="dxa"/>
            <w:vAlign w:val="bottom"/>
          </w:tcPr>
          <w:p>
            <w:pPr>
              <w:jc w:val="center"/>
              <w:ind w:left="205"/>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5540" w:type="dxa"/>
            <w:vAlign w:val="bottom"/>
            <w:gridSpan w:val="3"/>
          </w:tcPr>
          <w:p>
            <w:pPr>
              <w:ind w:left="340"/>
              <w:spacing w:after="0"/>
              <w:rPr>
                <w:sz w:val="20"/>
                <w:szCs w:val="20"/>
                <w:color w:val="auto"/>
              </w:rPr>
            </w:pPr>
            <w:r>
              <w:rPr>
                <w:rFonts w:ascii="Arial" w:cs="Arial" w:eastAsia="Arial" w:hAnsi="Arial"/>
                <w:sz w:val="14"/>
                <w:szCs w:val="14"/>
                <w:color w:val="auto"/>
              </w:rPr>
              <w:t>incorporation or organization)</w:t>
            </w:r>
          </w:p>
        </w:tc>
        <w:tc>
          <w:tcPr>
            <w:tcW w:w="1340" w:type="dxa"/>
            <w:vAlign w:val="bottom"/>
          </w:tcPr>
          <w:p>
            <w:pPr>
              <w:jc w:val="center"/>
              <w:ind w:left="205"/>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205"/>
        </w:trPr>
        <w:tc>
          <w:tcPr>
            <w:tcW w:w="5540" w:type="dxa"/>
            <w:vAlign w:val="bottom"/>
            <w:gridSpan w:val="3"/>
          </w:tcPr>
          <w:p>
            <w:pPr>
              <w:jc w:val="center"/>
              <w:ind w:right="3240"/>
              <w:spacing w:after="0"/>
              <w:rPr>
                <w:sz w:val="20"/>
                <w:szCs w:val="20"/>
                <w:color w:val="auto"/>
              </w:rPr>
            </w:pPr>
            <w:r>
              <w:rPr>
                <w:rFonts w:ascii="Arial" w:cs="Arial" w:eastAsia="Arial" w:hAnsi="Arial"/>
                <w:sz w:val="14"/>
                <w:szCs w:val="14"/>
                <w:b w:val="1"/>
                <w:bCs w:val="1"/>
                <w:color w:val="auto"/>
                <w:w w:val="95"/>
              </w:rPr>
              <w:t>555 Long Wharf Drive</w:t>
            </w:r>
          </w:p>
        </w:tc>
        <w:tc>
          <w:tcPr>
            <w:tcW w:w="1340" w:type="dxa"/>
            <w:vAlign w:val="bottom"/>
            <w:vMerge w:val="restart"/>
          </w:tcPr>
          <w:p>
            <w:pPr>
              <w:jc w:val="right"/>
              <w:ind w:right="285"/>
              <w:spacing w:after="0"/>
              <w:rPr>
                <w:sz w:val="20"/>
                <w:szCs w:val="20"/>
                <w:color w:val="auto"/>
              </w:rPr>
            </w:pPr>
            <w:r>
              <w:rPr>
                <w:rFonts w:ascii="Arial" w:cs="Arial" w:eastAsia="Arial" w:hAnsi="Arial"/>
                <w:sz w:val="14"/>
                <w:szCs w:val="14"/>
                <w:b w:val="1"/>
                <w:bCs w:val="1"/>
                <w:color w:val="auto"/>
              </w:rPr>
              <w:t>06511</w:t>
            </w:r>
          </w:p>
        </w:tc>
        <w:tc>
          <w:tcPr>
            <w:tcW w:w="0" w:type="dxa"/>
            <w:vAlign w:val="bottom"/>
          </w:tcPr>
          <w:p>
            <w:pPr>
              <w:spacing w:after="0"/>
              <w:rPr>
                <w:sz w:val="1"/>
                <w:szCs w:val="1"/>
                <w:color w:val="auto"/>
              </w:rPr>
            </w:pPr>
          </w:p>
        </w:tc>
      </w:tr>
      <w:tr>
        <w:trPr>
          <w:trHeight w:val="153"/>
        </w:trPr>
        <w:tc>
          <w:tcPr>
            <w:tcW w:w="5540" w:type="dxa"/>
            <w:vAlign w:val="bottom"/>
            <w:gridSpan w:val="3"/>
          </w:tcPr>
          <w:p>
            <w:pPr>
              <w:jc w:val="center"/>
              <w:ind w:right="3240"/>
              <w:spacing w:after="0" w:line="153" w:lineRule="exact"/>
              <w:rPr>
                <w:sz w:val="20"/>
                <w:szCs w:val="20"/>
                <w:color w:val="auto"/>
              </w:rPr>
            </w:pPr>
            <w:r>
              <w:rPr>
                <w:rFonts w:ascii="Arial" w:cs="Arial" w:eastAsia="Arial" w:hAnsi="Arial"/>
                <w:sz w:val="14"/>
                <w:szCs w:val="14"/>
                <w:b w:val="1"/>
                <w:bCs w:val="1"/>
                <w:color w:val="auto"/>
              </w:rPr>
              <w:t>New Haven, CT</w:t>
            </w: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540" w:type="dxa"/>
            <w:vAlign w:val="bottom"/>
            <w:gridSpan w:val="3"/>
          </w:tcPr>
          <w:p>
            <w:pPr>
              <w:jc w:val="center"/>
              <w:ind w:right="3260"/>
              <w:spacing w:after="0"/>
              <w:rPr>
                <w:sz w:val="20"/>
                <w:szCs w:val="20"/>
                <w:color w:val="auto"/>
              </w:rPr>
            </w:pPr>
            <w:r>
              <w:rPr>
                <w:rFonts w:ascii="Arial" w:cs="Arial" w:eastAsia="Arial" w:hAnsi="Arial"/>
                <w:sz w:val="14"/>
                <w:szCs w:val="14"/>
                <w:color w:val="auto"/>
                <w:w w:val="95"/>
              </w:rPr>
              <w:t>(Address of principal executive offices)</w:t>
            </w:r>
          </w:p>
        </w:tc>
        <w:tc>
          <w:tcPr>
            <w:tcW w:w="1340" w:type="dxa"/>
            <w:vAlign w:val="bottom"/>
          </w:tcPr>
          <w:p>
            <w:pPr>
              <w:jc w:val="center"/>
              <w:ind w:left="205"/>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209"/>
        </w:trPr>
        <w:tc>
          <w:tcPr>
            <w:tcW w:w="2400" w:type="dxa"/>
            <w:vAlign w:val="bottom"/>
          </w:tcPr>
          <w:p>
            <w:pPr>
              <w:spacing w:after="0"/>
              <w:rPr>
                <w:sz w:val="18"/>
                <w:szCs w:val="18"/>
                <w:color w:val="auto"/>
              </w:rPr>
            </w:pPr>
          </w:p>
        </w:tc>
        <w:tc>
          <w:tcPr>
            <w:tcW w:w="3140" w:type="dxa"/>
            <w:vAlign w:val="bottom"/>
            <w:gridSpan w:val="2"/>
          </w:tcPr>
          <w:p>
            <w:pPr>
              <w:jc w:val="center"/>
              <w:ind w:right="560"/>
              <w:spacing w:after="0" w:line="161" w:lineRule="exact"/>
              <w:rPr>
                <w:sz w:val="20"/>
                <w:szCs w:val="20"/>
                <w:color w:val="auto"/>
              </w:rPr>
            </w:pPr>
            <w:r>
              <w:rPr>
                <w:rFonts w:ascii="Arial" w:cs="Arial" w:eastAsia="Arial" w:hAnsi="Arial"/>
                <w:sz w:val="14"/>
                <w:szCs w:val="14"/>
                <w:b w:val="1"/>
                <w:bCs w:val="1"/>
                <w:color w:val="auto"/>
                <w:w w:val="94"/>
              </w:rPr>
              <w:t>(475) 238</w:t>
            </w:r>
            <w:r>
              <w:rPr>
                <w:rFonts w:ascii="MS PGothic" w:cs="MS PGothic" w:eastAsia="MS PGothic" w:hAnsi="MS PGothic"/>
                <w:sz w:val="14"/>
                <w:szCs w:val="14"/>
                <w:b w:val="1"/>
                <w:bCs w:val="1"/>
                <w:color w:val="auto"/>
                <w:w w:val="94"/>
              </w:rPr>
              <w:t>‑</w:t>
            </w:r>
            <w:r>
              <w:rPr>
                <w:rFonts w:ascii="Arial" w:cs="Arial" w:eastAsia="Arial" w:hAnsi="Arial"/>
                <w:sz w:val="14"/>
                <w:szCs w:val="14"/>
                <w:b w:val="1"/>
                <w:bCs w:val="1"/>
                <w:color w:val="auto"/>
                <w:w w:val="94"/>
              </w:rPr>
              <w:t>6837</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540" w:type="dxa"/>
            <w:vAlign w:val="bottom"/>
            <w:gridSpan w:val="3"/>
          </w:tcPr>
          <w:p>
            <w:pPr>
              <w:jc w:val="center"/>
              <w:ind w:left="1781"/>
              <w:spacing w:after="0"/>
              <w:rPr>
                <w:sz w:val="20"/>
                <w:szCs w:val="20"/>
                <w:color w:val="auto"/>
              </w:rPr>
            </w:pPr>
            <w:r>
              <w:rPr>
                <w:rFonts w:ascii="Arial" w:cs="Arial" w:eastAsia="Arial" w:hAnsi="Arial"/>
                <w:sz w:val="14"/>
                <w:szCs w:val="14"/>
                <w:color w:val="auto"/>
                <w:w w:val="92"/>
              </w:rPr>
              <w:t>(Registrant’s telephone number, including area code)</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125095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8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0340"/>
          </w:cols>
          <w:pgMar w:left="760" w:top="233" w:right="799" w:bottom="1440" w:gutter="0" w:footer="0" w:header="0"/>
        </w:sectPr>
      </w:pPr>
    </w:p>
    <w:p>
      <w:pPr>
        <w:spacing w:after="0" w:line="109" w:lineRule="exact"/>
        <w:rPr>
          <w:sz w:val="24"/>
          <w:szCs w:val="24"/>
          <w:color w:val="auto"/>
        </w:rPr>
      </w:pPr>
    </w:p>
    <w:p>
      <w:pPr>
        <w:jc w:val="center"/>
        <w:ind w:right="160"/>
        <w:spacing w:after="0"/>
        <w:rPr>
          <w:sz w:val="20"/>
          <w:szCs w:val="20"/>
          <w:color w:val="auto"/>
        </w:rPr>
      </w:pPr>
      <w:r>
        <w:rPr>
          <w:rFonts w:ascii="Arial" w:cs="Arial" w:eastAsia="Arial" w:hAnsi="Arial"/>
          <w:sz w:val="12"/>
          <w:szCs w:val="12"/>
          <w:b w:val="1"/>
          <w:bCs w:val="1"/>
          <w:color w:val="auto"/>
        </w:rPr>
        <w:t>Title of each class</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4"/>
          <w:szCs w:val="14"/>
          <w:color w:val="auto"/>
        </w:rPr>
        <w:t>Common Stock,</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Trading Symbol(s)</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4"/>
          <w:szCs w:val="14"/>
          <w:color w:val="auto"/>
        </w:rPr>
        <w:t>BTAI</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64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4"/>
          <w:szCs w:val="14"/>
          <w:color w:val="auto"/>
        </w:rPr>
        <w:t>Nasdaq Capital Market</w:t>
      </w:r>
    </w:p>
    <w:p>
      <w:pPr>
        <w:spacing w:after="0" w:line="9" w:lineRule="exact"/>
        <w:rPr>
          <w:sz w:val="24"/>
          <w:szCs w:val="24"/>
          <w:color w:val="auto"/>
        </w:rPr>
      </w:pPr>
    </w:p>
    <w:p>
      <w:pPr>
        <w:sectPr>
          <w:pgSz w:w="11900" w:h="16838" w:orient="portrait"/>
          <w:cols w:equalWidth="0" w:num="3">
            <w:col w:w="3620" w:space="720"/>
            <w:col w:w="1980" w:space="720"/>
            <w:col w:w="3300"/>
          </w:cols>
          <w:pgMar w:left="760" w:top="233" w:right="799" w:bottom="1440" w:gutter="0" w:footer="0" w:header="0"/>
          <w:type w:val="continuous"/>
        </w:sectPr>
      </w:pPr>
    </w:p>
    <w:p>
      <w:pPr>
        <w:ind w:left="960"/>
        <w:spacing w:after="0"/>
        <w:rPr>
          <w:sz w:val="20"/>
          <w:szCs w:val="20"/>
          <w:color w:val="auto"/>
        </w:rPr>
      </w:pPr>
      <w:r>
        <w:rPr>
          <w:rFonts w:ascii="Arial" w:cs="Arial" w:eastAsia="Arial" w:hAnsi="Arial"/>
          <w:sz w:val="12"/>
          <w:szCs w:val="12"/>
          <w:color w:val="auto"/>
        </w:rPr>
        <w:t>$0.001 par value per share</w:t>
      </w:r>
    </w:p>
    <w:p>
      <w:pPr>
        <w:sectPr>
          <w:pgSz w:w="11900" w:h="16838" w:orient="portrait"/>
          <w:cols w:equalWidth="0" w:num="1">
            <w:col w:w="10340"/>
          </w:cols>
          <w:pgMar w:left="760" w:top="233" w:right="799" w:bottom="1440" w:gutter="0" w:footer="0" w:header="0"/>
          <w:type w:val="continuous"/>
        </w:sectPr>
      </w:pPr>
    </w:p>
    <w:p>
      <w:pPr>
        <w:spacing w:after="0" w:line="125" w:lineRule="exact"/>
        <w:rPr>
          <w:sz w:val="24"/>
          <w:szCs w:val="24"/>
          <w:color w:val="auto"/>
        </w:rPr>
      </w:pPr>
    </w:p>
    <w:p>
      <w:pPr>
        <w:ind w:right="20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ind w:right="8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0340"/>
          </w:cols>
          <w:pgMar w:left="760" w:top="233" w:right="799" w:bottom="1440" w:gutter="0" w:footer="0" w:header="0"/>
          <w:type w:val="continuous"/>
        </w:sectPr>
      </w:pPr>
    </w:p>
    <w:p>
      <w:pPr>
        <w:spacing w:after="0" w:line="56" w:lineRule="exact"/>
        <w:rPr>
          <w:sz w:val="24"/>
          <w:szCs w:val="24"/>
          <w:color w:val="auto"/>
        </w:rPr>
      </w:pPr>
    </w:p>
    <w:p>
      <w:pPr>
        <w:ind w:left="186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21" w:lineRule="exact"/>
        <w:rPr>
          <w:sz w:val="24"/>
          <w:szCs w:val="24"/>
          <w:color w:val="auto"/>
        </w:rPr>
      </w:pPr>
    </w:p>
    <w:p>
      <w:pPr>
        <w:sectPr>
          <w:pgSz w:w="11900" w:h="16838" w:orient="portrait"/>
          <w:cols w:equalWidth="0" w:num="2">
            <w:col w:w="6520" w:space="720"/>
            <w:col w:w="3100"/>
          </w:cols>
          <w:pgMar w:left="760" w:top="233" w:right="799" w:bottom="1440" w:gutter="0" w:footer="0" w:header="0"/>
          <w:type w:val="continuous"/>
        </w:sectPr>
      </w:pPr>
    </w:p>
    <w:p>
      <w:pPr>
        <w:ind w:left="190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 reporting company </w:t>
      </w:r>
      <w:r>
        <w:rPr>
          <w:rFonts w:ascii="MS PGothic" w:cs="MS PGothic" w:eastAsia="MS PGothic" w:hAnsi="MS PGothic"/>
          <w:sz w:val="13"/>
          <w:szCs w:val="13"/>
          <w:color w:val="auto"/>
        </w:rPr>
        <w:t>☒</w:t>
      </w:r>
    </w:p>
    <w:p>
      <w:pPr>
        <w:spacing w:after="0" w:line="175" w:lineRule="exact"/>
        <w:rPr>
          <w:sz w:val="24"/>
          <w:szCs w:val="24"/>
          <w:color w:val="auto"/>
        </w:rPr>
      </w:pPr>
    </w:p>
    <w:p>
      <w:pPr>
        <w:sectPr>
          <w:pgSz w:w="11900" w:h="16838" w:orient="portrait"/>
          <w:cols w:equalWidth="0" w:num="2">
            <w:col w:w="6260" w:space="720"/>
            <w:col w:w="3360"/>
          </w:cols>
          <w:pgMar w:left="760" w:top="233" w:right="799" w:bottom="1440" w:gutter="0" w:footer="0" w:header="0"/>
          <w:type w:val="continuous"/>
        </w:sectPr>
      </w:pPr>
    </w:p>
    <w:p>
      <w:pPr>
        <w:ind w:left="69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0340"/>
          </w:cols>
          <w:pgMar w:left="760" w:top="233" w:right="799" w:bottom="1440" w:gutter="0" w:footer="0" w:header="0"/>
          <w:type w:val="continuous"/>
        </w:sectPr>
      </w:pPr>
    </w:p>
    <w:p>
      <w:pPr>
        <w:spacing w:after="0" w:line="134"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$0.001 par value per share, outstanding at July 31, 2019 was 15,731</w:t>
      </w:r>
      <w:r>
        <w:rPr>
          <w:rFonts w:ascii="Arial" w:cs="Arial" w:eastAsia="Arial" w:hAnsi="Arial"/>
          <w:sz w:val="14"/>
          <w:szCs w:val="14"/>
          <w:color w:val="C00000"/>
        </w:rPr>
        <w:t>,</w:t>
      </w:r>
      <w:r>
        <w:rPr>
          <w:rFonts w:ascii="Arial" w:cs="Arial" w:eastAsia="Arial" w:hAnsi="Arial"/>
          <w:sz w:val="14"/>
          <w:szCs w:val="14"/>
          <w:color w:val="auto"/>
        </w:rPr>
        <w:t>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81280</wp:posOffset>
            </wp:positionV>
            <wp:extent cx="66122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621665</wp:posOffset>
            </wp:positionV>
            <wp:extent cx="66122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233" w:right="79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20" w:type="dxa"/>
            <w:vAlign w:val="bottom"/>
            <w:gridSpan w:val="12"/>
            <w:vMerge w:val="restart"/>
          </w:tcPr>
          <w:p>
            <w:pPr>
              <w:ind w:left="20"/>
              <w:spacing w:after="0"/>
              <w:rPr>
                <w:sz w:val="20"/>
                <w:szCs w:val="20"/>
                <w:color w:val="auto"/>
              </w:rPr>
            </w:pPr>
            <w:r>
              <w:rPr>
                <w:rFonts w:ascii="Arial" w:cs="Arial" w:eastAsia="Arial" w:hAnsi="Arial"/>
                <w:sz w:val="18"/>
                <w:szCs w:val="18"/>
                <w:b w:val="1"/>
                <w:bCs w:val="1"/>
                <w:color w:val="auto"/>
              </w:rPr>
              <w:t>PART I - FINANCIAL INFORMATION</w:t>
            </w: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20" w:type="dxa"/>
            <w:vAlign w:val="bottom"/>
            <w:gridSpan w:val="12"/>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Forward Looking Statements</w:t>
              </w:r>
            </w:hyperlink>
          </w:p>
        </w:tc>
        <w:tc>
          <w:tcPr>
            <w:tcW w:w="5620" w:type="dxa"/>
            <w:vAlign w:val="bottom"/>
            <w:gridSpan w:val="1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340" w:type="dxa"/>
            <w:vAlign w:val="bottom"/>
            <w:gridSpan w:val="3"/>
          </w:tcPr>
          <w:p>
            <w:pPr>
              <w:spacing w:after="0"/>
              <w:rPr>
                <w:sz w:val="17"/>
                <w:szCs w:val="17"/>
                <w:color w:val="auto"/>
              </w:rPr>
            </w:pPr>
          </w:p>
        </w:tc>
        <w:tc>
          <w:tcPr>
            <w:tcW w:w="150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Financial Statements</w:t>
              </w:r>
            </w:hyperlink>
          </w:p>
        </w:tc>
        <w:tc>
          <w:tcPr>
            <w:tcW w:w="6220" w:type="dxa"/>
            <w:vAlign w:val="bottom"/>
            <w:gridSpan w:val="1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2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Balance Sheets as of June 30, 2019 (unaudited) and December 31, 2018</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20" w:type="dxa"/>
            <w:vAlign w:val="bottom"/>
            <w:gridSpan w:val="20"/>
          </w:tcPr>
          <w:p>
            <w:pPr>
              <w:spacing w:after="0" w:line="196"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Statements of Operations for the three and six months ended June 30, 2019 and 2018 (unaudited)</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Statements of Changes in Stockholders’ Equity for the three and six months ended June 30, 2019 and 2018</w:t>
              </w:r>
            </w:hyperlink>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w:t>
              </w:r>
            </w:hyperlink>
          </w:p>
        </w:tc>
        <w:tc>
          <w:tcPr>
            <w:tcW w:w="6760" w:type="dxa"/>
            <w:vAlign w:val="bottom"/>
            <w:gridSpan w:val="1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2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Statements of Cash Flows for the six months ended June 30, 2019 and 2018 (unaudited)</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Financial Statements (unaudited)</w:t>
              </w:r>
            </w:hyperlink>
          </w:p>
        </w:tc>
        <w:tc>
          <w:tcPr>
            <w:tcW w:w="140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340" w:type="dxa"/>
            <w:vAlign w:val="bottom"/>
            <w:gridSpan w:val="3"/>
          </w:tcPr>
          <w:p>
            <w:pPr>
              <w:spacing w:after="0"/>
              <w:rPr>
                <w:sz w:val="17"/>
                <w:szCs w:val="17"/>
                <w:color w:val="auto"/>
              </w:rPr>
            </w:pPr>
          </w:p>
        </w:tc>
        <w:tc>
          <w:tcPr>
            <w:tcW w:w="6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126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3.</w:t>
              </w:r>
            </w:hyperlink>
          </w:p>
        </w:tc>
        <w:tc>
          <w:tcPr>
            <w:tcW w:w="340" w:type="dxa"/>
            <w:vAlign w:val="bottom"/>
            <w:gridSpan w:val="3"/>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Quantitative and Qualitative Disclosures About Market Risk</w:t>
              </w:r>
            </w:hyperlink>
          </w:p>
        </w:tc>
        <w:tc>
          <w:tcPr>
            <w:tcW w:w="336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860" w:type="dxa"/>
            <w:vAlign w:val="bottom"/>
            <w:gridSpan w:val="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4.</w:t>
              </w:r>
            </w:hyperlink>
          </w:p>
        </w:tc>
        <w:tc>
          <w:tcPr>
            <w:tcW w:w="772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5620" w:type="dxa"/>
            <w:vAlign w:val="bottom"/>
            <w:gridSpan w:val="12"/>
          </w:tcPr>
          <w:p>
            <w:pPr>
              <w:ind w:left="200"/>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OTHER INFORMATION</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1.</w:t>
              </w:r>
            </w:hyperlink>
          </w:p>
        </w:tc>
        <w:tc>
          <w:tcPr>
            <w:tcW w:w="340" w:type="dxa"/>
            <w:vAlign w:val="bottom"/>
            <w:gridSpan w:val="3"/>
          </w:tcPr>
          <w:p>
            <w:pPr>
              <w:spacing w:after="0"/>
              <w:rPr>
                <w:sz w:val="24"/>
                <w:szCs w:val="24"/>
                <w:color w:val="auto"/>
              </w:rPr>
            </w:pPr>
          </w:p>
        </w:tc>
        <w:tc>
          <w:tcPr>
            <w:tcW w:w="2300" w:type="dxa"/>
            <w:vAlign w:val="bottom"/>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2720" w:type="dxa"/>
            <w:vAlign w:val="bottom"/>
            <w:tcBorders>
              <w:top w:val="single" w:sz="8" w:color="0000EE"/>
            </w:tcBorders>
            <w:gridSpan w:val="5"/>
          </w:tcPr>
          <w:p>
            <w:pPr>
              <w:spacing w:after="0"/>
              <w:rPr>
                <w:sz w:val="24"/>
                <w:szCs w:val="24"/>
                <w:color w:val="auto"/>
              </w:rPr>
            </w:pPr>
          </w:p>
        </w:tc>
        <w:tc>
          <w:tcPr>
            <w:tcW w:w="2700" w:type="dxa"/>
            <w:vAlign w:val="bottom"/>
            <w:gridSpan w:val="6"/>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1A.</w:t>
              </w:r>
            </w:hyperlink>
          </w:p>
        </w:tc>
        <w:tc>
          <w:tcPr>
            <w:tcW w:w="7720" w:type="dxa"/>
            <w:vAlign w:val="bottom"/>
            <w:gridSpan w:val="2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7720" w:type="dxa"/>
            <w:vAlign w:val="bottom"/>
            <w:gridSpan w:val="20"/>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Unregistered Sales of Equity Securities and Use of Proceeds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Item 3.</w:t>
              </w:r>
            </w:hyperlink>
          </w:p>
        </w:tc>
        <w:tc>
          <w:tcPr>
            <w:tcW w:w="340" w:type="dxa"/>
            <w:vAlign w:val="bottom"/>
            <w:gridSpan w:val="3"/>
          </w:tcPr>
          <w:p>
            <w:pPr>
              <w:spacing w:after="0"/>
              <w:rPr>
                <w:sz w:val="17"/>
                <w:szCs w:val="17"/>
                <w:color w:val="auto"/>
              </w:rPr>
            </w:pPr>
          </w:p>
        </w:tc>
        <w:tc>
          <w:tcPr>
            <w:tcW w:w="23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17"/>
                <w:szCs w:val="17"/>
                <w:color w:val="auto"/>
              </w:rPr>
            </w:pPr>
          </w:p>
        </w:tc>
        <w:tc>
          <w:tcPr>
            <w:tcW w:w="3380" w:type="dxa"/>
            <w:vAlign w:val="bottom"/>
            <w:gridSpan w:val="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Item 4.</w:t>
              </w:r>
            </w:hyperlink>
          </w:p>
        </w:tc>
        <w:tc>
          <w:tcPr>
            <w:tcW w:w="340" w:type="dxa"/>
            <w:vAlign w:val="bottom"/>
            <w:gridSpan w:val="3"/>
          </w:tcPr>
          <w:p>
            <w:pPr>
              <w:spacing w:after="0"/>
              <w:rPr>
                <w:sz w:val="17"/>
                <w:szCs w:val="17"/>
                <w:color w:val="auto"/>
              </w:rPr>
            </w:pPr>
          </w:p>
        </w:tc>
        <w:tc>
          <w:tcPr>
            <w:tcW w:w="7720" w:type="dxa"/>
            <w:vAlign w:val="bottom"/>
            <w:gridSpan w:val="20"/>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Mine Safety Disclosures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Item 5.</w:t>
              </w:r>
            </w:hyperlink>
          </w:p>
        </w:tc>
        <w:tc>
          <w:tcPr>
            <w:tcW w:w="340" w:type="dxa"/>
            <w:vAlign w:val="bottom"/>
            <w:gridSpan w:val="3"/>
          </w:tcPr>
          <w:p>
            <w:pPr>
              <w:spacing w:after="0"/>
              <w:rPr>
                <w:sz w:val="17"/>
                <w:szCs w:val="17"/>
                <w:color w:val="auto"/>
              </w:rPr>
            </w:pP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5960" w:type="dxa"/>
            <w:vAlign w:val="bottom"/>
            <w:gridSpan w:val="1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6.</w:t>
              </w:r>
            </w:hyperlink>
          </w:p>
        </w:tc>
        <w:tc>
          <w:tcPr>
            <w:tcW w:w="340" w:type="dxa"/>
            <w:vAlign w:val="bottom"/>
            <w:gridSpan w:val="3"/>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Exhibits</w:t>
              </w:r>
            </w:hyperlink>
          </w:p>
        </w:tc>
        <w:tc>
          <w:tcPr>
            <w:tcW w:w="720" w:type="dxa"/>
            <w:vAlign w:val="bottom"/>
            <w:tcBorders>
              <w:top w:val="single" w:sz="8" w:color="0000EE"/>
            </w:tcBorders>
            <w:gridSpan w:val="3"/>
          </w:tcPr>
          <w:p>
            <w:pPr>
              <w:spacing w:after="0"/>
              <w:rPr>
                <w:sz w:val="17"/>
                <w:szCs w:val="17"/>
                <w:color w:val="auto"/>
              </w:rPr>
            </w:pPr>
          </w:p>
        </w:tc>
        <w:tc>
          <w:tcPr>
            <w:tcW w:w="6400" w:type="dxa"/>
            <w:vAlign w:val="bottom"/>
            <w:gridSpan w:val="1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860" w:type="dxa"/>
            <w:vAlign w:val="bottom"/>
            <w:gridSpan w:val="4"/>
          </w:tcPr>
          <w:p>
            <w:pPr>
              <w:spacing w:after="0" w:line="196" w:lineRule="exact"/>
              <w:rPr>
                <w:rFonts w:ascii="Arial" w:cs="Arial" w:eastAsia="Arial" w:hAnsi="Arial"/>
                <w:sz w:val="18"/>
                <w:szCs w:val="18"/>
                <w:color w:val="0000EE"/>
                <w:w w:val="97"/>
              </w:rPr>
            </w:pPr>
            <w:hyperlink w:anchor="page71">
              <w:r>
                <w:rPr>
                  <w:rFonts w:ascii="Arial" w:cs="Arial" w:eastAsia="Arial" w:hAnsi="Arial"/>
                  <w:sz w:val="18"/>
                  <w:szCs w:val="18"/>
                  <w:color w:val="0000EE"/>
                  <w:w w:val="97"/>
                </w:rPr>
                <w:t>Signatures</w:t>
              </w:r>
            </w:hyperlink>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898"/>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12"/>
          </w:tcPr>
          <w:p>
            <w:pPr>
              <w:ind w:left="36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This Quarterly Report on Form 10-Q, or this “Quarterly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178" w:lineRule="exact"/>
        <w:rPr>
          <w:sz w:val="20"/>
          <w:szCs w:val="20"/>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clinical trials for BXCL501, BXCL701 and our other product candidates;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505(b)(2) regulatory path approval;</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current and future product candidates;</w:t>
      </w:r>
    </w:p>
    <w:p>
      <w:pPr>
        <w:spacing w:after="0" w:line="225" w:lineRule="exact"/>
        <w:rPr>
          <w:rFonts w:ascii="Arial" w:cs="Arial" w:eastAsia="Arial" w:hAnsi="Arial"/>
          <w:sz w:val="18"/>
          <w:szCs w:val="18"/>
          <w:color w:val="auto"/>
        </w:rPr>
      </w:pPr>
    </w:p>
    <w:p>
      <w:pPr>
        <w:ind w:left="660" w:right="700" w:hanging="333"/>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seek to enter into collaborations for the development and commercialization of certain product candidates;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225" w:lineRule="exact"/>
        <w:rPr>
          <w:rFonts w:ascii="Arial" w:cs="Arial" w:eastAsia="Arial" w:hAnsi="Arial"/>
          <w:sz w:val="18"/>
          <w:szCs w:val="18"/>
          <w:color w:val="auto"/>
        </w:rPr>
      </w:pPr>
    </w:p>
    <w:p>
      <w:pPr>
        <w:ind w:left="660" w:right="620" w:hanging="333"/>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strategy;</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 for additional financing;</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relationship with BioXcel Corporation (“BioXcel or “Parent”).</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26"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As used in this Quarterly Report on Form 10-Q, unless otherwise specified or the context otherwise requires, the terms “we,” “our,” “us,” the “Company” or “BTI” refer to BioXcel Therapeutics, Inc. and its subsidiaries, and “BioXcel” or “Parent” refer to BioXcel Corporation, the Company’s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6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29,965</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Due from Parent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34,278</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ind w:left="18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9,121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 $0.001 par value, 10,000,000 shares authorized; no shares issued or</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840" w:type="dxa"/>
            <w:vAlign w:val="bottom"/>
          </w:tcPr>
          <w:p>
            <w:pPr>
              <w:spacing w:after="0" w:line="201" w:lineRule="exact"/>
              <w:rPr>
                <w:sz w:val="20"/>
                <w:szCs w:val="20"/>
                <w:color w:val="auto"/>
              </w:rPr>
            </w:pPr>
            <w:r>
              <w:rPr>
                <w:rFonts w:ascii="Arial" w:cs="Arial" w:eastAsia="Arial" w:hAnsi="Arial"/>
                <w:sz w:val="18"/>
                <w:szCs w:val="18"/>
                <w:color w:val="auto"/>
                <w:w w:val="91"/>
              </w:rPr>
              <w:t>Common stock, $0.001 par value, 50,000,000 shares authorized; 15,687,546 and 15,663,221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w w:val="95"/>
              </w:rPr>
              <w:t>shares issued and outstanding as of June 30, 2019 and December 31, 2018, respectively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(39,395)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34,278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jc w:val="right"/>
              <w:ind w:right="192"/>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6,506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12,180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7,530</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and interest income, net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7"/>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(8,471)</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(7,308)</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w w:val="96"/>
              </w:rPr>
              <w:t>Net loss per share attributable to common stockholders</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(0.54)</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(0.19)</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(1.00)</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basic and diluted</w:t>
            </w:r>
          </w:p>
        </w:tc>
        <w:tc>
          <w:tcPr>
            <w:tcW w:w="34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w w:val="93"/>
              </w:rPr>
              <w:t>Weighted average shares outstanding - basic and diluted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15,668,588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15,645,545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15,666,190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13,507,770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 / DEFICIT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12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76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0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21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Paid in</w:t>
            </w: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96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3"/>
              <w:spacing w:after="0" w:line="142"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2"/>
                <w:szCs w:val="12"/>
                <w:color w:val="auto"/>
              </w:rPr>
            </w:pPr>
          </w:p>
        </w:tc>
        <w:tc>
          <w:tcPr>
            <w:tcW w:w="64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9,907,548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Issuance of common shares</w:t>
            </w:r>
          </w:p>
        </w:tc>
        <w:tc>
          <w:tcPr>
            <w:tcW w:w="960" w:type="dxa"/>
            <w:vAlign w:val="bottom"/>
          </w:tcPr>
          <w:p>
            <w:pPr>
              <w:jc w:val="right"/>
              <w:spacing w:after="0"/>
              <w:rPr>
                <w:sz w:val="20"/>
                <w:szCs w:val="20"/>
                <w:color w:val="auto"/>
              </w:rPr>
            </w:pPr>
            <w:r>
              <w:rPr>
                <w:rFonts w:ascii="Arial" w:cs="Arial" w:eastAsia="Arial" w:hAnsi="Arial"/>
                <w:sz w:val="18"/>
                <w:szCs w:val="18"/>
                <w:color w:val="auto"/>
              </w:rPr>
              <w:t>283,452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Issuance of common shares, upon completion of</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Initial Public Offering, net of issuance costs of</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$5,898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5,454,545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54,102</w:t>
            </w: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(4,282)</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17"/>
        </w:trPr>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as of March 31, 2018</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15,645,545</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60,823</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(8,732)</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52,107</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17"/>
        </w:trPr>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as of June 30, 2018</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15,645,545</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61,563</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(11,758)</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49,821</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15,663,221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38,889</w:t>
            </w: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 of stock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(7,204)</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(7,204)</w:t>
            </w:r>
          </w:p>
        </w:tc>
        <w:tc>
          <w:tcPr>
            <w:tcW w:w="0" w:type="dxa"/>
            <w:vAlign w:val="bottom"/>
          </w:tcPr>
          <w:p>
            <w:pPr>
              <w:spacing w:after="0"/>
              <w:rPr>
                <w:sz w:val="1"/>
                <w:szCs w:val="1"/>
                <w:color w:val="auto"/>
              </w:rPr>
            </w:pPr>
          </w:p>
        </w:tc>
      </w:tr>
      <w:tr>
        <w:trPr>
          <w:trHeight w:val="217"/>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2019</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15,665,802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32,368</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Issuance of common shares, net of issuance costs</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21,744</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(8,471)</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w:t>
            </w:r>
          </w:p>
        </w:tc>
        <w:tc>
          <w:tcPr>
            <w:tcW w:w="0" w:type="dxa"/>
            <w:vAlign w:val="bottom"/>
          </w:tcPr>
          <w:p>
            <w:pPr>
              <w:spacing w:after="0"/>
              <w:rPr>
                <w:sz w:val="1"/>
                <w:szCs w:val="1"/>
                <w:color w:val="auto"/>
              </w:rPr>
            </w:pPr>
          </w:p>
        </w:tc>
      </w:tr>
      <w:tr>
        <w:trPr>
          <w:trHeight w:val="217"/>
        </w:trPr>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as of June 30, 2019</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15,687,546</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64,536</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(39,395)</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25,157</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BIOXCEL THERAPEUTICS, INC.</w:t>
      </w:r>
    </w:p>
    <w:p>
      <w:pPr>
        <w:spacing w:after="0" w:line="18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STATEMENTS OF CASH FLOWS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42"/>
        </w:trPr>
        <w:tc>
          <w:tcPr>
            <w:tcW w:w="70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(15,675)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(7,308)</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loss to net cash used in operating activities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16"/>
        </w:trPr>
        <w:tc>
          <w:tcPr>
            <w:tcW w:w="70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Accounts payable, accrued expenses and other</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w:t>
            </w:r>
          </w:p>
        </w:tc>
      </w:tr>
      <w:tr>
        <w:trPr>
          <w:trHeight w:val="216"/>
        </w:trPr>
        <w:tc>
          <w:tcPr>
            <w:tcW w:w="7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Purchases of equipment and leasehold improvements</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(825)</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7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Proceeds from issuance of common stock, net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56,512</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Exercise of options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Due to/from Parent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Note Payable — Parent</w:t>
            </w: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55,564</w:t>
            </w:r>
          </w:p>
        </w:tc>
      </w:tr>
      <w:tr>
        <w:trPr>
          <w:trHeight w:val="216"/>
        </w:trPr>
        <w:tc>
          <w:tcPr>
            <w:tcW w:w="7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(12,600)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49,462</w:t>
            </w:r>
          </w:p>
        </w:tc>
      </w:tr>
      <w:tr>
        <w:trPr>
          <w:trHeight w:val="216"/>
        </w:trPr>
        <w:tc>
          <w:tcPr>
            <w:tcW w:w="7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r>
      <w:tr>
        <w:trPr>
          <w:trHeight w:val="217"/>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the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50,349</w:t>
            </w:r>
          </w:p>
        </w:tc>
      </w:tr>
      <w:tr>
        <w:trPr>
          <w:trHeight w:val="216"/>
        </w:trPr>
        <w:tc>
          <w:tcPr>
            <w:tcW w:w="7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paid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Activity:</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Deferred issuance costs, unpaid as of December 31, 2017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02"/>
        </w:trPr>
        <w:tc>
          <w:tcPr>
            <w:tcW w:w="70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Deferred issuance costs reclassified to additional paid-in-capital upon completion of initial</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public offering.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30"/>
        </w:trPr>
        <w:tc>
          <w:tcPr>
            <w:tcW w:w="7020" w:type="dxa"/>
            <w:vAlign w:val="bottom"/>
          </w:tcPr>
          <w:p>
            <w:pPr>
              <w:ind w:left="220"/>
              <w:spacing w:after="0"/>
              <w:rPr>
                <w:sz w:val="20"/>
                <w:szCs w:val="20"/>
                <w:color w:val="auto"/>
              </w:rPr>
            </w:pPr>
            <w:r>
              <w:rPr>
                <w:rFonts w:ascii="Arial" w:cs="Arial" w:eastAsia="Arial" w:hAnsi="Arial"/>
                <w:sz w:val="18"/>
                <w:szCs w:val="18"/>
                <w:color w:val="auto"/>
              </w:rPr>
              <w:t>Reclassification of net Parent Investment in the Company to accumulated deficit.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440</w:t>
            </w:r>
          </w:p>
        </w:tc>
      </w:tr>
    </w:tbl>
    <w:p>
      <w:pPr>
        <w:spacing w:after="0" w:line="1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Principal Activities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BioXcel Therapeutics, Inc. (the “Company” or “BTI”) is a clinical stage biopharmaceutical company utilizing novel artificial intelligence-based approaches to identify the next wave of medicines across neuroscience and immuno-oncology. The Company’s drug re-innovation approach leverages existing approved drugs and/or clinically validated product candidates together with big data and proprietary machine learning algorithms to identify new therapeutic indices. The Company is a majority-owned subsidiary of BioXcel Corporation (“BioXcel” or “Parent”) and was incorporated under the laws of the State of Delaware on March 29, 2017. The Company’s principal office is in New Haven, Connecticut. Unless otherwise indicated or the context requires otherwise, references in this report to “we,” “our,” “us” and similar expressions refer to BioXcel Therapeutics, Inc.</w:t>
      </w:r>
    </w:p>
    <w:p>
      <w:pPr>
        <w:spacing w:after="0" w:line="192"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The unaudited financial information for the six months ended June 30, 2019 and 2018 is presented on the same basis as the financial statements included in the Company’s Annual Report on Form 10-K for the year ended December 31, 2018.</w:t>
      </w:r>
    </w:p>
    <w:p>
      <w:pPr>
        <w:spacing w:after="0" w:line="124"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Certain reclassifications have been made to the prior year financial information to conform to the current period presentation. These reclassifications had no effect on the reported results of operations.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Company’s primary activities have been the development of a clinical plan and pre-clinical research and development of two advanced programs: BXCL501, a sublingual thin film formulation of dexmedetomidine designed for acute treatment of agitation resulting from neurological and psychiatric disorders, and BXCL701, an immuno-oncology agent designed for treatment of a rare form of prostate cancer and for treatment of pancreatic cancer. These two programs and two emerging programs BXCL502 and BXCL702 (together, the “BTI Business”) have been contributed to the Company from the Parent pursuant to an asset contribution agreement, effective June 30, 2017, with BioXcel, as amended and restated on November 7, 2017 (the Contribution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Initial Public Offering</w:t>
      </w:r>
    </w:p>
    <w:p>
      <w:pPr>
        <w:spacing w:after="0" w:line="229" w:lineRule="exact"/>
        <w:rPr>
          <w:sz w:val="20"/>
          <w:szCs w:val="20"/>
          <w:color w:val="auto"/>
        </w:rPr>
      </w:pPr>
    </w:p>
    <w:p>
      <w:pPr>
        <w:jc w:val="both"/>
        <w:ind w:right="20" w:firstLine="324"/>
        <w:spacing w:after="0" w:line="221" w:lineRule="exact"/>
        <w:rPr>
          <w:sz w:val="20"/>
          <w:szCs w:val="20"/>
          <w:color w:val="auto"/>
        </w:rPr>
      </w:pPr>
      <w:r>
        <w:rPr>
          <w:rFonts w:ascii="Arial" w:cs="Arial" w:eastAsia="Arial" w:hAnsi="Arial"/>
          <w:sz w:val="16"/>
          <w:szCs w:val="16"/>
          <w:color w:val="auto"/>
        </w:rPr>
        <w:t>On March 7, 2018, the Company’s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1 relating to its initial public offering of its common stock (the “IPO”) was declared effective by the Securities and Exchange Commission (“SEC”). The IPO closed on March 12, 2018, and the Company issued and sold 5,454,545 shares of common stock at a public offering price of $11.00 per share.</w:t>
      </w:r>
    </w:p>
    <w:p>
      <w:pPr>
        <w:ind w:right="60"/>
        <w:spacing w:after="0" w:line="261" w:lineRule="auto"/>
        <w:rPr>
          <w:sz w:val="20"/>
          <w:szCs w:val="20"/>
          <w:color w:val="auto"/>
        </w:rPr>
      </w:pPr>
      <w:r>
        <w:rPr>
          <w:rFonts w:ascii="Arial" w:cs="Arial" w:eastAsia="Arial" w:hAnsi="Arial"/>
          <w:sz w:val="18"/>
          <w:szCs w:val="18"/>
          <w:color w:val="auto"/>
        </w:rPr>
        <w:t>Gross proceeds totaled $60,000 and net proceeds totaled $54,102 after deducting underwriting discounts and commissions of $4,200 and other offering costs of approximately $1,698.</w:t>
      </w:r>
    </w:p>
    <w:p>
      <w:pPr>
        <w:spacing w:after="0" w:line="184"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 connection with and effective upon the completion of its IPO, the Company effectuated a 237 to one stock split. Accordingly, all share and per share amounts for all periods presented in the accompanying financial statements have been adjusted retroactively, where applicable, to reflect the stock split.</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Also, in connection with the completion of its IPO, the Company amended its articles of incorporation to authorize the issuance of up to 50,000,000 shares of common stock with a par value of $.001 each and 10,000,000 shares of preferred stock with a par value of $.001 each.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Liquidity and Going Concern</w:t>
      </w:r>
    </w:p>
    <w:p>
      <w:pPr>
        <w:spacing w:after="0" w:line="229" w:lineRule="exact"/>
        <w:rPr>
          <w:sz w:val="20"/>
          <w:szCs w:val="20"/>
          <w:color w:val="auto"/>
        </w:rPr>
      </w:pPr>
    </w:p>
    <w:p>
      <w:pPr>
        <w:ind w:right="500" w:firstLine="324"/>
        <w:spacing w:after="0" w:line="224" w:lineRule="exact"/>
        <w:rPr>
          <w:sz w:val="20"/>
          <w:szCs w:val="20"/>
          <w:color w:val="auto"/>
        </w:rPr>
      </w:pPr>
      <w:r>
        <w:rPr>
          <w:rFonts w:ascii="Arial" w:cs="Arial" w:eastAsia="Arial" w:hAnsi="Arial"/>
          <w:sz w:val="16"/>
          <w:szCs w:val="16"/>
          <w:color w:val="auto"/>
        </w:rPr>
        <w:t>In accordance with Accounting Standards Update (“ASU”) 2014</w:t>
      </w:r>
      <w:r>
        <w:rPr>
          <w:rFonts w:ascii="MS PGothic" w:cs="MS PGothic" w:eastAsia="MS PGothic" w:hAnsi="MS PGothic"/>
          <w:sz w:val="16"/>
          <w:szCs w:val="16"/>
          <w:color w:val="auto"/>
        </w:rPr>
        <w:t>‑</w:t>
      </w:r>
      <w:r>
        <w:rPr>
          <w:rFonts w:ascii="Arial" w:cs="Arial" w:eastAsia="Arial" w:hAnsi="Arial"/>
          <w:sz w:val="16"/>
          <w:szCs w:val="16"/>
          <w:color w:val="auto"/>
        </w:rPr>
        <w:t>15, Disclosure of Uncertainties about an Entity’s Ability to Continue as a Going Concern (Subtopic 205</w:t>
      </w:r>
      <w:r>
        <w:rPr>
          <w:rFonts w:ascii="MS PGothic" w:cs="MS PGothic" w:eastAsia="MS PGothic" w:hAnsi="MS PGothic"/>
          <w:sz w:val="16"/>
          <w:szCs w:val="16"/>
          <w:color w:val="auto"/>
        </w:rPr>
        <w:t>‑</w:t>
      </w:r>
      <w:r>
        <w:rPr>
          <w:rFonts w:ascii="Arial" w:cs="Arial" w:eastAsia="Arial" w:hAnsi="Arial"/>
          <w:sz w:val="16"/>
          <w:szCs w:val="16"/>
          <w:color w:val="auto"/>
        </w:rPr>
        <w:t>40), management must evaluate whether there are conditions or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events, considered in the aggregate, that raise substantial doubt about the Company’s ability to continue as a going concern within one year after the date that the financial statements are issued.</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Company’s financial statements are prepared using Generally Accepted Accounting Principles in the United States of America (“GAAP”) applicable to a going concern, which contemplates the realization of assets and the satisfaction of liabilities in the normal course of business. The Company has incurred net losses and negative operating cash flows since inception. For the six months ended June 30, 2019, the Company recorded a net loss of approximately $15,675 and used approximately $11,697 of cash in operating activities. As of June 30, 2019, the Company had approximately $29,965 in cash and cash equivalents and working capital of approximately $23,502. The Company has not yet established an ongoing source of revenue sufficient to cover its operating costs and allow it to continue as a going concern. The ability of the Company to continue as a going concern is dependent on the Company obtaining adequate capital to fund operating losses until it becomes profitable. The Company can give no assurances that any additional capital that it is able to obtain, if any, will be sufficient to meet its needs, or that any such capital will be obtained on acceptable terms. If the Company is unable to obtain adequate capital, it could be forced to cease operations or substantially curtail its activities. These conditions raise substantial doubt as to the Company’s ability to continue as a going concern. The accompanying financial statements do not include any adjustments relating to the recoverability and classification of recorded asset amounts and classification of liabilities should the Company be unable to continue as a going concern.</w:t>
      </w:r>
    </w:p>
    <w:p>
      <w:pPr>
        <w:spacing w:after="0" w:line="172"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Management’s plan to continue as a going concern includes obtaining additional capital resources. Management’s plans to obtain such resources for the Company include obtaining capital from the sale of its equity securities, entering into strategic partnership arrangements and short-term borrowings from banks, stockholders or other related parties, if needed. However, management cannot provide any assurance that the Company will be successful in accomplishing any of its plans.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Company’s financial statements are prepared in accordance with GAAP. The preparation of financial statements requires the Company to make estimates and assumptions that impact the reported amounts of assets, liabilities and expenses in its financial statements and the accompanying notes. The most significant estimates in the financial statements relate to the fair value of equity awards and valuation allowance related to the Company’s deferred tax assets and liabilities.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accompanying unaudited financial statements do not include all of the information and footnotes required by GAAP. The accompanying year-end balance sheet was derived from audited financial statements but does not include all disclosures required by GAAP.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June 30, 2019, and the results of its operations for the three and six months ended June 30, 2019 and 2018 and its cash flows for the six months ended June 30, 2019 and 2018, respectively. The results for the six months ended June 30, 2019 are not necessarily indicative of results to be expected for the year ending December 31, 2019, any other interim periods or any future year or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at the date of purchase to be cash equivalents. As of June 30, 2019, cash equivalents were comprised of money market funds.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until the equity financing was consummated. After consummation of an equity financing, these costs were recorded in stockholders’ equity as a reduction of proceeds generated as a result of the offering.</w:t>
      </w:r>
    </w:p>
    <w:p>
      <w:pPr>
        <w:spacing w:after="0" w:line="187"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As of December 31, 2017, the Company recorded deferred offering costs relating to its IPO of $461. The Company’s IPO was completed in March 2018, and these costs, as well as additional IPO costs including commissions of $4,200 and an additional $1,237 of other expenses incurred in 2018, were recorded as a reduction to stockholders’ equity.</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June 30, 2019, the Company deferred offering costs related to its At-The-Market (“ATM”) program of $378. These costs are being amortized and charged to Additional paid-in-capital as shares are sold.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Equipment consists of computers and related equipment that are stated at cost and depreciated using the straight-line method over estimated useful life of 5 years. Furniture is being depreciated using the straight-line method over approximately 7 years. Leasehold improvements are being amortized over the shorter of the life of the lease or the asset.</w:t>
      </w:r>
    </w:p>
    <w:p>
      <w:pPr>
        <w:spacing w:after="0" w:line="147" w:lineRule="exact"/>
        <w:rPr>
          <w:sz w:val="20"/>
          <w:szCs w:val="20"/>
          <w:color w:val="auto"/>
        </w:rPr>
      </w:pPr>
    </w:p>
    <w:p>
      <w:pPr>
        <w:ind w:right="100" w:firstLine="324"/>
        <w:spacing w:after="0" w:line="218" w:lineRule="exact"/>
        <w:rPr>
          <w:sz w:val="20"/>
          <w:szCs w:val="20"/>
          <w:color w:val="auto"/>
        </w:rPr>
      </w:pPr>
      <w:r>
        <w:rPr>
          <w:rFonts w:ascii="Arial" w:cs="Arial" w:eastAsia="Arial" w:hAnsi="Arial"/>
          <w:sz w:val="16"/>
          <w:szCs w:val="16"/>
          <w:color w:val="auto"/>
        </w:rPr>
        <w:t>The Company follows the guidance provided by the Financial Accounting Standards Board (“FASB”) ASC Topic 360</w:t>
      </w:r>
      <w:r>
        <w:rPr>
          <w:rFonts w:ascii="MS PGothic" w:cs="MS PGothic" w:eastAsia="MS PGothic" w:hAnsi="MS PGothic"/>
          <w:sz w:val="16"/>
          <w:szCs w:val="16"/>
          <w:color w:val="auto"/>
        </w:rPr>
        <w:t>‑</w:t>
      </w:r>
      <w:r>
        <w:rPr>
          <w:rFonts w:ascii="Arial" w:cs="Arial" w:eastAsia="Arial" w:hAnsi="Arial"/>
          <w:sz w:val="16"/>
          <w:szCs w:val="16"/>
          <w:color w:val="auto"/>
        </w:rPr>
        <w:t xml:space="preserve">10,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Impairment charges are recognized at the amount by which the carrying amount of an asset exceeds the fair value of the asset. Assets to be disposed of are reported at the lower of the carrying amount or the fair value less costs to sell.</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Since its inception, the Company has not recognized any impairment or disposition of long lived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other current liabilities, and operating lease liabilities in our balance sheet.</w:t>
      </w:r>
    </w:p>
    <w:p>
      <w:pPr>
        <w:spacing w:after="0" w:line="17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our lease did not provide an implicit rate, we used an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Renewal options were not included in our calculation of the related asset and liability. Lease expense for lease payments is recognized on a straight-line basis over the lease term.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Company accounts for stock-based compensation in accordance with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which requires the measurement and recognition of compensation expense based on estimated fair market</w:t>
      </w:r>
      <w:r>
        <w:rPr>
          <w:rFonts w:ascii="Arial" w:cs="Arial" w:eastAsia="Arial" w:hAnsi="Arial"/>
          <w:sz w:val="17"/>
          <w:szCs w:val="17"/>
          <w:i w:val="1"/>
          <w:iCs w:val="1"/>
          <w:color w:val="auto"/>
        </w:rPr>
        <w:t xml:space="preserve"> </w:t>
      </w:r>
      <w:r>
        <w:rPr>
          <w:rFonts w:ascii="Arial" w:cs="Arial" w:eastAsia="Arial" w:hAnsi="Arial"/>
          <w:sz w:val="17"/>
          <w:szCs w:val="17"/>
          <w:color w:val="auto"/>
        </w:rPr>
        <w:t>values for all share-based awards made to employees and directors, including stock options. The Company’s stock-based compensation plan was adopted and became effective in August 2017. Prior to the Company adopting its stock-based compensation plan, the Parent granted stock options to its employees. As a result, related stock-based compensation expense has been allocated to the Company over the required service period over which these BioXcel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stock option awards vest in the same manner that salary costs of employees have been allocated to the BTI Business in the carve-out process.</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Both BioXcel and the Company’s stock option awards are valued at fair value on the date of grant and that fair value is recognized over the requisite service period. The estimated fair value of stock option awards was determined using the Black-Scholes option pricing model on the date of grant. Significant judgment and estimates were used to estimate the fair value of these awards, as they were not publicly traded. Stock awards granted by the Company subsequent to the IPO are valued using market prices at the date of grant.</w:t>
      </w:r>
    </w:p>
    <w:p>
      <w:pPr>
        <w:spacing w:after="0" w:line="188"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ASC 718 requires companies to estimate the fair value of share-based awards on the date of grant using an option-pricing model. The Black-Scholes option-pricing model was used as its method of determining fair value. This model is affected by the Company’s stock price as well as assumptions regarding a number of subjective variables. These subjective variables include, but are not limited to, the expected stock price volatility over the term of the awards, and actual and projected employee stock option exercise behaviors. The value of the award is recognized as an expense in the statement of operations over the requisite service period. The periodic expense is then determined based on the valuation of the options.</w:t>
      </w:r>
    </w:p>
    <w:p>
      <w:pPr>
        <w:spacing w:after="0" w:line="16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The Company adopted FASB ASU 2016-09,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 of January 1, 2018 and has elected to account for forfeitures as they occur, by reversing compensation cost when the award is forfeited.</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The Company adopted FASB ASU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xml:space="preserve"> as of January 1, 2019 which allows non-employee options to be expensed using the adoption date fair value. This is expected to reduce the volatility of stock based compensation in future periods. Prior to the adoption date, such options were re-measured at each valuation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Research and development expenses include wages, benefits, facilities, supplies, external services, clinical study and manufacturing costs and other expenses that are directly related to its research and development activities. At the end of the reporting period, the Company compares payments made to third party service providers to the estimated progress toward completion of the research or development objectives. Such estimates are subject to change as additional information becomes available. Depending on the timing of payments to the service providers and the progress that the Company estimates has been made as a result of the service provided, the Company may record net prepaid or accrued expense relating to these costs. The Company expenses research and development costs as incurred.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Costs related to filing and pursuing patent applications are recorded as general and administrative expense and expensed as incurred since recoverability of such expenditures is uncertain.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defines fair value, establishes a framework for measuring fair value in GAAP and expands disclosures about fair value measurements. ASC 820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under ASC 820 are described below:</w:t>
      </w:r>
    </w:p>
    <w:p>
      <w:pPr>
        <w:spacing w:after="0" w:line="167" w:lineRule="exact"/>
        <w:rPr>
          <w:sz w:val="20"/>
          <w:szCs w:val="20"/>
          <w:color w:val="auto"/>
        </w:rPr>
      </w:pPr>
    </w:p>
    <w:p>
      <w:pPr>
        <w:ind w:left="660" w:right="400" w:hanging="333"/>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that are accessible at the measurement date for assets or liabilities. The fair value hierarchy gives the highest priority to Level 1 inputs.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60" w:hanging="333"/>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93" w:lineRule="exact"/>
        <w:rPr>
          <w:rFonts w:ascii="Arial" w:cs="Arial" w:eastAsia="Arial" w:hAnsi="Arial"/>
          <w:sz w:val="18"/>
          <w:szCs w:val="18"/>
          <w:color w:val="auto"/>
        </w:rPr>
      </w:pPr>
    </w:p>
    <w:p>
      <w:pPr>
        <w:jc w:val="both"/>
        <w:ind w:left="660" w:right="340" w:hanging="333"/>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81"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considering counterparty credit risk in its assessment of fair value.</w:t>
      </w:r>
    </w:p>
    <w:p>
      <w:pPr>
        <w:spacing w:after="0" w:line="18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carrying amounts of cash, accounts payable and accrued expenses approximate fair value due to the short-term nature of these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Company computes basic net loss per share by dividing net loss available to common stockholders by the weighted average number of common shares outstanding for the period and excludes the effects of any potentially dilutive securities. Diluted earnings per share, if presented, would include the dilution that would occur upon the exercise or conversion of all potentially dilutive securities into common stock using the “treasury stock” and/or “if converted” methods as applicable. The potential dilutive securities included outstanding options (for both employees and non-employees) for the three and six months ended June 30, 2019 and 2018. Such securities have not been included in the loss per share calculation since their impact would be anti-dilutive. There were 2,922,434 and 2,840,310 shares of options that were excluded from the calculation of the loss per share for the three and six months ended June 30, 2019,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0" w:firstLine="324"/>
        <w:spacing w:after="0" w:line="217" w:lineRule="exact"/>
        <w:rPr>
          <w:sz w:val="20"/>
          <w:szCs w:val="20"/>
          <w:color w:val="auto"/>
        </w:rPr>
      </w:pPr>
      <w:r>
        <w:rPr>
          <w:rFonts w:ascii="Arial" w:cs="Arial" w:eastAsia="Arial" w:hAnsi="Arial"/>
          <w:sz w:val="16"/>
          <w:szCs w:val="16"/>
          <w:color w:val="auto"/>
        </w:rPr>
        <w:t xml:space="preserve">In February 2016, the FASB issued </w:t>
      </w:r>
      <w:r>
        <w:rPr>
          <w:rFonts w:ascii="Arial" w:cs="Arial" w:eastAsia="Arial" w:hAnsi="Arial"/>
          <w:sz w:val="16"/>
          <w:szCs w:val="16"/>
          <w:i w:val="1"/>
          <w:iCs w:val="1"/>
          <w:color w:val="auto"/>
        </w:rPr>
        <w:t>ASU 2016</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02 Lease Accounting Topic 842</w:t>
      </w:r>
      <w:r>
        <w:rPr>
          <w:rFonts w:ascii="Arial" w:cs="Arial" w:eastAsia="Arial" w:hAnsi="Arial"/>
          <w:sz w:val="16"/>
          <w:szCs w:val="16"/>
          <w:color w:val="auto"/>
        </w:rPr>
        <w:t>. This ASU requires the Company to record all leases longer than one year on its balance sheet. Under the new guidance, when the Company records leases on its balance sheet, it will record a liability with a value equal to the present value of payments it will make over the life of the lease and an asset representing the underlying leased asset. The new accounting guidance requires the Company to determine if its leases are operating or financing leases, similar to current accounting guidance. The Company will record expense for operating type leases on a straight-line basis as an operating expense and it will record expense for finance type leases as interest expense. The new lease standard is effective for annual and interim periods beginning after December 15, 2018, with early adoption permitted. The Company adopted the new standard in January 2019 and recorded a ROU asset and related liability in the amount of $1,308 on commencement of a new office lease.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Transactions with BioXcel</w:t>
      </w:r>
    </w:p>
    <w:p>
      <w:pPr>
        <w:spacing w:after="0" w:line="229" w:lineRule="exact"/>
        <w:rPr>
          <w:sz w:val="20"/>
          <w:szCs w:val="20"/>
          <w:color w:val="auto"/>
        </w:rPr>
      </w:pPr>
    </w:p>
    <w:p>
      <w:pPr>
        <w:jc w:val="both"/>
        <w:ind w:right="120" w:firstLine="324"/>
        <w:spacing w:after="0" w:line="288" w:lineRule="auto"/>
        <w:rPr>
          <w:sz w:val="20"/>
          <w:szCs w:val="20"/>
          <w:color w:val="auto"/>
        </w:rPr>
      </w:pPr>
      <w:r>
        <w:rPr>
          <w:rFonts w:ascii="Arial" w:cs="Arial" w:eastAsia="Arial" w:hAnsi="Arial"/>
          <w:sz w:val="16"/>
          <w:szCs w:val="16"/>
          <w:color w:val="auto"/>
        </w:rPr>
        <w:t>The Company has entered into the Contribution Agreement, pursuant to which BioXcel agreed to contribute BioXcel’s rights, title and interest in BXCL501, BXCL701, BXCL502 and BXCL702, and all of the assets and liabilities associated in consideration for (i) 9,480,000 shares of our common stock, (ii) $1,000 upon completion of an initial public offering,</w:t>
      </w:r>
    </w:p>
    <w:p>
      <w:pPr>
        <w:ind w:right="280" w:firstLine="3"/>
        <w:spacing w:after="0" w:line="281" w:lineRule="auto"/>
        <w:tabs>
          <w:tab w:leader="none" w:pos="315" w:val="left"/>
        </w:tabs>
        <w:numPr>
          <w:ilvl w:val="0"/>
          <w:numId w:val="6"/>
        </w:numPr>
        <w:rPr>
          <w:rFonts w:ascii="Arial" w:cs="Arial" w:eastAsia="Arial" w:hAnsi="Arial"/>
          <w:sz w:val="16"/>
          <w:szCs w:val="16"/>
          <w:color w:val="auto"/>
        </w:rPr>
      </w:pPr>
      <w:r>
        <w:rPr>
          <w:rFonts w:ascii="Arial" w:cs="Arial" w:eastAsia="Arial" w:hAnsi="Arial"/>
          <w:sz w:val="16"/>
          <w:szCs w:val="16"/>
          <w:color w:val="auto"/>
        </w:rPr>
        <w:t>$500 upon the later of the 12 month anniversary of an initial public offering and the first dosing of a patient in the bridging bioavailability/ bioequivalence study for the BXCL501 program, (iv) $500 upon the later of the 12 month anniversary of an initial public offering and the first dosing of a patient in the Phase 2 Proof of Consent open label monotherapy or combination trial with Keytruda for the BXCL701 program and (v) a one-time payment of $5,000 within</w:t>
      </w:r>
    </w:p>
    <w:p>
      <w:pPr>
        <w:spacing w:after="0" w:line="2" w:lineRule="exact"/>
        <w:rPr>
          <w:rFonts w:ascii="Arial" w:cs="Arial" w:eastAsia="Arial" w:hAnsi="Arial"/>
          <w:sz w:val="16"/>
          <w:szCs w:val="16"/>
          <w:color w:val="auto"/>
        </w:rPr>
      </w:pPr>
    </w:p>
    <w:p>
      <w:pPr>
        <w:ind w:right="40"/>
        <w:spacing w:after="0" w:line="277" w:lineRule="auto"/>
        <w:rPr>
          <w:rFonts w:ascii="Arial" w:cs="Arial" w:eastAsia="Arial" w:hAnsi="Arial"/>
          <w:sz w:val="16"/>
          <w:szCs w:val="16"/>
          <w:color w:val="auto"/>
        </w:rPr>
      </w:pPr>
      <w:r>
        <w:rPr>
          <w:rFonts w:ascii="Arial" w:cs="Arial" w:eastAsia="Arial" w:hAnsi="Arial"/>
          <w:sz w:val="17"/>
          <w:szCs w:val="17"/>
          <w:color w:val="auto"/>
        </w:rPr>
        <w:t>60 days after the achievement of $50,000 in cumulative net sales of any product or combination of products resulting from the development and commercialization of any one of the Candidates or a product derived therefrom. With the completion of the Company’s IPO in March 2018, $1,000 was charged to Research and Development costs in</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connection with (ii) above and was paid on April 5, 2018. The Company paid $500 to BioXcel in connection with (iii) above in April 2019. In July 2019, the Company completed the first dosing of a patient in the combination trial with Keytruda, and as a result the Company also paid $500 to BioXcel in connection with (iv) above in July 2019.</w:t>
      </w:r>
    </w:p>
    <w:p>
      <w:pPr>
        <w:spacing w:after="0" w:line="181"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We entered into a separation and shared services agreement with BioXcel that took effect on June 30, 2017, as amended and restated on November 7, 2017, (the “Services Agreement”), pursuant to which BioXcel will allow us to continue to use the office space, equipment, services and leased employees based on the agreed upon terms and conditions for a payment of defined monthly and/or hourly fees. The parties have agreed that the services and office space provided under the Services Agreement shall decrease over time until the 12-month anniversary of the date of the Services Agreement. The office space and equipment portion of the Services Agreement ended effectively on April 30, 2018 when the Company moved to new office space to accommodate additional personnel that had been hired. Services to be provided by BioXcel through its subsidiary in India, were originally expected to decrease through June 30, 2019 provided such dates may be extended upon mutual agreement between the parties. The parties are currently discussing extending the term of these services provided however no definitive agreement has been agreed upon as of the date hereof. There can be no assurance that the parties will agree to any extension to the Services Agreement in the future.</w:t>
      </w:r>
    </w:p>
    <w:p>
      <w:pPr>
        <w:spacing w:after="0" w:line="173"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On or before December 31, 2019, the Company expects to have the option to enter into a collaborative services agreement with BioXcel pursuant to which BioXcel shall perform product identification and related services for us utilizing EvolverAI. We have agreed that this agreement will be negotiated in good faith and that such agreement will incorporate reasonable market-based terms, including consideration for BioXcel reflecting a low, single-digit royalty on net sales and reasonable development and commercialization milestone payments, provided that (i) development milestones shall not exceed $10,000 in the aggregate and not be payable prior to proof of concept in humans and (ii) commercialization milestones shall be based on reaching annual net sales levels, be limited to 3% of the applicable net sales level, and not exceed $30,000 in the aggregate. BioXcel shall continue to make such product identification and related services available to us for at least five years from June 30, 2017pursuant to the Services Agreement. The parties are currently discussing extending the product identification and related services that BioXcel would provide however no definitive agreement has been agreed upon as of the date hereof. There can be no assurance that the parties will agree to any extension to the collaborative services agreement in the future.</w:t>
      </w:r>
    </w:p>
    <w:p>
      <w:pPr>
        <w:spacing w:after="0" w:line="180" w:lineRule="exact"/>
        <w:rPr>
          <w:sz w:val="20"/>
          <w:szCs w:val="20"/>
          <w:color w:val="auto"/>
        </w:rPr>
      </w:pPr>
    </w:p>
    <w:p>
      <w:pPr>
        <w:ind w:right="120" w:firstLine="324"/>
        <w:spacing w:after="0" w:line="219" w:lineRule="exact"/>
        <w:rPr>
          <w:sz w:val="20"/>
          <w:szCs w:val="20"/>
          <w:color w:val="auto"/>
        </w:rPr>
      </w:pPr>
      <w:r>
        <w:rPr>
          <w:rFonts w:ascii="Arial" w:cs="Arial" w:eastAsia="Arial" w:hAnsi="Arial"/>
          <w:sz w:val="18"/>
          <w:szCs w:val="18"/>
          <w:color w:val="auto"/>
        </w:rPr>
        <w:t>In connection with the Services Agreement, BioXcel agreed to provide the Company a line of credit, which was capped at $1,000, or the Total Funding Amount, pursuant to the terms of a grid note, the (“Grid Note”). The Grid Note was payable upon the earlier of (i) the completion of an initial public offering and (ii) December 31, 2018, together with interest on the unpaid balance of each advance made under the Grid Note, which would accrue at a rate per annum equal to the applicable federal rate for short-term loans as of the date thereof, in each case calculated based on a 365</w:t>
      </w:r>
      <w:r>
        <w:rPr>
          <w:rFonts w:ascii="MS PGothic" w:cs="MS PGothic" w:eastAsia="MS PGothic" w:hAnsi="MS PGothic"/>
          <w:sz w:val="18"/>
          <w:szCs w:val="18"/>
          <w:color w:val="auto"/>
        </w:rPr>
        <w:t>‑</w:t>
      </w:r>
      <w:r>
        <w:rPr>
          <w:rFonts w:ascii="Arial" w:cs="Arial" w:eastAsia="Arial" w:hAnsi="Arial"/>
          <w:sz w:val="18"/>
          <w:szCs w:val="18"/>
          <w:color w:val="auto"/>
        </w:rPr>
        <w:t>day year and actual days elapsed.</w:t>
      </w:r>
    </w:p>
    <w:p>
      <w:pPr>
        <w:spacing w:after="0" w:line="20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All amounts due to BioXcel under the line of credit, the Grid Note, and for expenses paid on the Company’s behalf were paid following the completion of the Company’s IPO on March 20,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&amp; Equipment</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net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34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r>
      <w:tr>
        <w:trPr>
          <w:trHeight w:val="142"/>
        </w:trPr>
        <w:tc>
          <w:tcPr>
            <w:tcW w:w="34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56"/>
              <w:spacing w:after="0" w:line="142" w:lineRule="exact"/>
              <w:rPr>
                <w:sz w:val="20"/>
                <w:szCs w:val="20"/>
                <w:color w:val="auto"/>
              </w:rPr>
            </w:pPr>
            <w:r>
              <w:rPr>
                <w:rFonts w:ascii="Arial" w:cs="Arial" w:eastAsia="Arial" w:hAnsi="Arial"/>
                <w:sz w:val="14"/>
                <w:szCs w:val="14"/>
                <w:b w:val="1"/>
                <w:bCs w:val="1"/>
                <w:color w:val="auto"/>
                <w:w w:val="93"/>
              </w:rPr>
              <w:t>Unaudited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Computers and related equipment</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Furniture</w:t>
            </w: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0"/>
        </w:trPr>
        <w:tc>
          <w:tcPr>
            <w:tcW w:w="3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7"/>
        </w:trPr>
        <w:tc>
          <w:tcPr>
            <w:tcW w:w="34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w:t>
            </w:r>
          </w:p>
        </w:tc>
      </w:tr>
      <w:tr>
        <w:trPr>
          <w:trHeight w:val="878"/>
        </w:trPr>
        <w:tc>
          <w:tcPr>
            <w:tcW w:w="3440" w:type="dxa"/>
            <w:vAlign w:val="bottom"/>
          </w:tcPr>
          <w:p>
            <w:pPr>
              <w:spacing w:after="0"/>
              <w:rPr>
                <w:sz w:val="24"/>
                <w:szCs w:val="24"/>
                <w:color w:val="auto"/>
              </w:rPr>
            </w:pPr>
          </w:p>
        </w:tc>
        <w:tc>
          <w:tcPr>
            <w:tcW w:w="3560" w:type="dxa"/>
            <w:vAlign w:val="bottom"/>
          </w:tcPr>
          <w:p>
            <w:pPr>
              <w:jc w:val="right"/>
              <w:ind w:right="22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61"/>
        </w:trPr>
        <w:tc>
          <w:tcPr>
            <w:tcW w:w="34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Service Agreements</w:t>
      </w:r>
    </w:p>
    <w:p>
      <w:pPr>
        <w:spacing w:after="0" w:line="22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Company has entered into a Master Services Agreement (“MSA”) with a Contract Research Organization (“CRO”), dated November 1, 2018 for strategic planning, expert consultation, clinical trial services, statistical programming and analysis, data processing, data management, regulatory, clerical, project management, medical device services, and other research and development services as set forth in specific work orders. This agreement is for a period of five (5) years.</w:t>
      </w:r>
    </w:p>
    <w:p>
      <w:pPr>
        <w:spacing w:after="0" w:line="15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Excluding the CRO’s property, all improvements, inventions, processes, techniques, work product, know-how, data and information generated, conceived, reduced to practice or derived under the MSA by the CRO or its personnel and subcontractors, shall be and remain the exclusive property of the Company, and any inventions that may evolve from the foregoing shall belong to the Company.</w:t>
      </w:r>
    </w:p>
    <w:p>
      <w:pPr>
        <w:spacing w:after="0" w:line="187"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The Company entered into a series of cancellable work orders to support its clinical trial activities, related to the first of the Company’s BXCL 701 clinical trials. This clinical trial is expected to cost approximately $10,000 and is anticipated to take place over the next two years. To date, the Company has incurred $1,410 in costs for the work surrounding this trial</w:t>
      </w:r>
    </w:p>
    <w:p>
      <w:pPr>
        <w:spacing w:after="0" w:line="14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the first quarter of 2019 the Company entered into a second series of cancellable work orders to support a second clinical trial related the Company’s BXCL 701 product candidate. This clinical trial is expected to aggregate approximate approximately $8,000 and it is anticipated to take place over the next three years. Approximately one half of this cost is to be reimbursed by a partner. The Company has incurred $843 of costs in connection with this trial and has also recorded a related receivable of $422.</w:t>
      </w:r>
    </w:p>
    <w:p>
      <w:pPr>
        <w:spacing w:after="0" w:line="188"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In addition, an MSA was signed with a second CRO during the first quarter of 2019 to include strategic planning, expert consultation, regulatory activities, data interpretation, New Drug Application (“NDA”) services, and research and development services, including clinical, data management, statistical and medical writing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Drugs and clinical trial expenses</w:t>
            </w:r>
          </w:p>
        </w:tc>
        <w:tc>
          <w:tcPr>
            <w:tcW w:w="1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Accrued salaries, benefits and travel related costs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consultant fees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Legal expenses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administrative accruals</w:t>
            </w:r>
          </w:p>
        </w:tc>
        <w:tc>
          <w:tcPr>
            <w:tcW w:w="1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Other current liabilities as of June 30, 2019 includes $158 for the current portion of Operating lease liabilities and $501 for the financing of insurance premiums.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 (Deficit)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 is authorized to issue up to 10,000,000 preferred shares with a par value of $0.001 per share. No preferred shares are issued and outstanding.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Company is authorized to issue up to 50,000,000 shares of common stock with a par value of $0.001 per share. The Company had 15,687,546 shares of common stock outstanding as of June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Each share of common stock has the right to one vote. The holders of common stock are entitled to dividends when funds are legally available and when declared by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Issuances</w:t>
      </w:r>
    </w:p>
    <w:p>
      <w:pPr>
        <w:spacing w:after="0" w:line="229"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color w:val="auto"/>
        </w:rPr>
        <w:t>On March 7, 2018, the Company’s registration statement on Form S-1 relating to the Company’s IPO was declared effective by the SEC. The IPO closed on March 12, 2018, and the Company issued and sold 5,454,545 shares of common stock at a public offering price of $11.00 per share, for gross proceeds of $60,000 and net proceeds of $54,102 after deducting underwriting discounts and commissions of $4,200 and other offering costs of $1,698.</w:t>
      </w:r>
    </w:p>
    <w:p>
      <w:pPr>
        <w:spacing w:after="0" w:line="15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January and February 2018, the Company issued 283,452 shares of common stock with an issuance price of $6.88 per share for gross and net proceeds of $1,950.</w:t>
      </w:r>
    </w:p>
    <w:p>
      <w:pPr>
        <w:spacing w:after="0" w:line="170"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On May 20, 2019, the Company entered into an Open Market Sale Agreement (the “Sale Agreement”) with Jefferies LLC (“Jefferies”) pursuant to which the Company may offer and sell shares of its common stock, par value $0.001 per share (the “Common Stock”), having an initial offering price no greater than $20.0 million (the “Shares”), from time to time, through an “at the market offering” program under which Jefferies will act as sales agent.</w:t>
      </w:r>
    </w:p>
    <w:p>
      <w:pPr>
        <w:spacing w:after="0" w:line="17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Under the Sale Agreement, the Company will set the parameters for the sale of Shares, including the number of Shares to be issued, the time period during which sales are requested to be made, limitations on the number of Shares that may be sold in any one trading day and any minimum price below which sales may not be made. Subject to the terms and conditions of the Sale Agreement, Jefferies may sell the Shares by methods deemed to be an “at the market offering” as defined in Rule 415(a)(4) promulgated under the Securities Act of 1933, as amended, including sales made directly on or through the Nasdaq Capital Market or any other existing trading market for the Common Stock. The Company has agreed to pay Jefferies a commission equal to 3.00% of the gross sales proceeds of any Shares sold through Jefferies under the Sale Agreement, and also has provided Jefferies with customary indemnification and contribution rights. The Sale Agreement may be terminated at any time by either party upon prior written notice to the other party.</w:t>
      </w:r>
    </w:p>
    <w:p>
      <w:pPr>
        <w:spacing w:after="0" w:line="167"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Through June 30, 2019, the Company sold 21,744 shares under the Sale Agreement for proceeds of $230, net of issuance costs of $11. In July, 2019 the Company sold 43,849 additional shares for net proceeds of $467, net of issuance costs of $23.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Company’s 2017 Stock Incentive Plan (the “2017 Stock Plan”) became effective in August 2017 and will expire in August 2027. Under the 2017 Stock Plan, the Company may grant incentive stock options, non-statutory stock options, restricted stock awards and other stock-based awards.</w:t>
      </w:r>
    </w:p>
    <w:p>
      <w:pPr>
        <w:spacing w:after="0" w:line="181"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As of June 30, 2019, there were 3,442,313 shares of the Company’s common stock authorized for issuance under the 2017 Stock Plan. Options granted under the 2017 Stock Plan have a term of ten years with vesting terms determined by the board of directors, which is generally four years.</w:t>
      </w:r>
    </w:p>
    <w:p>
      <w:pPr>
        <w:spacing w:after="0" w:line="18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fair value of options granted during the six months ended June 30, 2019 was estimated using the Black-Scholes option-pricing model with the following assumptions.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left="297"/>
              <w:spacing w:after="0"/>
              <w:rPr>
                <w:sz w:val="20"/>
                <w:szCs w:val="20"/>
                <w:color w:val="auto"/>
              </w:rPr>
            </w:pPr>
            <w:r>
              <w:rPr>
                <w:rFonts w:ascii="Arial" w:cs="Arial" w:eastAsia="Arial" w:hAnsi="Arial"/>
                <w:sz w:val="14"/>
                <w:szCs w:val="14"/>
                <w:b w:val="1"/>
                <w:bCs w:val="1"/>
                <w:color w:val="auto"/>
                <w:w w:val="96"/>
              </w:rPr>
              <w:t>For the</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39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39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June 30, 2019</w:t>
            </w: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 per share</w:t>
            </w:r>
          </w:p>
        </w:tc>
        <w:tc>
          <w:tcPr>
            <w:tcW w:w="17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7.91</w:t>
            </w: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5"/>
              </w:rPr>
              <w:t>- $</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10.45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w w:val="90"/>
              </w:rPr>
              <w:t>78.05 % -</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79.38 %</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interest</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2.11 % -</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2.53 %</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Fair value of grants per share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7"/>
              <w:spacing w:after="0"/>
              <w:rPr>
                <w:sz w:val="20"/>
                <w:szCs w:val="20"/>
                <w:color w:val="auto"/>
              </w:rPr>
            </w:pPr>
            <w:r>
              <w:rPr>
                <w:rFonts w:ascii="Arial" w:cs="Arial" w:eastAsia="Arial" w:hAnsi="Arial"/>
                <w:sz w:val="18"/>
                <w:szCs w:val="18"/>
                <w:color w:val="auto"/>
              </w:rPr>
              <w:t>5.31</w:t>
            </w:r>
          </w:p>
        </w:tc>
        <w:tc>
          <w:tcPr>
            <w:tcW w:w="300" w:type="dxa"/>
            <w:vAlign w:val="bottom"/>
          </w:tcPr>
          <w:p>
            <w:pPr>
              <w:ind w:left="120"/>
              <w:spacing w:after="0"/>
              <w:rPr>
                <w:sz w:val="20"/>
                <w:szCs w:val="20"/>
                <w:color w:val="auto"/>
              </w:rPr>
            </w:pPr>
            <w:r>
              <w:rPr>
                <w:rFonts w:ascii="Arial" w:cs="Arial" w:eastAsia="Arial" w:hAnsi="Arial"/>
                <w:sz w:val="18"/>
                <w:szCs w:val="18"/>
                <w:color w:val="auto"/>
                <w:w w:val="75"/>
              </w:rPr>
              <w:t>- $</w:t>
            </w:r>
          </w:p>
        </w:tc>
        <w:tc>
          <w:tcPr>
            <w:tcW w:w="480" w:type="dxa"/>
            <w:vAlign w:val="bottom"/>
          </w:tcPr>
          <w:p>
            <w:pPr>
              <w:jc w:val="right"/>
              <w:spacing w:after="0"/>
              <w:rPr>
                <w:sz w:val="20"/>
                <w:szCs w:val="20"/>
                <w:color w:val="auto"/>
              </w:rPr>
            </w:pPr>
            <w:r>
              <w:rPr>
                <w:rFonts w:ascii="Arial" w:cs="Arial" w:eastAsia="Arial" w:hAnsi="Arial"/>
                <w:sz w:val="18"/>
                <w:szCs w:val="18"/>
                <w:color w:val="auto"/>
              </w:rPr>
              <w:t>7.61</w:t>
            </w:r>
          </w:p>
        </w:tc>
        <w:tc>
          <w:tcPr>
            <w:tcW w:w="16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Non-Employees</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Prior to the Company’s IPO, it did not have a history of market prices of its common stock and, as such, volatility was estimated using historical volatilities of similar public companies. The expected term of the employee awards is estimated based on the simplified method, which calculates the expected term based upon the midpoint of the term of the award and the vesting period. The Company uses the simplified method because it does not have sufficient option exercise data to provide a reasonable basis upon which to estimate the expected term. The expected term of non-employee awards represents the awards contractual term. The expected dividend yield is 0% as the Company has no history of paying dividends nor does management expect to pay dividends over the contractual terms of these options. The risk-free interest rates are based on the United States Treasury yield curve in effect at the time of grant, with maturities approximating the expected term of the stock options.</w:t>
      </w:r>
    </w:p>
    <w:p>
      <w:pPr>
        <w:spacing w:after="0" w:line="18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following table summarizes information about stock option activity under the 2017 Stock Plan for the six months ended June 30, 2019 (in thousands, except share and per share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Options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Intrinsic</w:t>
            </w:r>
          </w:p>
        </w:tc>
        <w:tc>
          <w:tcPr>
            <w:tcW w:w="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Price per Share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2019</w:t>
            </w:r>
          </w:p>
        </w:tc>
        <w:tc>
          <w:tcPr>
            <w:tcW w:w="84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2,306,256</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Employee options granted</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311,800</w:t>
            </w:r>
          </w:p>
        </w:tc>
        <w:tc>
          <w:tcPr>
            <w:tcW w:w="300" w:type="dxa"/>
            <w:vAlign w:val="bottom"/>
            <w:gridSpan w:val="4"/>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9.89</w:t>
            </w:r>
          </w:p>
        </w:tc>
        <w:tc>
          <w:tcPr>
            <w:tcW w:w="40" w:type="dxa"/>
            <w:vAlign w:val="bottom"/>
          </w:tcPr>
          <w:p>
            <w:pPr>
              <w:spacing w:after="0"/>
              <w:rPr>
                <w:sz w:val="18"/>
                <w:szCs w:val="18"/>
                <w:color w:val="auto"/>
              </w:rPr>
            </w:pPr>
          </w:p>
        </w:tc>
        <w:tc>
          <w:tcPr>
            <w:tcW w:w="40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7"/>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June 30, 2019</w:t>
            </w:r>
          </w:p>
        </w:tc>
        <w:tc>
          <w:tcPr>
            <w:tcW w:w="84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2,618,056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6"/>
              </w:rPr>
              <w:t>Options vested and exercisable as of June 30, 2019</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1,700,027</w:t>
            </w:r>
          </w:p>
        </w:tc>
        <w:tc>
          <w:tcPr>
            <w:tcW w:w="3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16,484,668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432"/>
        </w:trPr>
        <w:tc>
          <w:tcPr>
            <w:tcW w:w="4020" w:type="dxa"/>
            <w:vAlign w:val="bottom"/>
          </w:tcPr>
          <w:p>
            <w:pPr>
              <w:spacing w:after="0"/>
              <w:rPr>
                <w:sz w:val="20"/>
                <w:szCs w:val="20"/>
                <w:color w:val="auto"/>
              </w:rPr>
            </w:pPr>
            <w:r>
              <w:rPr>
                <w:rFonts w:ascii="Arial" w:cs="Arial" w:eastAsia="Arial" w:hAnsi="Arial"/>
                <w:sz w:val="18"/>
                <w:szCs w:val="18"/>
                <w:b w:val="1"/>
                <w:bCs w:val="1"/>
                <w:color w:val="auto"/>
              </w:rPr>
              <w:t>Non-employee Options</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9"/>
              </w:rPr>
              <w:t>Weighted Average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Intrinsic</w:t>
            </w:r>
          </w:p>
        </w:tc>
        <w:tc>
          <w:tcPr>
            <w:tcW w:w="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Price per Share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2019</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437,897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4020" w:type="dxa"/>
            <w:vAlign w:val="bottom"/>
          </w:tcPr>
          <w:p>
            <w:pPr>
              <w:ind w:left="120"/>
              <w:spacing w:after="0"/>
              <w:rPr>
                <w:sz w:val="20"/>
                <w:szCs w:val="20"/>
                <w:color w:val="auto"/>
              </w:rPr>
            </w:pPr>
            <w:r>
              <w:rPr>
                <w:rFonts w:ascii="Arial" w:cs="Arial" w:eastAsia="Arial" w:hAnsi="Arial"/>
                <w:sz w:val="18"/>
                <w:szCs w:val="18"/>
                <w:color w:val="auto"/>
              </w:rPr>
              <w:t>Non-employee options granted</w:t>
            </w:r>
          </w:p>
        </w:tc>
        <w:tc>
          <w:tcPr>
            <w:tcW w:w="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Non-employee options exercised</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(2,581)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20" w:type="dxa"/>
            <w:vAlign w:val="bottom"/>
          </w:tcPr>
          <w:p>
            <w:pPr>
              <w:spacing w:after="0"/>
              <w:rPr>
                <w:sz w:val="20"/>
                <w:szCs w:val="20"/>
                <w:color w:val="auto"/>
              </w:rPr>
            </w:pPr>
            <w:r>
              <w:rPr>
                <w:rFonts w:ascii="Arial" w:cs="Arial" w:eastAsia="Arial" w:hAnsi="Arial"/>
                <w:sz w:val="18"/>
                <w:szCs w:val="18"/>
                <w:color w:val="auto"/>
              </w:rPr>
              <w:t>Outstanding as of June 30, 2019</w:t>
            </w:r>
          </w:p>
        </w:tc>
        <w:tc>
          <w:tcPr>
            <w:tcW w:w="2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435,316</w:t>
            </w:r>
          </w:p>
        </w:tc>
        <w:tc>
          <w:tcPr>
            <w:tcW w:w="10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40" w:type="dxa"/>
            <w:vAlign w:val="bottom"/>
          </w:tcPr>
          <w:p>
            <w:pPr>
              <w:spacing w:after="0"/>
              <w:rPr>
                <w:sz w:val="18"/>
                <w:szCs w:val="18"/>
                <w:color w:val="auto"/>
              </w:rPr>
            </w:pPr>
          </w:p>
        </w:tc>
        <w:tc>
          <w:tcPr>
            <w:tcW w:w="40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3,828</w:t>
            </w: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0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w w:val="96"/>
              </w:rPr>
              <w:t>Options vested and exercisable as of June 30, 2019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186,431</w:t>
            </w:r>
          </w:p>
        </w:tc>
        <w:tc>
          <w:tcPr>
            <w:tcW w:w="10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20"/>
                <w:szCs w:val="20"/>
                <w:color w:val="auto"/>
              </w:rPr>
            </w:pPr>
          </w:p>
        </w:tc>
        <w:tc>
          <w:tcPr>
            <w:tcW w:w="40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1,666</w:t>
            </w:r>
          </w:p>
        </w:tc>
        <w:tc>
          <w:tcPr>
            <w:tcW w:w="1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granted 311,800 options to purchase shares of common stock during the six months ended June 30,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388,941 shares available for grant as of June 30, 2019.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The Company recognized stock-based compensation expense under the 2017 Stock Plan of $1,010 and $1,669 for the three and six months ended June 30, 2019, respectively. The Company recognized stock-based compensation expense under the 2017 Stock Plan of $669 and $1,860 for the three and six months ended June 30, 2018, respectively.</w:t>
      </w:r>
    </w:p>
    <w:p>
      <w:pPr>
        <w:spacing w:after="0" w:line="10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total grant-date fair value of options was $2,097 and $0 for employees and non-employees, respectively, for the six months ended June 30, 2019.</w:t>
      </w:r>
    </w:p>
    <w:p>
      <w:pPr>
        <w:spacing w:after="0" w:line="14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Unrecognized compensation expense related to unvested awards as of June 30, 2019 was $4,943 for employees and $291 for non-employees and will be recognized over the remaining vesting periods of the underlying awards. The weighted-average period over which such compensation is expected to be recognized is 1.5 years for employees and 0.8 years for non-employees.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BioXcel Charges</w:t>
      </w:r>
    </w:p>
    <w:p>
      <w:pPr>
        <w:spacing w:after="0" w:line="185" w:lineRule="exact"/>
        <w:rPr>
          <w:sz w:val="20"/>
          <w:szCs w:val="20"/>
          <w:color w:val="auto"/>
        </w:rPr>
      </w:pPr>
    </w:p>
    <w:p>
      <w:pPr>
        <w:ind w:right="120" w:firstLine="359"/>
        <w:spacing w:after="0" w:line="291" w:lineRule="auto"/>
        <w:rPr>
          <w:sz w:val="20"/>
          <w:szCs w:val="20"/>
          <w:color w:val="auto"/>
        </w:rPr>
      </w:pPr>
      <w:r>
        <w:rPr>
          <w:rFonts w:ascii="Arial" w:cs="Arial" w:eastAsia="Arial" w:hAnsi="Arial"/>
          <w:sz w:val="16"/>
          <w:szCs w:val="16"/>
          <w:color w:val="auto"/>
        </w:rPr>
        <w:t>BioXcel has granted stock options to its employees under its own Equity Incentive Plan (“BioXcel Plan”). Stock-based compensation expense from the BioXcel Plan is allocated to the Company over the period over which those stock option awards vest and are based on the percentage of time spent on Company activities compared to BioXcel activities, which is the same basis used for allocation of salary costs. The BioXcel stock option awards are valued at fair value on the date of grant and that fair value is recognized over the requisite service period. The estimated fair value of these BioXcel stock option awards was determined using the Black Scholes option pricing model on the date of grant. Significant judgment and estimates were used to estimate the fair value of these awards, as they are not publicly traded.</w:t>
      </w:r>
    </w:p>
    <w:p>
      <w:pPr>
        <w:spacing w:after="0" w:line="140"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Share based compensation expense (income), net of forfeitures, recognized by the Company in its statements of operations related to BioXcel equity awards totaled approximately $20 and $76 for the three months ended June 30, 2019 and 2018, respectively and $43 and $199 for the six months ended June 30, 2019 and 2018, respectively.</w:t>
      </w:r>
    </w:p>
    <w:p>
      <w:pPr>
        <w:spacing w:after="0" w:line="125" w:lineRule="exact"/>
        <w:rPr>
          <w:sz w:val="20"/>
          <w:szCs w:val="20"/>
          <w:color w:val="auto"/>
        </w:rPr>
      </w:pPr>
    </w:p>
    <w:p>
      <w:pPr>
        <w:ind w:right="60" w:firstLine="359"/>
        <w:spacing w:after="0" w:line="342" w:lineRule="auto"/>
        <w:rPr>
          <w:sz w:val="20"/>
          <w:szCs w:val="20"/>
          <w:color w:val="auto"/>
        </w:rPr>
      </w:pPr>
      <w:r>
        <w:rPr>
          <w:rFonts w:ascii="Arial" w:cs="Arial" w:eastAsia="Arial" w:hAnsi="Arial"/>
          <w:sz w:val="16"/>
          <w:szCs w:val="16"/>
          <w:color w:val="auto"/>
        </w:rPr>
        <w:t>Total share based compensation charges were approximately $1,030 and $741 for the three months ended June 30, 2019 and 2018, respectively and $1,712 and $2,060 for the six months ended June 30, 2019 and 2018,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02"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Deferred income tax assets and liabilities are recognized for the estimated future tax consequences attributable to differences between the financial reporting and tax bases of assets and liabilities and are measured using enacted tax rates in effect for the year in which those temporary differences are expected to be recovered or settled. A valuation allowance is provided for the amount of deferred tax assets that, based on available evidence, are not expected to be realized.</w:t>
      </w:r>
    </w:p>
    <w:p>
      <w:pPr>
        <w:spacing w:after="0" w:line="114"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As a result of the Company’s cumulative losses, management has concluded that a full valuation allowance against the Company’s net deferred tax assets is appropriate. No income tax liabilities existed as of June 30, 2019 and December 31, 2018 due to the Company’s continuing operating losses.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20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entered into an agreement to lease approximately 11,040 square feet of space on the 12</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floor of the building located at 555 Long Wharf Drive, New Haven, Connecticut that commenced February 22, 2019 (the “Commencement Date”). The premises were occupied in March 2019.</w:t>
      </w:r>
    </w:p>
    <w:p>
      <w:pPr>
        <w:spacing w:after="0" w:line="14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term of the 12</w:t>
      </w:r>
      <w:r>
        <w:rPr>
          <w:rFonts w:ascii="Arial" w:cs="Arial" w:eastAsia="Arial" w:hAnsi="Arial"/>
          <w:sz w:val="8"/>
          <w:szCs w:val="8"/>
          <w:color w:val="auto"/>
        </w:rPr>
        <w:t>th</w:t>
      </w:r>
      <w:r>
        <w:rPr>
          <w:rFonts w:ascii="Arial" w:cs="Arial" w:eastAsia="Arial" w:hAnsi="Arial"/>
          <w:sz w:val="18"/>
          <w:szCs w:val="18"/>
          <w:color w:val="auto"/>
        </w:rPr>
        <w:t xml:space="preserve"> floor lease continues from the Commencement Date through the last day of the calendar month immediately following the seventh anniversary of the Commencement Date.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improvement costs were approximately $619 and are being amortized over the life of the lease.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the operating lease liability are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Amount</w:t>
            </w: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2019 (excluding the six months ended June 30, 2019)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r>
      <w:tr>
        <w:trPr>
          <w:trHeight w:val="210"/>
        </w:trPr>
        <w:tc>
          <w:tcPr>
            <w:tcW w:w="6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r>
      <w:tr>
        <w:trPr>
          <w:trHeight w:val="216"/>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210"/>
        </w:trPr>
        <w:tc>
          <w:tcPr>
            <w:tcW w:w="6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liability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r>
      <w:tr>
        <w:trPr>
          <w:trHeight w:val="216"/>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17"/>
        </w:trPr>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r>
    </w:tbl>
    <w:p>
      <w:pPr>
        <w:spacing w:after="0" w:line="20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current portion of the Company’s operating lease liability of $158 as of June 30, 2019 is included in other current liabilities on the balance sheet.</w:t>
      </w:r>
    </w:p>
    <w:p>
      <w:pPr>
        <w:spacing w:after="0" w:line="13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 recorded amortization charges and interest expense of $62 and $17, respectively related to its operating lease right-of-use asset for the six months ended June 30, 2019.</w:t>
      </w:r>
    </w:p>
    <w:p>
      <w:pPr>
        <w:spacing w:after="0" w:line="14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Company has an option to renew the lease for one additional five-year term at 95% of the then-prevailing market rates but not less than the rental rate at the end of the initial lease term.</w:t>
      </w:r>
    </w:p>
    <w:p>
      <w:pPr>
        <w:spacing w:after="0" w:line="383"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related notes appearing elsewhere in this Quarterly Report and the audited financial statements and related notes contained in our Annual Report on Form 10-K for the year ended December 31, 2018. Some of the information contained in this discussion and analysis or set forth elsewhere in this Quarterly Report, such as information with respect to our plans and strategy for our business and expectations related to the clinical development of our product candidates, includes forward-looking statements that involve risks and uncertainties. As a result of many factors, including those factors set forth in the “Risk Factors” section of this Quarterly Report, our actual results could differ materially from the results described in, or implied by, the forward-looking statements contained in the following discussion and analysis.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All dollar amounts in this discussion and analysis are to the nearest thousand unless otherwise noted.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are a clinical stage biopharmaceutical company utilizing novel artificial intelligence-based approaches to identify the next wave of medicines across neuroscience and immuno-oncology. Our drug re-innovation approach leverages existing approved drugs and/or clinically validated product candidates together with big data and proprietary machine learning algorithms to identify new therapeutic indices.</w:t>
      </w:r>
    </w:p>
    <w:p>
      <w:pPr>
        <w:spacing w:after="0" w:line="18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believe that this differentiated approach has the potential to reduce the cost and time of drug development in diseases with substantial unmet medical need. Our two most advanced clinical development programs are BXCL501, a proprietary sublingual thin film formulation of the adrenergic receptor agonist dexmedetomidine, or Dex, for acute treatment of agitation resulting from neuropsychiatric disorders, and BXCL701, an orally available systemic innate-immune activator for treatment of an aggressive form of prostate cancer and pancreatic cancer.</w:t>
      </w:r>
    </w:p>
    <w:p>
      <w:pPr>
        <w:spacing w:after="0" w:line="173"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During the second quarter of 2019, we continued to advance the development of our two lead clinical programs, BXCL501 and BXCL701.</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of August 5, 2019, our patent portfolio included 3 Patent Cooperation Treaty applications, 5 U.S. utility applications, 19 U.S. provisional applications, and 33 non-U.S.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BXCL501 Neuroscience Program</w:t>
      </w:r>
    </w:p>
    <w:p>
      <w:pPr>
        <w:spacing w:after="0" w:line="229"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On July 22, 2019, we announced positive top-line results from the adaptive Phase 1b, randomized, double-blind, placebo-controlled, multi-center, U.S trial, evaluating multiple doses of BXCL501 for acute treatment of agitation in 135 patients with schizophrenia. In the trial, a reduction in the PEC score (PANSS or the Positive and Negative Syndrome Scale, Excitatory Component) for agitation was observed with rapid calming without excessive sedation at two hours and at earlier time-points. The 80 mcg, 120 mcg and 180 mcg doses of BXCL501 showed reductions of PEC scores of -7.1, -9.2 and -10.8, respectively, compared to -4.5 for placebo at two hours. The results for these three doses were statistically significant in patients treated compared to placebo (80 mcg; p=0.0152), (120 mcg; p=0.0003), and (180 mcg; p&lt;0.0001) with clinically meaningful, rapid and durable reductions in PEC score. We also observed clinically meaningful but not statistically significant reductions in PEC scores of -6.0 following 60 mcg at two hours (p=0.1227). We believe that these results suggest a predictable and dose-dependent response for BXCL501. In addition, results from secondary analyses showed statistically significant calming as measured by the ACES (Agitation-Calmness Evaluation Scale) at two hours compared to placebo following a single dose of 80 mcg (p=0.0156), 120 mcg (P=0.0005) and 180 mcg (P&lt;0.0001). BXCL501 was well tolerated with no serious or severe adverse events across the entire dose range.</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are currently planning to meet with the FDA to obtain additional feedback on progressing to a Phase3 pivotal trial for agitation in schizophrenia and bipolar disorder. For this we anticipate enrolling approximately 600 to 700 patients (300-350 each in schizophrenia and bipolar disorder) across two pivotal trials, which are designed to measure reduction in PEC at two hours as the primary endpoint, as discussed with the U.S. Food and Drug Administration (“FDA”) and used in clinical trials of other approved agents.</w:t>
      </w:r>
    </w:p>
    <w:p>
      <w:pPr>
        <w:spacing w:after="0" w:line="188"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We also expect to begin an adaptive phase 1b trial in agitated Alzheimer’s disease /dementia patients, in the fourth quarter of 2019.</w:t>
      </w:r>
    </w:p>
    <w:p>
      <w:pPr>
        <w:spacing w:after="0" w:line="170" w:lineRule="exact"/>
        <w:rPr>
          <w:sz w:val="20"/>
          <w:szCs w:val="20"/>
          <w:color w:val="auto"/>
        </w:rPr>
      </w:pPr>
    </w:p>
    <w:p>
      <w:pPr>
        <w:jc w:val="both"/>
        <w:ind w:right="200" w:firstLine="324"/>
        <w:spacing w:after="0" w:line="277" w:lineRule="auto"/>
        <w:rPr>
          <w:sz w:val="20"/>
          <w:szCs w:val="20"/>
          <w:color w:val="auto"/>
        </w:rPr>
      </w:pPr>
      <w:r>
        <w:rPr>
          <w:rFonts w:ascii="Arial" w:cs="Arial" w:eastAsia="Arial" w:hAnsi="Arial"/>
          <w:sz w:val="18"/>
          <w:szCs w:val="18"/>
          <w:color w:val="auto"/>
        </w:rPr>
        <w:t>Finally, we are establishing strategic development plans for BXCL501 as a treatment for acute agitation in hyperactive delirium and opioid withdrawal.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BXCL701 Immuno-Oncology Program</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currently has two on-going Phase 1b/2 clinical trials for BXCL 701.</w:t>
      </w:r>
    </w:p>
    <w:p>
      <w:pPr>
        <w:spacing w:after="0" w:line="225"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We are currently enrolling patients in the U.S. in the double combination of BXCL701 and Keytruda® clinical trial for the treatment of emergent Neuroendocrine Prostate Cancer (“tNEPC”). We have treated multiple patients in the safety and escalation portion of the trial which will be followed by the two stage efficacy portion of the clinical program.</w:t>
      </w:r>
    </w:p>
    <w:p>
      <w:pPr>
        <w:spacing w:after="0" w:line="16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June 2019, we announced that our Clinical Trial Application (CTA) was accepted by the U.K. Medicines and Healthcare products Regulatory Agency (“MHRA”) for the double combination trial of BXCL701 and Keytruda® in tNEPC patients. We expect to activate clinical sites, subject to approval from local U.K. authorities. This approval is the first step in our plan to expand our clinical trials globally.</w:t>
      </w:r>
    </w:p>
    <w:p>
      <w:pPr>
        <w:spacing w:after="0" w:line="18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Also, in June 2019, we reported that the FDA had cleared the IND application for the triple combination of BXCL701, bempegaldesleukin (produced by Nektar Therapeutics, Inc., or Nektar) and BAVENCIO® (avelumab, Merck KGaA, Darmstadt, Germany and Pfizer) in pancreatic cancer. We are proceeding with the safety escalation portion of the trial, followed by the two-stage efficacy portion.</w:t>
      </w:r>
    </w:p>
    <w:p>
      <w:pPr>
        <w:spacing w:after="0" w:line="18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are pursuing a clinical proof of mechanism study (MoA) with BXCL701 in pancreatic cancer to characterize immune cell infiltration and activation and the circulating cytokines elicited to validate BXCL701’s mechanism of action.</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Finally, we are continuing to explore additional indications for BXCL701 with synergistic combinations.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not recognized any revenue since inception.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the research and development of our clinical and pre-clinical candidates including:</w:t>
      </w:r>
    </w:p>
    <w:p>
      <w:pPr>
        <w:spacing w:after="0" w:line="170" w:lineRule="exact"/>
        <w:rPr>
          <w:sz w:val="20"/>
          <w:szCs w:val="20"/>
          <w:color w:val="auto"/>
        </w:rPr>
      </w:pPr>
    </w:p>
    <w:p>
      <w:pPr>
        <w:ind w:left="660" w:right="120" w:hanging="333"/>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expense and travel expenses for employees engaged in research and development functions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payments to our Parent pursuant to various agreements entered into with the Parent</w:t>
      </w:r>
    </w:p>
    <w:p>
      <w:pPr>
        <w:spacing w:after="0" w:line="225" w:lineRule="exact"/>
        <w:rPr>
          <w:rFonts w:ascii="Arial" w:cs="Arial" w:eastAsia="Arial" w:hAnsi="Arial"/>
          <w:sz w:val="18"/>
          <w:szCs w:val="18"/>
          <w:color w:val="auto"/>
        </w:rPr>
      </w:pPr>
    </w:p>
    <w:p>
      <w:pPr>
        <w:ind w:left="660" w:right="80" w:hanging="333"/>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(“CROs”), and sites that conduct our non-clinical studies and clinical trials</w:t>
      </w:r>
    </w:p>
    <w:p>
      <w:pPr>
        <w:spacing w:after="0" w:line="170" w:lineRule="exact"/>
        <w:rPr>
          <w:rFonts w:ascii="Arial" w:cs="Arial" w:eastAsia="Arial" w:hAnsi="Arial"/>
          <w:sz w:val="18"/>
          <w:szCs w:val="18"/>
          <w:color w:val="auto"/>
        </w:rPr>
      </w:pPr>
    </w:p>
    <w:p>
      <w:pPr>
        <w:ind w:left="660" w:right="560" w:hanging="333"/>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of outside consultants engaged in research and development activities, including their fees, stock-based compensation and travel expenses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cost of acquiring, developing and manufacturing pre-clinical and clinical trial materials and lab supplies</w:t>
      </w:r>
    </w:p>
    <w:p>
      <w:pPr>
        <w:spacing w:after="0" w:line="236" w:lineRule="exact"/>
        <w:rPr>
          <w:rFonts w:ascii="Arial" w:cs="Arial" w:eastAsia="Arial" w:hAnsi="Arial"/>
          <w:sz w:val="17"/>
          <w:szCs w:val="17"/>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occupancy costs, depreciation and other expenses.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research and development costs by program for the six months ended June 30, 2019 and 2018 are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BXCL 501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BXCL 701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1,295</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BXCL 502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BXCL 702</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and development programs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 support services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r>
      <w:tr>
        <w:trPr>
          <w:trHeight w:val="217"/>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12,180</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4,719</w:t>
            </w:r>
          </w:p>
        </w:tc>
      </w:tr>
    </w:tbl>
    <w:p>
      <w:pPr>
        <w:spacing w:after="0" w:line="202"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Because of the numerous risks and uncertainties associated with product development, we cannot determine with certainty the duration and completion costs of these or other current or future clinical trials of BXCL501, BXCL701 or our other product candidates. However, our research and development costs have increased, and we expect will continue to increase, as we plan for and begin clinical trials for our current and future product candidates. We may never succeed in achieving regulatory approval for BXCL501, BXCL701 or any of our other product candidates. The duration, costs and timing of clinical trials and development of our product candidates will depend on a variety of factors, including the uncertainties of future clinical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General and administrative expenses consist primarily of salaries and related costs for employees in executive, finance and administration, corporate development and administrative support functions, including stock-based compensation expenses and benefits. Other significant general and administrative expenses include accounting and legal services, the cost of various consultants, occupancy costs and information systems costs.</w:t>
      </w:r>
    </w:p>
    <w:p>
      <w:pPr>
        <w:spacing w:after="0" w:line="17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expect that our general and administrative expenses will increase as our business grows and as a result of our operating as an independent entity and a public company. We also expect increased administrative costs, including payroll and related expenses, as we continue to increase our headcount to support the expected growth in our business, expand our operations and organizational capabilities These increases will likely include increased costs for director and officer liability insurance, hiring additional personnel to support future market research and future product commercialization efforts and increased fees for outside consultants, attorneys and accountants. We also expect to incur increased costs to comply with corporate governance, internal controls, investor relations and disclosures and similar requirements applicable to public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4"/>
                <w:szCs w:val="14"/>
                <w:b w:val="1"/>
                <w:bCs w:val="1"/>
                <w:color w:val="auto"/>
              </w:rPr>
              <w:t>(Unaudited)</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auto"/>
              </w:rPr>
              <w:t>(amounts in thousands, except</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gridSpan w:val="8"/>
          </w:tcPr>
          <w:p>
            <w:pPr>
              <w:jc w:val="right"/>
              <w:ind w:right="280"/>
              <w:spacing w:after="0" w:line="142" w:lineRule="exact"/>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gridSpan w:val="8"/>
          </w:tcPr>
          <w:p>
            <w:pPr>
              <w:ind w:left="560"/>
              <w:spacing w:after="0" w:line="142" w:lineRule="exact"/>
              <w:rPr>
                <w:sz w:val="20"/>
                <w:szCs w:val="20"/>
                <w:color w:val="auto"/>
              </w:rPr>
            </w:pPr>
            <w:r>
              <w:rPr>
                <w:rFonts w:ascii="Arial" w:cs="Arial" w:eastAsia="Arial" w:hAnsi="Arial"/>
                <w:sz w:val="14"/>
                <w:szCs w:val="14"/>
                <w:b w:val="1"/>
                <w:bCs w:val="1"/>
                <w:color w:val="auto"/>
              </w:rPr>
              <w:t>Six months ended June 30,</w:t>
            </w:r>
          </w:p>
        </w:tc>
        <w:tc>
          <w:tcPr>
            <w:tcW w:w="3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2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percentage)</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80" w:type="dxa"/>
            <w:vAlign w:val="bottom"/>
          </w:tcPr>
          <w:p>
            <w:pPr>
              <w:ind w:left="220"/>
              <w:spacing w:after="0" w:line="201" w:lineRule="exact"/>
              <w:rPr>
                <w:sz w:val="20"/>
                <w:szCs w:val="20"/>
                <w:color w:val="auto"/>
              </w:rPr>
            </w:pPr>
            <w:r>
              <w:rPr>
                <w:rFonts w:ascii="Arial" w:cs="Arial" w:eastAsia="Arial" w:hAnsi="Arial"/>
                <w:sz w:val="18"/>
                <w:szCs w:val="18"/>
                <w:color w:val="auto"/>
              </w:rPr>
              <w:t>Operating costs and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22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Research and development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265 %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158 %</w:t>
            </w:r>
          </w:p>
        </w:tc>
        <w:tc>
          <w:tcPr>
            <w:tcW w:w="0" w:type="dxa"/>
            <w:vAlign w:val="bottom"/>
          </w:tcPr>
          <w:p>
            <w:pPr>
              <w:spacing w:after="0"/>
              <w:rPr>
                <w:sz w:val="1"/>
                <w:szCs w:val="1"/>
                <w:color w:val="auto"/>
              </w:rPr>
            </w:pPr>
          </w:p>
        </w:tc>
      </w:tr>
      <w:tr>
        <w:trPr>
          <w:trHeight w:val="202"/>
        </w:trPr>
        <w:tc>
          <w:tcPr>
            <w:tcW w:w="2280" w:type="dxa"/>
            <w:vAlign w:val="bottom"/>
          </w:tcPr>
          <w:p>
            <w:pPr>
              <w:ind w:left="320"/>
              <w:spacing w:after="0" w:line="201" w:lineRule="exact"/>
              <w:rPr>
                <w:sz w:val="20"/>
                <w:szCs w:val="20"/>
                <w:color w:val="auto"/>
              </w:rPr>
            </w:pPr>
            <w:r>
              <w:rPr>
                <w:rFonts w:ascii="Arial" w:cs="Arial" w:eastAsia="Arial" w:hAnsi="Arial"/>
                <w:sz w:val="18"/>
                <w:szCs w:val="18"/>
                <w:color w:val="auto"/>
              </w:rPr>
              <w:t>General and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administrative</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46 %</w:t>
            </w: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22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Total operating expenses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166 %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8,524</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113 %</w:t>
            </w:r>
          </w:p>
        </w:tc>
        <w:tc>
          <w:tcPr>
            <w:tcW w:w="0" w:type="dxa"/>
            <w:vAlign w:val="bottom"/>
          </w:tcPr>
          <w:p>
            <w:pPr>
              <w:spacing w:after="0"/>
              <w:rPr>
                <w:sz w:val="1"/>
                <w:szCs w:val="1"/>
                <w:color w:val="auto"/>
              </w:rPr>
            </w:pPr>
          </w:p>
        </w:tc>
      </w:tr>
      <w:tr>
        <w:trPr>
          <w:trHeight w:val="216"/>
        </w:trPr>
        <w:tc>
          <w:tcPr>
            <w:tcW w:w="2280" w:type="dxa"/>
            <w:vAlign w:val="bottom"/>
          </w:tcPr>
          <w:p>
            <w:pPr>
              <w:ind w:left="22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(8,635)</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(3,244)</w:t>
            </w: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(5,391)</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166 %</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(16,054)</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(7,530)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(8,524)</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113 %</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320"/>
              <w:spacing w:after="0"/>
              <w:rPr>
                <w:sz w:val="20"/>
                <w:szCs w:val="20"/>
                <w:color w:val="auto"/>
              </w:rPr>
            </w:pPr>
            <w:r>
              <w:rPr>
                <w:rFonts w:ascii="Arial" w:cs="Arial" w:eastAsia="Arial" w:hAnsi="Arial"/>
                <w:sz w:val="18"/>
                <w:szCs w:val="18"/>
                <w:color w:val="auto"/>
              </w:rPr>
              <w:t>Interest income,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(25)%</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17"/>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(8,471)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(5,445)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180 %</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(15,675)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(7,308)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(8,367)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114 %</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2019 and 2018</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As a result of the factors described below, we generated a net loss of $8,471 for the three months ended June 30, 2019 compared to $3,026 for the three months ended June 30, 2018, an increase of $5,445.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discussed above, we have not recognized any revenues since inception.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Research and development expenses for the three months ended June 30, 2019 were $6,506, compared to $1,781 for the three months ended June 30, 2018. The increase of $4,725 is attributable to the costs described in the table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Salaries, bonus &amp; related costs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Professional research &amp; project related costs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Clinical trials expenses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Chemical, manufacturing and controls cost ("CMC")</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7"/>
        </w:trPr>
        <w:tc>
          <w:tcPr>
            <w:tcW w:w="5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Salaries, bonus &amp; related costs increased due to increases in headcount and related benefits, payroll taxes, recruiting fees and associated travel costs.</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Professional research &amp; project related costs, clinical trials expenses and CMC costs increased due to the acceleration of research and development activities.</w:t>
      </w:r>
    </w:p>
    <w:p>
      <w:pPr>
        <w:spacing w:after="0" w:line="17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All other expenses increased as a result of higher occupancy costs, trade shows, product liability insurance, research subscription costs and shared service charges.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General and administrative expenses for the three months ended June 30, 2019 were $2,129, compared to $1,463 for the three months June 30, 2018. The increase of $666 is attributable to the costs described in the table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Salaries, bonus &amp; 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Insurance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7"/>
        </w:trPr>
        <w:tc>
          <w:tcPr>
            <w:tcW w:w="6420" w:type="dxa"/>
            <w:vAlign w:val="bottom"/>
          </w:tcPr>
          <w:p>
            <w:pPr>
              <w:ind w:left="220"/>
              <w:spacing w:after="0"/>
              <w:rPr>
                <w:sz w:val="20"/>
                <w:szCs w:val="20"/>
                <w:color w:val="auto"/>
              </w:rPr>
            </w:pPr>
            <w:r>
              <w:rPr>
                <w:rFonts w:ascii="Arial" w:cs="Arial" w:eastAsia="Arial" w:hAnsi="Arial"/>
                <w:sz w:val="18"/>
                <w:szCs w:val="18"/>
                <w:color w:val="auto"/>
              </w:rPr>
              <w:t>Total general and administrative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Salaries, bonus &amp; related costs increased due to increases in headcount and related benefits, payroll taxes, recruiting fees and travel related costs.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Non-cash stock-based compensation increased primarily due to additional grants provided to officers and directors of the Company and increased headcount.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Professional fees increased slightly due to expanding operations and operating as a public company.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Insurance costs increased primarily due to an increase in Director and Officer liability insurance.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other expenses increased due to franchise taxes, higher office space costs and filing fees.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2019 and 2018</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As a result of the factors described below, we generated a net loss of $15,675 for the six months ended June 30, 2019 compared to $7,308 for the six months ended June 30, 2018, an increase of $8,367.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discussed above, we have not recognized any revenues since inception.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Research and development expenses for the six months ended June 30, 2019 were $12,180, compared to $4,719 for the six months ended June 30, 2018. The increase of $7,461 is attributable to the costs described in the table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40" w:type="dxa"/>
            <w:vAlign w:val="bottom"/>
            <w:vMerge w:val="restart"/>
          </w:tcPr>
          <w:p>
            <w:pPr>
              <w:spacing w:after="0"/>
              <w:rPr>
                <w:sz w:val="20"/>
                <w:szCs w:val="20"/>
                <w:color w:val="auto"/>
              </w:rPr>
            </w:pPr>
            <w:r>
              <w:rPr>
                <w:rFonts w:ascii="Arial" w:cs="Arial" w:eastAsia="Arial" w:hAnsi="Arial"/>
                <w:sz w:val="18"/>
                <w:szCs w:val="18"/>
                <w:color w:val="auto"/>
              </w:rPr>
              <w:t>Salaries, bonus &amp; related costs</w:t>
            </w:r>
          </w:p>
        </w:tc>
        <w:tc>
          <w:tcPr>
            <w:tcW w:w="6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4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2,776</w:t>
            </w:r>
          </w:p>
        </w:tc>
        <w:tc>
          <w:tcPr>
            <w:tcW w:w="300" w:type="dxa"/>
            <w:vAlign w:val="bottom"/>
          </w:tcPr>
          <w:p>
            <w:pPr>
              <w:spacing w:after="0"/>
              <w:rPr>
                <w:sz w:val="16"/>
                <w:szCs w:val="16"/>
                <w:color w:val="auto"/>
              </w:rPr>
            </w:pPr>
          </w:p>
        </w:tc>
        <w:tc>
          <w:tcPr>
            <w:tcW w:w="420" w:type="dxa"/>
            <w:vAlign w:val="bottom"/>
          </w:tcPr>
          <w:p>
            <w:pPr>
              <w:jc w:val="right"/>
              <w:ind w:right="230"/>
              <w:spacing w:after="0" w:line="195"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862</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1,009</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Professional research &amp; project related costs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1,469</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Drug acquisition costs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Clinical trials expenses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Chemical, manufacturing and controls cost ("CMC")</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All other</w:t>
            </w:r>
          </w:p>
        </w:tc>
        <w:tc>
          <w:tcPr>
            <w:tcW w:w="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7"/>
        </w:trPr>
        <w:tc>
          <w:tcPr>
            <w:tcW w:w="4440" w:type="dxa"/>
            <w:vAlign w:val="bottom"/>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6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12,180</w:t>
            </w:r>
          </w:p>
        </w:tc>
        <w:tc>
          <w:tcPr>
            <w:tcW w:w="30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Salaries, bonus &amp; related costs increased due to increases in headcount and related benefits, payroll taxes, recruiting fees and associated travel costs.</w:t>
      </w:r>
    </w:p>
    <w:p>
      <w:pPr>
        <w:spacing w:after="0" w:line="170"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Non-cash stock-based compensation decreased due to the adoption of FASB ASU 2018-07 as of January 1, 2019 which allowed non-employee options to be expensed using the adoption date fair value. The adoption date value of the stock price was significantly lower than prior re-measurement dates. In addition, several large option grants became fully vested during the six months ended June 30, 2018 and there was no corresponding charge during the six months ended June 30, 2019. These lower charges were offset in part by increases in expense relating to new hires beginning in the second quarter of 2018.</w:t>
      </w:r>
    </w:p>
    <w:p>
      <w:pPr>
        <w:spacing w:after="0" w:line="15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Drug acquisition costs related to certain payments triggered pursuant to our asset contribution agreement with our Parent (the “Contribution Agreement”) are discussed in Note 5 to the financial statements included elsewhere in this Quarterly Report.</w:t>
      </w:r>
    </w:p>
    <w:p>
      <w:pPr>
        <w:spacing w:after="0" w:line="18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Professional research &amp; project related costs, clinical trials expenses and CMC costs increased due to the acceleration of research and development activities.</w:t>
      </w:r>
    </w:p>
    <w:p>
      <w:pPr>
        <w:spacing w:after="0" w:line="17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All other expenses increased as a result of higher occupancy costs, trade shows, product liability insurance, research subscription costs and shared service charges.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General and administrative expenses for the six months ended June 30, 2019 were $3,874, compared to $2,811 for the six months June 30, 2018. The increase of $1,063 is attributable to the costs described in the table below:</w:t>
      </w:r>
    </w:p>
    <w:p>
      <w:pPr>
        <w:spacing w:after="0" w:line="152" w:lineRule="exact"/>
        <w:rPr>
          <w:sz w:val="20"/>
          <w:szCs w:val="20"/>
          <w:color w:val="auto"/>
        </w:rPr>
      </w:pPr>
    </w:p>
    <w:p>
      <w:pPr>
        <w:ind w:left="67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-3175</wp:posOffset>
            </wp:positionV>
            <wp:extent cx="10636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vMerge w:val="restart"/>
          </w:tcPr>
          <w:p>
            <w:pPr>
              <w:spacing w:after="0"/>
              <w:rPr>
                <w:sz w:val="20"/>
                <w:szCs w:val="20"/>
                <w:color w:val="auto"/>
              </w:rPr>
            </w:pPr>
            <w:r>
              <w:rPr>
                <w:rFonts w:ascii="Arial" w:cs="Arial" w:eastAsia="Arial" w:hAnsi="Arial"/>
                <w:sz w:val="18"/>
                <w:szCs w:val="18"/>
                <w:color w:val="auto"/>
              </w:rPr>
              <w:t>Salaries, bonus &amp; related costs</w:t>
            </w:r>
          </w:p>
        </w:tc>
        <w:tc>
          <w:tcPr>
            <w:tcW w:w="1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5"/>
        </w:trPr>
        <w:tc>
          <w:tcPr>
            <w:tcW w:w="4840" w:type="dxa"/>
            <w:vAlign w:val="bottom"/>
            <w:vMerge w:val="continue"/>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rPr>
              <w:t>1,241</w:t>
            </w:r>
          </w:p>
        </w:tc>
        <w:tc>
          <w:tcPr>
            <w:tcW w:w="20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rPr>
              <w:t>701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Professional fees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Insurance</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All other</w:t>
            </w:r>
          </w:p>
        </w:tc>
        <w:tc>
          <w:tcPr>
            <w:tcW w:w="1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7"/>
        </w:trPr>
        <w:tc>
          <w:tcPr>
            <w:tcW w:w="4840" w:type="dxa"/>
            <w:vAlign w:val="bottom"/>
          </w:tcPr>
          <w:p>
            <w:pPr>
              <w:ind w:left="220"/>
              <w:spacing w:after="0"/>
              <w:rPr>
                <w:sz w:val="20"/>
                <w:szCs w:val="20"/>
                <w:color w:val="auto"/>
              </w:rPr>
            </w:pPr>
            <w:r>
              <w:rPr>
                <w:rFonts w:ascii="Arial" w:cs="Arial" w:eastAsia="Arial" w:hAnsi="Arial"/>
                <w:sz w:val="18"/>
                <w:szCs w:val="18"/>
                <w:color w:val="auto"/>
              </w:rPr>
              <w:t>Total general and administrative expenses</w:t>
            </w:r>
          </w:p>
        </w:tc>
        <w:tc>
          <w:tcPr>
            <w:tcW w:w="16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Salaries, bonus &amp; related costs increased due to increases in headcount and related benefits, payroll taxes, recruiting fees and travel related costs.</w:t>
      </w:r>
    </w:p>
    <w:p>
      <w:pPr>
        <w:spacing w:after="0" w:line="170"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Non-cash stock-based compensation has decreased due to the adoption of FASB ASU 2018-07 as of January 1, 2019, which allowed non-employee options to be expensed using the adoption date fair value. The adoption date value of the stock price was significantly lower than prior re-measurement dates. In addition, several large option grants became fully vested during the first quarter of 2018 and there was no corresponding charge during the first quarter of 2019. These lower charges were offset in part by increases in expenses relating to additional headcount beginning in the second quarter of 2018 and additional grants provided to officers and directors in the six months ended June 30, 2019.</w:t>
      </w:r>
    </w:p>
    <w:p>
      <w:pPr>
        <w:spacing w:after="0" w:line="16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Professional fees increased due to expanding operations and operating as a public company. Higher legal, audit, investor relations, licensing and information technology costs were incurred during the six months ended June 30, 2019.</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Insurance costs increased primarily due to Director and Officer liability insurance.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other expenses increased due to franchise taxes, higher office space costs and filing fees.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As of June 30, 2019, we had cash and cash equivalents of $29,965, working capital of $23,502 and stockholders’ equity of $25,157. Net cash used in operating activities was $11,697 and $5,982 for the six months ended June 30, 2019 and</w:t>
      </w:r>
    </w:p>
    <w:p>
      <w:pPr>
        <w:ind w:right="100"/>
        <w:spacing w:after="0" w:line="254" w:lineRule="auto"/>
        <w:rPr>
          <w:sz w:val="20"/>
          <w:szCs w:val="20"/>
          <w:color w:val="auto"/>
        </w:rPr>
      </w:pPr>
      <w:r>
        <w:rPr>
          <w:rFonts w:ascii="Arial" w:cs="Arial" w:eastAsia="Arial" w:hAnsi="Arial"/>
          <w:sz w:val="18"/>
          <w:szCs w:val="18"/>
          <w:color w:val="auto"/>
        </w:rPr>
        <w:t>2018. We incurred losses of approximately $15,675 and $7,308 for the six months ended June 30, 2019 and 2018. We have not yet generated any revenues and we have not yet achieved profitability. We expect that our research and development and general and administrative expenses will continue to increase and, as a result, we will need to generate significant product revenues to achieve profitability.</w:t>
      </w:r>
    </w:p>
    <w:p>
      <w:pPr>
        <w:spacing w:after="0" w:line="190"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On March 7, 2018, the Company’s registration statement on Form S-1 relating to its IPO was declared effective by the Securities and Exchange Commission (“SEC”). The IPO closed on March 12, 2018, and the Company issued and sold 5,454,545 shares of common stock at a public offering price of $11.00 per share. Gross proceeds totaled $60,000 and net proceeds totaled $54,102 after deducting underwriting discounts and commissions of $4,200 and other offering expenses of approximately $1,698.</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Company’s financial statements are prepared in accordance with Generally Accepted Accounting Principles in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United States of America (“GAAP”) applicable to a going concern, which contemplates the realization of assets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satisfaction of liabilities in the normal course of business. The Company has incurred net losses and negative operating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flows since inception. For the six months ended June 30, 2019, the Company recorded a net loss of approximately $15,675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used approximately $11,697 of cash in operating activities. As of June 30, 2019, the Company had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$29,965 in cash and cash equivalents and working capital of approximately $23,502. The Company has not yet established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ongoing source of revenue sufficient to cover its operating costs and allow it to continue as a going concern. The ability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to continue as a going concern is dependent on the Company obtaining adequate capital to fund operating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losses until it becomes profitable. The Company can give no assurances that any additional capital that it is able to obtain, if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will be sufficient to meet its needs, or that any such capital will be obtained on acceptable terms. If the Company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unable to obtain adequate capital, it could be forced to cease operations or substantially curtail its activities. These conditions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raise substantial doubt as to the Company’s ability to continue as a going concern. The accompanying financial statements do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include any adjustments relating to the recoverability and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classification of recorded asset amounts and classification of liabilities should the Company be unable to continue as a going concern.</w:t>
      </w:r>
    </w:p>
    <w:p>
      <w:pPr>
        <w:spacing w:after="0" w:line="170"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Management’s plan to continue as a going concern includes obtaining additional capital resources. Management’s plans to obtain such resources for the Company include obtaining capital from the sale of its equity securities, entering into strategic partnership arrangements and short-term borrowings from banks, stockholders or other related parties, if needed. However, management cannot provide any assurance that the Company will be successful in accomplishing any of its plans.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focused our efforts on raising capital and building the products in our pipeline. Since our inception, all our operations have been financed by our Parent, BioXcel, or the sales of our common stock in a series of private placements and public offerings. We have not yet established an ongoing source of revenue sufficient to cover our operating costs and will need to do so in future periods.</w:t>
      </w:r>
    </w:p>
    <w:p>
      <w:pPr>
        <w:spacing w:after="0" w:line="18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May 20, 2019, the Company entered into an Open Market Sale Agreement (the “Sale Agreement”) with Jefferies LLC (“Jefferies”) pursuant to which the Company may offer and sell shares of its common stock, par value $0.001 per share (the “Common Stock”), having an aggregate initial offering price no greater than $20.0 million (the “Shares”), from time to time, through an “at the market offering” program under which Jefferies will act as sales agent. The shares of Common Stock that may be sold pursuant to the Sale Agreement will be issued pursuant to the Company’s shelf registration statement on Form S-3 (File No. 333-230674), as supplemented by the prospectus supplement dated May 20, 2019 relating to the sale of the Common Stock (the “Prospectus Supplement”).</w:t>
      </w:r>
    </w:p>
    <w:p>
      <w:pPr>
        <w:spacing w:after="0" w:line="178"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Under the Sale Agreement, the Company will set the parameters for the sale of shares, including the number of shares to be issued, the time period during which sales are requested to be made, limitations on the number of shares that may be sold in any one trading day and any minimum price below which sales may not be made. Subject to the terms and conditions of the Sale Agreement, Jefferies may sell the Shares by methods deemed to be an “at the market offering” as defined in Rule 415(a)(4) promulgated under the Securities Act of 1933, as amended (the “Securities Act”), including sales made directly on or through the Nasdaq Capital Market or any other existing trading market for the Common Stock. The Company has agreed to pay Jefferies a commission equal to 3.00% of the gross sales proceeds of any shares of Common Stock sold through Jefferies under the Sale Agreement, and also has provided Jefferies with customary indemnification and contribution rights. The Sale Agreement may be terminated at any time by either party upon prior written notice to the other party.</w:t>
      </w:r>
    </w:p>
    <w:p>
      <w:pPr>
        <w:spacing w:after="0" w:line="167"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Through June 30, 2019, the Company sold 21,744 shares under the Sale Agreement for proceeds of $230, net of issuance costs of $11. In July, 2019 the Company sold 43,849 additional shares for net proceeds of $467, net of issuance costs of $23</w:t>
      </w:r>
    </w:p>
    <w:p>
      <w:pPr>
        <w:spacing w:after="0" w:line="12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future liquidity is highly dependent on our ability to establish revenues, control our operating costs and utilize the Sales Agreement to raise additional capital at our discretion.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134"/>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3700" w:type="dxa"/>
            <w:vAlign w:val="bottom"/>
            <w:tcBorders>
              <w:bottom w:val="single" w:sz="8" w:color="auto"/>
            </w:tcBorders>
            <w:vMerge w:val="continue"/>
          </w:tcPr>
          <w:p>
            <w:pPr>
              <w:spacing w:after="0"/>
              <w:rPr>
                <w:sz w:val="12"/>
                <w:szCs w:val="12"/>
                <w:color w:val="auto"/>
              </w:rPr>
            </w:pPr>
          </w:p>
        </w:tc>
        <w:tc>
          <w:tcPr>
            <w:tcW w:w="31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in thousands:</w:t>
            </w:r>
          </w:p>
        </w:tc>
        <w:tc>
          <w:tcPr>
            <w:tcW w:w="3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34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(11,697)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3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370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55,564</w:t>
            </w:r>
          </w:p>
        </w:tc>
        <w:tc>
          <w:tcPr>
            <w:tcW w:w="0" w:type="dxa"/>
            <w:vAlign w:val="bottom"/>
          </w:tcPr>
          <w:p>
            <w:pPr>
              <w:spacing w:after="0"/>
              <w:rPr>
                <w:sz w:val="1"/>
                <w:szCs w:val="1"/>
                <w:color w:val="auto"/>
              </w:rPr>
            </w:pPr>
          </w:p>
        </w:tc>
      </w:tr>
      <w:tr>
        <w:trPr>
          <w:trHeight w:val="850"/>
        </w:trPr>
        <w:tc>
          <w:tcPr>
            <w:tcW w:w="3700" w:type="dxa"/>
            <w:vAlign w:val="bottom"/>
          </w:tcPr>
          <w:p>
            <w:pPr>
              <w:spacing w:after="0"/>
              <w:rPr>
                <w:sz w:val="24"/>
                <w:szCs w:val="24"/>
                <w:color w:val="auto"/>
              </w:rPr>
            </w:pPr>
          </w:p>
        </w:tc>
        <w:tc>
          <w:tcPr>
            <w:tcW w:w="3100" w:type="dxa"/>
            <w:vAlign w:val="bottom"/>
          </w:tcPr>
          <w:p>
            <w:pPr>
              <w:jc w:val="right"/>
              <w:ind w:right="209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7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For the six months ended June 30, 2019, net cash used in operating activities was $11,697 which consisted of a net loss of $15,675 partially offset by $1,712 in stock-based compensation and $122 of depreciation and amortization. Increases in accounts payable and accrued expenses of $3,153 were offset in part by increases in prepaid expenses (primarily for insurance premiums) and other assets of $1,009.</w:t>
      </w:r>
    </w:p>
    <w:p>
      <w:pPr>
        <w:spacing w:after="0" w:line="1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For the six months ended June 30, 2018, net cash used in operating activities was $5,982, which consisted of a net loss of $7,308 partially offset by $2,060 in stock-based compensation. Increases in accounts payable, reductions in prepaid expense and depreciation accounted for the remainder.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Net cash used in investing activities was $825 for the six months ended June 30, 2019, compared to $120 for the six months ended June 30, 2018. All of the net cash used in investing activities related to expenditures for property and equipment. Of the $705 increase in net cash used in investing activities, $447 related to construction costs that were incurred related to occupancy at our new office site. Purchases of furniture and computer equipment accounted for the remainder of the increase.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cash used in financing activities was not material for the six months ended June 30, 2019.</w:t>
      </w:r>
    </w:p>
    <w:p>
      <w:pPr>
        <w:spacing w:after="0" w:line="225"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Net cash provided by financing activities was approximately $55,564 for the six months ended June 30, 2018 which was mainly attributable to the proceeds from issuance of common stock in our IPO and other private placements offset in part by repayment of loans to our Parent.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and Capital Expenditure Requirements</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expect to continue to incur significant and increasing operating losses at least for the next several years as we commence our clinical trials of BXCL501 and BXCL701, seek marketing approval for our product candidates and pursue development of our other product candidates. We do not expect to generate revenue unless and until we successfully complete development and obtain regulatory approval for our product candidates. Our net losses may fluctuate significantly from quarter-to-quarter and year-to-year, depending on the timing of our planned clinical trials and our expenditures on other research and development activities.</w:t>
      </w:r>
    </w:p>
    <w:p>
      <w:pPr>
        <w:spacing w:after="0" w:line="193"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54" w:lineRule="exact"/>
        <w:rPr>
          <w:sz w:val="20"/>
          <w:szCs w:val="20"/>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our clinical development of BXCL501 and BXCL701;</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additional research and development with our product candidates;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to identify, acquire, develop and commercialize additional product candidates;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integrate acquired technologies into a comprehensive regulatory and product development strategy;</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hire scientific, clinical, quality control and administrative personnel;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160" w:hanging="333"/>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efforts;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660" w:right="800" w:hanging="333"/>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ultimately establish a sales, marketing and distribution infrastructure and scale up external manufacturing capabilities to commercialize any product candidates for which we may obtain regulatory approval; and</w:t>
      </w:r>
    </w:p>
    <w:p>
      <w:pPr>
        <w:spacing w:after="0" w:line="123" w:lineRule="exact"/>
        <w:rPr>
          <w:rFonts w:ascii="Arial" w:cs="Arial" w:eastAsia="Arial" w:hAnsi="Arial"/>
          <w:sz w:val="16"/>
          <w:szCs w:val="16"/>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expect that we will need to obtain substantial additional funding in order to complete our clinical trials.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 If we are unable to raise capital when needed or on attractive terms, we could be forced to significantly delay, scale back or discontinue the development or commercialization of BXCL501, BXCL701 or other product candidates, seek collaborators at an earlier stage than otherwise would be desirable or on terms that are less favorable than might otherwise be available, and relinquish or license, potentially on unfavorable terms, our rights to BXCL501, BXCL701 or other product candidates that we otherwise would seek to develop or commercialize ourselves.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2019, we did not have any off-balance sheet arrangements as defined under SEC rules.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Our financial statements are prepared in accordance with accounting principles generally accepted in the United States.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w:t>
      </w:r>
    </w:p>
    <w:p>
      <w:pPr>
        <w:spacing w:after="0" w:line="17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On an ongoing basis, we evaluate our estimates and judgments. We base our estimates and judgments on a variety of factors including our historical experience, knowledge of our business and industry, current and expected economic conditions, the attributes of our products, the regulatory environment, and in certain cases, the results of outside appraisals. We periodically re-evaluate our estimates and assumptions with respect to these judgments and modify our approach when circumstances indicate that modifications are necessary.</w:t>
      </w:r>
    </w:p>
    <w:p>
      <w:pPr>
        <w:spacing w:after="0" w:line="18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While we believe that the factors we evaluate provide us with a meaningful basis for establishing and applying sound accounting policies, we cannot guarantee that the results will always be accurate. Since the determination of these estimates requires the exercise of judgment, actual results could differ from such estimates.</w:t>
      </w:r>
    </w:p>
    <w:p>
      <w:pPr>
        <w:spacing w:after="0" w:line="166"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Our significant accounting policies are described in Note 4 to the financial statements included elsewhere in this Quarterly Report. As of June 30, 2019, there have been no material changes to any of the critical accounting policies contained in our disclosure reported in “Critical Accounting Policies” in our Annual Report on Form 10-K for the year ended December 31, 2018 except as disclosed in Note 4 to the financial statements included elsewhere in this Quarterly Report.</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A description of recently issued accounting pronouncements that may potentially impact our financial position and results of operations is set forth in Note 4 to the financial statements included elsewhere in this Quarterly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Our balance sheet as of June 30, 2019 includes cash and cash equivalents of $29,965. We do not participate in any foreign currency hedging activities and we do not have any other derivative financial instruments. We did not recognize any significant exchange rate losses during the six months ended June 30, 2019 and 2018, respectively.</w:t>
      </w:r>
    </w:p>
    <w:p>
      <w:pPr>
        <w:spacing w:after="0" w:line="16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do not believe that our cash has significant risk of default or illiquidity. While we believe our cash and cash equivalents does not contain excessive risk, we cannot provide absolute assurance that in the future our investments will not be subject to adverse changes in market value. In addition, we maintain significant amounts of cash at one or more financial institutions that are in excess of federally insured limits.</w:t>
      </w:r>
    </w:p>
    <w:p>
      <w:pPr>
        <w:spacing w:after="0" w:line="18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has had a material effect on our results of operations during the periods presented.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market risk inherent in our financial instruments and in our financial position has historically been the potential loss arising from adverse changes in interest rates. As of June 30, 2019 and December 31, 2018, we had cash and cash equivalents of approximately $30.0 million and $42.6 million, respectively. As of June 30, 2019, we held our cash in primarily in money market accounts and accordingly, the value of these accounts is subject to fluctuation in interest rates.</w:t>
      </w:r>
    </w:p>
    <w:p>
      <w:pPr>
        <w:spacing w:after="0" w:line="15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do not engage in any hedging activities against changes in interest rates. We do not have any foreign currency or other derivative financial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2019.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8"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Based on the evaluation of our disclosure controls and procedures as of June 30, 2019, our Chief Executive Officer and Chief Financial Officer concluded that, as of such date, our disclosure controls and procedures were effective at the reasonable assurance level.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9" w:firstLine="363"/>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June 30, 2019 that have materially affected, or are reasonably likely to materially affect, our internal control over financial reporting.</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400" w:firstLine="324"/>
        <w:spacing w:after="0" w:line="259"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324"/>
        <w:spacing w:after="0" w:line="219" w:lineRule="exact"/>
        <w:rPr>
          <w:sz w:val="20"/>
          <w:szCs w:val="20"/>
          <w:color w:val="auto"/>
        </w:rPr>
      </w:pPr>
      <w:r>
        <w:rPr>
          <w:rFonts w:ascii="Arial" w:cs="Arial" w:eastAsia="Arial" w:hAnsi="Arial"/>
          <w:sz w:val="17"/>
          <w:szCs w:val="17"/>
          <w:i w:val="1"/>
          <w:iCs w:val="1"/>
          <w:color w:val="auto"/>
        </w:rPr>
        <w:t>You should carefully consider the risks described below, as well as general economic and business risks and the other information in this Quarterly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Q.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Position and Need for Additional Capital</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revenues, which may make it difficult to evaluate the success of our business to date and to assess our future viability.</w:t>
      </w:r>
    </w:p>
    <w:p>
      <w:pPr>
        <w:spacing w:after="0" w:line="170"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We were incorporated in March 2017 and our operations to date have been largely focused on organizing and staffing our company, raising capital and acquiring the rights to, and advancing the development of, our product candidates, including conducting preclinical studies. We have not yet demonstrated an ability to successfully complete clinical trials, obtain marketing approvals, manufacture products on a commercial scale, or arrange for a third party to do so on our behalf, or conduct sales and marketing activities necessary for successful commercialization. Consequently, predictions about our future success or viability may not be as accurate as they could be if we had a longer operating history or a history of successfully developing and commercializing products.</w:t>
      </w:r>
    </w:p>
    <w:p>
      <w:pPr>
        <w:spacing w:after="0" w:line="178"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We expect our financial condition and operating results to continue to fluctuate from quarter to quarter and year to year due to a variety of factors, many of which are beyond our control. We will need to eventually transition from a company with a research and development focus to a company capable of undertaking commercial activities. We may encounter unforeseen expenses, difficulties, complications and delays, and may not be successful in such a transition.</w:t>
      </w:r>
    </w:p>
    <w:p>
      <w:pPr>
        <w:spacing w:after="0" w:line="15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47"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Since our inception, we have incurred significant operating losses. Our net loss was $15.7 million and $7.3 million for the six months ended June 30, 2019 and 2018, respectively. As of June 30, 2019, we had stockholders’ equity of $25.2 million. We expect to continue to incur significant expenses and increasing operating losses for the foreseeable future. None of our product candidates have been approved for marketing in the United States, or in any other jurisdiction, and may never receive such approval. It could be several years, if ever, before we have a commercialized product that generates significant revenues. As a result, we are uncertain when or if we will achieve profitability and, if so, whether we will be able to sustain it. The net losses we incur may fluctuate significantly from quarter to quarter and year to year. We anticipate that our expenses will increase substantially as we:</w:t>
      </w:r>
    </w:p>
    <w:p>
      <w:pPr>
        <w:spacing w:after="0" w:line="179" w:lineRule="exact"/>
        <w:rPr>
          <w:sz w:val="20"/>
          <w:szCs w:val="20"/>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the development of our product candidates;</w:t>
      </w:r>
    </w:p>
    <w:p>
      <w:pPr>
        <w:spacing w:after="0" w:line="225" w:lineRule="exact"/>
        <w:rPr>
          <w:rFonts w:ascii="Arial" w:cs="Arial" w:eastAsia="Arial" w:hAnsi="Arial"/>
          <w:sz w:val="18"/>
          <w:szCs w:val="18"/>
          <w:color w:val="auto"/>
        </w:rPr>
      </w:pPr>
    </w:p>
    <w:p>
      <w:pPr>
        <w:ind w:left="660" w:right="20" w:hanging="333"/>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additional indications for our current product candidates and any future product candidates that we may pursue;</w:t>
      </w:r>
    </w:p>
    <w:p>
      <w:pPr>
        <w:spacing w:after="0" w:line="170" w:lineRule="exact"/>
        <w:rPr>
          <w:rFonts w:ascii="Arial" w:cs="Arial" w:eastAsia="Arial" w:hAnsi="Arial"/>
          <w:sz w:val="18"/>
          <w:szCs w:val="18"/>
          <w:color w:val="auto"/>
        </w:rPr>
      </w:pPr>
    </w:p>
    <w:p>
      <w:pPr>
        <w:ind w:left="660" w:right="440" w:hanging="333"/>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build our portfolio of product candidates through the acquisition or in-license of additional product candidates or technologies;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develop, maintain, expand and protect our intellectual property portfolio;</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pursue regulatory approvals for our current and future product candidates that successfully complete clinical trials;</w:t>
      </w:r>
    </w:p>
    <w:p>
      <w:pPr>
        <w:spacing w:after="0" w:line="248" w:lineRule="exact"/>
        <w:rPr>
          <w:rFonts w:ascii="Arial" w:cs="Arial" w:eastAsia="Arial" w:hAnsi="Arial"/>
          <w:sz w:val="16"/>
          <w:szCs w:val="16"/>
          <w:color w:val="auto"/>
        </w:rPr>
      </w:pPr>
    </w:p>
    <w:p>
      <w:pPr>
        <w:ind w:left="660" w:right="280" w:hanging="333"/>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 candidate for which we may obtain marketing approval;</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additional clinical, regulatory, scientific and accounting personnel;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To become and remain profitable, we must develop and eventually commercialize one or more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any current and future product candidates for which we may obtain marketing approval, and satisfying any post-marketing requirements. We are only in the preliminary stages of most of these activities and, in some cases, have not yet commenced certain of these activities. We may never succeed in any or all of these activities and, even if we do, we may never generate sufficient revenue to achieve profitability.</w:t>
      </w:r>
    </w:p>
    <w:p>
      <w:pPr>
        <w:spacing w:after="0" w:line="178"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Because of the numerous risks and uncertainties associated with product development, we are unable to accurately predict the timing or amount of expenses or when, or if, we will obtain marketing approval to commercialize any of our product candidates. If we are required by the U.S. Food and Drug Administration, or FDA, or other regulatory authorities such as the European Medicines Agency, or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w:t>
      </w:r>
    </w:p>
    <w:p>
      <w:pPr>
        <w:spacing w:after="0" w:line="24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8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14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anticipate that our expenses will increase substantially if and as we continue to develop and begin clinical trials with respect to BXCL501, BXCL701 and our other product candidates; seek to identify and develop additional product candidates; acquire or in-license other product candidates or technologies; seek regulatory and marketing approvals for our product candidates that successfully complete clinical trials, if any; establish sales, marketing, distribution and other commercial infrastructure in the future to commercialize various products for which we may obtain marketing approval, if any; require the manufacture of larger quantities of product candidates for clinical development and, potentially, commercialization; maintain, expand and protect our intellectual property portfolio; hire and retain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78" w:lineRule="exact"/>
        <w:rPr>
          <w:sz w:val="20"/>
          <w:szCs w:val="20"/>
          <w:color w:val="auto"/>
        </w:rPr>
      </w:pPr>
    </w:p>
    <w:p>
      <w:pPr>
        <w:ind w:right="600" w:firstLine="324"/>
        <w:spacing w:after="0" w:line="302" w:lineRule="auto"/>
        <w:rPr>
          <w:sz w:val="20"/>
          <w:szCs w:val="20"/>
          <w:color w:val="auto"/>
        </w:rPr>
      </w:pPr>
      <w:r>
        <w:rPr>
          <w:rFonts w:ascii="Arial" w:cs="Arial" w:eastAsia="Arial" w:hAnsi="Arial"/>
          <w:sz w:val="16"/>
          <w:szCs w:val="16"/>
          <w:color w:val="auto"/>
        </w:rPr>
        <w:t>We expect that our current cash and cash equivalents will be used primarily to fund our ongoing research and development efforts over the coming months. We will be required to expend significant funds in order to advance the development of BXCL501, BXCL701 and our other product candidates. In addition, while we may seek one or more collaborators for future development of our current product candidate or any future product candidates that we may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9"/>
        <w:spacing w:after="0" w:line="291" w:lineRule="auto"/>
        <w:rPr>
          <w:sz w:val="20"/>
          <w:szCs w:val="20"/>
          <w:color w:val="auto"/>
        </w:rPr>
      </w:pPr>
      <w:r>
        <w:rPr>
          <w:rFonts w:ascii="Arial" w:cs="Arial" w:eastAsia="Arial" w:hAnsi="Arial"/>
          <w:sz w:val="16"/>
          <w:szCs w:val="16"/>
          <w:color w:val="auto"/>
        </w:rPr>
        <w:t>develop for one or more indications, we may not be able to enter into a collaboration for any of our product candidates for such indications on suitable terms, on a timely basis or at all. In any event, the net proceeds of our IPO and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Further financing may not be available to us on acceptable terms, or at all. Our failure to raise capital as and when needed would have a negative impact on our financial condition and our ability to pursue our business strategy.</w:t>
      </w:r>
    </w:p>
    <w:p>
      <w:pPr>
        <w:spacing w:after="0" w:line="167" w:lineRule="exact"/>
        <w:rPr>
          <w:sz w:val="20"/>
          <w:szCs w:val="20"/>
          <w:color w:val="auto"/>
        </w:rPr>
      </w:pPr>
    </w:p>
    <w:p>
      <w:pPr>
        <w:ind w:right="79" w:firstLine="324"/>
        <w:spacing w:after="0" w:line="276" w:lineRule="auto"/>
        <w:rPr>
          <w:sz w:val="20"/>
          <w:szCs w:val="20"/>
          <w:color w:val="auto"/>
        </w:rPr>
      </w:pPr>
      <w:r>
        <w:rPr>
          <w:rFonts w:ascii="Arial" w:cs="Arial" w:eastAsia="Arial" w:hAnsi="Arial"/>
          <w:sz w:val="17"/>
          <w:szCs w:val="17"/>
          <w:color w:val="auto"/>
        </w:rPr>
        <w:t>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73" w:lineRule="exact"/>
        <w:rPr>
          <w:sz w:val="20"/>
          <w:szCs w:val="20"/>
          <w:color w:val="auto"/>
        </w:rPr>
      </w:pPr>
    </w:p>
    <w:p>
      <w:pPr>
        <w:ind w:left="660" w:right="579" w:hanging="333"/>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BXCL501, BXCL701 and our other product candidates;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enter into and the terms and timing of any collaborations, licensing agreements or other arrangements;</w:t>
      </w:r>
    </w:p>
    <w:p>
      <w:pPr>
        <w:spacing w:after="0" w:line="248" w:lineRule="exact"/>
        <w:rPr>
          <w:rFonts w:ascii="Arial" w:cs="Arial" w:eastAsia="Arial" w:hAnsi="Arial"/>
          <w:sz w:val="16"/>
          <w:szCs w:val="16"/>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outcome of seeking regulatory approvals;</w:t>
      </w:r>
    </w:p>
    <w:p>
      <w:pPr>
        <w:spacing w:after="0" w:line="225" w:lineRule="exact"/>
        <w:rPr>
          <w:rFonts w:ascii="Arial" w:cs="Arial" w:eastAsia="Arial" w:hAnsi="Arial"/>
          <w:sz w:val="18"/>
          <w:szCs w:val="18"/>
          <w:color w:val="auto"/>
        </w:rPr>
      </w:pPr>
    </w:p>
    <w:p>
      <w:pPr>
        <w:ind w:left="660" w:right="19" w:hanging="333"/>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81" w:lineRule="exact"/>
        <w:rPr>
          <w:rFonts w:ascii="Arial" w:cs="Arial" w:eastAsia="Arial" w:hAnsi="Arial"/>
          <w:sz w:val="18"/>
          <w:szCs w:val="18"/>
          <w:color w:val="auto"/>
        </w:rPr>
      </w:pPr>
    </w:p>
    <w:p>
      <w:pPr>
        <w:ind w:left="660" w:right="539" w:hanging="333"/>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as well as potentially establish a commercial infrastructure;</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received from commercial sales, if any, of our current and future product candidates;</w:t>
      </w:r>
    </w:p>
    <w:p>
      <w:pPr>
        <w:spacing w:after="0" w:line="225" w:lineRule="exact"/>
        <w:rPr>
          <w:rFonts w:ascii="Arial" w:cs="Arial" w:eastAsia="Arial" w:hAnsi="Arial"/>
          <w:sz w:val="18"/>
          <w:szCs w:val="18"/>
          <w:color w:val="auto"/>
        </w:rPr>
      </w:pPr>
    </w:p>
    <w:p>
      <w:pPr>
        <w:ind w:left="660" w:right="599" w:hanging="333"/>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policies or laws that may affect our operations;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physician acceptance or medical society recommendations that may affect commercial efforts;</w:t>
      </w:r>
    </w:p>
    <w:p>
      <w:pPr>
        <w:spacing w:after="0" w:line="236" w:lineRule="exact"/>
        <w:rPr>
          <w:rFonts w:ascii="Arial" w:cs="Arial" w:eastAsia="Arial" w:hAnsi="Arial"/>
          <w:sz w:val="17"/>
          <w:szCs w:val="17"/>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acquiring potential new product candidates or technology;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experience in drug discovery and drug development, and we have never had a drug approved.</w:t>
      </w:r>
    </w:p>
    <w:p>
      <w:pPr>
        <w:spacing w:after="0" w:line="237" w:lineRule="exact"/>
        <w:rPr>
          <w:sz w:val="20"/>
          <w:szCs w:val="20"/>
          <w:color w:val="auto"/>
        </w:rPr>
      </w:pPr>
    </w:p>
    <w:p>
      <w:pPr>
        <w:ind w:right="119" w:firstLine="324"/>
        <w:spacing w:after="0" w:line="279" w:lineRule="auto"/>
        <w:rPr>
          <w:sz w:val="20"/>
          <w:szCs w:val="20"/>
          <w:color w:val="auto"/>
        </w:rPr>
      </w:pPr>
      <w:r>
        <w:rPr>
          <w:rFonts w:ascii="Arial" w:cs="Arial" w:eastAsia="Arial" w:hAnsi="Arial"/>
          <w:sz w:val="17"/>
          <w:szCs w:val="17"/>
          <w:color w:val="auto"/>
        </w:rPr>
        <w:t>Prior to the acquisition of our product candidates, we were not involved in and had no control over their preclinical and clinical development. In addition, we are relying upon the parties we have acquired our product candidates from to have conducted such research and development in accordance with the applicable protocol, legal, regulatory and scientific standards, having accurately reported the results of all clinical trials conducted prior to our acquisition of the</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applicable product candidate, and having correctly collected and interpreted the data from these studies and trials. To the extent any of these has not occurred, our expected development time and costs may be increased, which could adversely affect our prospects for marketing approval of, and receiving any future revenue from, these product candidates.</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In the near term, we are dependent on the success of BXCL501 and BXCL701. If we are unable to initiate or complete the clinical development of, obtain marketing approval for or successfully commercialize BXCL501, BXCL701 and our other product candidates, either alone or with a collaborator, or if we experience significant delays in doing so, our business could be substantially harmed.</w:t>
      </w:r>
    </w:p>
    <w:p>
      <w:pPr>
        <w:spacing w:after="0" w:line="187"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currently do not have any products that have received regulatory approval and may never be able to develop marketable product candidates. We are investing a significant portion of our efforts and financial resources in the development of BXCL501, BXCL701 and our other product candidates. Our prospects are substantially dependent on our ability, or that of any future collaborator, to develop, obtain marketing approval for and successfully commercialize product candidates in one or more disease indications.</w:t>
      </w:r>
    </w:p>
    <w:p>
      <w:pPr>
        <w:spacing w:after="0" w:line="188"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success of BXCL501, BXCL701 and our other product candidates will depend on several factors, including the following:</w:t>
      </w:r>
    </w:p>
    <w:p>
      <w:pPr>
        <w:spacing w:after="0" w:line="170" w:lineRule="exact"/>
        <w:rPr>
          <w:sz w:val="20"/>
          <w:szCs w:val="20"/>
          <w:color w:val="auto"/>
        </w:rPr>
      </w:pPr>
    </w:p>
    <w:p>
      <w:pPr>
        <w:ind w:left="1300" w:right="100" w:hanging="325"/>
        <w:spacing w:after="0" w:line="258"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of an Investigational New Drug, or IND, for the conduct of clinical trials of product candidates and proposed design of future clinical trials;</w:t>
      </w:r>
    </w:p>
    <w:p>
      <w:pPr>
        <w:spacing w:after="0" w:line="1" w:lineRule="exact"/>
        <w:rPr>
          <w:rFonts w:ascii="Arial" w:cs="Arial" w:eastAsia="Arial" w:hAnsi="Arial"/>
          <w:sz w:val="18"/>
          <w:szCs w:val="18"/>
          <w:color w:val="auto"/>
        </w:rPr>
      </w:pPr>
    </w:p>
    <w:p>
      <w:pPr>
        <w:ind w:left="1300" w:right="54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initiation, progress, timing, costs and results of clinical trials of our product candidates and potential product candidates;</w:t>
      </w:r>
    </w:p>
    <w:p>
      <w:pPr>
        <w:ind w:left="1300" w:right="6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establishment of a safety, tolerability and efficacy profile that is satisfactory to the FDA or any comparable foreign regulatory authority for marketing approval;</w:t>
      </w: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extent of any required post-marketing approval commitments to applicable regulatory authorities;</w:t>
      </w:r>
    </w:p>
    <w:p>
      <w:pPr>
        <w:spacing w:after="0" w:line="20" w:lineRule="exact"/>
        <w:rPr>
          <w:rFonts w:ascii="Arial" w:cs="Arial" w:eastAsia="Arial" w:hAnsi="Arial"/>
          <w:sz w:val="17"/>
          <w:szCs w:val="17"/>
          <w:color w:val="auto"/>
        </w:rPr>
      </w:pPr>
    </w:p>
    <w:p>
      <w:pPr>
        <w:ind w:left="1300" w:hanging="325"/>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establishment of supply arrangements with third-party raw materials suppliers and manufacturers;</w:t>
      </w:r>
    </w:p>
    <w:p>
      <w:pPr>
        <w:spacing w:after="0" w:line="20" w:lineRule="exact"/>
        <w:rPr>
          <w:rFonts w:ascii="Arial" w:cs="Arial" w:eastAsia="Arial" w:hAnsi="Arial"/>
          <w:sz w:val="17"/>
          <w:szCs w:val="17"/>
          <w:color w:val="auto"/>
        </w:rPr>
      </w:pPr>
    </w:p>
    <w:p>
      <w:pPr>
        <w:ind w:left="1300" w:right="56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to obtain finished drug product that is appropriately packaged for sale;</w:t>
      </w:r>
    </w:p>
    <w:p>
      <w:pPr>
        <w:ind w:left="1300" w:right="72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product for clinical development and any commercial sales;</w:t>
      </w:r>
    </w:p>
    <w:p>
      <w:pPr>
        <w:ind w:left="1300" w:right="38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and maintaining patent, trade secret protection and regulatory exclusivity, both in the United States and internationally;</w:t>
      </w: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1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develop, receive marketing approval for and successfully commercialize BXCL501, BXCL701 and our other product candidates, on our own or with any future collaborator, or experience delays as a result of any of these factors or otherwise, our business could be substantially harmed.</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expensive and inherently unpredictable, and if we are ultimately unable to obtain regulatory approval for our product candidates, our business will be substantially harmed.</w:t>
      </w:r>
    </w:p>
    <w:p>
      <w:pPr>
        <w:spacing w:after="0" w:line="18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were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25" w:lineRule="exact"/>
        <w:rPr>
          <w:sz w:val="20"/>
          <w:szCs w:val="20"/>
          <w:color w:val="auto"/>
        </w:rPr>
      </w:pPr>
    </w:p>
    <w:p>
      <w:pPr>
        <w:ind w:left="1300" w:right="200" w:hanging="325"/>
        <w:spacing w:after="0" w:line="258"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 w:lineRule="exact"/>
        <w:rPr>
          <w:rFonts w:ascii="Arial" w:cs="Arial" w:eastAsia="Arial" w:hAnsi="Arial"/>
          <w:sz w:val="18"/>
          <w:szCs w:val="18"/>
          <w:color w:val="auto"/>
        </w:rPr>
      </w:pPr>
    </w:p>
    <w:p>
      <w:pPr>
        <w:ind w:left="1300" w:right="740" w:hanging="325"/>
        <w:spacing w:after="0" w:line="281"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be unable to demonstrate to the satisfaction of the FDA or comparable foreign regulatory authorities that a product candidate is safe and effective for its proposed indication;</w:t>
      </w:r>
    </w:p>
    <w:p>
      <w:pPr>
        <w:spacing w:after="0" w:line="1" w:lineRule="exact"/>
        <w:rPr>
          <w:rFonts w:ascii="Arial" w:cs="Arial" w:eastAsia="Arial" w:hAnsi="Arial"/>
          <w:sz w:val="16"/>
          <w:szCs w:val="16"/>
          <w:color w:val="auto"/>
        </w:rPr>
      </w:pPr>
    </w:p>
    <w:p>
      <w:pPr>
        <w:ind w:left="1300" w:right="600" w:hanging="325"/>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1300" w:right="300" w:hanging="325"/>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ind w:left="1300" w:right="20" w:hanging="325"/>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New Drug Application, or NDA, or other submission or to obtain regulatory approval in the United States or elsewhere; the FDA or comparable foreign regulatory authorities may disagree that our changes to branded reference drugs meet the criteria for the 505(b)(2) regulatory pathway or foreign regulatory pathways;</w:t>
      </w:r>
    </w:p>
    <w:p>
      <w:pPr>
        <w:spacing w:after="0" w:line="2" w:lineRule="exact"/>
        <w:rPr>
          <w:rFonts w:ascii="Arial" w:cs="Arial" w:eastAsia="Arial" w:hAnsi="Arial"/>
          <w:sz w:val="18"/>
          <w:szCs w:val="18"/>
          <w:color w:val="auto"/>
        </w:rPr>
      </w:pPr>
    </w:p>
    <w:p>
      <w:pPr>
        <w:ind w:left="1300" w:right="160" w:hanging="325"/>
        <w:spacing w:after="0" w:line="281"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and</w:t>
      </w:r>
    </w:p>
    <w:p>
      <w:pPr>
        <w:spacing w:after="0" w:line="1" w:lineRule="exact"/>
        <w:rPr>
          <w:rFonts w:ascii="Arial" w:cs="Arial" w:eastAsia="Arial" w:hAnsi="Arial"/>
          <w:sz w:val="16"/>
          <w:szCs w:val="16"/>
          <w:color w:val="auto"/>
        </w:rPr>
      </w:pPr>
    </w:p>
    <w:p>
      <w:pPr>
        <w:ind w:left="1300" w:right="760" w:hanging="325"/>
        <w:spacing w:after="0" w:line="290"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have limited experience in completing clinical trials of any of our product candidates. Consequently, we may not have the necessary capabilities, including adequate staffing, to successfully manage the execution and completion of any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9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9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have not previously submitted a New Drug Application (“NDA”) to the FDA or similar drug approval filings to comparable foreign authorities, for any product candidate, and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patients that we are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59"/>
        <w:spacing w:after="0" w:line="277" w:lineRule="auto"/>
        <w:rPr>
          <w:sz w:val="20"/>
          <w:szCs w:val="20"/>
          <w:color w:val="auto"/>
        </w:rPr>
      </w:pPr>
      <w:r>
        <w:rPr>
          <w:rFonts w:ascii="Arial" w:cs="Arial" w:eastAsia="Arial" w:hAnsi="Arial"/>
          <w:sz w:val="18"/>
          <w:szCs w:val="18"/>
          <w:color w:val="auto"/>
        </w:rPr>
        <w:t>targeting for our product candidates are not as significant as we estimate, we may not generate significant revenues from sales of such products, if approved.</w:t>
      </w:r>
    </w:p>
    <w:p>
      <w:pPr>
        <w:spacing w:after="0" w:line="170" w:lineRule="exact"/>
        <w:rPr>
          <w:sz w:val="20"/>
          <w:szCs w:val="20"/>
          <w:color w:val="auto"/>
        </w:rPr>
      </w:pPr>
    </w:p>
    <w:p>
      <w:pPr>
        <w:ind w:right="19" w:firstLine="324"/>
        <w:spacing w:after="0" w:line="297" w:lineRule="auto"/>
        <w:rPr>
          <w:sz w:val="20"/>
          <w:szCs w:val="20"/>
          <w:color w:val="auto"/>
        </w:rPr>
      </w:pPr>
      <w:r>
        <w:rPr>
          <w:rFonts w:ascii="Arial" w:cs="Arial" w:eastAsia="Arial" w:hAnsi="Arial"/>
          <w:sz w:val="16"/>
          <w:szCs w:val="16"/>
          <w:color w:val="auto"/>
        </w:rPr>
        <w:t>We plan to seek regulatory approval to commercialize our product candidates both in the United States and the European Union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58" w:lineRule="exact"/>
        <w:rPr>
          <w:sz w:val="20"/>
          <w:szCs w:val="20"/>
          <w:color w:val="auto"/>
        </w:rPr>
      </w:pPr>
    </w:p>
    <w:p>
      <w:pPr>
        <w:ind w:right="599"/>
        <w:spacing w:after="0" w:line="264"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in order for us to continue development of our product candidates. If we are unable to enroll patients in our clinical trials, our research and development efforts could be adversely affected.</w:t>
      </w:r>
    </w:p>
    <w:p>
      <w:pPr>
        <w:spacing w:after="0" w:line="181" w:lineRule="exact"/>
        <w:rPr>
          <w:sz w:val="20"/>
          <w:szCs w:val="20"/>
          <w:color w:val="auto"/>
        </w:rPr>
      </w:pPr>
    </w:p>
    <w:p>
      <w:pPr>
        <w:ind w:right="19" w:firstLine="324"/>
        <w:spacing w:after="0" w:line="285" w:lineRule="auto"/>
        <w:rPr>
          <w:sz w:val="20"/>
          <w:szCs w:val="20"/>
          <w:color w:val="auto"/>
        </w:rPr>
      </w:pPr>
      <w:r>
        <w:rPr>
          <w:rFonts w:ascii="Arial" w:cs="Arial" w:eastAsia="Arial" w:hAnsi="Arial"/>
          <w:sz w:val="16"/>
          <w:szCs w:val="16"/>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the proximity of patients to study sites, our ability to recruit clinical trial investigators with the appropriate competencies and experience, our ability to obtain and maintain patient consents, the risk that patients enrolled in clinical trials will drop out of the trials before completion, and competing clinical trials and clinicians’ and patients’ perceptions as to the potential advantages of the drug being studied in relation to other available therapies, including any new drugs that may be approved for the indications we are investigating. Many pharmaceutical companies are conducting clinical trials in patients with the disease indications that our potential drug products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clinical testing could result in increased costs to us and delay our ability to generate revenue.</w:t>
      </w:r>
    </w:p>
    <w:p>
      <w:pPr>
        <w:spacing w:after="0" w:line="225" w:lineRule="exact"/>
        <w:rPr>
          <w:sz w:val="20"/>
          <w:szCs w:val="20"/>
          <w:color w:val="auto"/>
        </w:rPr>
      </w:pPr>
    </w:p>
    <w:p>
      <w:pPr>
        <w:ind w:right="19" w:firstLine="324"/>
        <w:spacing w:after="0" w:line="302" w:lineRule="auto"/>
        <w:rPr>
          <w:sz w:val="20"/>
          <w:szCs w:val="20"/>
          <w:color w:val="auto"/>
        </w:rPr>
      </w:pPr>
      <w:r>
        <w:rPr>
          <w:rFonts w:ascii="Arial" w:cs="Arial" w:eastAsia="Arial" w:hAnsi="Arial"/>
          <w:sz w:val="16"/>
          <w:szCs w:val="16"/>
          <w:color w:val="auto"/>
        </w:rPr>
        <w:t>Although we are planning for certain clinical trials relating to BXCL501, BXCL701 and our other product candidates, there can be no assurance that the FDA will accept our proposed trial designs. 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54" w:lineRule="exact"/>
        <w:rPr>
          <w:sz w:val="20"/>
          <w:szCs w:val="20"/>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regulatory approval to commence a trial;</w:t>
      </w:r>
    </w:p>
    <w:p>
      <w:pPr>
        <w:spacing w:after="0" w:line="23" w:lineRule="exact"/>
        <w:rPr>
          <w:rFonts w:ascii="Arial" w:cs="Arial" w:eastAsia="Arial" w:hAnsi="Arial"/>
          <w:sz w:val="18"/>
          <w:szCs w:val="18"/>
          <w:color w:val="auto"/>
        </w:rPr>
      </w:pPr>
    </w:p>
    <w:p>
      <w:pPr>
        <w:jc w:val="both"/>
        <w:ind w:left="1300" w:right="259" w:hanging="325"/>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1"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institutional review board, or IRB, approval at each site;</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for use in clinical trials.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may also experience numerous unforeseen events during, or as a result of, clinical trials that could delay or prevent our ability to receive marketing approval or commercialize our product candidates, including:</w:t>
      </w:r>
    </w:p>
    <w:p>
      <w:pPr>
        <w:spacing w:after="0" w:line="170" w:lineRule="exact"/>
        <w:rPr>
          <w:sz w:val="20"/>
          <w:szCs w:val="20"/>
          <w:color w:val="auto"/>
        </w:rPr>
      </w:pPr>
    </w:p>
    <w:p>
      <w:pPr>
        <w:ind w:left="1300" w:right="200" w:hanging="325"/>
        <w:spacing w:after="0" w:line="258"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receive feedback from regulatory authorities that requires us to modify the design of our clinical trials;</w:t>
      </w:r>
    </w:p>
    <w:p>
      <w:pPr>
        <w:spacing w:after="0" w:line="1" w:lineRule="exact"/>
        <w:rPr>
          <w:rFonts w:ascii="Arial" w:cs="Arial" w:eastAsia="Arial" w:hAnsi="Arial"/>
          <w:sz w:val="18"/>
          <w:szCs w:val="18"/>
          <w:color w:val="auto"/>
        </w:rPr>
      </w:pPr>
    </w:p>
    <w:p>
      <w:pPr>
        <w:jc w:val="both"/>
        <w:ind w:left="1300" w:right="100" w:hanging="325"/>
        <w:spacing w:after="0" w:line="281"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clinical trials of our product candidates may produce negative or inconclusive results, and we may decide, or regulators may require us, to conduct additional clinical trials or abandon drug development programs;</w:t>
      </w:r>
    </w:p>
    <w:p>
      <w:pPr>
        <w:spacing w:after="0" w:line="1" w:lineRule="exact"/>
        <w:rPr>
          <w:rFonts w:ascii="Arial" w:cs="Arial" w:eastAsia="Arial" w:hAnsi="Arial"/>
          <w:sz w:val="16"/>
          <w:szCs w:val="16"/>
          <w:color w:val="auto"/>
        </w:rPr>
      </w:pPr>
    </w:p>
    <w:p>
      <w:pPr>
        <w:ind w:left="1300" w:right="60" w:hanging="325"/>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 w:lineRule="exact"/>
        <w:rPr>
          <w:rFonts w:ascii="Arial" w:cs="Arial" w:eastAsia="Arial" w:hAnsi="Arial"/>
          <w:sz w:val="18"/>
          <w:szCs w:val="18"/>
          <w:color w:val="auto"/>
        </w:rPr>
      </w:pPr>
    </w:p>
    <w:p>
      <w:pPr>
        <w:ind w:left="1300" w:right="480" w:hanging="325"/>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9" w:lineRule="exact"/>
        <w:rPr>
          <w:rFonts w:ascii="Arial" w:cs="Arial" w:eastAsia="Arial" w:hAnsi="Arial"/>
          <w:sz w:val="18"/>
          <w:szCs w:val="18"/>
          <w:color w:val="auto"/>
        </w:rPr>
      </w:pPr>
    </w:p>
    <w:p>
      <w:pPr>
        <w:ind w:left="1300" w:right="60" w:hanging="325"/>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ind w:left="1300" w:hanging="325"/>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 and</w:t>
      </w:r>
    </w:p>
    <w:p>
      <w:pPr>
        <w:ind w:left="1300" w:right="380" w:hanging="325"/>
        <w:spacing w:after="0" w:line="323"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future collaborators that conduct clinical trials may face any of the above issues, and may conduct clinical trials in ways they view as advantageous to themselves but that are suboptimal for us.</w:t>
      </w:r>
    </w:p>
    <w:p>
      <w:pPr>
        <w:spacing w:after="0" w:line="139"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For example, we believe that we will be able to proceed directly to Phase 3 registration trials of BXCL501 if we successfully complete our planned Phase 1b/2 open-label PoC and bridging BA/BE studies. However, the FDA may not agree with our development plans and could require us to perform additional clinical trials or preclinical studies, including additional Phase 1 and/or Phase 2 clinical trials, before permitting us to conduct our planned registration trials.</w:t>
      </w:r>
    </w:p>
    <w:p>
      <w:pPr>
        <w:spacing w:after="0" w:line="154"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47" w:lineRule="exact"/>
        <w:rPr>
          <w:sz w:val="20"/>
          <w:szCs w:val="20"/>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23" w:lineRule="exact"/>
        <w:rPr>
          <w:rFonts w:ascii="Arial" w:cs="Arial" w:eastAsia="Arial" w:hAnsi="Arial"/>
          <w:sz w:val="18"/>
          <w:szCs w:val="18"/>
          <w:color w:val="auto"/>
        </w:rPr>
      </w:pPr>
    </w:p>
    <w:p>
      <w:pPr>
        <w:ind w:left="1300" w:right="80" w:hanging="325"/>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or not obtain marketing approval at all;</w:t>
      </w: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9" w:lineRule="exact"/>
        <w:rPr>
          <w:rFonts w:ascii="Arial" w:cs="Arial" w:eastAsia="Arial" w:hAnsi="Arial"/>
          <w:sz w:val="18"/>
          <w:szCs w:val="18"/>
          <w:color w:val="auto"/>
        </w:rPr>
      </w:pPr>
    </w:p>
    <w:p>
      <w:pPr>
        <w:ind w:left="1300" w:right="580" w:hanging="325"/>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intended or desired;</w:t>
      </w:r>
    </w:p>
    <w:p>
      <w:pPr>
        <w:ind w:left="1300" w:right="220" w:hanging="325"/>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safety warnings, including boxed warnings;</w:t>
      </w: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211"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Furthermore, we intend to rely on CROs and clinical trial sites to ensure the proper and timely conduct of our clinical trials and we intend to have agreements governing their committed activities. They may not perform as required.</w:t>
      </w:r>
    </w:p>
    <w:p>
      <w:pPr>
        <w:spacing w:after="0" w:line="12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results of our clinical trials may not support the intended uses of any product candidates we may develop.</w:t>
      </w:r>
    </w:p>
    <w:p>
      <w:pPr>
        <w:spacing w:after="0" w:line="24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Even if our clinical trials are completed as planned, we cannot be certain that the results will support the intended use of our product candidates.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 is safe and effective in humans for its intended uses. This failure may cause us to conduct additional clinical trials or abandon a product candidate and may delay development of other product candidates. Any delay in, or termination of, our clinical trials will delay the submission of an NDA with the FDA and, ultimately, our ability to commercialize our product candidate and generate revenues.</w:t>
      </w:r>
    </w:p>
    <w:p>
      <w:pPr>
        <w:spacing w:after="0" w:line="188"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Clinical failure can occur at any stage of clinical development. Because the results of earlier clinical trials are not necessarily predictive of future results, any product candidate we advance through clinical trials may not have favorable results in later clinical trials or receive regulatory approval.</w:t>
      </w:r>
    </w:p>
    <w:p>
      <w:pPr>
        <w:spacing w:after="0" w:line="18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Clinical failure can occur at any stage of clinical development. 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Success in preclinical testing, early clinical trials and even later stage clinical trials, does not ensure that later clinical trials will generate the same results or otherwise provide adequate data to demonstrate the efficacy and safety of a product candidate. Frequently, product candidates that have shown promising results in early clinical trials have subsequently suffered significant setbacks in later clinical trials. In addition, the design of a clinical trial can determine whether its results will support approval of a product and flaws in the design of a clinical trial may not become apparent until the clinical trial is well advanced or completed. While members of our management team have experience in designing clinical trials, we have limited experience in conducting clinical trials for our current product candidates and we may be unable to design and execute a clinical trial which, if successfully completed, would support regulatory approval. Further, clinical trials of product candidates often reveal that it is not practical or feasible to continue development efforts. If our product candidates are found to be unsafe or show clinically meaningful efficacy, we will not be able to obtain regulatory approvals and our business would be harmed.</w:t>
      </w:r>
    </w:p>
    <w:p>
      <w:pPr>
        <w:spacing w:after="0" w:line="172"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8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BXCL701 and our other product candidates in patients is still in the early stages and it is possible that there may be side effects associated with their use. To date, based on information available in the package insert for Dex, patients treated with Dex have experienced drug-related side effects including hypotension, transient hypertension, bradycardia, dry mouth, acute respiratory distress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9"/>
        <w:spacing w:after="0" w:line="267" w:lineRule="auto"/>
        <w:rPr>
          <w:sz w:val="20"/>
          <w:szCs w:val="20"/>
          <w:color w:val="auto"/>
        </w:rPr>
      </w:pPr>
      <w:r>
        <w:rPr>
          <w:rFonts w:ascii="Arial" w:cs="Arial" w:eastAsia="Arial" w:hAnsi="Arial"/>
          <w:sz w:val="17"/>
          <w:szCs w:val="17"/>
          <w:color w:val="auto"/>
        </w:rPr>
        <w:t>syndrome, respiratory failure and agitation with hypotension, bradycardia and dry mouth considered serious adverse events. In addition, based on the investigator brochure for Talabostat, patients treated with Talabostat have experienced edema/peripheral swelling, hypotension, dizziness, hypovolemia fatigue, nausea, vomiting, pyrexia rigors and rash with edema and fatigue representing the most frequently observed serious adverse events. Results of our trials could reveal a high and unacceptable severity and prevalence of these or other side effects. In such an event,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91" w:lineRule="exact"/>
        <w:rPr>
          <w:sz w:val="20"/>
          <w:szCs w:val="20"/>
          <w:color w:val="auto"/>
        </w:rPr>
      </w:pPr>
    </w:p>
    <w:p>
      <w:pPr>
        <w:ind w:right="339" w:firstLine="324"/>
        <w:spacing w:after="0" w:line="264"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81" w:lineRule="exact"/>
        <w:rPr>
          <w:sz w:val="20"/>
          <w:szCs w:val="20"/>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be required to recall a product or change the way such a product is administered to patients;</w:t>
      </w:r>
    </w:p>
    <w:p>
      <w:pPr>
        <w:spacing w:after="0" w:line="20" w:lineRule="exact"/>
        <w:rPr>
          <w:rFonts w:ascii="Arial" w:cs="Arial" w:eastAsia="Arial" w:hAnsi="Arial"/>
          <w:sz w:val="17"/>
          <w:szCs w:val="17"/>
          <w:color w:val="auto"/>
        </w:rPr>
      </w:pPr>
    </w:p>
    <w:p>
      <w:pPr>
        <w:ind w:left="1300" w:right="359" w:hanging="325"/>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distribution of the particular product or the manufacturing processes for the product or any component thereof;</w:t>
      </w:r>
    </w:p>
    <w:p>
      <w:pPr>
        <w:ind w:left="1300" w:right="459" w:hanging="325"/>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contraindication;</w:t>
      </w:r>
    </w:p>
    <w:p>
      <w:pPr>
        <w:ind w:left="1300" w:right="639" w:hanging="325"/>
        <w:spacing w:after="0" w:line="265"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be required to implement Risk Evaluation and Mitigation Strategies, or REMS, or create a medication guide outlining the risks of such side effects for distribution to patients;</w:t>
      </w: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product may become less competitive;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ind w:right="99" w:firstLine="324"/>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or for particular indications of a product candidate, if approved, and could significantly harm our business, results of operations and prospects.</w:t>
      </w:r>
    </w:p>
    <w:p>
      <w:pPr>
        <w:spacing w:after="0" w:line="181" w:lineRule="exact"/>
        <w:rPr>
          <w:sz w:val="20"/>
          <w:szCs w:val="20"/>
          <w:color w:val="auto"/>
        </w:rPr>
      </w:pPr>
    </w:p>
    <w:p>
      <w:pPr>
        <w:ind w:right="199"/>
        <w:spacing w:after="0" w:line="308" w:lineRule="auto"/>
        <w:rPr>
          <w:sz w:val="20"/>
          <w:szCs w:val="20"/>
          <w:color w:val="auto"/>
        </w:rPr>
      </w:pPr>
      <w:r>
        <w:rPr>
          <w:rFonts w:ascii="Arial" w:cs="Arial" w:eastAsia="Arial" w:hAnsi="Arial"/>
          <w:sz w:val="17"/>
          <w:szCs w:val="17"/>
          <w:b w:val="1"/>
          <w:bCs w:val="1"/>
          <w:i w:val="1"/>
          <w:iCs w:val="1"/>
          <w:color w:val="auto"/>
        </w:rPr>
        <w:t>BioXcel’s approach to the discovery and development of product candidates based on EvolverAI is novel and unproven, and we do not know whether we will be able to develop any products of commercial value.</w:t>
      </w:r>
    </w:p>
    <w:p>
      <w:pPr>
        <w:spacing w:after="0" w:line="147" w:lineRule="exact"/>
        <w:rPr>
          <w:sz w:val="20"/>
          <w:szCs w:val="20"/>
          <w:color w:val="auto"/>
        </w:rPr>
      </w:pPr>
    </w:p>
    <w:p>
      <w:pPr>
        <w:ind w:right="39" w:firstLine="324"/>
        <w:spacing w:after="0" w:line="287" w:lineRule="auto"/>
        <w:rPr>
          <w:sz w:val="20"/>
          <w:szCs w:val="20"/>
          <w:color w:val="auto"/>
        </w:rPr>
      </w:pPr>
      <w:r>
        <w:rPr>
          <w:rFonts w:ascii="Arial" w:cs="Arial" w:eastAsia="Arial" w:hAnsi="Arial"/>
          <w:sz w:val="16"/>
          <w:szCs w:val="16"/>
          <w:color w:val="auto"/>
        </w:rPr>
        <w:t>We are leveraging EvolverAI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EvolverAI to create medicines for defined patient populations may potentially enable drug research and clinical development that is more efficient than conventional drug research and development, our approach is both novel and unproven. Because our approach is both novel and unproven, the cost and time needed to develop our product candidates is difficult to predict, and our efforts may not result in the discovery and development of commercially viable medicines. We may also be incorrect about the effects of our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not attract collaborators or develop new drugs as quickly or cost effectively as expected and therefore we may not be able to commercialize our approach as originally expected.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EvolverAI may fail to help us discover and develop additional potential product candidates.</w:t>
      </w:r>
    </w:p>
    <w:p>
      <w:pPr>
        <w:spacing w:after="0" w:line="22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Any drug discovery that we are conducting using EvolverAI may not be successful in identifying compounds that have commercial value or therapeutic utility. EvolverAI may initially show promise in identifying potential product candidates, yet fail to yield viable product candidates for clinical development or commercialization for a number of reasons, including:</w:t>
      </w:r>
    </w:p>
    <w:p>
      <w:pPr>
        <w:spacing w:after="0" w:line="147" w:lineRule="exact"/>
        <w:rPr>
          <w:sz w:val="20"/>
          <w:szCs w:val="20"/>
          <w:color w:val="auto"/>
        </w:rPr>
      </w:pPr>
    </w:p>
    <w:p>
      <w:pPr>
        <w:ind w:left="1300" w:right="160" w:hanging="325"/>
        <w:spacing w:after="0" w:line="285"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2" w:lineRule="exact"/>
        <w:rPr>
          <w:rFonts w:ascii="Arial" w:cs="Arial" w:eastAsia="Arial" w:hAnsi="Arial"/>
          <w:sz w:val="16"/>
          <w:szCs w:val="16"/>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compounds found through EvolverAI may not demonstrate efficacy, safety or tolerability;</w:t>
      </w:r>
    </w:p>
    <w:p>
      <w:pPr>
        <w:spacing w:after="0" w:line="9" w:lineRule="exact"/>
        <w:rPr>
          <w:rFonts w:ascii="Arial" w:cs="Arial" w:eastAsia="Arial" w:hAnsi="Arial"/>
          <w:sz w:val="18"/>
          <w:szCs w:val="18"/>
          <w:color w:val="auto"/>
        </w:rPr>
      </w:pPr>
    </w:p>
    <w:p>
      <w:pPr>
        <w:ind w:left="1300" w:right="580" w:hanging="325"/>
        <w:spacing w:after="0" w:line="250"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receive marketing approval and achieve market acceptance;</w:t>
      </w:r>
    </w:p>
    <w:p>
      <w:pPr>
        <w:spacing w:after="0" w:line="1" w:lineRule="exact"/>
        <w:rPr>
          <w:rFonts w:ascii="Arial" w:cs="Arial" w:eastAsia="Arial" w:hAnsi="Arial"/>
          <w:sz w:val="18"/>
          <w:szCs w:val="18"/>
          <w:color w:val="auto"/>
        </w:rPr>
      </w:pPr>
    </w:p>
    <w:p>
      <w:pPr>
        <w:ind w:left="1300" w:right="40" w:hanging="325"/>
        <w:spacing w:after="0" w:line="250"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competitors may develop alternative therapies that render our potential product candidates non-competitive or less attractive; or</w:t>
      </w: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at an acceptable cost.</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product candidates will be submitted to the FDA for approval under Section 505(b)(2) of the Federal Food, Drug and Cosmetic Act, or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Drug Price Competition and Patent Term Restoration Act of 1984, also known as the Hatch-Waxman Act, apply. In accordance with the Hatch-Waxman Act, such NDAs may be required to include certifications, known as paragraph IV certifications, that certify that any patents listed in the Patent and Exclusivity Information Addendum of the FDA’s publication, Approved Drug Products with Therapeutic Equivalence Evaluations, commonly known as the Orange Book, with respect to any product referenced in the 505(b)(2) application, are invalid, unenforceable or will not be infringed by the manufacture, use or sale of the product that is the subject of the 505(b)(2) NDA.</w:t>
      </w:r>
    </w:p>
    <w:p>
      <w:pPr>
        <w:spacing w:after="0" w:line="18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30-month stay of the FDA’s ability to approve the 505(b)(2) NDA, unless patent litigation is resolved in the favor of the paragraph IV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or NCE,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
        <w:spacing w:after="0" w:line="308" w:lineRule="auto"/>
        <w:rPr>
          <w:sz w:val="20"/>
          <w:szCs w:val="20"/>
          <w:color w:val="auto"/>
        </w:rPr>
      </w:pPr>
      <w:r>
        <w:rPr>
          <w:rFonts w:ascii="Arial" w:cs="Arial" w:eastAsia="Arial" w:hAnsi="Arial"/>
          <w:sz w:val="17"/>
          <w:szCs w:val="17"/>
          <w:color w:val="auto"/>
        </w:rPr>
        <w:t>the drug product for the proposed use and could cause delay and be considerably more expensive and time consuming. These factors, among others, may limit our ability to successfully commercialize our product candidates.</w:t>
      </w:r>
    </w:p>
    <w:p>
      <w:pPr>
        <w:spacing w:after="0" w:line="147"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70" w:lineRule="exact"/>
        <w:rPr>
          <w:sz w:val="20"/>
          <w:szCs w:val="20"/>
          <w:color w:val="auto"/>
        </w:rPr>
      </w:pPr>
    </w:p>
    <w:p>
      <w:pPr>
        <w:ind w:right="19" w:firstLine="324"/>
        <w:spacing w:after="0" w:line="286" w:lineRule="auto"/>
        <w:rPr>
          <w:sz w:val="20"/>
          <w:szCs w:val="20"/>
          <w:color w:val="auto"/>
        </w:rPr>
      </w:pPr>
      <w:r>
        <w:rPr>
          <w:rFonts w:ascii="Arial" w:cs="Arial" w:eastAsia="Arial" w:hAnsi="Arial"/>
          <w:sz w:val="16"/>
          <w:szCs w:val="16"/>
          <w:color w:val="auto"/>
        </w:rPr>
        <w:t>If we are found to have improperly promoted off-label uses of our products or product candidates, if approved, we may become subject to significant liability. Such enforcement has become more common in the industry. The FDA and other regulatory agencies strictly regulate the promotional claims that may be made about prescription drug products, such as our product candidates, if approved. In particular, a product may not be promoted for uses that are not approved by the FDA or such other regulatory agencies as reflected in the product’s approved labeling. If we receive marketing approval for our product candidates for our proposed indications, physicians may nevertheless use our products for their patients in a manner that is inconsistent with the approved label, if the physicians personally believe in their professional medical judgment it could be used in such manner. However, if we are found to have promoted our products for any off-label uses, the federal government could levy civil, criminal and/or administrative penalties, and seek fines against us. The FDA or other regulatory authorities could also request that we enter into a consent decree or a corporate integrity agreement, or seek a permanent injunction against us under which specified promotional conduct is monitored, changed or curtailed. If we cannot successfully manage the promotion of our product candidates, if approved, we could become subject to significant liability, which would materially adversely affect our business and financial condition.</w:t>
      </w:r>
    </w:p>
    <w:p>
      <w:pPr>
        <w:spacing w:after="0" w:line="175" w:lineRule="exact"/>
        <w:rPr>
          <w:sz w:val="20"/>
          <w:szCs w:val="20"/>
          <w:color w:val="auto"/>
        </w:rPr>
      </w:pPr>
    </w:p>
    <w:p>
      <w:pPr>
        <w:ind w:right="319"/>
        <w:spacing w:after="0" w:line="264" w:lineRule="auto"/>
        <w:rPr>
          <w:sz w:val="20"/>
          <w:szCs w:val="20"/>
          <w:color w:val="auto"/>
        </w:rPr>
      </w:pPr>
      <w:r>
        <w:rPr>
          <w:rFonts w:ascii="Arial" w:cs="Arial" w:eastAsia="Arial" w:hAnsi="Arial"/>
          <w:sz w:val="18"/>
          <w:szCs w:val="18"/>
          <w:b w:val="1"/>
          <w:bCs w:val="1"/>
          <w:i w:val="1"/>
          <w:iCs w:val="1"/>
          <w:color w:val="auto"/>
        </w:rPr>
        <w:t>We may seek Fast Track designation for one or more of our product candidates, but we might not receive such designation, and even if we do, such designation may not actually lead to a faster development or regulatory review or approval process.</w:t>
      </w:r>
    </w:p>
    <w:p>
      <w:pPr>
        <w:spacing w:after="0" w:line="181" w:lineRule="exact"/>
        <w:rPr>
          <w:sz w:val="20"/>
          <w:szCs w:val="20"/>
          <w:color w:val="auto"/>
        </w:rPr>
      </w:pPr>
    </w:p>
    <w:p>
      <w:pPr>
        <w:ind w:right="39" w:firstLine="324"/>
        <w:spacing w:after="0" w:line="290" w:lineRule="auto"/>
        <w:rPr>
          <w:sz w:val="20"/>
          <w:szCs w:val="20"/>
          <w:color w:val="auto"/>
        </w:rPr>
      </w:pPr>
      <w:r>
        <w:rPr>
          <w:rFonts w:ascii="Arial" w:cs="Arial" w:eastAsia="Arial" w:hAnsi="Arial"/>
          <w:sz w:val="16"/>
          <w:szCs w:val="16"/>
          <w:color w:val="auto"/>
        </w:rPr>
        <w:t>If a product is intended for the treatment of a serious condition and nonclinical or clinical data demonstrate the potential to address unmet medical need for this condition, a product sponsor may apply for FDA Fast Track designation. If we seek Fast Track designation for a product candidate, we may not receive it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66" w:lineRule="exact"/>
        <w:rPr>
          <w:sz w:val="20"/>
          <w:szCs w:val="20"/>
          <w:color w:val="auto"/>
        </w:rPr>
      </w:pPr>
    </w:p>
    <w:p>
      <w:pPr>
        <w:ind w:right="99"/>
        <w:spacing w:after="0" w:line="312" w:lineRule="auto"/>
        <w:rPr>
          <w:sz w:val="20"/>
          <w:szCs w:val="20"/>
          <w:color w:val="auto"/>
        </w:rPr>
      </w:pPr>
      <w:r>
        <w:rPr>
          <w:rFonts w:ascii="Arial" w:cs="Arial" w:eastAsia="Arial" w:hAnsi="Arial"/>
          <w:sz w:val="16"/>
          <w:szCs w:val="16"/>
          <w:b w:val="1"/>
          <w:bCs w:val="1"/>
          <w:i w:val="1"/>
          <w:iCs w:val="1"/>
          <w:color w:val="auto"/>
        </w:rPr>
        <w:t>Even if our product candidates receive regulatory approval,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47" w:lineRule="exact"/>
        <w:rPr>
          <w:sz w:val="20"/>
          <w:szCs w:val="20"/>
          <w:color w:val="auto"/>
        </w:rPr>
      </w:pPr>
    </w:p>
    <w:p>
      <w:pPr>
        <w:ind w:right="19" w:firstLine="324"/>
        <w:spacing w:after="0" w:line="286"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our product candidates will remain subject to ongoing requirements governing the manufacturing process, labeling, packaging, storage, advertising, distribution, import, export, promotion, recordkeeping and adverse event reporting. These requirements include submissions of safety and other post-marketing information and reports, registration, as well as continued compliance with good clinical practice, or GCP, requirements for any clinical trials that we conduct post-approval. In addition, manufacturers of drug products and their facilities are subject to continual review and periodic inspections by the FDA and other regulatory authorities for compliance with Good Manufacturing Practices, or GMP, regulations. If we or a regulatory agency discovers previously unknown problems with a product, such as adverse events of unanticipated severity or frequency, or problems with the facility where the product is manufactured, a regulatory agency may impose restrictions on that product or the manufacturer, including requiring voluntary or mandatory recalls, additional restrictions on manufacturing or withdrawal</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of the product from the market or suspension of manufacturing. If we, our product candidates or the manufacturing facilities for our product candidates fail to comply with applicable regulatory requirements, a regulatory agency may:</w:t>
      </w:r>
    </w:p>
    <w:p>
      <w:pPr>
        <w:spacing w:after="0" w:line="147" w:lineRule="exact"/>
        <w:rPr>
          <w:sz w:val="20"/>
          <w:szCs w:val="20"/>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seize or detain products or request us to initiate a product recall; or</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pursue and obtain an injunction.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by us to comply with existing regulations could harm our reputation and operating results.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will be subject to extensive regulation by U.S. federal and state and foreign governments in each of the markets where we intend to sell BXCL501 and BXCL701 if and after they are approved. For example, we will have to adhere to all regulatory requirements including the FDA’s current GCPs, Good Laboratory Practice, or GLP, and GMP requirements. If we fail to comply with applicable regulations, including FDA pre-or post- approval cGMP requirements, then the FDA or other foreign regulatory authorities could sanction us. Even if a drug is FDA-approved, regulatory authorities may impose significant restrictions on a product’s indicated uses or marketing or impose ongoing requirements for potentially costly post-marketing studies.</w:t>
      </w:r>
    </w:p>
    <w:p>
      <w:pPr>
        <w:spacing w:after="0" w:line="18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Any action against us for violation of these laws, even if we successfully defend against it, could cause us to incur significant legal expenses, divert our management’s attention from the operation of our business and damage our reputation. We expend significant resources on compliance efforts and such expenses are unpredictable and might adversely affect our results.</w:t>
      </w:r>
    </w:p>
    <w:p>
      <w:pPr>
        <w:spacing w:after="0" w:line="18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For example, in December 2016, the 21st Century Cures Act, or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67"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In addition, we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oversight activities such as implementing statutes through rulemaking, issuance of guidance, and review and approval of marketing applications. Notably, on January 30, 2017, President Trump issued an Executive Order directing all executive agencies, including the FDA,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included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OMB on February 2, 2017, the administration indicates that the “two-for-one” provisions may apply not only to agency regulations, but also to significant agency guidance documents, and on September 8, 2017, the FDA published notices in the Federal Register soliciting broad public comment to identify regulations that could be modified in compliance with these Executive Orders. It is difficult to predict how these requirements will be implemented, and the extent to which they will impact the FDA’s ability to exercise its regulatory authority. If these executive actions impose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restrictions on the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extensive regulations outside the United States and may not obtain marketing approvals for products in Europe and other jurisdictions.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addition to regulations in the United States, should we or our collaborators pursue marketing approvals for BXCL501, BXCL701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8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expect to pursue marketing approvals for BXCL501, BXCL701 and our other product candidates in Europe and other jurisdictions outside the United States with collaborative partners. The time and process required to obtain regulatory approvals and reimbursement in Europe and other jurisdictions may be different from those in the United States regulatory and approval in one jurisdiction does not ensure approvals in any other jurisdiction; however, negative regulatory decisions in any jurisdiction may have a negative impact on the regulatory process in other jurisdictions.</w:t>
      </w:r>
    </w:p>
    <w:p>
      <w:pPr>
        <w:spacing w:after="0" w:line="17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Additionally, on June 23, 2016, the electorate in the United Kingdom voted in favor of leaving the European Union, commonly referred to as Brexit. While Article 50 of the Lisbon Treaty was invoked by the United Kingdom on March 29, 2017, substantial uncertainty remains regarding the timing and outcome of the negotiations, the terms of any withdrawal, as well as the scope and duration of a transitionary period, if any, following the expiration of the Article 50 period on October 31, 2019 . Since a significant proportion of the regulatory framework in the United Kingdom is derived from European Union directives and regulations, the referendum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If we are found in violation of federal or state “fraud and abuse” laws, we may be required to pay a penalty and/or be suspended from participation in federal or state health care programs, which may adversely affect our business, financial condition and results of operations.</w:t>
      </w:r>
    </w:p>
    <w:p>
      <w:pPr>
        <w:spacing w:after="0" w:line="181"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In the United States, we will be subject to various federal and state health care “fraud and abuse” laws, including anti-kickback laws, false claims laws and other laws intended to reduce fraud and abuse in federal and state health care programs, which could affect us, particularly upon successful commercialization of our products in the United States. 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Under federal government regulations, some arrangements, known as safe harbors, are deemed not to violate the federal Anti-Kickback Statute. Although we seek to structure our business arrangements in compliance with all applicable requirements, these laws are broadly written, and it is often difficult to determine precisely how the law will be applied in specific circumstances. Accordingly, it is possible that our practices may be challenged under the federal Anti-Kickback Statute. 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the submission of false claims to governmental health care programs. Under the Health Insurance Portability and Accountability Act of 1996, we are prohibited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Violations of fraud and abuse laws may be punishable by criminal and/or civil sanctions, including fines and/or exclusion or suspension from federal and state health care programs such as Medicare and Medicaid and debarment from contracting with the U.S. government. In addition, private individuals have the ability to bring actions on behalf of the government under the federal False Claims Act as well as under the false claims laws of several states.</w:t>
      </w:r>
    </w:p>
    <w:p>
      <w:pPr>
        <w:spacing w:after="0" w:line="16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Many states have adopted laws similar to the federal anti-kickback statute, some of which apply to the referral of patients for health care services reimbursed by any source, not just governmental payers. Neither the government nor the courts have provided definitive guidance on the application of fraud and abuse laws to our business. Law enforcement authorities are increasingly focused on enforcing these laws, and if we are found in violation of one of these laws, we could be required to pay a penalty and could be suspended or excluded from participation in federal or state health care programs, and our business, results of operations and financial condition may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sufficient clinical trial liability insurance.</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Our inability to obtain and retain sufficient clinical trial liability insurance at an acceptable cost to protect against potential liability claims could prevent or inhibit our ability to conduct clinical trials for product candidates we develop. We currently have clinical trial liability insurance for our IV Dex trials. However, we do not have clinical trial liability insurance for our BXCL 701 program.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is in excess of the limits of our insurance coverage. We expect we will supplement our clinical trial coverage with product liability coverage in connection with the commercial launch of BXCL501, BXCL701 or other product candidates we develop in the future; however,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our products do not gain market acceptance, our business will suffer because we might not be able to fund future operations.</w:t>
      </w:r>
    </w:p>
    <w:p>
      <w:pPr>
        <w:spacing w:after="0" w:line="17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 number of factors may affect the market acceptance of our products or any other products we develop or acquire, including, among others:</w:t>
      </w:r>
    </w:p>
    <w:p>
      <w:pPr>
        <w:spacing w:after="0" w:line="170" w:lineRule="exact"/>
        <w:rPr>
          <w:sz w:val="20"/>
          <w:szCs w:val="20"/>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of our products relative to other products for the same or similar treatments;</w:t>
      </w:r>
    </w:p>
    <w:p>
      <w:pPr>
        <w:spacing w:after="0" w:line="23" w:lineRule="exact"/>
        <w:rPr>
          <w:rFonts w:ascii="Arial" w:cs="Arial" w:eastAsia="Arial" w:hAnsi="Arial"/>
          <w:sz w:val="18"/>
          <w:szCs w:val="18"/>
          <w:color w:val="auto"/>
        </w:rPr>
      </w:pPr>
    </w:p>
    <w:p>
      <w:pPr>
        <w:ind w:left="1300" w:right="40" w:hanging="325"/>
        <w:spacing w:after="0" w:line="250"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perception by patients, physicians and other members of the health care community of the effectiveness and safety of our products for their indicated applications and treatments;</w:t>
      </w: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fund our sales and marketing efforts;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327" w:lineRule="auto"/>
        <w:rPr>
          <w:sz w:val="20"/>
          <w:szCs w:val="20"/>
          <w:color w:val="auto"/>
        </w:rPr>
      </w:pPr>
      <w:r>
        <w:rPr>
          <w:rFonts w:ascii="Arial" w:cs="Arial" w:eastAsia="Arial" w:hAnsi="Arial"/>
          <w:sz w:val="15"/>
          <w:szCs w:val="15"/>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4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intend to seek FDA approval through the 505(b)(2) regulatory pathway for certain of our product candidates, including BXCL501. The Hatch-Waxman Act, added Section 505(b)(2) to the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85"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We expect to rely heavily on orphan drug status to commercialize some of our product candidates, if approved, but any orphan drug designations we receive may not confer marketing exclusivity or other expected commercial benefits.</w:t>
      </w:r>
    </w:p>
    <w:p>
      <w:pPr>
        <w:spacing w:after="0" w:line="10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expect to rely heavily on orphan drug exclusivity for our product candidates. 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 Although we have received orphan designation for BXCL701 for the treatment of pancreatic cancer, BXCL701 has not yet filed for orphan designation for the treatment of tNEPC.</w:t>
      </w:r>
    </w:p>
    <w:p>
      <w:pPr>
        <w:spacing w:after="0" w:line="178"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indication before we do. If that were to happen, our applications for that indication may not be approved until the competing company’s period of exclusivity expires.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drug any advantage in the regulatory review or approval process, nor does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it prevent competitors from obtaining approval of the same product candidate as ours for indications other than those in which we have been granted orphan drug designation.</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may seek a breakthrough therapy designation for BXCL701 or one or more of our other product candidates, we might not receive such designation, and even if we do, such designation may not lead to a faster development or regulatory review or approval process.</w:t>
      </w:r>
    </w:p>
    <w:p>
      <w:pPr>
        <w:spacing w:after="0" w:line="181"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may seek a breakthrough therapy designation for BXCL701 or one or more of our other product candidates. A breakthrough therapy is defined as a drug that is intended, alone or in combination with one or more other drugs, to treat a serious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if supported by clinical data at the time the NDA is submitted to the FDA.</w:t>
      </w:r>
    </w:p>
    <w:p>
      <w:pPr>
        <w:spacing w:after="0" w:line="19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may seek priority review designation for BXCL701 or one or more of our other product candidates, but we might not receive such designation, and even if we do, such designation may not lead to a faster development or regulatory review or approval process.</w:t>
      </w:r>
    </w:p>
    <w:p>
      <w:pPr>
        <w:spacing w:after="0" w:line="18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6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we are unable to develop satisfactory sales and marketing capabilities, we may not succeed in commercializing BXCL501, BXCL701 or any other product candidate.</w:t>
      </w:r>
    </w:p>
    <w:p>
      <w:pPr>
        <w:spacing w:after="0" w:line="170"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have no experience in marketing and selling drug products. We have not entered into arrangements for the sale and marketing of BXCL501, BXCL701 or any other product candidate. Typically, pharmaceutical companies would employ groups of sales representatives and associated sales and marketing staff numbering in the hundreds to thousands of individuals to call on this large number of physicians and hospitals. We may seek to collaborate with a third party to market our drugs or may seek to market and sell our drugs by ourselves. If we seek to collaborate with a third party, we cannot be sure that a collaborative agreement can be reached on terms acceptable to us. If we seek to market and sell our drugs directly, we will need to hire additional personnel skilled in marketing and sales. We cannot be sure that we will be able to acquire, or establish third party relationships to provide, any or all of these marketing and sales capabilities. The establishment of a direct sales force or a contract sales force or a combination direct and contract sales force to market our products will be expensive and time-consuming and could delay any product launch. Further, we can give no</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assurances that we may be able to maintain a direct and/or contract sales force for any period of time or that our sales efforts will be sufficient to grow our revenues or that our sales efforts will ever lead to profits.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and rapidly changing industry.</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United States, the European Union and other jurisdictions.</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89"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47"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65"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 candidate we commercialize, if any. The inability to compete with existing or subsequently introduced drugs would harm our business, financial condition and results of operations.</w:t>
      </w:r>
    </w:p>
    <w:p>
      <w:pPr>
        <w:spacing w:after="0" w:line="18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Even if we obtain regulatory approvals to commercialize BXCL501, BXCL701 or our other product candidates, our product candidates may not be accepted by physicians or the medical community in general.</w:t>
      </w:r>
    </w:p>
    <w:p>
      <w:pPr>
        <w:spacing w:after="0" w:line="124"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There can be no assurance that BXCL501, BXCL701 and our other product candidates or any other product candidate successfully developed by us, independently or with partners, will be accepted by physicians, hospitals and other health care facilities. BXCL501, BXCL701 and any future product candidates we develop will compete with a number of products manufactured and marketed by major pharmaceutical and biotech companies. The degree of market acceptance of any drugs we develop depends on a number of factors, including:</w:t>
      </w:r>
    </w:p>
    <w:p>
      <w:pPr>
        <w:spacing w:after="0" w:line="173" w:lineRule="exact"/>
        <w:rPr>
          <w:sz w:val="20"/>
          <w:szCs w:val="20"/>
          <w:color w:val="auto"/>
        </w:rPr>
      </w:pPr>
    </w:p>
    <w:p>
      <w:pPr>
        <w:ind w:left="1300" w:right="580" w:hanging="325"/>
        <w:spacing w:after="0" w:line="258"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demonstration of the clinical efficacy and safety of BXCL501, BXCL701 and our other product candidates;</w:t>
      </w:r>
    </w:p>
    <w:p>
      <w:pPr>
        <w:spacing w:after="0" w:line="1" w:lineRule="exact"/>
        <w:rPr>
          <w:rFonts w:ascii="Arial" w:cs="Arial" w:eastAsia="Arial" w:hAnsi="Arial"/>
          <w:sz w:val="18"/>
          <w:szCs w:val="18"/>
          <w:color w:val="auto"/>
        </w:rPr>
      </w:pPr>
    </w:p>
    <w:p>
      <w:pPr>
        <w:ind w:left="1300" w:right="720" w:hanging="325"/>
        <w:spacing w:after="0" w:line="250"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timing of market approval and commercial launch of BXCL501, BXCL701 and our other product candidates;</w:t>
      </w:r>
    </w:p>
    <w:p>
      <w:pPr>
        <w:ind w:left="1300" w:hanging="325"/>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clinical indication(s) for which BXCL501, BXCL701 and our other product candidates are approved;</w:t>
      </w:r>
    </w:p>
    <w:p>
      <w:pPr>
        <w:spacing w:after="0" w:line="20" w:lineRule="exact"/>
        <w:rPr>
          <w:rFonts w:ascii="Arial" w:cs="Arial" w:eastAsia="Arial" w:hAnsi="Arial"/>
          <w:sz w:val="17"/>
          <w:szCs w:val="17"/>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label and package insert requirements;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advantages and disadvantages of our product candidates compared to existing therapies;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continued interest in and growth of the market for anti-cancer or anti-agitation drugs;</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strength of sales, marketing, and distribution support;</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pricing in absolute terms and relative to alternative treatments;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changes in health care laws, regulations, and medical policies; and</w:t>
      </w:r>
    </w:p>
    <w:p>
      <w:pPr>
        <w:spacing w:after="0" w:line="9" w:lineRule="exact"/>
        <w:rPr>
          <w:rFonts w:ascii="Arial" w:cs="Arial" w:eastAsia="Arial" w:hAnsi="Arial"/>
          <w:sz w:val="18"/>
          <w:szCs w:val="18"/>
          <w:color w:val="auto"/>
        </w:rPr>
      </w:pPr>
    </w:p>
    <w:p>
      <w:pPr>
        <w:ind w:left="1300" w:right="960" w:hanging="325"/>
        <w:spacing w:after="0" w:line="261"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of reimbursement codes and coverage in select jurisdictions, and future changes to reimbursement policies of government and third-party payors.</w:t>
      </w:r>
    </w:p>
    <w:p>
      <w:pPr>
        <w:spacing w:after="0" w:line="18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 for which we obtain regulatory approval. In the United States and markets in other countries,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product candidates’ commercial success.</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U.S. government and other governments have shown significant interest in pursuing healthcare reform. Any government-adopted reform measures could adversely impact the pricing of healthcare products and services in the United States or internationally and the amount of reimbursement available from governmental agencies or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6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New laws, regulations and judicial decisions, or new interpretations of existing laws, regulations and decisions, that relate to healthcare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United States, new healthcare legislation or fiscal challenges faced by government health administration authorities. Specifically, in both the United States and some foreign jurisdictions, there have been a number of legislative and regulatory proposals to change the health care system in ways that could affect our ability to sell our products profitably.</w:t>
      </w:r>
    </w:p>
    <w:p>
      <w:pPr>
        <w:spacing w:after="0" w:line="179"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For example, the Patient Protection and Affordable Care Act, as amended by the Health Care and Education Reconciliation Act, or the PPACA has substantially changed the way healthcare is financed by both government health plans and private insurers, and significantly impacts the pharmaceutical industry. The PPACA contains a number of provisions that are expected to impact our business and operations in ways that may negatively affect our potential revenues in the future. For example, the PPACA imposes a non-deductible excise tax on pharmaceutical manufacturers or importers that sell branded prescription drugs to government programs which we believe will increase the cost of our products. In addition, as part of the PPACA’s provisions closing a funding gap that currently exists in the Medicare Part D prescription drug program, we will be required to provide a discount on branded prescription drugs equal to 50% of the government-negotiated price, for drugs provided to certain beneficiaries who fall within the donut hole. Similarly, PPACA increases the level of Medicaid rebates payable by manufacturers of brand-name drugs from 15.1% to 23.1% and requires collection of rebates for drugs paid by Medicaid managed care organizations. The PPACA also includes significant changes to the 340B drug discount program including expansion of the list of eligible covered entities that may purchase drugs under the program. At the same time, the expansion in eligibility for health insurance benefits created under PPACA is expected to increase the number of patients with insurance coverage who may receive our products. While it is too early to predict all the specific effects the PPACA or any future healthcare reform legislation will have on our business, they could have a material adverse effect on our business and financial condition.</w:t>
      </w:r>
    </w:p>
    <w:p>
      <w:pPr>
        <w:spacing w:after="0" w:line="181"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color w:val="auto"/>
        </w:rPr>
        <w:t>Congress periodically adopts legislation like the PPACA and the Medicare Prescription Drug, Improvement and Modernization Act of 2003, that modifies Medicare reimbursement and coverage policies pertaining to prescription drugs. Implementation of these laws is subject to ongoing revision through regulatory and sub regulatory policies. Congress also may consider additional changes to Medicare policies, potentially including Medicare prescription drug policies, as part of ongoing budget negotiations. While the scope of any such legislation is uncertain at this time, there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can be no assurances that future legislation or regulations will not decrease the coverage and price that we may receive for our proposed products. Other third-party payors are increasingly challenging the prices charged for medical products and services. It will be time consuming and expensive for us to go through the process of seeking coverage and reimbursement from Medicare and private payors. Our proposed products may not be considered cost-effective, and coverage and reimbursement may not be available or sufficient to allow us to sell our proposed products on a profitable basis. Further federal and state proposals and health care reforms are likely which could limit the prices that can be charged for the product candidates that we develop and may further limit our commercial opportunities. Our results of operations could be materially adversely affected by proposed healthcare reforms, by the Medicare prescription drug coverage legislation, by the possible effect of such current or future legislation on amounts that private insurers will pay and by other health care reforms that may be enacted or adopted in the future.</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September 2007, the Food and Drug Administration Amendments Act of 2007 was enacted, giving the FDA enhanced post-marketing authority, including the authority to require post-marketing studies and clinical trials, labeling changes based on new safety information, and compliance with risk evaluations and mitigation strategies approved by the FDA. The FDA’s exercise of this authority could result in delays or increased costs during product development, clinical trials and regulatory review, increased costs to assure compliance with post-approval regulatory requirements, and potential restrictions on the sale and/or distribution of approved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 with BioXcel</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BioXcel controls the direction of our business, and the concentrated ownership of our common stock will prevent you and other stockholders from influencing significant decisions.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 of June 30, 2019, BioXcel owned approximately 60.4% of the economic interest and voting power of our outstanding common stock. As long as BioXcel beneficially controls a majority of the voting power of our outstanding common stock, it will generally be able to determine the outcome of all corporate actions requiring stockholder approval, including the election and removal of directors. Even if BioXcel were to control less than a majority of the voting power of our outstanding common stock, it may influence the outcome of such corporate actions so long as it owns a significant portion of our common stock. If BioXcel continues to hold its shares of our common stock, it could remain our controlling stockholder for an extended period of time or indefinitely.</w:t>
      </w:r>
    </w:p>
    <w:p>
      <w:pPr>
        <w:spacing w:after="0" w:line="18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Approval of commercial terms between us and BioXcel does not preclude the possibility of stockholder litigation, including but not limited to derivative litigation nominally against BioXcel and against its directors and officers and also against us and our directors and officers.</w:t>
      </w:r>
    </w:p>
    <w:p>
      <w:pPr>
        <w:spacing w:after="0" w:line="18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commercial terms of the Amended Services Agreement dated November 7, 2017, the grid note dated June 30, 2017, or Grid Note, and the asset contribution agreement, or the Contribution Agreement, that we have entered into with BioXcel have not been negotiated on behalf of BioXcel by persons consisting solely of disinterested BioXcel directors. Notwithstanding the foregoing, we have no basis for believing that the terms of these agreements will not be in the best interests of both BioXcel and its stockholders and also us and our stockholders.</w:t>
      </w:r>
    </w:p>
    <w:p>
      <w:pPr>
        <w:spacing w:after="0" w:line="17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Nonetheless, no assurance can be given that any stockholder of BioXcel will not claim in a lawsuit that such terms in fact are not in the best interests of BioXcel and its stockholders, that the directors and officers of BioXcel breached their fiduciary duties in connection with such agreements and that any disclosures by BioXcel to its stockholders regarding these agreements and the relationship between BioXcel and us did not satisfy applicable requirements. In any such instance, we and our directors and officers may also be named as defendants and we would have to defend ourselves and our directors and officers. While we will seek indemnification from BioXcel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depend on BioXcel to provide us with certain services for our business.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Certain administrative services required by us for the operation of our business have historically been provided by BioXcel, including services related to insurance and risk management, accounting and human resources. Under the Services Agreement, BioXcel has provided us with various services and will continue to do so until we are able to build our own capabilities in the transition areas. We believe it has been efficient for BioXcel to provide these services for us to facilitate the efficient operation of our business as we transition to becoming an independent, public company. At our election, or if BioXcel does not or is unable to perform its obligations under the Services Agreement, we will be required to provide these services ourselves or to obtain substitute arrangements with other third parties. Virtually all of these administrative services have transitioned to our control. However we may be unable to continue to provide these services because of financial or other constraints or we may be unable to implement substitute arrangements on a timely basis on terms that are favorable to us, or at all.</w:t>
      </w:r>
    </w:p>
    <w:p>
      <w:pPr>
        <w:spacing w:after="0" w:line="17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exercise no control over the activities of BioXcel other than the contractual rights we have pursuant to our Services Agreement and Contribution Agreement. Because of our historical relationship with our Parent, our reputation is also tied to BioXcel. We may be subject to reputational harm, or our relationships with existing and potential clients, third-party research organizations, consultants and other business partners could be harmed if BioXcel or any of its affiliates, previously, or in the future, among other things, engages in poor business practices, restructures or files for bankruptcy, becomes subject to litigation or otherwise damages its reputation or business prospects. Any of these events might in turn adversely affect our reputation, revenues and/or business prospects, and may also adversely affect our access to EvolverAI and BioXcel’s collaborative services.</w:t>
      </w:r>
    </w:p>
    <w:p>
      <w:pPr>
        <w:spacing w:after="0" w:line="192"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We also rely, in part, on BioXcel and access to EvolverAI, a research and development engine created and owned by BioXcel, to identify, research and develop potential product candidates in neuroscience and immuno-oncology. We have the option to enter into a collaborative services agreement with BioXcel, pursuant to which BioXcel shall perform product identification and related services for us utilizing EvolverAI. We have agreed that such agreement will be negotiated in good faith and that such agreement will incorporate reasonable market based terms, including royalty payments on net sales and reasonable development and commercialization milestone payments. In addition, BioXcel has granted us a first right to negotiate exclusive rights to any additional product candidates in the fields of neuroscience and immuno-oncology that BioXcel may identify on its own and not in connection with BioXcel’s provision of services to us under the Services Agreement. This option for first negotiation shall be valid for a period of five years from the date of our initial public offering. If our rights and access to BioXcel’s collaborative services and to EvolverAI were to become limited, terminated, or if we were otherwise precluded from conducting research and development using EvolverAI, or if BioXcel is unable to fulfill its obligations under the agreements, such development could materially adversely affect our future operating results, financial condition and prospects. Furthermore, certain individuals conducting services on our behalf are not our employees, and except for remedies available to us under our agreements with BioXcel, we cannot control whether or not they devote sufficient time, skill and resources to our ongoing development programs. We also cannot ensure that BioXcel retains sufficient resources of personnel or otherwise to conduct its operations. BioXcel may also have relationships with other commercial entities, including our competitors, for whom they may also be conducting research and development activities, which could impede their ability to devote appropriate time to our research and development programs. In addition, if we fail to comply with our diligence, payment or other obligations under the agreements, any such collaboration may terminate or we may not be able to successfully negotiate agreements for future product candidates or collaborations with BioXcel.</w:t>
      </w:r>
    </w:p>
    <w:p>
      <w:pPr>
        <w:spacing w:after="0" w:line="168"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The ownership by our executive officers and our directors of shares of BioXcel common stock and rights to purchase BioXcel common stock may create, or may create the appearance of, conflicts of interest.</w:t>
      </w:r>
    </w:p>
    <w:p>
      <w:pPr>
        <w:spacing w:after="0" w:line="14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ownership by our executive officers and our directors of shares of BioXcel common stock, options to purchase shares of BioXcel common stock, or other equity awards of BioXcel may create, or may create the appearance of, conflicts of interest. Our Chief Executive Officer continues to serve in the same respective roles at BioXcel. Two of our four directors currently serve on both our board of directors and the board of directors of BioXcel. Because of the current positions of our executive officer and our directors with BioXcel, they own shares of BioXcel common stock, options to purchase shares of BioXcel common stock or other equity awards of BioXcel. As of June 30, 2019, our Chief Executive Officer, Vimal Mehta, Ph.D. and one of our directors, Krishnan Nandabalan, Ph.D., each owned approximately 42% of</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outstanding BioXcel voting stock. Ownership by our executive officers and directors of common stock or options to purchase common stock of BioXcel, or any other equity awards, creates, or, may create the appearance of, conflicts of interest when these individuals are faced with decisions that could have different implications for BioXcel than the decisions have for us, including decisions that relate to our Services Agreement, Contribution Agreement, as well as potential agreements relating to future product candidates and AI-related services or collaborations. In connection with the various agreements and transactions entered into in connection with our separation from BioXcel, or the Separation, our chief executive officer has agreed to recuse himself with respect to voting on any matter coming before either BioXcel’s or our board of directors related to our relationship with BioXcel, although he will still be permitted to participate in discussions and negotiations. Any perceived conflicts of interest resulting from investors questioning the independence of our management or the integrity of corporate governance procedures may materially affect our stock price.</w:t>
      </w:r>
    </w:p>
    <w:p>
      <w:pPr>
        <w:spacing w:after="0" w:line="16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Any disputes that arise between us and BioXcel with respect to our past and ongoing relationships could harm our business operations.</w:t>
      </w:r>
    </w:p>
    <w:p>
      <w:pPr>
        <w:spacing w:after="0" w:line="170"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Disputes may arise between BioXcel and us in a number of areas relating to our past and ongoing relationships, including:</w:t>
      </w:r>
    </w:p>
    <w:p>
      <w:pPr>
        <w:spacing w:after="0" w:line="170" w:lineRule="exact"/>
        <w:rPr>
          <w:sz w:val="20"/>
          <w:szCs w:val="20"/>
          <w:color w:val="auto"/>
        </w:rPr>
      </w:pPr>
    </w:p>
    <w:p>
      <w:pPr>
        <w:ind w:left="1300" w:right="480" w:hanging="325"/>
        <w:spacing w:after="0" w:line="291"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intellectual property, technology and business matters, including failure to make required technology transfers and failure to comply with non-compete provisions applicable to BioXcel and us;</w:t>
      </w: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the Separation;</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distribution and supply obligations;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or distributions by BioXcel of all or any portion of its ownership interest in us;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nature, quality and pricing of services BioXcel has agreed to provide us;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BioXcel and us.</w:t>
      </w:r>
    </w:p>
    <w:p>
      <w:pPr>
        <w:spacing w:after="0" w:line="21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entered into the Services Agreement with BioXcel related to the Separation of our business operations from those of BioXcel that contains certain limitations on BioXcel’s ability to control various aspects of our business and operations, notwithstanding BioXcel’s substantial ownership position. This agreement may be amended upon agreement between us and BioXcel.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and our stockholders may not achieve some or all of the expected benefits of the Separation from Bioxcel.</w:t>
      </w:r>
    </w:p>
    <w:p>
      <w:pPr>
        <w:spacing w:after="0" w:line="237"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Drug development is an expensive and time-consuming process, but we believe the knowledge we have gained while operating as a subsidiary of BioXcel has helped expedite this process. However, in order to realize the value proposition of BTI as a drug development company, we intend to target early stage healthcare and pharmaceutical focused investors, who are interested in investing in drug development companies and who appreciate the risks, rewards and typically longer investment timelines associated with such investments. In order to successfully attract this type of new investment, we believe it is critical that we separate from BioXcel, because we believe that doing so will provide us with some or all of the following benefits:</w:t>
      </w:r>
    </w:p>
    <w:p>
      <w:pPr>
        <w:spacing w:after="0" w:line="189" w:lineRule="exact"/>
        <w:rPr>
          <w:sz w:val="20"/>
          <w:szCs w:val="20"/>
          <w:color w:val="auto"/>
        </w:rPr>
      </w:pPr>
    </w:p>
    <w:p>
      <w:pPr>
        <w:ind w:left="1300" w:right="240" w:hanging="325"/>
        <w:spacing w:after="0" w:line="256"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improving strategic and operational flexibility, increasing management focus and streamlining decision-making by providing the flexibility to implement our strategic plan and to respond more effectively to different customer needs and the changing economic environment;</w:t>
      </w:r>
    </w:p>
    <w:p>
      <w:pPr>
        <w:ind w:left="1300" w:hanging="325"/>
        <w:spacing w:after="0" w:line="265"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allowing us to adopt the capital structure, investment policy and dividend policy best suited to our financial profile and business needs, without competing for capital with BioXcel’s other businesses;</w:t>
      </w:r>
    </w:p>
    <w:p>
      <w:pPr>
        <w:ind w:left="1300" w:right="80" w:hanging="325"/>
        <w:spacing w:after="0" w:line="250"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creating an independent equity structure that will facilitate our ability to affect future acquisitions utilizing our common stock; and</w:t>
      </w:r>
    </w:p>
    <w:p>
      <w:pPr>
        <w:ind w:left="1300" w:right="200" w:hanging="325"/>
        <w:spacing w:after="0" w:line="323"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facilitating incentive compensation arrangements for employees more directly tied to the performance of our business, and enhancing employee hiring and retention by, among other things, improving the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620"/>
        <w:spacing w:after="0" w:line="277" w:lineRule="auto"/>
        <w:rPr>
          <w:sz w:val="20"/>
          <w:szCs w:val="20"/>
          <w:color w:val="auto"/>
        </w:rPr>
      </w:pPr>
      <w:r>
        <w:rPr>
          <w:rFonts w:ascii="Arial" w:cs="Arial" w:eastAsia="Arial" w:hAnsi="Arial"/>
          <w:sz w:val="18"/>
          <w:szCs w:val="18"/>
          <w:color w:val="auto"/>
        </w:rPr>
        <w:t>alignment of management and employee incentives with performance and growth objectives of our business.</w:t>
      </w:r>
    </w:p>
    <w:p>
      <w:pPr>
        <w:spacing w:after="0" w:line="170" w:lineRule="exact"/>
        <w:rPr>
          <w:sz w:val="20"/>
          <w:szCs w:val="20"/>
          <w:color w:val="auto"/>
        </w:rPr>
      </w:pPr>
    </w:p>
    <w:p>
      <w:pPr>
        <w:ind w:right="80" w:firstLine="324"/>
        <w:spacing w:after="0" w:line="327" w:lineRule="auto"/>
        <w:rPr>
          <w:sz w:val="20"/>
          <w:szCs w:val="20"/>
          <w:color w:val="auto"/>
        </w:rPr>
      </w:pPr>
      <w:r>
        <w:rPr>
          <w:rFonts w:ascii="Arial" w:cs="Arial" w:eastAsia="Arial" w:hAnsi="Arial"/>
          <w:sz w:val="15"/>
          <w:szCs w:val="15"/>
          <w:color w:val="auto"/>
        </w:rPr>
        <w:t>If we are not successful implementing the Separation, we may not be able to achieve the full strategic and financial benefits we expect to receive, or the benefits may be delayed or not occur at all. Even if we are able to achieve stand-alone, independent status as a drug development company, there can be no assurance that investors and analysts will place a greater value on us as a stand-alone drug development company than as a wholly- or substantially-owned subsidiary of BioXcel.</w:t>
      </w:r>
    </w:p>
    <w:p>
      <w:pPr>
        <w:spacing w:after="0" w:line="140"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We are a “controlled company” within the meaning of the Nasdaq rules and, as a result, may qualify for, and may rely on, exemptions from certain corporate governance requirements that provide protection to stockholders of other companies.</w:t>
      </w:r>
    </w:p>
    <w:p>
      <w:pPr>
        <w:spacing w:after="0" w:line="10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BioXcel controls a majority of the voting power of our outstanding common stock. As a result, we are a “controlled company” within the meaning of the corporate governance standards of the Nasdaq rules. Under these rules, a listed company of which more than 50% of the voting power is held by an individual, group or another company is a “controlled company” and may elect not to comply with certain corporate governance requirements.</w:t>
      </w:r>
    </w:p>
    <w:p>
      <w:pPr>
        <w:spacing w:after="0" w:line="17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As a controlled company, we rely on certain exemptions from the Nasdaq standards that may enable us not to comply with certain Nasdaq corporate governance requirements if BioXcel continues to control a majority of the voting power of our outstanding common stock. Accordingly, you may not have the same protections afforded to stockholders of companies that are subject to all of the corporate governance requirements of The Nasdaq Capital Market.</w:t>
      </w:r>
    </w:p>
    <w:p>
      <w:pPr>
        <w:spacing w:after="0" w:line="171"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The assets and resources that we acquired from BioXcel may not be sufficient for us to operate as a stand-alone company, and we may experience difficulty in separating our assets and resources from BioXcel.</w:t>
      </w:r>
    </w:p>
    <w:p>
      <w:pPr>
        <w:spacing w:after="0" w:line="12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Because we have not operated as a stand-alone company in the past, we may have difficulty doing so. We may need to acquire assets and resources in addition to those provided by BioXcel to us, and in connection with the Separation, may also face difficulty in separating our resources from BioXcel’s and integrating newly acquired assets into our business. For example, we may need to hire additional personnel to assist with administrative and technical functions, and acquire other office and laboratory equipment for use in the ordinary course operations of our business. If we have difficulty operating as a stand-alone company, fail to acquire assets that we need to run our operations, or incur unexpected costs in separating our business from BioXcel’s business or in integrating newly acquired assets into our business, our financial condition and results of operations will be adversely affected.</w:t>
      </w:r>
    </w:p>
    <w:p>
      <w:pPr>
        <w:spacing w:after="0" w:line="17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You may have difficulty evaluating our business because we have no history as a separate company and our historical financial information may not be representative of our results as a separate company.</w:t>
      </w:r>
    </w:p>
    <w:p>
      <w:pPr>
        <w:spacing w:after="0" w:line="14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Our historical financial information does not necessarily reflect the financial condition, results of operations or cash flows that we would have achieved as a separate company during the periods presented or those that we will achieve in the future. Prior to the contribution of our assets from BioXcel, our research and development activities were conducted by BioXcel as part of its broader operations, rather than as an independent division or subsidiary. BioXcel also performed various corporate functions relating to our business. Our historical financial information reflects allocations of corporate expenses from BioXcel for these and similar functions. We believe that these allocations are comparable to the expenses we would have incurred had we operated as a separate company, although we may incur higher expenses as a separate company.</w:t>
      </w:r>
    </w:p>
    <w:p>
      <w:pPr>
        <w:spacing w:after="0" w:line="16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BioXcel may experience challenges with the acquisition, development, enhancement or deployment of technology necessary for EvolverAI.</w:t>
      </w:r>
    </w:p>
    <w:p>
      <w:pPr>
        <w:spacing w:after="0" w:line="170"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BioXcel operates in businesses that require sophisticated computer systems and software for data collection, data processing, cloud-based platforms, analytics, statistical projections and forecasting, mobile computing, social media analytics and other applications and technologies. BioXcel seeks to address its technology risks by increasing its reliance on the use of innovations by cross-industry technology leaders and adapt these for their pharmaceutical, specialty-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pharma, biotech,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its clients in forms that are easy to use while simultaneously providing clear answers to complex questions. There can be no guarantee that we or BioXcel will be able to develop, acquire or integrate new technologies, that these new technologies will meet our and BioXcel’s needs or achieve our expected goals, or that we will be able to do so as quickly or cost-effectively as our competitors. Significant technological change could render EvolverAI obsolete. BioXcel’s continued success will depend on its ability to adapt to changing technologies, manage and process ever-increasing amounts of data and information and improve the performance, features and reliability of its services in response to changing client and industry demands. BioXcel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right="140"/>
        <w:spacing w:after="0" w:line="320" w:lineRule="auto"/>
        <w:rPr>
          <w:sz w:val="20"/>
          <w:szCs w:val="20"/>
          <w:color w:val="auto"/>
        </w:rPr>
      </w:pPr>
      <w:r>
        <w:rPr>
          <w:rFonts w:ascii="Arial" w:cs="Arial" w:eastAsia="Arial" w:hAnsi="Arial"/>
          <w:sz w:val="15"/>
          <w:szCs w:val="15"/>
          <w:b w:val="1"/>
          <w:bCs w:val="1"/>
          <w:i w:val="1"/>
          <w:iCs w:val="1"/>
          <w:color w:val="auto"/>
        </w:rPr>
        <w:t>We are substantially dependent on third parties for the manufacture of our clinical supplies of our product candidates, and we intend to rely on third parties to produce commercial supplies of any approved product candidate. Therefore, our development of our products could be stopped or delayed, and our commercialization of any future product could be stopped or delayed or made less profitable if third party manufacturers fail to obtain approval of the FDA or comparable regulatory authorities or fail to provide us with drug product in sufficient quantities or at acceptable prices.</w:t>
      </w:r>
    </w:p>
    <w:p>
      <w:pPr>
        <w:spacing w:after="0" w:line="14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in accordance with cGMP prescribed by the FDA or to produce an adequate supply of compounds to meet future requirements for clinical trials and commercialization of our products. Drug manufacturing facilities are subject to inspection before the FDA will issue an approval to market a new drug product, and all of the manufacturers that we intend to use must adhere to the cGMP regulations prescribed by the FDA.</w:t>
      </w:r>
    </w:p>
    <w:p>
      <w:pPr>
        <w:spacing w:after="0" w:line="16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expect therefore to rely on third-party manufacturers for clinical supplies of our product candidates that we may develop. These third-party manufacturers will be required to comply with current good manufacturing practices, or GMPs, and other applicable laws and regulations. We will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78"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We and/or our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BioXcel, we or our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1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or third-party manufacturers on whom we rely, may be unable to successfully scale-up manufacturing of our product candidates in sufficient quality and quantity, which would delay or prevent us from developing our product candidates and commercializing approved products, if any.</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order to conduct clinical trials of our product candidates and commercialize any approved product candidates, we, or our manufacturers, will need to manufacture them in large quantities. We, or our manufacturers, may be unable to successfully increase the manufacturing capacity for any of our product candidates in a timely or cost-effective manner, or at all. In addition, quality issues may arise during scale-up activities. If we, or any of our manufacturers,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product candidates successfully.</w:t>
      </w:r>
    </w:p>
    <w:p>
      <w:pPr>
        <w:spacing w:after="0" w:line="1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failure to find third party collaborators to assist or share in the costs of product development could materially harm our business, financial condition and results of operations.</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strategy for the development and commercialization of our proprietary product candidates may include the formation of collaborative arrangements with third parties. We are a party to two collaboration agreements (Research and Clinical) with Nektar Therapeutics, Inc., or Nektar, relating to Nektar’s NKTR-214 compound and BXCL 701. Existing and future collaborators have significant discretion in determining the efforts and resources they apply and may not perform their obligations as expected. Potential third party collaborators include biopharmaceutical, pharmaceutical and biotechnology companies, academic institutions and other entities. Third-party collaborators may assist us in:</w:t>
      </w:r>
    </w:p>
    <w:p>
      <w:pPr>
        <w:spacing w:after="0" w:line="178" w:lineRule="exact"/>
        <w:rPr>
          <w:sz w:val="20"/>
          <w:szCs w:val="20"/>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funding research, preclinical development, clinical trials and manufacturing;</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seeking and obtaining regulatory approvals;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commercializing any future product candidates.</w:t>
      </w:r>
    </w:p>
    <w:p>
      <w:pPr>
        <w:spacing w:after="0" w:line="21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If we are not able to establish further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additional collaborations could materially harm our business, financial condition and results of operations.</w:t>
      </w:r>
    </w:p>
    <w:p>
      <w:pPr>
        <w:spacing w:after="0" w:line="18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47" w:lineRule="exact"/>
        <w:rPr>
          <w:sz w:val="20"/>
          <w:szCs w:val="20"/>
          <w:color w:val="auto"/>
        </w:rPr>
      </w:pPr>
    </w:p>
    <w:p>
      <w:pPr>
        <w:jc w:val="both"/>
        <w:ind w:right="220" w:firstLine="324"/>
        <w:spacing w:after="0" w:line="288" w:lineRule="auto"/>
        <w:rPr>
          <w:sz w:val="20"/>
          <w:szCs w:val="20"/>
          <w:color w:val="auto"/>
        </w:rPr>
      </w:pPr>
      <w:r>
        <w:rPr>
          <w:rFonts w:ascii="Arial" w:cs="Arial" w:eastAsia="Arial" w:hAnsi="Arial"/>
          <w:sz w:val="16"/>
          <w:szCs w:val="16"/>
          <w:color w:val="auto"/>
        </w:rPr>
        <w:t>We have relied upon and plan to continue to rely upon third-party medical institutions, clinical investigators, contract laboratories and other third party CROs to monitor and manage data for our ongoing preclinical and clinical programs. We rely on these parties for execution of our preclinical and clinical trials, and control only certain aspects of their activities.</w:t>
      </w:r>
    </w:p>
    <w:p>
      <w:pPr>
        <w:ind w:right="60"/>
        <w:spacing w:after="0" w:line="271" w:lineRule="auto"/>
        <w:rPr>
          <w:sz w:val="20"/>
          <w:szCs w:val="20"/>
          <w:color w:val="auto"/>
        </w:rPr>
      </w:pPr>
      <w:r>
        <w:rPr>
          <w:rFonts w:ascii="Arial" w:cs="Arial" w:eastAsia="Arial" w:hAnsi="Arial"/>
          <w:sz w:val="17"/>
          <w:szCs w:val="17"/>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cGCPs, which are regulations and guidelines enforced by the FDA, the Competent Authorities of the Member States of the European Economic Area, or EEA, and comparable foreign regulatory authorities for all of our products in clinical development.</w:t>
      </w:r>
    </w:p>
    <w:p>
      <w:pPr>
        <w:spacing w:after="0" w:line="17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Regulatory authorities enforce these cGCPs through periodic inspections of trial sponsors, principal investigators and trial sites. If we or any of our CROs fail to comply with applicable cGCPs,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cGCP regulations. In addition, our clinical trials must be conducted with product produced under current good manufacturing practices, or cGMP, regulations. Our failure to comply with these regulations may require us to repeat clinical trials, which would delay the regulatory approval process.</w:t>
      </w:r>
    </w:p>
    <w:p>
      <w:pPr>
        <w:spacing w:after="0" w:line="17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or not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7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GLP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growth.</w:t>
      </w:r>
    </w:p>
    <w:p>
      <w:pPr>
        <w:spacing w:after="0" w:line="170"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As of June 30, 2019, we employed a total of twenty full-time employees. In addition, we have access to certain of BioXcel’s employees and resources through the various agreements we have entered into with BioXcel. Our current internal departments include finance, research and development and administration. We have been expanding our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management team to include an operation ramp up of additional technical staff required to achieve our business objectives. We will need to continue to expand our managerial, operational, technical and scientific, financial and other resources in order to manage our operations and clinical trials, establish independent manufacturing, continue our research and development activities, and commercialize our product candidate. Our management and scientific personnel, systems and facilities currently in place may not be adequate to support our future growth.</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need to effectively manage our operations, growth and various projects requires that we:</w:t>
      </w:r>
    </w:p>
    <w:p>
      <w:pPr>
        <w:spacing w:after="0" w:line="225" w:lineRule="exact"/>
        <w:rPr>
          <w:sz w:val="20"/>
          <w:szCs w:val="20"/>
          <w:color w:val="auto"/>
        </w:rPr>
      </w:pPr>
    </w:p>
    <w:p>
      <w:pPr>
        <w:ind w:left="1300" w:right="60" w:hanging="325"/>
        <w:spacing w:after="0" w:line="258"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 our clinical trials effectively, including our planned clinical trials of BXCL501, BXCL701 and our other product candidates;</w:t>
      </w:r>
    </w:p>
    <w:p>
      <w:pPr>
        <w:spacing w:after="0" w:line="1" w:lineRule="exact"/>
        <w:rPr>
          <w:rFonts w:ascii="Arial" w:cs="Arial" w:eastAsia="Arial" w:hAnsi="Arial"/>
          <w:sz w:val="18"/>
          <w:szCs w:val="18"/>
          <w:color w:val="auto"/>
        </w:rPr>
      </w:pPr>
    </w:p>
    <w:p>
      <w:pPr>
        <w:ind w:left="1300" w:right="500" w:hanging="325"/>
        <w:spacing w:after="0" w:line="250"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ind w:left="1300" w:right="620" w:hanging="325"/>
        <w:spacing w:after="0" w:line="250"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1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may utilize the services of third 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Our growth strategy may also entail expanding our group of contractors or consultants to implement these and other tasks going forward. Because we rely on numerous consultants, to outsource many key functions of our business, we</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 and, accordingly, may not achieve our research, development and commercialization goals.</w:t>
      </w:r>
    </w:p>
    <w:p>
      <w:pPr>
        <w:spacing w:after="0" w:line="18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success depends largely upon the continued services of our key executive officers, Vimal Mehta, our Chief Executive Officer, President, Secretary and Director and Frank Yocca, our Chief Scientific Officer. We do not maintain “key person” insurance for any of these executive officers or any of our other key employees. We also rely on our leadership team in the areas of research and development, marketing, services and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9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To continue to execute our growth strategy, we also must attract and retain highly skilled personnel. We might not be successful in maintaining our unique culture and continuing to attract and retain qualified personnel. We have from time to time in the past experienced, and we expect to continue to experience in the future, difficulty in hiring and retaining highly skilled personnel with appropriate qualifications. The pool of qualified personnel with SaaS, or experience working with the pharma market is limited overall. In addition, many of the companies with which we compete for experienced personnel have greater resources than we have.</w:t>
      </w:r>
    </w:p>
    <w:p>
      <w:pPr>
        <w:spacing w:after="0" w:line="193"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In addition, in making employment decisions, particularly in the internet, biotechnology and high-technology industries, job candidates often consider the value of the stock options or other equity instruments they are to receive in connection with their employment. Volatility in the price of our stock might, therefore, adversely affect our ability to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attract or retain highly skilled personnel. Furthermore, the requirement to expense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8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70"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healthcare fraud and abuse laws and regulations, or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but it is not always possible to identify and deter employee misconduct, and the precautions we take to detect and prevent this activity may not be effective in controlling unknown or unmanaged risk.</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Business interruptions could adversely affect future operations, revenues, and financial conditions, and may increase our costs and expenses.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8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Likewise, we will rely on third parties to manufacture BXCL501 and BXCL701 and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failure to successfully acquire, develop and market additional product candidates or approved drug products could impair our ability to grow.</w:t>
      </w:r>
    </w:p>
    <w:p>
      <w:pPr>
        <w:spacing w:after="0" w:line="170"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As part of our growth strategy, we may evaluate, acquire, license, develop and/or market additional product candidates and technologies. These investments will not constitute a significant portion of our business. However, our internal research capabilities are limited,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 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future acquisitions may entail numerous operational and financial risks, including:</w:t>
      </w:r>
    </w:p>
    <w:p>
      <w:pPr>
        <w:spacing w:after="0" w:line="225" w:lineRule="exact"/>
        <w:rPr>
          <w:sz w:val="20"/>
          <w:szCs w:val="20"/>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3" w:lineRule="exact"/>
        <w:rPr>
          <w:rFonts w:ascii="Arial" w:cs="Arial" w:eastAsia="Arial" w:hAnsi="Arial"/>
          <w:sz w:val="18"/>
          <w:szCs w:val="18"/>
          <w:color w:val="auto"/>
        </w:rPr>
      </w:pPr>
    </w:p>
    <w:p>
      <w:pPr>
        <w:ind w:left="1300" w:right="100" w:hanging="325"/>
        <w:spacing w:after="0" w:line="250"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and technical personnel’s time and attention to develop acquired products or technologies;</w:t>
      </w: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securities to pay for acquisitions;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9" w:lineRule="exact"/>
        <w:rPr>
          <w:rFonts w:ascii="Arial" w:cs="Arial" w:eastAsia="Arial" w:hAnsi="Arial"/>
          <w:sz w:val="18"/>
          <w:szCs w:val="18"/>
          <w:color w:val="auto"/>
        </w:rPr>
      </w:pPr>
    </w:p>
    <w:p>
      <w:pPr>
        <w:ind w:left="1300" w:right="720" w:hanging="325"/>
        <w:spacing w:after="0" w:line="250"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ind w:left="1300" w:right="160" w:hanging="325"/>
        <w:spacing w:after="0" w:line="250"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businesses due to changes in management and ownership; and</w:t>
      </w: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commercial success will depend in part on obtaining and maintaining patent protection and trade secret protection of our current and future product candidates, the processes used to manufacture them and the methods for using them, as well as successfully defending these patents against third-party challenges. We are the owner of record of patent applications pending in the United States and in certain foreign jurisdictions. We own Patent Cooperation Treaty, or PCT, patent applications relating to our platform technologies covering methods of use and applications of the platform technologies. To date, no patents have been issued to us specifically covering our product candidates, and we cannot be certain that any patents will issue with claims that cover our product candidates. Our ability to stop third parties from making, using, selling, offering to sell or importing our product candidates is dependent upon the extent to which we have rights under valid and enforceable patents or trade secrets that cover these activities.</w:t>
      </w:r>
    </w:p>
    <w:p>
      <w:pPr>
        <w:spacing w:after="0" w:line="18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patent positions of biotechnology and pharmaceutical companies can be highly uncertain and involve complex legal and factual questions for which important legal principles remain unresolved. No consistent policy regarding the breadth of claims allowed in pharmaceutical patents has emerged to date in the United States or in foreign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188"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4" w:lineRule="exact"/>
        <w:rPr>
          <w:sz w:val="20"/>
          <w:szCs w:val="20"/>
          <w:color w:val="auto"/>
        </w:rPr>
      </w:pPr>
    </w:p>
    <w:p>
      <w:pPr>
        <w:ind w:left="1300" w:right="120" w:hanging="325"/>
        <w:spacing w:after="0" w:line="258"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our patents;</w:t>
      </w:r>
    </w:p>
    <w:p>
      <w:pPr>
        <w:spacing w:after="0" w:line="1" w:lineRule="exact"/>
        <w:rPr>
          <w:rFonts w:ascii="Arial" w:cs="Arial" w:eastAsia="Arial" w:hAnsi="Arial"/>
          <w:sz w:val="18"/>
          <w:szCs w:val="18"/>
          <w:color w:val="auto"/>
        </w:rPr>
      </w:pPr>
    </w:p>
    <w:p>
      <w:pPr>
        <w:ind w:left="1300" w:hanging="325"/>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our pending patent applications;</w:t>
      </w:r>
    </w:p>
    <w:p>
      <w:pPr>
        <w:spacing w:after="0" w:line="20" w:lineRule="exact"/>
        <w:rPr>
          <w:rFonts w:ascii="Arial" w:cs="Arial" w:eastAsia="Arial" w:hAnsi="Arial"/>
          <w:sz w:val="17"/>
          <w:szCs w:val="17"/>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9" w:lineRule="exact"/>
        <w:rPr>
          <w:rFonts w:ascii="Arial" w:cs="Arial" w:eastAsia="Arial" w:hAnsi="Arial"/>
          <w:sz w:val="18"/>
          <w:szCs w:val="18"/>
          <w:color w:val="auto"/>
        </w:rPr>
      </w:pPr>
    </w:p>
    <w:p>
      <w:pPr>
        <w:ind w:left="1300" w:right="160" w:hanging="325"/>
        <w:spacing w:after="0" w:line="250"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when issued may not cover our products or product candidates;</w:t>
      </w: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9" w:lineRule="exact"/>
        <w:rPr>
          <w:rFonts w:ascii="Arial" w:cs="Arial" w:eastAsia="Arial" w:hAnsi="Arial"/>
          <w:sz w:val="18"/>
          <w:szCs w:val="18"/>
          <w:color w:val="auto"/>
        </w:rPr>
      </w:pPr>
    </w:p>
    <w:p>
      <w:pPr>
        <w:ind w:left="1300" w:right="280" w:hanging="325"/>
        <w:spacing w:after="0" w:line="250"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granted patents may be held invalid or unenforceable as a result of legal challenges by third parties; and</w:t>
      </w: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81"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We may be required to enter into intellectual property license agreements that are important to our business. These license agreements may impose various diligence, milestone payment, royalty and other obligations on us. For example, we may enter into exclusive license agreements with various universities and research institutions,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disputes may arise regarding intellectual property subject to a license agreement, including:</w:t>
      </w:r>
    </w:p>
    <w:p>
      <w:pPr>
        <w:spacing w:after="0" w:line="225" w:lineRule="exact"/>
        <w:rPr>
          <w:sz w:val="20"/>
          <w:szCs w:val="20"/>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3" w:lineRule="exact"/>
        <w:rPr>
          <w:rFonts w:ascii="Arial" w:cs="Arial" w:eastAsia="Arial" w:hAnsi="Arial"/>
          <w:sz w:val="18"/>
          <w:szCs w:val="18"/>
          <w:color w:val="auto"/>
        </w:rPr>
      </w:pPr>
    </w:p>
    <w:p>
      <w:pPr>
        <w:ind w:left="1300" w:right="40" w:hanging="325"/>
        <w:spacing w:after="0" w:line="250"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ind w:left="1300" w:hanging="325"/>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obligations;</w:t>
      </w:r>
    </w:p>
    <w:p>
      <w:pPr>
        <w:spacing w:after="0" w:line="20" w:lineRule="exact"/>
        <w:rPr>
          <w:rFonts w:ascii="Arial" w:cs="Arial" w:eastAsia="Arial" w:hAnsi="Arial"/>
          <w:sz w:val="17"/>
          <w:szCs w:val="17"/>
          <w:color w:val="auto"/>
        </w:rPr>
      </w:pPr>
    </w:p>
    <w:p>
      <w:pPr>
        <w:ind w:left="1300" w:right="140" w:hanging="325"/>
        <w:spacing w:after="0" w:line="250"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 third-party expresses interest in an area under a license that we are not pursuing, under the terms of certain of our license agreements, we may be required to sublicense rights in that area to a third party, and that sublicense could harm our business; and</w:t>
      </w:r>
    </w:p>
    <w:p>
      <w:pPr>
        <w:spacing w:after="0" w:line="1" w:lineRule="exact"/>
        <w:rPr>
          <w:rFonts w:ascii="Arial" w:cs="Arial" w:eastAsia="Arial" w:hAnsi="Arial"/>
          <w:sz w:val="18"/>
          <w:szCs w:val="18"/>
          <w:color w:val="auto"/>
        </w:rPr>
      </w:pPr>
    </w:p>
    <w:p>
      <w:pPr>
        <w:ind w:left="1300" w:right="120" w:hanging="325"/>
        <w:spacing w:after="0" w:line="261"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18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other intellectual property rights.</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If we choose to commence a proceeding or litigation to prevent another party from infringing our patents, that party will have the right to ask the examiner or court to rule that our patents are invalid or should not be enforced against them. There is a risk that the examiner or court will decide that our patents are not valid and that we do not have the right to stop the other party from using the related inventions. There is also the risk that, even if the validity of our patents is upheld, the examiner or court will refuse to stop the other party on the ground that such other party’s activities do not infringe our rights to such patents. In addition, the U.S. Supreme Court has recently modified some tests used by the U.S. Patent and Trademark Office, or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17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24"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Our success will depend in part on our ability to operate without infringing the proprietary rights of third parties. We cannot guarantee that our products, or manufacture or use of our product candidates, will not infringe third-party patents. Furthermore, a third party may claim that we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scientific personnel. Some of these third parties may be better capitalized and have more resources than us. There is a risk that a court would decide that we are infringing the third 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w:t>
      </w:r>
    </w:p>
    <w:p>
      <w:pPr>
        <w:spacing w:after="0" w:line="172"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substantial monetary damages, encounter significant delays in bringing our product candidates to market and be precluded from manufacturing or selling our product candidates.</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cannot be certain that others have not filed patent applications for technology covered by our pending applications, or that we were the first to invent the technology, because:</w:t>
      </w:r>
    </w:p>
    <w:p>
      <w:pPr>
        <w:spacing w:after="0" w:line="170" w:lineRule="exact"/>
        <w:rPr>
          <w:sz w:val="20"/>
          <w:szCs w:val="20"/>
          <w:color w:val="auto"/>
        </w:rPr>
      </w:pPr>
    </w:p>
    <w:p>
      <w:pPr>
        <w:ind w:left="1300" w:hanging="325"/>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some patent applications in the United States may be maintained in secrecy until the patents are issued;</w:t>
      </w:r>
    </w:p>
    <w:p>
      <w:pPr>
        <w:spacing w:after="0" w:line="46" w:lineRule="exact"/>
        <w:rPr>
          <w:rFonts w:ascii="Arial" w:cs="Arial" w:eastAsia="Arial" w:hAnsi="Arial"/>
          <w:sz w:val="16"/>
          <w:szCs w:val="16"/>
          <w:color w:val="auto"/>
        </w:rPr>
      </w:pPr>
    </w:p>
    <w:p>
      <w:pPr>
        <w:ind w:left="1300" w:right="200" w:hanging="325"/>
        <w:spacing w:after="0" w:line="250"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patent applications in the United States are typically not published until 18 months after the priority date; and</w:t>
      </w: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211"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claims priority to any applications filed prior to the priority dates of our applications,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67"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70" w:lineRule="exact"/>
        <w:rPr>
          <w:sz w:val="20"/>
          <w:szCs w:val="20"/>
          <w:color w:val="auto"/>
        </w:rPr>
      </w:pPr>
    </w:p>
    <w:p>
      <w:pPr>
        <w:ind w:right="240" w:firstLine="324"/>
        <w:spacing w:after="0" w:line="286" w:lineRule="auto"/>
        <w:rPr>
          <w:sz w:val="20"/>
          <w:szCs w:val="20"/>
          <w:color w:val="auto"/>
        </w:rPr>
      </w:pPr>
      <w:r>
        <w:rPr>
          <w:rFonts w:ascii="Arial" w:cs="Arial" w:eastAsia="Arial" w:hAnsi="Arial"/>
          <w:sz w:val="16"/>
          <w:szCs w:val="16"/>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alleged trade secrets.</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Litigation may be necessary to defend against these claims. If we fail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defending any such claims, in addition to paying monetary damages, we could lose valuable intellectual property rights or personnel, which could adversely impact our business. Even if we are successful in defending against these claims, litigation could result in substantial costs and be a distraction to management.</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7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 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89" w:lineRule="exact"/>
        <w:rPr>
          <w:sz w:val="20"/>
          <w:szCs w:val="20"/>
          <w:color w:val="auto"/>
        </w:rPr>
      </w:pPr>
    </w:p>
    <w:p>
      <w:pPr>
        <w:ind w:right="260" w:firstLine="324"/>
        <w:spacing w:after="0" w:line="272" w:lineRule="auto"/>
        <w:rPr>
          <w:sz w:val="20"/>
          <w:szCs w:val="20"/>
          <w:color w:val="auto"/>
        </w:rPr>
      </w:pPr>
      <w:r>
        <w:rPr>
          <w:rFonts w:ascii="Arial" w:cs="Arial" w:eastAsia="Arial" w:hAnsi="Arial"/>
          <w:sz w:val="17"/>
          <w:szCs w:val="17"/>
          <w:color w:val="auto"/>
        </w:rPr>
        <w:t>Our drug re-innovation approach involves the filing of patent applications covering new methods of use and/or new formulations of previously known, studied and/or marketed drugs. Although the protection afforded by our patent applications may be significant with respect to BXCL501 and BXCL701,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significantly affected.</w:t>
      </w:r>
    </w:p>
    <w:p>
      <w:pPr>
        <w:spacing w:after="0" w:line="17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may elect to sue a third party, or otherwise make a claim, alleging infringement or other violation of patents, trademarks, trade dress, copyrights, trade secrets, domain names or other intellectual property rights that we either own or license from BioXcel. If we do not prevail in enforcing our intellectual property rights in this type of litigation, we may be subject to:</w:t>
      </w:r>
    </w:p>
    <w:p>
      <w:pPr>
        <w:spacing w:after="0" w:line="187" w:lineRule="exact"/>
        <w:rPr>
          <w:sz w:val="20"/>
          <w:szCs w:val="20"/>
          <w:color w:val="auto"/>
        </w:rPr>
      </w:pPr>
    </w:p>
    <w:p>
      <w:pPr>
        <w:ind w:left="1300" w:hanging="325"/>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paying monetary damages related to the legal expenses of the third party;</w:t>
      </w:r>
    </w:p>
    <w:p>
      <w:pPr>
        <w:spacing w:after="0" w:line="23" w:lineRule="exact"/>
        <w:rPr>
          <w:rFonts w:ascii="Arial" w:cs="Arial" w:eastAsia="Arial" w:hAnsi="Arial"/>
          <w:sz w:val="18"/>
          <w:szCs w:val="18"/>
          <w:color w:val="auto"/>
        </w:rPr>
      </w:pPr>
    </w:p>
    <w:p>
      <w:pPr>
        <w:ind w:left="1300" w:right="360" w:hanging="325"/>
        <w:spacing w:after="0" w:line="281"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facing additional competition that may have a significant adverse effect on our product pricing, market share, business operations, financial condition, and the commercial viability of our products; and</w:t>
      </w:r>
    </w:p>
    <w:p>
      <w:pPr>
        <w:spacing w:after="0" w:line="1" w:lineRule="exact"/>
        <w:rPr>
          <w:rFonts w:ascii="Arial" w:cs="Arial" w:eastAsia="Arial" w:hAnsi="Arial"/>
          <w:sz w:val="16"/>
          <w:szCs w:val="16"/>
          <w:color w:val="auto"/>
        </w:rPr>
      </w:pPr>
    </w:p>
    <w:p>
      <w:pPr>
        <w:ind w:left="1300" w:right="380" w:hanging="325"/>
        <w:spacing w:after="0" w:line="277" w:lineRule="auto"/>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17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 third 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8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Intellectual property rights and enforcement may be less extensive in jurisdictions outside of the United States; thus, we may not be able to protect our intellectual property and third parties may be able to market competitive products that may use some or all of our intellectual property.</w:t>
      </w:r>
    </w:p>
    <w:p>
      <w:pPr>
        <w:spacing w:after="0" w:line="18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Changes to patent law, including the Leahy-Smith America Invests Act, AIA or Leahy-Smith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can be defended or will protect us against future intellectual property challenges, particularly as they pertain to changes in patent law and future patent law interpretations.</w:t>
      </w:r>
    </w:p>
    <w:p>
      <w:pPr>
        <w:spacing w:after="0" w:line="158" w:lineRule="exact"/>
        <w:rPr>
          <w:sz w:val="20"/>
          <w:szCs w:val="20"/>
          <w:color w:val="auto"/>
        </w:rPr>
      </w:pPr>
    </w:p>
    <w:p>
      <w:pPr>
        <w:ind w:right="720" w:firstLine="324"/>
        <w:spacing w:after="0" w:line="342" w:lineRule="auto"/>
        <w:rPr>
          <w:sz w:val="20"/>
          <w:szCs w:val="20"/>
          <w:color w:val="auto"/>
        </w:rPr>
      </w:pPr>
      <w:r>
        <w:rPr>
          <w:rFonts w:ascii="Arial" w:cs="Arial" w:eastAsia="Arial" w:hAnsi="Arial"/>
          <w:sz w:val="16"/>
          <w:szCs w:val="16"/>
          <w:color w:val="auto"/>
        </w:rPr>
        <w:t>In addition, enforcing and maintaining our intellectual property protection depends on compliance with various procedural, document submission, fee payment and other requirements imposed by the U.S. Patent and Trademark</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Office, courts and foreign government patent agencies, and our patent protection could be reduced or eliminated for non-compliance with these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fluctuate substantially.</w:t>
      </w:r>
    </w:p>
    <w:p>
      <w:pPr>
        <w:spacing w:after="0" w:line="225" w:lineRule="exact"/>
        <w:rPr>
          <w:sz w:val="20"/>
          <w:szCs w:val="20"/>
          <w:color w:val="auto"/>
        </w:rPr>
      </w:pPr>
    </w:p>
    <w:p>
      <w:pPr>
        <w:ind w:right="79" w:firstLine="324"/>
        <w:spacing w:after="0" w:line="259" w:lineRule="auto"/>
        <w:rPr>
          <w:sz w:val="20"/>
          <w:szCs w:val="20"/>
          <w:color w:val="auto"/>
        </w:rPr>
      </w:pPr>
      <w:r>
        <w:rPr>
          <w:rFonts w:ascii="Arial" w:cs="Arial" w:eastAsia="Arial" w:hAnsi="Arial"/>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pacing w:after="0" w:line="187" w:lineRule="exact"/>
        <w:rPr>
          <w:sz w:val="20"/>
          <w:szCs w:val="20"/>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 of our common stock by our stockholders, executives, and directors;</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volatility and limitations in trading volumes of our shares of common stock;</w:t>
      </w:r>
    </w:p>
    <w:p>
      <w:pPr>
        <w:spacing w:after="0" w:line="9" w:lineRule="exact"/>
        <w:rPr>
          <w:rFonts w:ascii="Arial" w:cs="Arial" w:eastAsia="Arial" w:hAnsi="Arial"/>
          <w:sz w:val="18"/>
          <w:szCs w:val="18"/>
          <w:color w:val="auto"/>
        </w:rPr>
      </w:pPr>
    </w:p>
    <w:p>
      <w:pPr>
        <w:ind w:left="1300" w:right="39" w:hanging="325"/>
        <w:spacing w:after="0" w:line="250"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obtain financings to conduct and complete research and development activities including, but not limited to, our clinical trials, and other business activities;</w:t>
      </w:r>
    </w:p>
    <w:p>
      <w:pPr>
        <w:ind w:left="1300" w:right="219" w:hanging="325"/>
        <w:spacing w:after="0" w:line="250"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possible delays in the expected recognition of revenue due to lengthy and sometimes unpredictable sales timelines;</w:t>
      </w:r>
    </w:p>
    <w:p>
      <w:pPr>
        <w:ind w:left="1300" w:right="239" w:hanging="325"/>
        <w:spacing w:after="0" w:line="250"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1" w:lineRule="exact"/>
        <w:rPr>
          <w:rFonts w:ascii="Arial" w:cs="Arial" w:eastAsia="Arial" w:hAnsi="Arial"/>
          <w:sz w:val="18"/>
          <w:szCs w:val="18"/>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network outages or security breaches;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customer renewal rates and the timing and terms of customer renewals;</w:t>
      </w:r>
    </w:p>
    <w:p>
      <w:pPr>
        <w:spacing w:after="0" w:line="9" w:lineRule="exact"/>
        <w:rPr>
          <w:rFonts w:ascii="Arial" w:cs="Arial" w:eastAsia="Arial" w:hAnsi="Arial"/>
          <w:sz w:val="18"/>
          <w:szCs w:val="18"/>
          <w:color w:val="auto"/>
        </w:rPr>
      </w:pPr>
    </w:p>
    <w:p>
      <w:pPr>
        <w:ind w:left="1300" w:right="659" w:hanging="325"/>
        <w:spacing w:after="0" w:line="250"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secure resources and the necessary personnel to conduct clinical trials on our desired schedule;</w:t>
      </w:r>
    </w:p>
    <w:p>
      <w:pPr>
        <w:ind w:left="1300" w:right="79" w:hanging="325"/>
        <w:spacing w:after="0" w:line="250"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commencement, enrollment or results of our clinical trials for our product candidates or any future clinical trials we may conduct;</w:t>
      </w: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development status of our product candidates;</w:t>
      </w:r>
    </w:p>
    <w:p>
      <w:pPr>
        <w:spacing w:after="0" w:line="9" w:lineRule="exact"/>
        <w:rPr>
          <w:rFonts w:ascii="Arial" w:cs="Arial" w:eastAsia="Arial" w:hAnsi="Arial"/>
          <w:sz w:val="18"/>
          <w:szCs w:val="18"/>
          <w:color w:val="auto"/>
        </w:rPr>
      </w:pPr>
    </w:p>
    <w:p>
      <w:pPr>
        <w:ind w:left="1300" w:right="159" w:hanging="325"/>
        <w:spacing w:after="0" w:line="250"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delays or adverse developments or perceived adverse developments with respect to the FDA’s review of our planned preclinical and clinical trials;</w:t>
      </w:r>
    </w:p>
    <w:p>
      <w:pPr>
        <w:ind w:left="1300" w:right="319" w:hanging="325"/>
        <w:spacing w:after="0" w:line="250"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delay in our submission for studies or product approvals or adverse regulatory decisions, including failure to receive regulatory approval for our product candidates;</w:t>
      </w: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unanticipated safety concerns related to the use of our product candidates;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failures to meet external expectations or management guidance;</w:t>
      </w:r>
    </w:p>
    <w:p>
      <w:pPr>
        <w:spacing w:after="0" w:line="9" w:lineRule="exact"/>
        <w:rPr>
          <w:rFonts w:ascii="Arial" w:cs="Arial" w:eastAsia="Arial" w:hAnsi="Arial"/>
          <w:sz w:val="18"/>
          <w:szCs w:val="18"/>
          <w:color w:val="auto"/>
        </w:rPr>
      </w:pPr>
    </w:p>
    <w:p>
      <w:pPr>
        <w:ind w:left="1300" w:right="219" w:hanging="325"/>
        <w:spacing w:after="0" w:line="250"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capital structure or dividend policy, future issuances of securities, sales of large blocks of common stock by our stockholders;</w:t>
      </w: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and events surrounding financing efforts, including debt and equity securities;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enter into new markets or develop new products;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reputational issues;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competition from existing technologies and products or new technologies and products that may emerge;</w:t>
      </w:r>
    </w:p>
    <w:p>
      <w:pPr>
        <w:spacing w:after="0" w:line="32" w:lineRule="exact"/>
        <w:rPr>
          <w:rFonts w:ascii="Arial" w:cs="Arial" w:eastAsia="Arial" w:hAnsi="Arial"/>
          <w:sz w:val="16"/>
          <w:szCs w:val="16"/>
          <w:color w:val="auto"/>
        </w:rPr>
      </w:pPr>
    </w:p>
    <w:p>
      <w:pPr>
        <w:ind w:left="1300" w:right="739" w:hanging="325"/>
        <w:spacing w:after="0" w:line="250"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acquisitions, partnerships, collaborations, joint ventures, new products, capital commitments, or other events by us or our competitors;</w:t>
      </w:r>
    </w:p>
    <w:p>
      <w:pPr>
        <w:ind w:left="1300" w:right="79" w:hanging="325"/>
        <w:spacing w:after="0" w:line="250"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general economic, political and market conditions in or any of the regions in which we conduct our business;</w:t>
      </w: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industry conditions or perceptions;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valuations of similar companies or groups of companies;</w:t>
      </w:r>
    </w:p>
    <w:p>
      <w:pPr>
        <w:spacing w:after="0" w:line="9" w:lineRule="exact"/>
        <w:rPr>
          <w:rFonts w:ascii="Arial" w:cs="Arial" w:eastAsia="Arial" w:hAnsi="Arial"/>
          <w:sz w:val="18"/>
          <w:szCs w:val="18"/>
          <w:color w:val="auto"/>
        </w:rPr>
      </w:pPr>
    </w:p>
    <w:p>
      <w:pPr>
        <w:ind w:left="1300" w:right="59" w:hanging="325"/>
        <w:spacing w:after="0" w:line="250"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analyst research reports, recommendation and changes in recommendations, price targets, and withdrawals of coverage;</w:t>
      </w: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departures and additions of key personnel;</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325"/>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disputes and litigations related to intellectual properties, proprietary rights, and contractual obligations;</w:t>
      </w:r>
    </w:p>
    <w:p>
      <w:pPr>
        <w:spacing w:after="0" w:line="34" w:lineRule="exact"/>
        <w:rPr>
          <w:rFonts w:ascii="Arial" w:cs="Arial" w:eastAsia="Arial" w:hAnsi="Arial"/>
          <w:sz w:val="17"/>
          <w:szCs w:val="17"/>
          <w:color w:val="auto"/>
        </w:rPr>
      </w:pPr>
    </w:p>
    <w:p>
      <w:pPr>
        <w:ind w:left="1300" w:hanging="325"/>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applicable laws, rules, regulations, or accounting practices and other dynamics;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events or factors, many of which may be out of our control.</w:t>
      </w:r>
    </w:p>
    <w:p>
      <w:pPr>
        <w:spacing w:after="0" w:line="211" w:lineRule="exact"/>
        <w:rPr>
          <w:sz w:val="20"/>
          <w:szCs w:val="20"/>
          <w:color w:val="auto"/>
        </w:rPr>
      </w:pPr>
    </w:p>
    <w:p>
      <w:pPr>
        <w:jc w:val="both"/>
        <w:ind w:right="220" w:firstLine="324"/>
        <w:spacing w:after="0" w:line="302" w:lineRule="auto"/>
        <w:rPr>
          <w:sz w:val="20"/>
          <w:szCs w:val="20"/>
          <w:color w:val="auto"/>
        </w:rPr>
      </w:pPr>
      <w:r>
        <w:rPr>
          <w:rFonts w:ascii="Arial" w:cs="Arial" w:eastAsia="Arial" w:hAnsi="Arial"/>
          <w:sz w:val="16"/>
          <w:szCs w:val="16"/>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pacing w:after="0" w:line="154"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may acquire other companies or technologies, which could divert our management’s attention, result in dilution to our stockholders and otherwise disrupt our operations and adversely affect our operating results.</w:t>
      </w:r>
    </w:p>
    <w:p>
      <w:pPr>
        <w:spacing w:after="0" w:line="147"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5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7" w:lineRule="exact"/>
        <w:rPr>
          <w:sz w:val="20"/>
          <w:szCs w:val="20"/>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9" w:lineRule="exact"/>
        <w:rPr>
          <w:rFonts w:ascii="Arial" w:cs="Arial" w:eastAsia="Arial" w:hAnsi="Arial"/>
          <w:sz w:val="18"/>
          <w:szCs w:val="18"/>
          <w:color w:val="auto"/>
        </w:rPr>
      </w:pPr>
    </w:p>
    <w:p>
      <w:pPr>
        <w:ind w:left="1300" w:right="180" w:hanging="325"/>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ind w:left="1300" w:hanging="325"/>
        <w:spacing w:after="0" w:line="281"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difficulty converting the customers of the acquired business onto our platform and contract terms, including disparities in the revenue, licensing, support or professional services model of the acquired company;</w:t>
      </w:r>
    </w:p>
    <w:p>
      <w:pPr>
        <w:spacing w:after="0" w:line="1" w:lineRule="exact"/>
        <w:rPr>
          <w:rFonts w:ascii="Arial" w:cs="Arial" w:eastAsia="Arial" w:hAnsi="Arial"/>
          <w:sz w:val="16"/>
          <w:szCs w:val="16"/>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9" w:lineRule="exact"/>
        <w:rPr>
          <w:rFonts w:ascii="Arial" w:cs="Arial" w:eastAsia="Arial" w:hAnsi="Arial"/>
          <w:sz w:val="18"/>
          <w:szCs w:val="18"/>
          <w:color w:val="auto"/>
        </w:rPr>
      </w:pPr>
    </w:p>
    <w:p>
      <w:pPr>
        <w:ind w:left="1300" w:right="40" w:hanging="325"/>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customers as a result of the acquisition;</w:t>
      </w: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1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8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and economic conditions may negatively impact our business, financial condition and share price.</w:t>
      </w:r>
    </w:p>
    <w:p>
      <w:pPr>
        <w:spacing w:after="0" w:line="237"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Concerns over inflation, energy costs, geopolitical issues, the U.S. mortgage market and a declining real estate market, unstable global credit markets and financial conditions, and volatile oil prices have led to periods of significant economic instability, diminished liquidity and credit availability, declines in consumer confidence and discretionary spending, diminished expectations for the global economy and expectations of slower global economic growth going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forward, increased unemployment rates, and increased credit defaults in recent years. Our general business strategy may be adversely affected by any such economic downturns, volatile business environments and continued unstable or unpredictable economic and market conditions. If these conditions continue to deteriorate or do not improve, it may make any necessary debt or equity financing more difficult to complete, more costly, and more dilutive. Failure to secure any necessary financing in a timely manner and on favorable terms could have a material adverse effect on our growth strategy, financial performance, and share price and could require us to delay or abandon development or commercialization plans.</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Because certain of our stockholders control a significant number of shares of our common stock, they may have effective control over actions requiring stockholder approval.</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of June 30, 2019, our directors, executive officers and principal stockholders, and their respective affiliates, beneficially owned approximately 62% of our outstanding shares of common stock. As a result, these stockholders, acting together, would have the ability to control the outcome of matters submitted to our stockholders for approval, including the election of directors and any merger, consolidation or sale of all or substantially all of our assets. In addition, these stockholders, acting together, would have the ability to control the management and affairs of our company. Accordingly, this concentration of ownership might harm the market price of our common stock by:</w:t>
      </w:r>
    </w:p>
    <w:p>
      <w:pPr>
        <w:spacing w:after="0" w:line="178" w:lineRule="exact"/>
        <w:rPr>
          <w:sz w:val="20"/>
          <w:szCs w:val="20"/>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delaying, deferring or preventing a change in corporate control;</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9" w:lineRule="exact"/>
        <w:rPr>
          <w:rFonts w:ascii="Arial" w:cs="Arial" w:eastAsia="Arial" w:hAnsi="Arial"/>
          <w:sz w:val="18"/>
          <w:szCs w:val="18"/>
          <w:color w:val="auto"/>
        </w:rPr>
      </w:pPr>
    </w:p>
    <w:p>
      <w:pPr>
        <w:ind w:left="1300" w:right="220" w:hanging="325"/>
        <w:spacing w:after="0" w:line="261"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could result in additional dilution of the percentage ownership of our stockholders and could cause our share price to fall.</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expect that significant additional capital will be needed in the future to continue our planned operations, including increased marketing, hiring new personnel, commercializing our products, and continuing activities as an operating public company.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do not intend to pay cash dividends on our shares of common stock so any returns will be limited to the value of our shares.</w:t>
      </w:r>
    </w:p>
    <w:p>
      <w:pPr>
        <w:spacing w:after="0" w:line="17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are able to avail ourselves of reduced disclosure requirements applicable to emerging growth companies and smaller reporting companies, which could make our common stock less attractive to investors.</w:t>
      </w:r>
    </w:p>
    <w:p>
      <w:pPr>
        <w:spacing w:after="0" w:line="18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not electing to delay such adoption of new or revised accounting standards, and as a result, we will comply with new or revised accounting standards on the relevant dates on which adoption of such standards is required for non-emerging growth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revenues of $1.07 billion or more; (ii) the last day of our fiscal year following the fifth anniversary of the date of the completion of our initial public offering; (iii) the date on which we have issued more than $1 billion in nonconvertible debt during the previous three years; or (iv) the date on which we are deemed to be a large accelerated filer under the rules of the Securities and Exchange Commission.</w:t>
      </w:r>
    </w:p>
    <w:p>
      <w:pPr>
        <w:spacing w:after="0" w:line="3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also a smaller reporting company, and we will remain a smaller reporting company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 Similar to emerging growth companies, smaller reporting companies are able to provide simplified executive compensation disclosure, are exempt from the auditor attestation requirements of Section 404,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18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may be at risk of securities class action litigation. In the past, biotechnology and pharmaceutical companies have experienced significant stock price volatility, particularly when associated with binary events such as clinical trials and product approvals. If we face such litigation, it could result in substantial costs and a diversion of management’s attention and resources, which could harm our business and results in a decline in the market price of our common stock.</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and our bylaws, and Delaware law may have anti-takeover effects that could discourage, delay or prevent a change in control, which may cause our stock price to decline.</w:t>
      </w:r>
    </w:p>
    <w:p>
      <w:pPr>
        <w:spacing w:after="0" w:line="170"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color w:val="auto"/>
        </w:rPr>
        <w:t>Our amended and restated certificate of incorporation and our amended and restated bylaws and Delaware law could make it more difficult for a third party to acquire us, even if closing such a transaction would be beneficial to our stockholders. We are authorized to issue up to 10,000,000 shares of preferred stock. This preferred stock may be issued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and the Notes. In particular, specific rights granted to future holders of preferred stock could be used to restrict our ability to merge with, or sell our assets to, a third party and thereby preserve control by the present management.</w:t>
      </w:r>
    </w:p>
    <w:p>
      <w:pPr>
        <w:spacing w:after="0" w:line="178"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173" w:lineRule="exact"/>
        <w:rPr>
          <w:sz w:val="20"/>
          <w:szCs w:val="20"/>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the board of directors with the ability to alter the bylaws without stockholder approval;</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place limitations on the removal of directors;</w:t>
      </w:r>
    </w:p>
    <w:p>
      <w:pPr>
        <w:spacing w:after="0" w:line="9" w:lineRule="exact"/>
        <w:rPr>
          <w:rFonts w:ascii="Arial" w:cs="Arial" w:eastAsia="Arial" w:hAnsi="Arial"/>
          <w:sz w:val="18"/>
          <w:szCs w:val="18"/>
          <w:color w:val="auto"/>
        </w:rPr>
      </w:pPr>
    </w:p>
    <w:p>
      <w:pPr>
        <w:ind w:left="1300" w:right="520" w:hanging="325"/>
        <w:spacing w:after="0" w:line="250"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 and</w:t>
      </w:r>
    </w:p>
    <w:p>
      <w:pPr>
        <w:ind w:left="1300" w:right="100" w:hanging="325"/>
        <w:spacing w:after="0" w:line="261"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that vacancies on the board of directors may be filled by a majority of directors in office, although less than a quorum.</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Financial reporting obligations of being a public company in the United States are expensive and time-consuming, and our management will be required to devote substantial time to compliance matters.</w:t>
      </w:r>
    </w:p>
    <w:p>
      <w:pPr>
        <w:spacing w:after="0" w:line="170" w:lineRule="exact"/>
        <w:rPr>
          <w:sz w:val="20"/>
          <w:szCs w:val="20"/>
          <w:color w:val="auto"/>
        </w:rPr>
      </w:pPr>
    </w:p>
    <w:p>
      <w:pPr>
        <w:ind w:right="100" w:firstLine="324"/>
        <w:spacing w:after="0" w:line="285" w:lineRule="auto"/>
        <w:rPr>
          <w:sz w:val="20"/>
          <w:szCs w:val="20"/>
          <w:color w:val="auto"/>
        </w:rPr>
      </w:pPr>
      <w:r>
        <w:rPr>
          <w:rFonts w:ascii="Arial" w:cs="Arial" w:eastAsia="Arial" w:hAnsi="Arial"/>
          <w:sz w:val="16"/>
          <w:szCs w:val="16"/>
          <w:color w:val="auto"/>
        </w:rPr>
        <w:t>As a publicly traded company that is separate from BioXcel, we will incur significant additional legal, accounting and other expenses that we did not incur as a privately held subsidiary of BioXcel. The obligations of being a public company in the United States requires significant expenditures and will place significant demands on our management and other personnel, including costs resulting from public company reporting obligations under the Securities Exchange Act of 1934, as amended, or the Exchange Act, and the rules and regulations regarding corporate governance practices, including those under the Sarbanes-Oxley Act of 2002, or the Sarbanes-Oxley Act, the Dodd-Frank Wall Street Reform and Consumer Protection Act, or the Dodd-Frank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recent reforms made possible by the JOBS Act, the reporting requirements, rules, and regulations will make some activities more time-consuming and costly, particularly after we are no longer an “emerging growth company.” In addition, we expect these rules and regulations to make it more difficult and more expensive for us to obtain director and officer liability insurance and we may be required to incur substantial costs to maintain the same or similar coverage that we had through BioXcel. Our management and other personnel will need to devote a substantial amount of time to ensure that we comply with all of these requirements and to keep pace with new regulations, otherwise we may fall out of compliance and risk becoming subject to litigation or being delisted, among other potential problems.</w:t>
      </w:r>
    </w:p>
    <w:p>
      <w:pPr>
        <w:spacing w:after="0" w:line="17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If we fail to comply with the rules under the Sarbanes-Oxley Act of 2002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4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In connection with the audit of our financial statements for the years ended December 31, 2017 and 2016, our management concluded that we had material weaknesses in its internal controls because we did not have adequately designed internal controls to ensure the timely preparation and review of the accounting for certain complex, non-routine transactions by those with appropriate technical expertise, which was necessary to provide reasonable assurance that our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financial statements and related disclosures would be prepared in accordance with generally accepted accounting principles in the United States of America. In addition, we did not have adequately designed and documented financial close and management review controls to properly detect and prevent certain accounting errors and omitted disclosures in the financial statements and related footnotes. We believe we have remediated this material weakness by establishing proper closing procedures involving account reconciliations, engaging a third party to assist us with analyzing technically complex and non-routine transactions, the creation of a larger finance function with additional personnel, including the recruitment of a controller, assistant controller and administrative support personnel. This investment resulted and may continue to result in increased general and administrative expenses and a diversion of management’s time and attention from revenue-generating activities to compliance activities. If additional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U.S. government recently enacted comprehensive federal income tax legislation that includes significant changes to the taxation of business entities. These changes include, among others, a permanent reduction to the corporate income tax rate. Notwithstanding the reduction in the corporate income tax rate, the overall impact of this tax reform is uncertain, and our business and financial condition could be adversely affected. This Quarterly Report on Form 10-Q does not discuss any such tax legislation or the manner in which it might affect purchasers of our common stock. We urge our stockholders to consult with their legal and tax advisors with respect to any such legislation and the potential tax consequences of investing in our common stock.</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p>
      <w:pPr>
        <w:spacing w:after="0" w:line="2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Exhibit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ind w:left="100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9"/>
        </w:trPr>
        <w:tc>
          <w:tcPr>
            <w:tcW w:w="9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80" w:type="dxa"/>
            <w:vAlign w:val="bottom"/>
            <w:gridSpan w:val="11"/>
            <w:vMerge w:val="restart"/>
          </w:tcPr>
          <w:p>
            <w:pPr>
              <w:ind w:left="760"/>
              <w:spacing w:after="0"/>
              <w:rPr>
                <w:sz w:val="20"/>
                <w:szCs w:val="20"/>
                <w:color w:val="auto"/>
              </w:rPr>
            </w:pPr>
            <w:r>
              <w:rPr>
                <w:rFonts w:ascii="Arial" w:cs="Arial" w:eastAsia="Arial" w:hAnsi="Arial"/>
                <w:sz w:val="14"/>
                <w:szCs w:val="14"/>
                <w:b w:val="1"/>
                <w:bCs w:val="1"/>
                <w:color w:val="auto"/>
              </w:rPr>
              <w:t>Description</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6"/>
              </w:rPr>
              <w:t>File No. Exhibit</w:t>
            </w:r>
          </w:p>
        </w:tc>
        <w:tc>
          <w:tcPr>
            <w:tcW w:w="1500" w:type="dxa"/>
            <w:vAlign w:val="bottom"/>
          </w:tcPr>
          <w:p>
            <w:pPr>
              <w:ind w:left="860"/>
              <w:spacing w:after="0" w:line="149"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71"/>
        </w:trPr>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580" w:type="dxa"/>
            <w:vAlign w:val="bottom"/>
            <w:gridSpan w:val="11"/>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4"/>
                <w:szCs w:val="14"/>
                <w:b w:val="1"/>
                <w:bCs w:val="1"/>
                <w:color w:val="auto"/>
              </w:rPr>
              <w:t>Filing Date  Herewith</w:t>
            </w:r>
          </w:p>
        </w:tc>
        <w:tc>
          <w:tcPr>
            <w:tcW w:w="0" w:type="dxa"/>
            <w:vAlign w:val="bottom"/>
          </w:tcPr>
          <w:p>
            <w:pPr>
              <w:spacing w:after="0"/>
              <w:rPr>
                <w:sz w:val="1"/>
                <w:szCs w:val="1"/>
                <w:color w:val="auto"/>
              </w:rPr>
            </w:pPr>
          </w:p>
        </w:tc>
      </w:tr>
      <w:tr>
        <w:trPr>
          <w:trHeight w:val="169"/>
        </w:trPr>
        <w:tc>
          <w:tcPr>
            <w:tcW w:w="740" w:type="dxa"/>
            <w:vAlign w:val="bottom"/>
            <w:tcBorders>
              <w:top w:val="single" w:sz="8" w:color="auto"/>
            </w:tcBorders>
          </w:tcPr>
          <w:p>
            <w:pPr>
              <w:jc w:val="right"/>
              <w:ind w:right="132"/>
              <w:spacing w:after="0" w:line="170"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4"/>
                <w:szCs w:val="14"/>
                <w:color w:val="auto"/>
              </w:rPr>
            </w:pPr>
          </w:p>
        </w:tc>
        <w:tc>
          <w:tcPr>
            <w:tcW w:w="4960" w:type="dxa"/>
            <w:vAlign w:val="bottom"/>
            <w:tcBorders>
              <w:top w:val="single" w:sz="8" w:color="auto"/>
            </w:tcBorders>
            <w:gridSpan w:val="13"/>
          </w:tcPr>
          <w:p>
            <w:pPr>
              <w:spacing w:after="0" w:line="170" w:lineRule="exact"/>
              <w:rPr>
                <w:rFonts w:ascii="Arial" w:cs="Arial" w:eastAsia="Arial" w:hAnsi="Arial"/>
                <w:sz w:val="18"/>
                <w:szCs w:val="18"/>
                <w:color w:val="0000EE"/>
              </w:rPr>
            </w:pPr>
            <w:hyperlink r:id="rId82">
              <w:r>
                <w:rPr>
                  <w:rFonts w:ascii="Arial" w:cs="Arial" w:eastAsia="Arial" w:hAnsi="Arial"/>
                  <w:sz w:val="18"/>
                  <w:szCs w:val="18"/>
                  <w:color w:val="0000EE"/>
                </w:rPr>
                <w:t>Amended and Restated Certificate of Incorporation.</w:t>
              </w:r>
            </w:hyperlink>
          </w:p>
        </w:tc>
        <w:tc>
          <w:tcPr>
            <w:tcW w:w="5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8-K</w:t>
            </w:r>
          </w:p>
        </w:tc>
        <w:tc>
          <w:tcPr>
            <w:tcW w:w="620" w:type="dxa"/>
            <w:vAlign w:val="bottom"/>
            <w:tcBorders>
              <w:top w:val="single" w:sz="8" w:color="auto"/>
            </w:tcBorders>
          </w:tcPr>
          <w:p>
            <w:pPr>
              <w:ind w:left="100"/>
              <w:spacing w:after="0" w:line="170" w:lineRule="exact"/>
              <w:rPr>
                <w:sz w:val="20"/>
                <w:szCs w:val="20"/>
                <w:color w:val="auto"/>
              </w:rPr>
            </w:pPr>
            <w:r>
              <w:rPr>
                <w:rFonts w:ascii="Arial" w:cs="Arial" w:eastAsia="Arial" w:hAnsi="Arial"/>
                <w:sz w:val="18"/>
                <w:szCs w:val="18"/>
                <w:color w:val="auto"/>
              </w:rPr>
              <w:t>001-</w:t>
            </w:r>
          </w:p>
        </w:tc>
        <w:tc>
          <w:tcPr>
            <w:tcW w:w="5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3.1</w:t>
            </w:r>
          </w:p>
        </w:tc>
        <w:tc>
          <w:tcPr>
            <w:tcW w:w="1500" w:type="dxa"/>
            <w:vAlign w:val="bottom"/>
            <w:tcBorders>
              <w:top w:val="single" w:sz="8" w:color="auto"/>
            </w:tcBorders>
          </w:tcPr>
          <w:p>
            <w:pPr>
              <w:ind w:left="40"/>
              <w:spacing w:after="0" w:line="170" w:lineRule="exact"/>
              <w:rPr>
                <w:sz w:val="20"/>
                <w:szCs w:val="20"/>
                <w:color w:val="auto"/>
              </w:rPr>
            </w:pPr>
            <w:r>
              <w:rPr>
                <w:rFonts w:ascii="Arial" w:cs="Arial" w:eastAsia="Arial" w:hAnsi="Arial"/>
                <w:sz w:val="18"/>
                <w:szCs w:val="18"/>
                <w:color w:val="auto"/>
              </w:rPr>
              <w:t>3/13/2018</w:t>
            </w:r>
          </w:p>
        </w:tc>
        <w:tc>
          <w:tcPr>
            <w:tcW w:w="0" w:type="dxa"/>
            <w:vAlign w:val="bottom"/>
          </w:tcPr>
          <w:p>
            <w:pPr>
              <w:spacing w:after="0"/>
              <w:rPr>
                <w:sz w:val="1"/>
                <w:szCs w:val="1"/>
                <w:color w:val="auto"/>
              </w:rPr>
            </w:pPr>
          </w:p>
        </w:tc>
      </w:tr>
      <w:tr>
        <w:trPr>
          <w:trHeight w:val="237"/>
        </w:trPr>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980" w:type="dxa"/>
            <w:vAlign w:val="bottom"/>
            <w:tcBorders>
              <w:top w:val="single" w:sz="8" w:color="0000EE"/>
            </w:tcBorders>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144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w w:val="99"/>
              </w:rPr>
              <w:t>38410</w:t>
            </w: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40" w:type="dxa"/>
            <w:vAlign w:val="bottom"/>
          </w:tcPr>
          <w:p>
            <w:pPr>
              <w:jc w:val="right"/>
              <w:ind w:right="132"/>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4960" w:type="dxa"/>
            <w:vAlign w:val="bottom"/>
            <w:gridSpan w:val="13"/>
          </w:tcPr>
          <w:p>
            <w:pPr>
              <w:spacing w:after="0"/>
              <w:rPr>
                <w:rFonts w:ascii="Arial" w:cs="Arial" w:eastAsia="Arial" w:hAnsi="Arial"/>
                <w:sz w:val="18"/>
                <w:szCs w:val="18"/>
                <w:color w:val="0000EE"/>
              </w:rPr>
            </w:pPr>
            <w:hyperlink r:id="rId83">
              <w:r>
                <w:rPr>
                  <w:rFonts w:ascii="Arial" w:cs="Arial" w:eastAsia="Arial" w:hAnsi="Arial"/>
                  <w:sz w:val="18"/>
                  <w:szCs w:val="18"/>
                  <w:color w:val="0000EE"/>
                </w:rPr>
                <w:t>Amended and Restated Bylaws.</w:t>
              </w:r>
            </w:hyperlink>
          </w:p>
        </w:tc>
        <w:tc>
          <w:tcPr>
            <w:tcW w:w="5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20" w:type="dxa"/>
            <w:vAlign w:val="bottom"/>
          </w:tcPr>
          <w:p>
            <w:pPr>
              <w:ind w:left="100"/>
              <w:spacing w:after="0"/>
              <w:rPr>
                <w:sz w:val="20"/>
                <w:szCs w:val="20"/>
                <w:color w:val="auto"/>
              </w:rPr>
            </w:pPr>
            <w:r>
              <w:rPr>
                <w:rFonts w:ascii="Arial" w:cs="Arial" w:eastAsia="Arial" w:hAnsi="Arial"/>
                <w:sz w:val="18"/>
                <w:szCs w:val="18"/>
                <w:color w:val="auto"/>
              </w:rPr>
              <w:t>001-</w:t>
            </w:r>
          </w:p>
        </w:tc>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500" w:type="dxa"/>
            <w:vAlign w:val="bottom"/>
          </w:tcPr>
          <w:p>
            <w:pPr>
              <w:ind w:left="40"/>
              <w:spacing w:after="0"/>
              <w:rPr>
                <w:sz w:val="20"/>
                <w:szCs w:val="20"/>
                <w:color w:val="auto"/>
              </w:rPr>
            </w:pPr>
            <w:r>
              <w:rPr>
                <w:rFonts w:ascii="Arial" w:cs="Arial" w:eastAsia="Arial" w:hAnsi="Arial"/>
                <w:sz w:val="18"/>
                <w:szCs w:val="18"/>
                <w:color w:val="auto"/>
              </w:rPr>
              <w:t>3/13/2018</w:t>
            </w:r>
          </w:p>
        </w:tc>
        <w:tc>
          <w:tcPr>
            <w:tcW w:w="0" w:type="dxa"/>
            <w:vAlign w:val="bottom"/>
          </w:tcPr>
          <w:p>
            <w:pPr>
              <w:spacing w:after="0"/>
              <w:rPr>
                <w:sz w:val="1"/>
                <w:szCs w:val="1"/>
                <w:color w:val="auto"/>
              </w:rPr>
            </w:pPr>
          </w:p>
        </w:tc>
      </w:tr>
      <w:tr>
        <w:trPr>
          <w:trHeight w:val="237"/>
        </w:trPr>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980" w:type="dxa"/>
            <w:vAlign w:val="bottom"/>
            <w:tcBorders>
              <w:top w:val="single" w:sz="8" w:color="0000EE"/>
            </w:tcBorders>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w w:val="99"/>
              </w:rPr>
              <w:t>38410</w:t>
            </w:r>
          </w:p>
        </w:tc>
        <w:tc>
          <w:tcPr>
            <w:tcW w:w="5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40" w:type="dxa"/>
            <w:vAlign w:val="bottom"/>
          </w:tcPr>
          <w:p>
            <w:pPr>
              <w:jc w:val="right"/>
              <w:ind w:right="132"/>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4960" w:type="dxa"/>
            <w:vAlign w:val="bottom"/>
            <w:gridSpan w:val="13"/>
          </w:tcPr>
          <w:p>
            <w:pPr>
              <w:spacing w:after="0"/>
              <w:rPr>
                <w:rFonts w:ascii="Arial" w:cs="Arial" w:eastAsia="Arial" w:hAnsi="Arial"/>
                <w:sz w:val="18"/>
                <w:szCs w:val="18"/>
                <w:color w:val="0000EE"/>
                <w:w w:val="95"/>
              </w:rPr>
            </w:pPr>
            <w:hyperlink r:id="rId84">
              <w:r>
                <w:rPr>
                  <w:rFonts w:ascii="Arial" w:cs="Arial" w:eastAsia="Arial" w:hAnsi="Arial"/>
                  <w:sz w:val="18"/>
                  <w:szCs w:val="18"/>
                  <w:color w:val="0000EE"/>
                  <w:w w:val="95"/>
                </w:rPr>
                <w:t>Open Market Sale Agreement, dated as of May 20, 2019, by and</w:t>
              </w:r>
            </w:hyperlink>
          </w:p>
        </w:tc>
        <w:tc>
          <w:tcPr>
            <w:tcW w:w="5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20" w:type="dxa"/>
            <w:vAlign w:val="bottom"/>
          </w:tcPr>
          <w:p>
            <w:pPr>
              <w:ind w:left="100"/>
              <w:spacing w:after="0"/>
              <w:rPr>
                <w:sz w:val="20"/>
                <w:szCs w:val="20"/>
                <w:color w:val="auto"/>
              </w:rPr>
            </w:pPr>
            <w:r>
              <w:rPr>
                <w:rFonts w:ascii="Arial" w:cs="Arial" w:eastAsia="Arial" w:hAnsi="Arial"/>
                <w:sz w:val="18"/>
                <w:szCs w:val="18"/>
                <w:color w:val="auto"/>
              </w:rPr>
              <w:t>001-</w:t>
            </w: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500" w:type="dxa"/>
            <w:vAlign w:val="bottom"/>
          </w:tcPr>
          <w:p>
            <w:pPr>
              <w:ind w:left="40"/>
              <w:spacing w:after="0"/>
              <w:rPr>
                <w:sz w:val="20"/>
                <w:szCs w:val="20"/>
                <w:color w:val="auto"/>
              </w:rPr>
            </w:pPr>
            <w:r>
              <w:rPr>
                <w:rFonts w:ascii="Arial" w:cs="Arial" w:eastAsia="Arial" w:hAnsi="Arial"/>
                <w:sz w:val="18"/>
                <w:szCs w:val="18"/>
                <w:color w:val="auto"/>
              </w:rPr>
              <w:t>5/20/2019</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between BioXcel Therapeutics, Inc. and Jefferies LLC.</w:t>
              </w:r>
            </w:hyperlink>
          </w:p>
        </w:tc>
        <w:tc>
          <w:tcPr>
            <w:tcW w:w="320" w:type="dxa"/>
            <w:vAlign w:val="bottom"/>
            <w:gridSpan w:val="6"/>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ind w:left="100"/>
              <w:spacing w:after="0" w:line="196" w:lineRule="exact"/>
              <w:rPr>
                <w:sz w:val="20"/>
                <w:szCs w:val="20"/>
                <w:color w:val="auto"/>
              </w:rPr>
            </w:pPr>
            <w:r>
              <w:rPr>
                <w:rFonts w:ascii="Arial" w:cs="Arial" w:eastAsia="Arial" w:hAnsi="Arial"/>
                <w:sz w:val="18"/>
                <w:szCs w:val="18"/>
                <w:color w:val="auto"/>
                <w:w w:val="99"/>
              </w:rPr>
              <w:t>38410</w:t>
            </w:r>
          </w:p>
        </w:tc>
        <w:tc>
          <w:tcPr>
            <w:tcW w:w="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right"/>
              <w:ind w:right="132"/>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2"/>
              </w:rPr>
              <w:t>Certification of Principal Executive Officer Pursuant to Rules 13a-</w:t>
            </w:r>
          </w:p>
        </w:tc>
        <w:tc>
          <w:tcPr>
            <w:tcW w:w="16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60" w:type="dxa"/>
            <w:vAlign w:val="bottom"/>
            <w:gridSpan w:val="13"/>
          </w:tcPr>
          <w:p>
            <w:pPr>
              <w:spacing w:after="0" w:line="196" w:lineRule="exact"/>
              <w:rPr>
                <w:sz w:val="20"/>
                <w:szCs w:val="20"/>
                <w:color w:val="auto"/>
              </w:rPr>
            </w:pPr>
            <w:r>
              <w:rPr>
                <w:rFonts w:ascii="Arial" w:cs="Arial" w:eastAsia="Arial" w:hAnsi="Arial"/>
                <w:sz w:val="18"/>
                <w:szCs w:val="18"/>
                <w:color w:val="0000EE"/>
                <w:w w:val="92"/>
              </w:rPr>
              <w:t>14(a) and 15d-14(a) under the Securities Exchange Act of 1934, as</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vMerge w:val="restart"/>
          </w:tcPr>
          <w:p>
            <w:pPr>
              <w:jc w:val="center"/>
              <w:ind w:left="75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0" w:type="dxa"/>
            <w:vAlign w:val="bottom"/>
            <w:tcBorders>
              <w:top w:val="single" w:sz="8" w:color="0000EE"/>
            </w:tcBorders>
            <w:gridSpan w:val="11"/>
            <w:vMerge w:val="restart"/>
          </w:tcPr>
          <w:p>
            <w:pPr>
              <w:spacing w:after="0" w:line="196" w:lineRule="exact"/>
              <w:rPr>
                <w:sz w:val="20"/>
                <w:szCs w:val="20"/>
                <w:color w:val="auto"/>
              </w:rPr>
            </w:pPr>
            <w:r>
              <w:rPr>
                <w:rFonts w:ascii="Arial" w:cs="Arial" w:eastAsia="Arial" w:hAnsi="Arial"/>
                <w:sz w:val="18"/>
                <w:szCs w:val="18"/>
                <w:color w:val="0000EE"/>
                <w:w w:val="95"/>
              </w:rPr>
              <w:t>Adopted Pursuant to Section 302 of the Sarbanes-Oxley Act of</w:t>
            </w:r>
          </w:p>
        </w:tc>
        <w:tc>
          <w:tcPr>
            <w:tcW w:w="160" w:type="dxa"/>
            <w:vAlign w:val="bottom"/>
            <w:gridSpan w:val="2"/>
            <w:vMerge w:val="restart"/>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0" w:type="dxa"/>
            <w:vAlign w:val="bottom"/>
            <w:gridSpan w:val="11"/>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2002.</w:t>
            </w:r>
          </w:p>
        </w:tc>
        <w:tc>
          <w:tcPr>
            <w:tcW w:w="98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right"/>
              <w:ind w:right="132"/>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47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2"/>
              </w:rPr>
              <w:t>Certification of Principal Financial Officer Pursuant to Rules 13a-</w:t>
            </w:r>
          </w:p>
        </w:tc>
        <w:tc>
          <w:tcPr>
            <w:tcW w:w="200" w:type="dxa"/>
            <w:vAlign w:val="bottom"/>
            <w:gridSpan w:val="3"/>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60" w:type="dxa"/>
            <w:vAlign w:val="bottom"/>
            <w:gridSpan w:val="13"/>
          </w:tcPr>
          <w:p>
            <w:pPr>
              <w:spacing w:after="0" w:line="196" w:lineRule="exact"/>
              <w:rPr>
                <w:sz w:val="20"/>
                <w:szCs w:val="20"/>
                <w:color w:val="auto"/>
              </w:rPr>
            </w:pPr>
            <w:r>
              <w:rPr>
                <w:rFonts w:ascii="Arial" w:cs="Arial" w:eastAsia="Arial" w:hAnsi="Arial"/>
                <w:sz w:val="18"/>
                <w:szCs w:val="18"/>
                <w:color w:val="0000EE"/>
                <w:w w:val="92"/>
              </w:rPr>
              <w:t>14(a) and 15d-14(a) under the Securities Exchange Act of 1934, as</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vMerge w:val="restart"/>
          </w:tcPr>
          <w:p>
            <w:pPr>
              <w:jc w:val="center"/>
              <w:ind w:left="75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0" w:type="dxa"/>
            <w:vAlign w:val="bottom"/>
            <w:tcBorders>
              <w:top w:val="single" w:sz="8" w:color="0000EE"/>
            </w:tcBorders>
            <w:gridSpan w:val="11"/>
            <w:vMerge w:val="restart"/>
          </w:tcPr>
          <w:p>
            <w:pPr>
              <w:spacing w:after="0" w:line="196" w:lineRule="exact"/>
              <w:rPr>
                <w:sz w:val="20"/>
                <w:szCs w:val="20"/>
                <w:color w:val="auto"/>
              </w:rPr>
            </w:pPr>
            <w:r>
              <w:rPr>
                <w:rFonts w:ascii="Arial" w:cs="Arial" w:eastAsia="Arial" w:hAnsi="Arial"/>
                <w:sz w:val="18"/>
                <w:szCs w:val="18"/>
                <w:color w:val="0000EE"/>
                <w:w w:val="95"/>
              </w:rPr>
              <w:t>Adopted Pursuant to Section 302 of the Sarbanes-Oxley Act of</w:t>
            </w:r>
          </w:p>
        </w:tc>
        <w:tc>
          <w:tcPr>
            <w:tcW w:w="160" w:type="dxa"/>
            <w:vAlign w:val="bottom"/>
            <w:gridSpan w:val="2"/>
            <w:vMerge w:val="restart"/>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0" w:type="dxa"/>
            <w:vAlign w:val="bottom"/>
            <w:gridSpan w:val="11"/>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2002.</w:t>
            </w:r>
          </w:p>
        </w:tc>
        <w:tc>
          <w:tcPr>
            <w:tcW w:w="98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right"/>
              <w:ind w:right="132"/>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47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2"/>
              </w:rPr>
              <w:t>Certification of Principal Executive Officer Pursuant to 18 U.S.C.</w:t>
            </w:r>
          </w:p>
        </w:tc>
        <w:tc>
          <w:tcPr>
            <w:tcW w:w="22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vMerge w:val="restart"/>
          </w:tcPr>
          <w:p>
            <w:pPr>
              <w:jc w:val="center"/>
              <w:ind w:left="75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8"/>
              </w:rPr>
              <w:t>Section 1350, as Adopted Pursuant to Section 906 of the Sarbanes-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60" w:type="dxa"/>
            <w:vAlign w:val="bottom"/>
            <w:gridSpan w:val="13"/>
          </w:tcPr>
          <w:p>
            <w:pPr>
              <w:spacing w:after="0" w:line="196" w:lineRule="exact"/>
              <w:rPr>
                <w:sz w:val="20"/>
                <w:szCs w:val="20"/>
                <w:color w:val="auto"/>
              </w:rPr>
            </w:pPr>
            <w:r>
              <w:rPr>
                <w:rFonts w:ascii="Arial" w:cs="Arial" w:eastAsia="Arial" w:hAnsi="Arial"/>
                <w:sz w:val="18"/>
                <w:szCs w:val="18"/>
                <w:color w:val="0000EE"/>
              </w:rPr>
              <w:t>Oxley Act of 2002.</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right"/>
              <w:ind w:right="132"/>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4960" w:type="dxa"/>
            <w:vAlign w:val="bottom"/>
            <w:gridSpan w:val="13"/>
          </w:tcPr>
          <w:p>
            <w:pPr>
              <w:spacing w:after="0"/>
              <w:rPr>
                <w:sz w:val="20"/>
                <w:szCs w:val="20"/>
                <w:color w:val="auto"/>
              </w:rPr>
            </w:pPr>
            <w:r>
              <w:rPr>
                <w:rFonts w:ascii="Arial" w:cs="Arial" w:eastAsia="Arial" w:hAnsi="Arial"/>
                <w:sz w:val="18"/>
                <w:szCs w:val="18"/>
                <w:color w:val="0000EE"/>
                <w:w w:val="97"/>
              </w:rPr>
              <w:t>Certification of Principal Financial Officer Pursuant to 18 U.S.C.</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vMerge w:val="restart"/>
          </w:tcPr>
          <w:p>
            <w:pPr>
              <w:jc w:val="center"/>
              <w:ind w:left="75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80" w:type="dxa"/>
            <w:vAlign w:val="bottom"/>
            <w:gridSpan w:val="8"/>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8"/>
              </w:rPr>
              <w:t>Section 1350, as Adopted Pursuant to Section 906 of the Sarbanes-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60" w:type="dxa"/>
            <w:vAlign w:val="bottom"/>
            <w:gridSpan w:val="13"/>
          </w:tcPr>
          <w:p>
            <w:pPr>
              <w:spacing w:after="0" w:line="196" w:lineRule="exact"/>
              <w:rPr>
                <w:sz w:val="20"/>
                <w:szCs w:val="20"/>
                <w:color w:val="auto"/>
              </w:rPr>
            </w:pPr>
            <w:r>
              <w:rPr>
                <w:rFonts w:ascii="Arial" w:cs="Arial" w:eastAsia="Arial" w:hAnsi="Arial"/>
                <w:sz w:val="18"/>
                <w:szCs w:val="18"/>
                <w:color w:val="0000EE"/>
              </w:rPr>
              <w:t>Oxley Act of 2002.</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58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vMerge w:val="restart"/>
          </w:tcPr>
          <w:p>
            <w:pPr>
              <w:jc w:val="center"/>
              <w:ind w:left="75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453"/>
        </w:trPr>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101.INS</w:t>
            </w:r>
          </w:p>
        </w:tc>
        <w:tc>
          <w:tcPr>
            <w:tcW w:w="496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101.SCH</w:t>
            </w:r>
          </w:p>
        </w:tc>
        <w:tc>
          <w:tcPr>
            <w:tcW w:w="496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jc w:val="center"/>
              <w:ind w:left="75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8"/>
        </w:trPr>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101.CAL</w:t>
            </w:r>
          </w:p>
        </w:tc>
        <w:tc>
          <w:tcPr>
            <w:tcW w:w="496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jc w:val="center"/>
              <w:ind w:left="75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8"/>
        </w:trPr>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101.DEF</w:t>
            </w:r>
          </w:p>
        </w:tc>
        <w:tc>
          <w:tcPr>
            <w:tcW w:w="496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jc w:val="center"/>
              <w:ind w:left="75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8"/>
        </w:trPr>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101.LAB</w:t>
            </w:r>
          </w:p>
        </w:tc>
        <w:tc>
          <w:tcPr>
            <w:tcW w:w="496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jc w:val="center"/>
              <w:ind w:left="75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8"/>
        </w:trPr>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101.PRE</w:t>
            </w:r>
          </w:p>
        </w:tc>
        <w:tc>
          <w:tcPr>
            <w:tcW w:w="496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jc w:val="center"/>
              <w:ind w:left="75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68580</wp:posOffset>
            </wp:positionV>
            <wp:extent cx="13893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5" w:lineRule="exact"/>
        <w:rPr>
          <w:sz w:val="20"/>
          <w:szCs w:val="20"/>
          <w:color w:val="auto"/>
        </w:rPr>
      </w:pPr>
    </w:p>
    <w:p>
      <w:pPr>
        <w:ind w:left="300" w:hanging="297"/>
        <w:spacing w:after="0"/>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00" w:hanging="397"/>
        <w:spacing w:after="0"/>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BioXcel Therapeutics, Inc.</w:t>
            </w:r>
          </w:p>
        </w:tc>
      </w:tr>
      <w:tr>
        <w:trPr>
          <w:trHeight w:val="418"/>
        </w:trPr>
        <w:tc>
          <w:tcPr>
            <w:tcW w:w="3040" w:type="dxa"/>
            <w:vAlign w:val="bottom"/>
          </w:tcPr>
          <w:p>
            <w:pPr>
              <w:spacing w:after="0"/>
              <w:rPr>
                <w:sz w:val="20"/>
                <w:szCs w:val="20"/>
                <w:color w:val="auto"/>
              </w:rPr>
            </w:pPr>
            <w:r>
              <w:rPr>
                <w:rFonts w:ascii="Arial" w:cs="Arial" w:eastAsia="Arial" w:hAnsi="Arial"/>
                <w:sz w:val="18"/>
                <w:szCs w:val="18"/>
                <w:color w:val="auto"/>
              </w:rPr>
              <w:t>Dated: August 6, 2019</w:t>
            </w:r>
          </w:p>
        </w:tc>
        <w:tc>
          <w:tcPr>
            <w:tcW w:w="150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3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Vimal Mehta</w:t>
            </w:r>
          </w:p>
        </w:tc>
      </w:tr>
      <w:tr>
        <w:trPr>
          <w:trHeight w:val="195"/>
        </w:trPr>
        <w:tc>
          <w:tcPr>
            <w:tcW w:w="3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Vimal Mehta</w:t>
            </w:r>
          </w:p>
        </w:tc>
      </w:tr>
      <w:tr>
        <w:trPr>
          <w:trHeight w:val="216"/>
        </w:trPr>
        <w:tc>
          <w:tcPr>
            <w:tcW w:w="3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34"/>
        </w:trPr>
        <w:tc>
          <w:tcPr>
            <w:tcW w:w="3040" w:type="dxa"/>
            <w:vAlign w:val="bottom"/>
          </w:tcPr>
          <w:p>
            <w:pPr>
              <w:spacing w:after="0"/>
              <w:rPr>
                <w:sz w:val="20"/>
                <w:szCs w:val="20"/>
                <w:color w:val="auto"/>
              </w:rPr>
            </w:pPr>
            <w:r>
              <w:rPr>
                <w:rFonts w:ascii="Arial" w:cs="Arial" w:eastAsia="Arial" w:hAnsi="Arial"/>
                <w:sz w:val="18"/>
                <w:szCs w:val="18"/>
                <w:color w:val="auto"/>
              </w:rPr>
              <w:t>Dated: August 6, 2019</w:t>
            </w:r>
          </w:p>
        </w:tc>
        <w:tc>
          <w:tcPr>
            <w:tcW w:w="150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3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Steinhart</w:t>
            </w:r>
          </w:p>
        </w:tc>
      </w:tr>
      <w:tr>
        <w:trPr>
          <w:trHeight w:val="195"/>
        </w:trPr>
        <w:tc>
          <w:tcPr>
            <w:tcW w:w="3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Richard Steinhart, Chief Financial Officer</w:t>
            </w:r>
          </w:p>
        </w:tc>
      </w:tr>
      <w:tr>
        <w:trPr>
          <w:trHeight w:val="230"/>
        </w:trPr>
        <w:tc>
          <w:tcPr>
            <w:tcW w:w="3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864"/>
        </w:trPr>
        <w:tc>
          <w:tcPr>
            <w:tcW w:w="3040" w:type="dxa"/>
            <w:vAlign w:val="bottom"/>
          </w:tcPr>
          <w:p>
            <w:pPr>
              <w:spacing w:after="0"/>
              <w:rPr>
                <w:sz w:val="24"/>
                <w:szCs w:val="24"/>
                <w:color w:val="auto"/>
              </w:rPr>
            </w:pPr>
          </w:p>
        </w:tc>
        <w:tc>
          <w:tcPr>
            <w:tcW w:w="6020" w:type="dxa"/>
            <w:vAlign w:val="bottom"/>
            <w:gridSpan w:val="2"/>
          </w:tcPr>
          <w:p>
            <w:pPr>
              <w:jc w:val="right"/>
              <w:ind w:right="4350"/>
              <w:spacing w:after="0"/>
              <w:rPr>
                <w:sz w:val="20"/>
                <w:szCs w:val="20"/>
                <w:color w:val="auto"/>
              </w:rPr>
            </w:pPr>
            <w:r>
              <w:rPr>
                <w:rFonts w:ascii="Arial" w:cs="Arial" w:eastAsia="Arial" w:hAnsi="Arial"/>
                <w:sz w:val="18"/>
                <w:szCs w:val="18"/>
                <w:color w:val="auto"/>
              </w:rPr>
              <w:t>71</w:t>
            </w:r>
          </w:p>
        </w:tc>
      </w:tr>
      <w:tr>
        <w:trPr>
          <w:trHeight w:val="561"/>
        </w:trPr>
        <w:tc>
          <w:tcPr>
            <w:tcW w:w="30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71" w:name="page72"/>
    <w:bookmarkEnd w:id="71"/>
    <w:p>
      <w:pPr>
        <w:jc w:val="right"/>
        <w:ind w:right="13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Vimal Mehta, Ph.D., certify that:</w:t>
      </w:r>
    </w:p>
    <w:p>
      <w:pPr>
        <w:spacing w:after="0" w:line="374" w:lineRule="exact"/>
        <w:rPr>
          <w:sz w:val="20"/>
          <w:szCs w:val="20"/>
          <w:color w:val="auto"/>
        </w:rPr>
      </w:pPr>
    </w:p>
    <w:p>
      <w:pPr>
        <w:ind w:left="480" w:right="659" w:hanging="329"/>
        <w:spacing w:after="0" w:line="277" w:lineRule="auto"/>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2019 of BioXcel Therapeutics, Inc.;</w:t>
      </w:r>
    </w:p>
    <w:p>
      <w:pPr>
        <w:spacing w:after="0" w:line="170" w:lineRule="exact"/>
        <w:rPr>
          <w:rFonts w:ascii="Arial" w:cs="Arial" w:eastAsia="Arial" w:hAnsi="Arial"/>
          <w:sz w:val="18"/>
          <w:szCs w:val="18"/>
          <w:color w:val="auto"/>
        </w:rPr>
      </w:pPr>
    </w:p>
    <w:p>
      <w:pPr>
        <w:ind w:left="480" w:right="519" w:hanging="329"/>
        <w:spacing w:after="0" w:line="264" w:lineRule="auto"/>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80" w:right="399" w:hanging="329"/>
        <w:spacing w:after="0" w:line="264" w:lineRule="auto"/>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480" w:right="439" w:hanging="329"/>
        <w:spacing w:after="0" w:line="342" w:lineRule="auto"/>
        <w:tabs>
          <w:tab w:leader="none" w:pos="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83" w:lineRule="exact"/>
        <w:rPr>
          <w:rFonts w:ascii="Arial" w:cs="Arial" w:eastAsia="Arial" w:hAnsi="Arial"/>
          <w:sz w:val="16"/>
          <w:szCs w:val="16"/>
          <w:color w:val="auto"/>
        </w:rPr>
      </w:pPr>
    </w:p>
    <w:p>
      <w:pPr>
        <w:ind w:left="960" w:right="159" w:hanging="323"/>
        <w:spacing w:after="0" w:line="259" w:lineRule="auto"/>
        <w:tabs>
          <w:tab w:leader="none" w:pos="160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600" w:hanging="963"/>
        <w:spacing w:after="0"/>
        <w:tabs>
          <w:tab w:leader="none" w:pos="16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84" w:lineRule="exact"/>
        <w:rPr>
          <w:rFonts w:ascii="Arial" w:cs="Arial" w:eastAsia="Arial" w:hAnsi="Arial"/>
          <w:sz w:val="18"/>
          <w:szCs w:val="18"/>
          <w:color w:val="auto"/>
        </w:rPr>
      </w:pPr>
    </w:p>
    <w:p>
      <w:pPr>
        <w:ind w:left="960" w:right="259" w:hanging="323"/>
        <w:spacing w:after="0" w:line="264" w:lineRule="auto"/>
        <w:tabs>
          <w:tab w:leader="none" w:pos="1608"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left="960" w:right="299" w:hanging="323"/>
        <w:spacing w:after="0" w:line="259" w:lineRule="auto"/>
        <w:tabs>
          <w:tab w:leader="none" w:pos="160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480" w:right="199" w:hanging="329"/>
        <w:spacing w:after="0" w:line="264" w:lineRule="auto"/>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960" w:right="419" w:hanging="323"/>
        <w:spacing w:after="0" w:line="264" w:lineRule="auto"/>
        <w:tabs>
          <w:tab w:leader="none" w:pos="160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960" w:right="639" w:hanging="323"/>
        <w:spacing w:after="0" w:line="277" w:lineRule="auto"/>
        <w:tabs>
          <w:tab w:leader="none" w:pos="160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Date: August 6, 2019</w:t>
            </w:r>
          </w:p>
        </w:tc>
        <w:tc>
          <w:tcPr>
            <w:tcW w:w="5760" w:type="dxa"/>
            <w:vAlign w:val="bottom"/>
            <w:gridSpan w:val="2"/>
          </w:tcPr>
          <w:p>
            <w:pPr>
              <w:ind w:left="1420"/>
              <w:spacing w:after="0"/>
              <w:rPr>
                <w:sz w:val="20"/>
                <w:szCs w:val="20"/>
                <w:color w:val="auto"/>
              </w:rPr>
            </w:pPr>
            <w:r>
              <w:rPr>
                <w:rFonts w:ascii="Arial" w:cs="Arial" w:eastAsia="Arial" w:hAnsi="Arial"/>
                <w:sz w:val="18"/>
                <w:szCs w:val="18"/>
                <w:color w:val="auto"/>
              </w:rPr>
              <w:t>By: /s/ Vimal Mehta</w:t>
            </w:r>
          </w:p>
        </w:tc>
        <w:tc>
          <w:tcPr>
            <w:tcW w:w="20" w:type="dxa"/>
            <w:vAlign w:val="bottom"/>
          </w:tcPr>
          <w:p>
            <w:pPr>
              <w:spacing w:after="0"/>
              <w:rPr>
                <w:sz w:val="20"/>
                <w:szCs w:val="20"/>
                <w:color w:val="auto"/>
              </w:rPr>
            </w:pPr>
          </w:p>
        </w:tc>
      </w:tr>
      <w:tr>
        <w:trPr>
          <w:trHeight w:val="195"/>
        </w:trPr>
        <w:tc>
          <w:tcPr>
            <w:tcW w:w="29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9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Vimal Mehta, Ph.D.</w:t>
            </w:r>
          </w:p>
        </w:tc>
        <w:tc>
          <w:tcPr>
            <w:tcW w:w="2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18"/>
                <w:szCs w:val="18"/>
                <w:color w:val="auto"/>
              </w:rPr>
            </w:pPr>
          </w:p>
        </w:tc>
      </w:tr>
      <w:tr>
        <w:trPr>
          <w:trHeight w:val="230"/>
        </w:trPr>
        <w:tc>
          <w:tcPr>
            <w:tcW w:w="2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20" w:type="dxa"/>
            <w:vAlign w:val="bottom"/>
          </w:tcPr>
          <w:p>
            <w:pPr>
              <w:spacing w:after="0"/>
              <w:rPr>
                <w:sz w:val="20"/>
                <w:szCs w:val="20"/>
                <w:color w:val="auto"/>
              </w:rPr>
            </w:pPr>
          </w:p>
        </w:tc>
      </w:tr>
      <w:tr>
        <w:trPr>
          <w:trHeight w:val="736"/>
        </w:trPr>
        <w:tc>
          <w:tcPr>
            <w:tcW w:w="29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1006475</wp:posOffset>
            </wp:positionH>
            <wp:positionV relativeFrom="page">
              <wp:posOffset>88900</wp:posOffset>
            </wp:positionV>
            <wp:extent cx="554863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right"/>
        <w:ind w:right="13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Richard Steinhart, certify that:</w:t>
      </w:r>
    </w:p>
    <w:p>
      <w:pPr>
        <w:spacing w:after="0" w:line="374" w:lineRule="exact"/>
        <w:rPr>
          <w:sz w:val="20"/>
          <w:szCs w:val="20"/>
          <w:color w:val="auto"/>
        </w:rPr>
      </w:pPr>
    </w:p>
    <w:p>
      <w:pPr>
        <w:ind w:left="480" w:right="659" w:hanging="329"/>
        <w:spacing w:after="0" w:line="277"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2019 of BioXcel Therapeutics, Inc.;</w:t>
      </w:r>
    </w:p>
    <w:p>
      <w:pPr>
        <w:spacing w:after="0" w:line="170" w:lineRule="exact"/>
        <w:rPr>
          <w:rFonts w:ascii="Arial" w:cs="Arial" w:eastAsia="Arial" w:hAnsi="Arial"/>
          <w:sz w:val="18"/>
          <w:szCs w:val="18"/>
          <w:color w:val="auto"/>
        </w:rPr>
      </w:pPr>
    </w:p>
    <w:p>
      <w:pPr>
        <w:ind w:left="480" w:right="519" w:hanging="329"/>
        <w:spacing w:after="0" w:line="264"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80" w:right="399" w:hanging="329"/>
        <w:spacing w:after="0" w:line="264"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480" w:right="439" w:hanging="329"/>
        <w:spacing w:after="0" w:line="342" w:lineRule="auto"/>
        <w:tabs>
          <w:tab w:leader="none" w:pos="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23" w:lineRule="exact"/>
        <w:rPr>
          <w:rFonts w:ascii="Arial" w:cs="Arial" w:eastAsia="Arial" w:hAnsi="Arial"/>
          <w:sz w:val="16"/>
          <w:szCs w:val="16"/>
          <w:color w:val="auto"/>
        </w:rPr>
      </w:pPr>
    </w:p>
    <w:p>
      <w:pPr>
        <w:ind w:left="1120" w:right="219" w:hanging="321"/>
        <w:spacing w:after="0" w:line="259" w:lineRule="auto"/>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120" w:hanging="321"/>
        <w:spacing w:after="0"/>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120" w:right="399" w:hanging="321"/>
        <w:spacing w:after="0" w:line="264" w:lineRule="auto"/>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120" w:right="179" w:hanging="321"/>
        <w:spacing w:after="0" w:line="259" w:lineRule="auto"/>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480" w:right="199" w:hanging="329"/>
        <w:spacing w:after="0" w:line="264"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120" w:right="179" w:hanging="321"/>
        <w:spacing w:after="0" w:line="264" w:lineRule="auto"/>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120" w:right="319" w:hanging="321"/>
        <w:spacing w:after="0" w:line="277" w:lineRule="auto"/>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Date: August 6, 2019</w:t>
            </w:r>
          </w:p>
        </w:tc>
        <w:tc>
          <w:tcPr>
            <w:tcW w:w="5760" w:type="dxa"/>
            <w:vAlign w:val="bottom"/>
            <w:gridSpan w:val="2"/>
          </w:tcPr>
          <w:p>
            <w:pPr>
              <w:ind w:left="1420"/>
              <w:spacing w:after="0"/>
              <w:rPr>
                <w:sz w:val="20"/>
                <w:szCs w:val="20"/>
                <w:color w:val="auto"/>
              </w:rPr>
            </w:pPr>
            <w:r>
              <w:rPr>
                <w:rFonts w:ascii="Arial" w:cs="Arial" w:eastAsia="Arial" w:hAnsi="Arial"/>
                <w:sz w:val="18"/>
                <w:szCs w:val="18"/>
                <w:color w:val="auto"/>
              </w:rPr>
              <w:t>By: /s/ Richard Steinhart</w:t>
            </w:r>
          </w:p>
        </w:tc>
        <w:tc>
          <w:tcPr>
            <w:tcW w:w="20" w:type="dxa"/>
            <w:vAlign w:val="bottom"/>
          </w:tcPr>
          <w:p>
            <w:pPr>
              <w:spacing w:after="0"/>
              <w:rPr>
                <w:sz w:val="20"/>
                <w:szCs w:val="20"/>
                <w:color w:val="auto"/>
              </w:rPr>
            </w:pPr>
          </w:p>
        </w:tc>
      </w:tr>
      <w:tr>
        <w:trPr>
          <w:trHeight w:val="195"/>
        </w:trPr>
        <w:tc>
          <w:tcPr>
            <w:tcW w:w="29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9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Richard Steinhart</w:t>
            </w:r>
          </w:p>
        </w:tc>
        <w:tc>
          <w:tcPr>
            <w:tcW w:w="2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18"/>
                <w:szCs w:val="18"/>
                <w:color w:val="auto"/>
              </w:rPr>
            </w:pPr>
          </w:p>
        </w:tc>
      </w:tr>
      <w:tr>
        <w:trPr>
          <w:trHeight w:val="230"/>
        </w:trPr>
        <w:tc>
          <w:tcPr>
            <w:tcW w:w="2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20" w:type="dxa"/>
            <w:vAlign w:val="bottom"/>
          </w:tcPr>
          <w:p>
            <w:pPr>
              <w:spacing w:after="0"/>
              <w:rPr>
                <w:sz w:val="20"/>
                <w:szCs w:val="20"/>
                <w:color w:val="auto"/>
              </w:rPr>
            </w:pPr>
          </w:p>
        </w:tc>
      </w:tr>
      <w:tr>
        <w:trPr>
          <w:trHeight w:val="912"/>
        </w:trPr>
        <w:tc>
          <w:tcPr>
            <w:tcW w:w="29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74" w:name="page75"/>
    <w:bookmarkEnd w:id="74"/>
    <w:p>
      <w:pPr>
        <w:ind w:left="7940"/>
        <w:spacing w:after="0"/>
        <w:rPr>
          <w:sz w:val="20"/>
          <w:szCs w:val="20"/>
          <w:color w:val="auto"/>
        </w:rPr>
      </w:pPr>
      <w:r>
        <w:rPr>
          <w:rFonts w:ascii="Arial" w:cs="Arial" w:eastAsia="Arial" w:hAnsi="Arial"/>
          <w:sz w:val="16"/>
          <w:szCs w:val="16"/>
          <w:b w:val="1"/>
          <w:bCs w:val="1"/>
          <w:color w:val="auto"/>
        </w:rPr>
        <w:t>Exhibit 32.1</w:t>
      </w:r>
    </w:p>
    <w:p>
      <w:pPr>
        <w:spacing w:after="0" w:line="167" w:lineRule="exact"/>
        <w:rPr>
          <w:sz w:val="20"/>
          <w:szCs w:val="20"/>
          <w:color w:val="auto"/>
        </w:rPr>
      </w:pPr>
    </w:p>
    <w:p>
      <w:pPr>
        <w:jc w:val="center"/>
        <w:ind w:left="1600" w:right="1940"/>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86" w:lineRule="exact"/>
        <w:rPr>
          <w:sz w:val="20"/>
          <w:szCs w:val="20"/>
          <w:color w:val="auto"/>
        </w:rPr>
      </w:pPr>
    </w:p>
    <w:p>
      <w:pPr>
        <w:ind w:left="160" w:right="279" w:firstLine="648"/>
        <w:spacing w:after="0" w:line="279" w:lineRule="auto"/>
        <w:rPr>
          <w:sz w:val="20"/>
          <w:szCs w:val="20"/>
          <w:color w:val="auto"/>
        </w:rPr>
      </w:pPr>
      <w:r>
        <w:rPr>
          <w:rFonts w:ascii="Arial" w:cs="Arial" w:eastAsia="Arial" w:hAnsi="Arial"/>
          <w:sz w:val="17"/>
          <w:szCs w:val="17"/>
          <w:color w:val="auto"/>
        </w:rPr>
        <w:t>In connection with the Quarterly Report on Form 10-Q of BioXcel Therapeutics, Inc. (the “Company”) for the quarterly period ended June 30, 2019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960" w:right="299" w:hanging="323"/>
        <w:spacing w:after="0" w:line="277"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960" w:right="419" w:hanging="323"/>
        <w:spacing w:after="0" w:line="277"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3"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Date: August 6, 2019</w:t>
            </w:r>
          </w:p>
        </w:tc>
        <w:tc>
          <w:tcPr>
            <w:tcW w:w="5840" w:type="dxa"/>
            <w:vAlign w:val="bottom"/>
            <w:gridSpan w:val="2"/>
          </w:tcPr>
          <w:p>
            <w:pPr>
              <w:ind w:left="1320"/>
              <w:spacing w:after="0"/>
              <w:rPr>
                <w:sz w:val="20"/>
                <w:szCs w:val="20"/>
                <w:color w:val="auto"/>
              </w:rPr>
            </w:pPr>
            <w:r>
              <w:rPr>
                <w:rFonts w:ascii="Arial" w:cs="Arial" w:eastAsia="Arial" w:hAnsi="Arial"/>
                <w:sz w:val="18"/>
                <w:szCs w:val="18"/>
                <w:color w:val="auto"/>
              </w:rPr>
              <w:t>By:  /s/ Vimal Mehta</w:t>
            </w:r>
          </w:p>
        </w:tc>
        <w:tc>
          <w:tcPr>
            <w:tcW w:w="20" w:type="dxa"/>
            <w:vAlign w:val="bottom"/>
          </w:tcPr>
          <w:p>
            <w:pPr>
              <w:spacing w:after="0"/>
              <w:rPr>
                <w:sz w:val="20"/>
                <w:szCs w:val="20"/>
                <w:color w:val="auto"/>
              </w:rPr>
            </w:pPr>
          </w:p>
        </w:tc>
      </w:tr>
      <w:tr>
        <w:trPr>
          <w:trHeight w:val="195"/>
        </w:trPr>
        <w:tc>
          <w:tcPr>
            <w:tcW w:w="28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Vimal Mehta, Ph.D.</w:t>
            </w:r>
          </w:p>
        </w:tc>
        <w:tc>
          <w:tcPr>
            <w:tcW w:w="20" w:type="dxa"/>
            <w:vAlign w:val="bottom"/>
          </w:tcPr>
          <w:p>
            <w:pPr>
              <w:spacing w:after="0"/>
              <w:rPr>
                <w:sz w:val="16"/>
                <w:szCs w:val="16"/>
                <w:color w:val="auto"/>
              </w:rPr>
            </w:pPr>
          </w:p>
        </w:tc>
      </w:tr>
      <w:tr>
        <w:trPr>
          <w:trHeight w:val="216"/>
        </w:trPr>
        <w:tc>
          <w:tcPr>
            <w:tcW w:w="2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0" w:type="dxa"/>
            <w:vAlign w:val="bottom"/>
          </w:tcPr>
          <w:p>
            <w:pPr>
              <w:spacing w:after="0"/>
              <w:rPr>
                <w:sz w:val="20"/>
                <w:szCs w:val="20"/>
                <w:color w:val="auto"/>
              </w:rPr>
            </w:pPr>
          </w:p>
        </w:tc>
      </w:tr>
      <w:tr>
        <w:trPr>
          <w:trHeight w:val="736"/>
        </w:trPr>
        <w:tc>
          <w:tcPr>
            <w:tcW w:w="28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75" w:name="page76"/>
    <w:bookmarkEnd w:id="75"/>
    <w:p>
      <w:pPr>
        <w:ind w:left="7940"/>
        <w:spacing w:after="0"/>
        <w:rPr>
          <w:sz w:val="20"/>
          <w:szCs w:val="20"/>
          <w:color w:val="auto"/>
        </w:rPr>
      </w:pPr>
      <w:r>
        <w:rPr>
          <w:rFonts w:ascii="Arial" w:cs="Arial" w:eastAsia="Arial" w:hAnsi="Arial"/>
          <w:sz w:val="16"/>
          <w:szCs w:val="16"/>
          <w:b w:val="1"/>
          <w:bCs w:val="1"/>
          <w:color w:val="auto"/>
        </w:rPr>
        <w:t>Exhibit 32.2</w:t>
      </w:r>
    </w:p>
    <w:p>
      <w:pPr>
        <w:spacing w:after="0" w:line="167" w:lineRule="exact"/>
        <w:rPr>
          <w:sz w:val="20"/>
          <w:szCs w:val="20"/>
          <w:color w:val="auto"/>
        </w:rPr>
      </w:pPr>
    </w:p>
    <w:p>
      <w:pPr>
        <w:jc w:val="center"/>
        <w:ind w:left="1600" w:right="1940"/>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86" w:lineRule="exact"/>
        <w:rPr>
          <w:sz w:val="20"/>
          <w:szCs w:val="20"/>
          <w:color w:val="auto"/>
        </w:rPr>
      </w:pPr>
    </w:p>
    <w:p>
      <w:pPr>
        <w:ind w:left="160" w:right="279" w:firstLine="648"/>
        <w:spacing w:after="0" w:line="279" w:lineRule="auto"/>
        <w:rPr>
          <w:sz w:val="20"/>
          <w:szCs w:val="20"/>
          <w:color w:val="auto"/>
        </w:rPr>
      </w:pPr>
      <w:r>
        <w:rPr>
          <w:rFonts w:ascii="Arial" w:cs="Arial" w:eastAsia="Arial" w:hAnsi="Arial"/>
          <w:sz w:val="17"/>
          <w:szCs w:val="17"/>
          <w:color w:val="auto"/>
        </w:rPr>
        <w:t>In connection with the Quarterly Report on Form 10-Q of BioXcel Therapeutics, Inc. (the “Company”) for the quarterly period ended June 30, 2019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960" w:right="299" w:hanging="323"/>
        <w:spacing w:after="0" w:line="27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960" w:right="419" w:hanging="323"/>
        <w:spacing w:after="0" w:line="27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Date: August 6, 2019</w:t>
            </w:r>
          </w:p>
        </w:tc>
        <w:tc>
          <w:tcPr>
            <w:tcW w:w="5760" w:type="dxa"/>
            <w:vAlign w:val="bottom"/>
            <w:gridSpan w:val="2"/>
          </w:tcPr>
          <w:p>
            <w:pPr>
              <w:ind w:left="1420"/>
              <w:spacing w:after="0"/>
              <w:rPr>
                <w:sz w:val="20"/>
                <w:szCs w:val="20"/>
                <w:color w:val="auto"/>
              </w:rPr>
            </w:pPr>
            <w:r>
              <w:rPr>
                <w:rFonts w:ascii="Arial" w:cs="Arial" w:eastAsia="Arial" w:hAnsi="Arial"/>
                <w:sz w:val="18"/>
                <w:szCs w:val="18"/>
                <w:color w:val="auto"/>
              </w:rPr>
              <w:t>By: /s/ Richard Steinhart</w:t>
            </w:r>
          </w:p>
        </w:tc>
        <w:tc>
          <w:tcPr>
            <w:tcW w:w="20" w:type="dxa"/>
            <w:vAlign w:val="bottom"/>
          </w:tcPr>
          <w:p>
            <w:pPr>
              <w:spacing w:after="0"/>
              <w:rPr>
                <w:sz w:val="20"/>
                <w:szCs w:val="20"/>
                <w:color w:val="auto"/>
              </w:rPr>
            </w:pPr>
          </w:p>
        </w:tc>
      </w:tr>
      <w:tr>
        <w:trPr>
          <w:trHeight w:val="195"/>
        </w:trPr>
        <w:tc>
          <w:tcPr>
            <w:tcW w:w="29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9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Richard Steinhart</w:t>
            </w:r>
          </w:p>
        </w:tc>
        <w:tc>
          <w:tcPr>
            <w:tcW w:w="2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18"/>
                <w:szCs w:val="18"/>
                <w:color w:val="auto"/>
              </w:rPr>
            </w:pPr>
          </w:p>
        </w:tc>
      </w:tr>
      <w:tr>
        <w:trPr>
          <w:trHeight w:val="230"/>
        </w:trPr>
        <w:tc>
          <w:tcPr>
            <w:tcW w:w="2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20" w:type="dxa"/>
            <w:vAlign w:val="bottom"/>
          </w:tcPr>
          <w:p>
            <w:pPr>
              <w:spacing w:after="0"/>
              <w:rPr>
                <w:sz w:val="20"/>
                <w:szCs w:val="20"/>
                <w:color w:val="auto"/>
              </w:rPr>
            </w:pPr>
          </w:p>
        </w:tc>
      </w:tr>
      <w:tr>
        <w:trPr>
          <w:trHeight w:val="736"/>
        </w:trPr>
        <w:tc>
          <w:tcPr>
            <w:tcW w:w="29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76" w:name="page77"/>
    <w:bookmarkEnd w:id="76"/>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lowerRoman"/>
      <w:start w:val="3"/>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2" Type="http://schemas.openxmlformats.org/officeDocument/2006/relationships/hyperlink" Target="http://www.sec.gov/Archives/edgar/data/1357874/000119312519094641/d727819dex31.htm" TargetMode="External"/><Relationship Id="rId83" Type="http://schemas.openxmlformats.org/officeDocument/2006/relationships/hyperlink" Target="http://www.sec.gov/Archives/edgar/data/1357874/000119312519094641/d727819dex32.htm" TargetMode="External"/><Relationship Id="rId84" Type="http://schemas.openxmlformats.org/officeDocument/2006/relationships/hyperlink" Target="http://www.sec.gov/Archives/edgar/data/1720893/000110465919030429/a19-9697_3ex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2019-11-30T09:33:00Z</dcterms:created>
  <dcterms:modified xsi:type="dcterms:W3CDTF">2019-11-30T09:33:00Z</dcterms:modified>
</cp:coreProperties>
</file>