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btai-20260630x10q.htm"/>
        <w:bookmarkStart w:id="1" w:name="ksbtai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e8826af7_e734_469c_8b2d_2ddefa6c3581"/>
      <w:bookmarkEnd w:id="2"/>
      <w:r>
        <w:rPr>
          <w:rFonts w:ascii="Times New Roman;Times;serif" w:hAnsi="Times New Roman;Times;serif"/>
          <w:b/>
          <w:sz w:val="28"/>
        </w:rPr>
        <w:t>UNITED STATES</w:t>
      </w:r>
    </w:p>
    <w:p>
      <w:pPr>
        <w:pStyle w:val="TextBody"/>
        <w:bidi w:val="0"/>
        <w:spacing w:before="0" w:after="2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10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Normal"/>
        <w:bidi w:val="0"/>
        <w:spacing w:before="0" w:after="0"/>
        <w:jc w:val="left"/>
        <w:rPr>
          <w:sz w:val="4"/>
          <w:szCs w:val="4"/>
        </w:rPr>
      </w:pPr>
      <w:r>
        <w:rPr>
          <w:sz w:val="4"/>
          <w:szCs w:val="4"/>
        </w:rPr>
      </w:r>
      <w:bookmarkStart w:id="3" w:name="Tc_LSmSryOxa0W37o68EPc0qQ_10_1"/>
      <w:bookmarkStart w:id="4" w:name="Tc_BbLjpdqoAkGp6-ENYS1-xA_9_1"/>
      <w:bookmarkStart w:id="5" w:name="Tc_zWzxF0Pmu0uG50XNB4gTrw_7_0"/>
      <w:bookmarkStart w:id="6" w:name="Tc_WSWtoge2-k2PoA6PsFA4_g_5_0"/>
      <w:bookmarkStart w:id="7" w:name="Tc_qYLGXBw0-EODNWONt28KLg_3_1"/>
      <w:bookmarkStart w:id="8" w:name="Tc_wiuH2YNjV0Sw_pFlPKcXCQ_1_0"/>
      <w:bookmarkStart w:id="9" w:name="_8a148e01_495a_488d_866b_6be6c4ba7e14"/>
      <w:bookmarkStart w:id="10" w:name="Tc_LSmSryOxa0W37o68EPc0qQ_10_1"/>
      <w:bookmarkStart w:id="11" w:name="Tc_BbLjpdqoAkGp6-ENYS1-xA_9_1"/>
      <w:bookmarkStart w:id="12" w:name="Tc_zWzxF0Pmu0uG50XNB4gTrw_7_0"/>
      <w:bookmarkStart w:id="13" w:name="Tc_WSWtoge2-k2PoA6PsFA4_g_5_0"/>
      <w:bookmarkStart w:id="14" w:name="Tc_qYLGXBw0-EODNWONt28KLg_3_1"/>
      <w:bookmarkStart w:id="15" w:name="Tc_wiuH2YNjV0Sw_pFlPKcXCQ_1_0"/>
      <w:bookmarkStart w:id="16" w:name="_8a148e01_495a_488d_866b_6be6c4ba7e14"/>
      <w:bookmarkEnd w:id="10"/>
      <w:bookmarkEnd w:id="11"/>
      <w:bookmarkEnd w:id="12"/>
      <w:bookmarkEnd w:id="13"/>
      <w:bookmarkEnd w:id="14"/>
      <w:bookmarkEnd w:id="15"/>
      <w:bookmarkEnd w:id="1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1020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tc>
      </w:tr>
      <w:tr>
        <w:trPr/>
        <w:tc>
          <w:tcPr>
            <w:tcW w:w="10205" w:type="dxa"/>
            <w:gridSpan w:val="2"/>
            <w:tcBorders/>
            <w:vAlign w:val="center"/>
          </w:tcPr>
          <w:p>
            <w:pPr>
              <w:pStyle w:val="TableContents"/>
              <w:bidi w:val="0"/>
              <w:spacing w:before="0" w:after="0"/>
              <w:ind w:left="0" w:right="0" w:hanging="0"/>
              <w:jc w:val="center"/>
              <w:rPr/>
            </w:pPr>
            <w:r>
              <w:rPr/>
              <w:t>​</w:t>
            </w:r>
          </w:p>
        </w:tc>
      </w:tr>
      <w:tr>
        <w:trPr/>
        <w:tc>
          <w:tcPr>
            <w:tcW w:w="102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tc>
      </w:tr>
      <w:tr>
        <w:trPr/>
        <w:tc>
          <w:tcPr>
            <w:tcW w:w="10205" w:type="dxa"/>
            <w:gridSpan w:val="2"/>
            <w:tcBorders/>
            <w:vAlign w:val="center"/>
          </w:tcPr>
          <w:p>
            <w:pPr>
              <w:pStyle w:val="TableContents"/>
              <w:bidi w:val="0"/>
              <w:spacing w:before="0" w:after="0"/>
              <w:ind w:left="0" w:right="0" w:hanging="0"/>
              <w:jc w:val="center"/>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001-38410</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BioXcel Therapeutics,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Normal"/>
        <w:bidi w:val="0"/>
        <w:spacing w:before="0" w:after="0"/>
        <w:jc w:val="left"/>
        <w:rPr>
          <w:sz w:val="4"/>
          <w:szCs w:val="4"/>
        </w:rPr>
      </w:pPr>
      <w:r>
        <w:rPr>
          <w:sz w:val="4"/>
          <w:szCs w:val="4"/>
        </w:rPr>
      </w:r>
      <w:bookmarkStart w:id="17" w:name="Tc_5b7YOJ1Lh0usoUcntZMLkA_7_1"/>
      <w:bookmarkStart w:id="18" w:name="Tc_ojHRG7XEZ0iPvEKSNI81pQ_7_0"/>
      <w:bookmarkStart w:id="19" w:name="Tc_cwLvdc5c7Eav2yUi_6B6oA_6_0"/>
      <w:bookmarkStart w:id="20" w:name="Tc_z1fTfNtMkEmc8jFNudk8BQ_3_1"/>
      <w:bookmarkStart w:id="21" w:name="Tc_tvZ9RPNDKk6lMNnff7QLSg_3_0"/>
      <w:bookmarkStart w:id="22" w:name="_2a788f4d_2bf8_41d4_a2de_63cd207d5bd6"/>
      <w:bookmarkStart w:id="23" w:name="Tc_5b7YOJ1Lh0usoUcntZMLkA_7_1"/>
      <w:bookmarkStart w:id="24" w:name="Tc_ojHRG7XEZ0iPvEKSNI81pQ_7_0"/>
      <w:bookmarkStart w:id="25" w:name="Tc_cwLvdc5c7Eav2yUi_6B6oA_6_0"/>
      <w:bookmarkStart w:id="26" w:name="Tc_z1fTfNtMkEmc8jFNudk8BQ_3_1"/>
      <w:bookmarkStart w:id="27" w:name="Tc_tvZ9RPNDKk6lMNnff7QLSg_3_0"/>
      <w:bookmarkStart w:id="28" w:name="_2a788f4d_2bf8_41d4_a2de_63cd207d5bd6"/>
      <w:bookmarkEnd w:id="23"/>
      <w:bookmarkEnd w:id="24"/>
      <w:bookmarkEnd w:id="25"/>
      <w:bookmarkEnd w:id="26"/>
      <w:bookmarkEnd w:id="27"/>
      <w:bookmarkEnd w:id="28"/>
    </w:p>
    <w:tbl>
      <w:tblPr>
        <w:tblW w:w="4307" w:type="dxa"/>
        <w:jc w:val="left"/>
        <w:tblInd w:w="0" w:type="dxa"/>
        <w:tblLayout w:type="fixed"/>
        <w:tblCellMar>
          <w:top w:w="0" w:type="dxa"/>
          <w:left w:w="0" w:type="dxa"/>
          <w:bottom w:w="0" w:type="dxa"/>
          <w:right w:w="0" w:type="dxa"/>
        </w:tblCellMar>
      </w:tblPr>
      <w:tblGrid>
        <w:gridCol w:w="2866"/>
        <w:gridCol w:w="1441"/>
      </w:tblGrid>
      <w:tr>
        <w:trPr/>
        <w:tc>
          <w:tcPr>
            <w:tcW w:w="286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82-1386754</w:t>
            </w:r>
          </w:p>
        </w:tc>
      </w:tr>
      <w:tr>
        <w:trPr/>
        <w:tc>
          <w:tcPr>
            <w:tcW w:w="286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 or organization)</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No.)</w:t>
            </w:r>
          </w:p>
        </w:tc>
      </w:tr>
      <w:tr>
        <w:trPr/>
        <w:tc>
          <w:tcPr>
            <w:tcW w:w="2866" w:type="dxa"/>
            <w:tcBorders/>
            <w:vAlign w:val="center"/>
          </w:tcPr>
          <w:p>
            <w:pPr>
              <w:pStyle w:val="TableContents"/>
              <w:bidi w:val="0"/>
              <w:spacing w:before="0" w:after="240"/>
              <w:ind w:left="0" w:right="0" w:hanging="0"/>
              <w:jc w:val="center"/>
              <w:rPr/>
            </w:pPr>
            <w:r>
              <w:rPr/>
              <w:t>​</w:t>
            </w:r>
          </w:p>
        </w:tc>
        <w:tc>
          <w:tcPr>
            <w:tcW w:w="1441" w:type="dxa"/>
            <w:tcBorders/>
            <w:vAlign w:val="center"/>
          </w:tcPr>
          <w:p>
            <w:pPr>
              <w:pStyle w:val="TableContents"/>
              <w:bidi w:val="0"/>
              <w:spacing w:before="0" w:after="240"/>
              <w:ind w:left="0" w:right="0" w:hanging="0"/>
              <w:jc w:val="center"/>
              <w:rPr/>
            </w:pPr>
            <w:r>
              <w:rPr/>
              <w:t>​</w:t>
            </w:r>
          </w:p>
        </w:tc>
      </w:tr>
      <w:tr>
        <w:trPr/>
        <w:tc>
          <w:tcPr>
            <w:tcW w:w="2866" w:type="dxa"/>
            <w:tcBorders/>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555 Long Wharf Drive</w:t>
            </w:r>
          </w:p>
        </w:tc>
        <w:tc>
          <w:tcPr>
            <w:tcW w:w="1441" w:type="dxa"/>
            <w:tcBorders/>
            <w:vAlign w:val="center"/>
          </w:tcPr>
          <w:p>
            <w:pPr>
              <w:pStyle w:val="TableContents"/>
              <w:bidi w:val="0"/>
              <w:spacing w:before="0" w:after="240"/>
              <w:ind w:left="0" w:right="0" w:hanging="0"/>
              <w:jc w:val="center"/>
              <w:rPr/>
            </w:pPr>
            <w:r>
              <w:rPr/>
              <w:t>​</w:t>
            </w:r>
          </w:p>
        </w:tc>
      </w:tr>
      <w:tr>
        <w:trPr/>
        <w:tc>
          <w:tcPr>
            <w:tcW w:w="2866" w:type="dxa"/>
            <w:tcBorders/>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New Haven, CT</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06511</w:t>
            </w:r>
          </w:p>
        </w:tc>
      </w:tr>
      <w:tr>
        <w:trPr/>
        <w:tc>
          <w:tcPr>
            <w:tcW w:w="286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(475) 238-6837</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9" w:name="Tc_LBoJM6ehSU-bbPAyQPlSnA_5_4"/>
      <w:bookmarkStart w:id="30" w:name="Tc_KvhKjRMgjkuMAHzqq4N0Cg_5_0"/>
      <w:bookmarkStart w:id="31" w:name="Tc_iJ5qar9tFkaWtUfQ7z55UQ_4_4"/>
      <w:bookmarkStart w:id="32" w:name="Tc_iunGl3WNck6vame_8h2IKg_4_2"/>
      <w:bookmarkStart w:id="33" w:name="Tc_ptdAwkwlXUW75t5pSDAYGg_4_0"/>
      <w:bookmarkStart w:id="34" w:name="Tc_lAxCYkvaIkOQozLJCxBEGg_2_0"/>
      <w:bookmarkStart w:id="35" w:name="_b8579348_8ad9_4f20_8f21_12e843bbbb48"/>
      <w:bookmarkStart w:id="36" w:name="Tc_LBoJM6ehSU-bbPAyQPlSnA_5_4"/>
      <w:bookmarkStart w:id="37" w:name="Tc_KvhKjRMgjkuMAHzqq4N0Cg_5_0"/>
      <w:bookmarkStart w:id="38" w:name="Tc_iJ5qar9tFkaWtUfQ7z55UQ_4_4"/>
      <w:bookmarkStart w:id="39" w:name="Tc_iunGl3WNck6vame_8h2IKg_4_2"/>
      <w:bookmarkStart w:id="40" w:name="Tc_ptdAwkwlXUW75t5pSDAYGg_4_0"/>
      <w:bookmarkStart w:id="41" w:name="Tc_lAxCYkvaIkOQozLJCxBEGg_2_0"/>
      <w:bookmarkStart w:id="42" w:name="_b8579348_8ad9_4f20_8f21_12e843bbbb48"/>
      <w:bookmarkEnd w:id="36"/>
      <w:bookmarkEnd w:id="37"/>
      <w:bookmarkEnd w:id="38"/>
      <w:bookmarkEnd w:id="39"/>
      <w:bookmarkEnd w:id="40"/>
      <w:bookmarkEnd w:id="41"/>
      <w:bookmarkEnd w:id="42"/>
    </w:p>
    <w:tbl>
      <w:tblPr>
        <w:tblW w:w="6971" w:type="dxa"/>
        <w:jc w:val="left"/>
        <w:tblInd w:w="0" w:type="dxa"/>
        <w:tblLayout w:type="fixed"/>
        <w:tblCellMar>
          <w:top w:w="0" w:type="dxa"/>
          <w:left w:w="0" w:type="dxa"/>
          <w:bottom w:w="0" w:type="dxa"/>
          <w:right w:w="0" w:type="dxa"/>
        </w:tblCellMar>
      </w:tblPr>
      <w:tblGrid>
        <w:gridCol w:w="1981"/>
        <w:gridCol w:w="109"/>
        <w:gridCol w:w="1456"/>
        <w:gridCol w:w="109"/>
        <w:gridCol w:w="3316"/>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283"/>
              <w:ind w:left="0" w:right="0" w:hanging="0"/>
              <w:jc w:val="left"/>
              <w:rPr>
                <w:sz w:val="4"/>
                <w:szCs w:val="4"/>
              </w:rPr>
            </w:pPr>
            <w:r>
              <w:rPr>
                <w:sz w:val="4"/>
                <w:szCs w:val="4"/>
              </w:rPr>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283"/>
              <w:ind w:left="0" w:right="0" w:hanging="0"/>
              <w:jc w:val="left"/>
              <w:rPr>
                <w:sz w:val="4"/>
                <w:szCs w:val="4"/>
              </w:rPr>
            </w:pPr>
            <w:r>
              <w:rPr>
                <w:sz w:val="4"/>
                <w:szCs w:val="4"/>
              </w:rPr>
            </w:r>
          </w:p>
        </w:tc>
      </w:tr>
      <w:tr>
        <w:trPr/>
        <w:tc>
          <w:tcPr>
            <w:tcW w:w="697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tc>
      </w:tr>
      <w:tr>
        <w:trPr/>
        <w:tc>
          <w:tcPr>
            <w:tcW w:w="6971" w:type="dxa"/>
            <w:gridSpan w:val="5"/>
            <w:tcBorders/>
            <w:vAlign w:val="center"/>
          </w:tcPr>
          <w:p>
            <w:pPr>
              <w:pStyle w:val="TableContents"/>
              <w:bidi w:val="0"/>
              <w:spacing w:before="0" w:after="0"/>
              <w:ind w:left="0" w:right="0" w:hanging="0"/>
              <w:jc w:val="center"/>
              <w:rPr/>
            </w:pPr>
            <w:r>
              <w:rPr/>
              <w:t>​</w:t>
            </w:r>
          </w:p>
        </w:tc>
      </w:tr>
      <w:tr>
        <w:trPr/>
        <w:tc>
          <w:tcPr>
            <w:tcW w:w="19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109"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9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w:t>
              <w:br/>
              <w:t>$0.001 par value per share</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BTAI</w:t>
            </w:r>
          </w:p>
        </w:tc>
        <w:tc>
          <w:tcPr>
            <w:tcW w:w="109"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Nasdaq</w:t>
            </w:r>
            <w:r>
              <w:rPr>
                <w:rFonts w:ascii="Times New Roman;Times;serif" w:hAnsi="Times New Roman;Times;serif"/>
                <w:sz w:val="20"/>
              </w:rPr>
              <w:t xml:space="preserve"> </w:t>
            </w:r>
            <w:r>
              <w:rPr>
                <w:rFonts w:ascii="Times New Roman;Times;serif" w:hAnsi="Times New Roman;Times;serif"/>
                <w:sz w:val="16"/>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tbl>
      <w:tblPr>
        <w:tblW w:w="4157" w:type="dxa"/>
        <w:jc w:val="left"/>
        <w:tblInd w:w="0" w:type="dxa"/>
        <w:tblLayout w:type="fixed"/>
        <w:tblCellMar>
          <w:top w:w="0" w:type="dxa"/>
          <w:left w:w="0" w:type="dxa"/>
          <w:bottom w:w="0" w:type="dxa"/>
          <w:right w:w="0" w:type="dxa"/>
        </w:tblCellMar>
      </w:tblPr>
      <w:tblGrid>
        <w:gridCol w:w="1861"/>
        <w:gridCol w:w="229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p>
        </w:tc>
        <w:tc>
          <w:tcPr>
            <w:tcW w:w="2296" w:type="dxa"/>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Large accelerated filer ☐</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r>
      <w:tr>
        <w:trPr/>
        <w:tc>
          <w:tcPr>
            <w:tcW w:w="1861"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240"/>
              <w:ind w:left="0" w:right="0" w:hanging="0"/>
              <w:jc w:val="center"/>
              <w:rPr/>
            </w:pPr>
            <w:r>
              <w:rPr/>
              <w:t>​</w:t>
            </w:r>
          </w:p>
        </w:tc>
      </w:tr>
      <w:tr>
        <w:trPr/>
        <w:tc>
          <w:tcPr>
            <w:tcW w:w="186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xml:space="preserve"> ☒</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Smaller reporting company </w:t>
            </w:r>
            <w:r>
              <w:rPr>
                <w:rFonts w:ascii="Times New Roman;Times;serif" w:hAnsi="Times New Roman;Times;serif"/>
                <w:sz w:val="20"/>
              </w:rPr>
              <w:t>☒</w:t>
            </w:r>
          </w:p>
        </w:tc>
      </w:tr>
      <w:tr>
        <w:trPr/>
        <w:tc>
          <w:tcPr>
            <w:tcW w:w="1861" w:type="dxa"/>
            <w:tcBorders/>
            <w:vAlign w:val="center"/>
          </w:tcPr>
          <w:p>
            <w:pPr>
              <w:pStyle w:val="TableContents"/>
              <w:pBdr/>
              <w:bidi w:val="0"/>
              <w:spacing w:before="0" w:after="240"/>
              <w:ind w:left="0" w:right="0" w:hanging="0"/>
              <w:jc w:val="center"/>
              <w:rPr/>
            </w:pPr>
            <w:r>
              <w:rPr/>
              <w:t>​</w:t>
            </w:r>
          </w:p>
        </w:tc>
        <w:tc>
          <w:tcPr>
            <w:tcW w:w="2296" w:type="dxa"/>
            <w:tcBorders/>
            <w:vAlign w:val="center"/>
          </w:tcPr>
          <w:p>
            <w:pPr>
              <w:pStyle w:val="TableContents"/>
              <w:bidi w:val="0"/>
              <w:spacing w:before="0" w:after="240"/>
              <w:ind w:left="0" w:right="0" w:hanging="0"/>
              <w:jc w:val="center"/>
              <w:rPr/>
            </w:pPr>
            <w:r>
              <w:rPr/>
              <w:t>​</w:t>
            </w:r>
          </w:p>
        </w:tc>
      </w:tr>
      <w:tr>
        <w:trPr/>
        <w:tc>
          <w:tcPr>
            <w:tcW w:w="1861" w:type="dxa"/>
            <w:tcBorders/>
            <w:vAlign w:val="center"/>
          </w:tcPr>
          <w:p>
            <w:pPr>
              <w:pStyle w:val="TableContents"/>
              <w:pBdr/>
              <w:bidi w:val="0"/>
              <w:spacing w:before="0" w:after="240"/>
              <w:ind w:left="0" w:right="0" w:hanging="0"/>
              <w:jc w:val="center"/>
              <w:rPr/>
            </w:pPr>
            <w:r>
              <w:rPr/>
              <w:t>​</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The number of shares of the registrant’s common stock, $0.001 par value per share, outstanding at August 11, 2026 was 31,305,499.</w:t>
      </w:r>
    </w:p>
    <w:p>
      <w:pPr>
        <w:pStyle w:val="TextBody"/>
        <w:bidi w:val="0"/>
        <w:spacing w:before="0" w:after="240"/>
        <w:ind w:left="0" w:right="0" w:firstLine="360"/>
        <w:jc w:val="left"/>
        <w:rPr/>
      </w:pPr>
      <w:r>
        <w:rPr/>
        <w:t>​</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113"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43" w:name="TOC"/>
      <w:bookmarkStart w:id="44" w:name="_199e8bb1_3843_488e_a0cf_fa52dcffc2d6"/>
      <w:bookmarkEnd w:id="43"/>
      <w:bookmarkEnd w:id="44"/>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797"/>
        <w:gridCol w:w="8896"/>
        <w:gridCol w:w="512"/>
      </w:tblGrid>
      <w:tr>
        <w:trPr/>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06095" cy="175260"/>
                      <wp:effectExtent l="0" t="0" r="0" b="0"/>
                      <wp:wrapNone/>
                      <wp:docPr id="1" name="Frame1"/>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648960" cy="175260"/>
                      <wp:effectExtent l="0" t="0" r="0" b="0"/>
                      <wp:wrapNone/>
                      <wp:docPr id="2" name="Frame2"/>
                      <a:graphic xmlns:a="http://schemas.openxmlformats.org/drawingml/2006/main">
                        <a:graphicData uri="http://schemas.microsoft.com/office/word/2010/wordprocessingShape">
                          <wps:wsp>
                            <wps:cNvSpPr txBox="1"/>
                            <wps:spPr>
                              <a:xfrm>
                                <a:off x="0" y="0"/>
                                <a:ext cx="564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25120" cy="175260"/>
                      <wp:effectExtent l="0" t="0" r="0" b="0"/>
                      <wp:wrapNone/>
                      <wp:docPr id="3" name="Frame3"/>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97" w:type="dxa"/>
            <w:tcBorders/>
            <w:vAlign w:val="center"/>
          </w:tcPr>
          <w:p>
            <w:pPr>
              <w:pStyle w:val="TableContents"/>
              <w:pBdr/>
              <w:bidi w:val="0"/>
              <w:spacing w:before="0" w:after="240"/>
              <w:ind w:left="0" w:right="0" w:hanging="0"/>
              <w:jc w:val="left"/>
              <w:rPr/>
            </w:pPr>
            <w:r>
              <w:rPr/>
              <w:t>​</w:t>
            </w:r>
          </w:p>
        </w:tc>
        <w:tc>
          <w:tcPr>
            <w:tcW w:w="8896" w:type="dxa"/>
            <w:tcBorders/>
            <w:vAlign w:val="center"/>
          </w:tcPr>
          <w:p>
            <w:pPr>
              <w:pStyle w:val="TableContents"/>
              <w:bidi w:val="0"/>
              <w:spacing w:before="0" w:after="240"/>
              <w:ind w:left="0" w:right="0" w:hanging="0"/>
              <w:jc w:val="left"/>
              <w:rPr/>
            </w:pPr>
            <w:r>
              <w:rPr/>
              <w:t>​</w:t>
            </w:r>
          </w:p>
        </w:tc>
        <w:tc>
          <w:tcPr>
            <w:tcW w:w="5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10205"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 - FINANCIAL INFORMATION</w:t>
            </w:r>
          </w:p>
        </w:tc>
      </w:tr>
      <w:tr>
        <w:trPr/>
        <w:tc>
          <w:tcPr>
            <w:tcW w:w="10205" w:type="dxa"/>
            <w:gridSpan w:val="3"/>
            <w:tcBorders/>
            <w:vAlign w:val="center"/>
          </w:tcPr>
          <w:p>
            <w:pPr>
              <w:pStyle w:val="TableContents"/>
              <w:bidi w:val="0"/>
              <w:spacing w:before="0" w:after="240"/>
              <w:ind w:left="0" w:right="0" w:hanging="0"/>
              <w:jc w:val="center"/>
              <w:rPr/>
            </w:pPr>
            <w:r>
              <w:rPr/>
              <w:t>​</w:t>
            </w:r>
          </w:p>
        </w:tc>
      </w:tr>
      <w:tr>
        <w:trPr/>
        <w:tc>
          <w:tcPr>
            <w:tcW w:w="797" w:type="dxa"/>
            <w:tcBorders/>
            <w:vAlign w:val="center"/>
          </w:tcPr>
          <w:p>
            <w:pPr>
              <w:pStyle w:val="TableContents"/>
              <w:pBdr/>
              <w:bidi w:val="0"/>
              <w:spacing w:before="0" w:after="240"/>
              <w:ind w:left="0" w:right="0" w:hanging="0"/>
              <w:jc w:val="left"/>
              <w:rPr/>
            </w:pPr>
            <w:r>
              <w:rPr/>
              <w:t>​</w:t>
            </w:r>
          </w:p>
        </w:tc>
        <w:tc>
          <w:tcPr>
            <w:tcW w:w="8896" w:type="dxa"/>
            <w:tcBorders/>
            <w:vAlign w:val="center"/>
          </w:tcPr>
          <w:p>
            <w:pPr>
              <w:pStyle w:val="TableContents"/>
              <w:bidi w:val="0"/>
              <w:spacing w:before="0" w:after="0"/>
              <w:ind w:left="0" w:right="0" w:hanging="0"/>
              <w:jc w:val="left"/>
              <w:rPr/>
            </w:pPr>
            <w:hyperlink w:anchor="FORWARDLOOKINGSTATEMENTS_531719">
              <w:r>
                <w:rPr>
                  <w:rStyle w:val="InternetLink"/>
                  <w:rFonts w:ascii="Times New Roman;Times;serif" w:hAnsi="Times New Roman;Times;serif"/>
                  <w:b w:val="false"/>
                  <w:i w:val="false"/>
                  <w:caps w:val="false"/>
                  <w:smallCaps w:val="false"/>
                  <w:sz w:val="20"/>
                </w:rPr>
                <w:t>Forward Looking Statements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7" w:type="dxa"/>
            <w:tcBorders/>
            <w:vAlign w:val="center"/>
          </w:tcPr>
          <w:p>
            <w:pPr>
              <w:pStyle w:val="TableContents"/>
              <w:pBdr/>
              <w:bidi w:val="0"/>
              <w:spacing w:before="0" w:after="240"/>
              <w:ind w:left="0" w:right="0" w:hanging="0"/>
              <w:jc w:val="left"/>
              <w:rPr/>
            </w:pPr>
            <w:r>
              <w:rPr/>
              <w:t>​</w:t>
            </w:r>
          </w:p>
        </w:tc>
        <w:tc>
          <w:tcPr>
            <w:tcW w:w="8896" w:type="dxa"/>
            <w:tcBorders/>
            <w:vAlign w:val="center"/>
          </w:tcPr>
          <w:p>
            <w:pPr>
              <w:pStyle w:val="TableContents"/>
              <w:bidi w:val="0"/>
              <w:spacing w:before="0" w:after="0"/>
              <w:ind w:left="0" w:right="0" w:hanging="0"/>
              <w:jc w:val="left"/>
              <w:rPr/>
            </w:pPr>
            <w:hyperlink w:anchor="Summary_Risk_Factors">
              <w:r>
                <w:rPr>
                  <w:rStyle w:val="InternetLink"/>
                  <w:rFonts w:ascii="Times New Roman;Times;serif" w:hAnsi="Times New Roman;Times;serif"/>
                  <w:b w:val="false"/>
                  <w:i w:val="false"/>
                  <w:caps w:val="false"/>
                  <w:smallCaps w:val="false"/>
                  <w:sz w:val="20"/>
                </w:rPr>
                <w:t>Summary Risk Factors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97" w:type="dxa"/>
            <w:tcBorders/>
            <w:vAlign w:val="center"/>
          </w:tcPr>
          <w:p>
            <w:pPr>
              <w:pStyle w:val="TableContents"/>
              <w:pBdr/>
              <w:bidi w:val="0"/>
              <w:spacing w:before="0" w:after="0"/>
              <w:ind w:left="0" w:right="0" w:hanging="0"/>
              <w:jc w:val="left"/>
              <w:rPr/>
            </w:pPr>
            <w:hyperlink w:anchor="Item1FinancialStatements_877614">
              <w:r>
                <w:rPr>
                  <w:rStyle w:val="InternetLink"/>
                  <w:rFonts w:ascii="Times New Roman;Times;serif" w:hAnsi="Times New Roman;Times;serif"/>
                  <w:b w:val="false"/>
                  <w:i w:val="false"/>
                  <w:caps w:val="false"/>
                  <w:smallCaps w:val="false"/>
                  <w:sz w:val="20"/>
                </w:rPr>
                <w:t>Item 1.</w:t>
              </w:r>
            </w:hyperlink>
          </w:p>
        </w:tc>
        <w:tc>
          <w:tcPr>
            <w:tcW w:w="8896" w:type="dxa"/>
            <w:tcBorders/>
            <w:vAlign w:val="center"/>
          </w:tcPr>
          <w:p>
            <w:pPr>
              <w:pStyle w:val="TableContents"/>
              <w:bidi w:val="0"/>
              <w:spacing w:before="0" w:after="0"/>
              <w:ind w:left="0" w:right="0" w:hanging="0"/>
              <w:jc w:val="left"/>
              <w:rPr/>
            </w:pPr>
            <w:hyperlink w:anchor="Item1FinancialStatements_877614">
              <w:r>
                <w:rPr>
                  <w:rStyle w:val="InternetLink"/>
                  <w:rFonts w:ascii="Times New Roman;Times;serif" w:hAnsi="Times New Roman;Times;serif"/>
                  <w:b w:val="false"/>
                  <w:i w:val="false"/>
                  <w:caps w:val="false"/>
                  <w:smallCaps w:val="false"/>
                  <w:sz w:val="20"/>
                </w:rPr>
                <w:t>Financial Statements (Unaudited)</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97" w:type="dxa"/>
            <w:tcBorders/>
            <w:vAlign w:val="center"/>
          </w:tcPr>
          <w:p>
            <w:pPr>
              <w:pStyle w:val="TableContents"/>
              <w:pBdr/>
              <w:bidi w:val="0"/>
              <w:spacing w:before="0" w:after="240"/>
              <w:ind w:left="0" w:right="0" w:hanging="0"/>
              <w:jc w:val="left"/>
              <w:rPr/>
            </w:pPr>
            <w:r>
              <w:rPr/>
              <w:t>​</w:t>
            </w:r>
          </w:p>
        </w:tc>
        <w:tc>
          <w:tcPr>
            <w:tcW w:w="8896" w:type="dxa"/>
            <w:tcBorders/>
            <w:vAlign w:val="center"/>
          </w:tcPr>
          <w:p>
            <w:pPr>
              <w:pStyle w:val="TableContents"/>
              <w:pBdr/>
              <w:bidi w:val="0"/>
              <w:spacing w:before="0" w:after="0"/>
              <w:ind w:left="0" w:right="0" w:hanging="0"/>
              <w:jc w:val="left"/>
              <w:rPr/>
            </w:pPr>
            <w:hyperlink w:anchor="BALANCESHEETS_142330">
              <w:r>
                <w:rPr>
                  <w:rStyle w:val="InternetLink"/>
                  <w:rFonts w:ascii="Times New Roman;Times;serif" w:hAnsi="Times New Roman;Times;serif"/>
                  <w:b w:val="false"/>
                  <w:i w:val="false"/>
                  <w:caps w:val="false"/>
                  <w:smallCaps w:val="false"/>
                  <w:sz w:val="20"/>
                </w:rPr>
                <w:t>Condensed Consolidated Balance Sheets as of June 30, 2026 and December 31, 2025</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97" w:type="dxa"/>
            <w:tcBorders/>
            <w:vAlign w:val="center"/>
          </w:tcPr>
          <w:p>
            <w:pPr>
              <w:pStyle w:val="TableContents"/>
              <w:pBdr/>
              <w:bidi w:val="0"/>
              <w:spacing w:before="0" w:after="240"/>
              <w:ind w:left="0" w:right="0" w:hanging="0"/>
              <w:jc w:val="left"/>
              <w:rPr/>
            </w:pPr>
            <w:r>
              <w:rPr/>
              <w:t>​</w:t>
            </w:r>
          </w:p>
        </w:tc>
        <w:tc>
          <w:tcPr>
            <w:tcW w:w="8896" w:type="dxa"/>
            <w:tcBorders/>
            <w:vAlign w:val="center"/>
          </w:tcPr>
          <w:p>
            <w:pPr>
              <w:pStyle w:val="TableContents"/>
              <w:pBdr/>
              <w:bidi w:val="0"/>
              <w:spacing w:before="0" w:after="0"/>
              <w:ind w:left="0" w:right="0" w:hanging="0"/>
              <w:jc w:val="left"/>
              <w:rPr/>
            </w:pPr>
            <w:hyperlink w:anchor="STATEMENTSOFOPERATIONS_842353">
              <w:r>
                <w:rPr>
                  <w:rStyle w:val="InternetLink"/>
                  <w:rFonts w:ascii="Times New Roman;Times;serif" w:hAnsi="Times New Roman;Times;serif"/>
                  <w:b w:val="false"/>
                  <w:i w:val="false"/>
                  <w:caps w:val="false"/>
                  <w:smallCaps w:val="false"/>
                  <w:sz w:val="20"/>
                </w:rPr>
                <w:t>Condensed Consolidated Statements of Operations for the three and six months ended June 30, 2026 and 2025</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97" w:type="dxa"/>
            <w:tcBorders/>
            <w:vAlign w:val="center"/>
          </w:tcPr>
          <w:p>
            <w:pPr>
              <w:pStyle w:val="TableContents"/>
              <w:pBdr/>
              <w:bidi w:val="0"/>
              <w:spacing w:before="0" w:after="240"/>
              <w:ind w:left="0" w:right="0" w:hanging="0"/>
              <w:jc w:val="left"/>
              <w:rPr/>
            </w:pPr>
            <w:r>
              <w:rPr/>
              <w:t>​</w:t>
            </w:r>
          </w:p>
        </w:tc>
        <w:tc>
          <w:tcPr>
            <w:tcW w:w="8896" w:type="dxa"/>
            <w:tcBorders/>
            <w:vAlign w:val="center"/>
          </w:tcPr>
          <w:p>
            <w:pPr>
              <w:pStyle w:val="TableContents"/>
              <w:pBdr/>
              <w:bidi w:val="0"/>
              <w:spacing w:before="0" w:after="0"/>
              <w:ind w:left="0" w:right="0" w:hanging="0"/>
              <w:jc w:val="left"/>
              <w:rPr/>
            </w:pPr>
            <w:hyperlink w:anchor="STATEMENTSOFCHANGESINSTOCKHOLDERSEQUITY_">
              <w:r>
                <w:rPr>
                  <w:rStyle w:val="InternetLink"/>
                  <w:rFonts w:ascii="Times New Roman;Times;serif" w:hAnsi="Times New Roman;Times;serif"/>
                  <w:b w:val="false"/>
                  <w:i w:val="false"/>
                  <w:caps w:val="false"/>
                  <w:smallCaps w:val="false"/>
                  <w:sz w:val="20"/>
                </w:rPr>
                <w:t>Condensed Consolidated Statements of Changes in Stockholders’ (Deficit) Equity for the three and six months ended June 30, 2026 and 2025</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797" w:type="dxa"/>
            <w:tcBorders/>
            <w:vAlign w:val="center"/>
          </w:tcPr>
          <w:p>
            <w:pPr>
              <w:pStyle w:val="TableContents"/>
              <w:pBdr/>
              <w:bidi w:val="0"/>
              <w:spacing w:before="0" w:after="240"/>
              <w:ind w:left="0" w:right="0" w:hanging="0"/>
              <w:jc w:val="left"/>
              <w:rPr/>
            </w:pPr>
            <w:r>
              <w:rPr/>
              <w:t>​</w:t>
            </w:r>
          </w:p>
        </w:tc>
        <w:tc>
          <w:tcPr>
            <w:tcW w:w="8896" w:type="dxa"/>
            <w:tcBorders/>
            <w:vAlign w:val="center"/>
          </w:tcPr>
          <w:p>
            <w:pPr>
              <w:pStyle w:val="TableContents"/>
              <w:pBdr/>
              <w:bidi w:val="0"/>
              <w:spacing w:before="0" w:after="0"/>
              <w:ind w:left="0" w:right="0" w:hanging="0"/>
              <w:jc w:val="left"/>
              <w:rPr/>
            </w:pPr>
            <w:hyperlink w:anchor="STATEMENTSOFCASHFLOWS_929012">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797" w:type="dxa"/>
            <w:tcBorders/>
            <w:vAlign w:val="center"/>
          </w:tcPr>
          <w:p>
            <w:pPr>
              <w:pStyle w:val="TableContents"/>
              <w:pBdr/>
              <w:bidi w:val="0"/>
              <w:spacing w:before="0" w:after="240"/>
              <w:ind w:left="0" w:right="0" w:hanging="0"/>
              <w:jc w:val="left"/>
              <w:rPr/>
            </w:pPr>
            <w:r>
              <w:rPr/>
              <w:t>​</w:t>
            </w:r>
          </w:p>
        </w:tc>
        <w:tc>
          <w:tcPr>
            <w:tcW w:w="8896" w:type="dxa"/>
            <w:tcBorders/>
            <w:vAlign w:val="center"/>
          </w:tcPr>
          <w:p>
            <w:pPr>
              <w:pStyle w:val="TableContents"/>
              <w:pBdr/>
              <w:bidi w:val="0"/>
              <w:spacing w:before="0" w:after="0"/>
              <w:ind w:left="0" w:right="0" w:hanging="0"/>
              <w:jc w:val="left"/>
              <w:rPr/>
            </w:pPr>
            <w:hyperlink w:anchor="NOTESTOFINANCIALSTATEMENTS_349172">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797" w:type="dxa"/>
            <w:tcBorders/>
            <w:vAlign w:val="center"/>
          </w:tcPr>
          <w:p>
            <w:pPr>
              <w:pStyle w:val="TableContents"/>
              <w:pBdr/>
              <w:bidi w:val="0"/>
              <w:spacing w:before="0" w:after="0"/>
              <w:ind w:left="0" w:right="0" w:hanging="0"/>
              <w:jc w:val="left"/>
              <w:rPr/>
            </w:pPr>
            <w:hyperlink w:anchor="Item2MANAGEMENTSDISCUSSIONANDANALYSIS_22">
              <w:r>
                <w:rPr>
                  <w:rStyle w:val="InternetLink"/>
                  <w:rFonts w:ascii="Times New Roman;Times;serif" w:hAnsi="Times New Roman;Times;serif"/>
                  <w:b w:val="false"/>
                  <w:i w:val="false"/>
                  <w:caps w:val="false"/>
                  <w:smallCaps w:val="false"/>
                  <w:sz w:val="20"/>
                </w:rPr>
                <w:t>Item 2.</w:t>
              </w:r>
            </w:hyperlink>
          </w:p>
        </w:tc>
        <w:tc>
          <w:tcPr>
            <w:tcW w:w="8896" w:type="dxa"/>
            <w:tcBorders/>
            <w:vAlign w:val="center"/>
          </w:tcPr>
          <w:p>
            <w:pPr>
              <w:pStyle w:val="TableContents"/>
              <w:bidi w:val="0"/>
              <w:spacing w:before="0" w:after="0"/>
              <w:ind w:left="0" w:right="0" w:hanging="0"/>
              <w:jc w:val="left"/>
              <w:rPr/>
            </w:pPr>
            <w:hyperlink w:anchor="Item2MANAGEMENTSDISCUSSIONANDANALYSIS_2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97"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9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797" w:type="dxa"/>
            <w:tcBorders/>
            <w:vAlign w:val="center"/>
          </w:tcPr>
          <w:p>
            <w:pPr>
              <w:pStyle w:val="TableContents"/>
              <w:pBdr/>
              <w:bidi w:val="0"/>
              <w:spacing w:before="0" w:after="0"/>
              <w:ind w:left="0" w:right="0" w:hanging="0"/>
              <w:jc w:val="left"/>
              <w:rPr/>
            </w:pPr>
            <w:hyperlink w:anchor="Item4ControlsandProcedures_79336">
              <w:r>
                <w:rPr>
                  <w:rStyle w:val="InternetLink"/>
                  <w:rFonts w:ascii="Times New Roman;Times;serif" w:hAnsi="Times New Roman;Times;serif"/>
                  <w:b w:val="false"/>
                  <w:i w:val="false"/>
                  <w:caps w:val="false"/>
                  <w:smallCaps w:val="false"/>
                  <w:sz w:val="20"/>
                </w:rPr>
                <w:t>Item 4.</w:t>
              </w:r>
            </w:hyperlink>
          </w:p>
        </w:tc>
        <w:tc>
          <w:tcPr>
            <w:tcW w:w="8896" w:type="dxa"/>
            <w:tcBorders/>
            <w:vAlign w:val="center"/>
          </w:tcPr>
          <w:p>
            <w:pPr>
              <w:pStyle w:val="TableContents"/>
              <w:bidi w:val="0"/>
              <w:spacing w:before="0" w:after="0"/>
              <w:ind w:left="0" w:right="0" w:hanging="0"/>
              <w:jc w:val="left"/>
              <w:rPr/>
            </w:pPr>
            <w:hyperlink w:anchor="Item4ControlsandProcedures_79336">
              <w:r>
                <w:rPr>
                  <w:rStyle w:val="InternetLink"/>
                  <w:rFonts w:ascii="Times New Roman;Times;serif" w:hAnsi="Times New Roman;Times;serif"/>
                  <w:b w:val="false"/>
                  <w:i w:val="false"/>
                  <w:caps w:val="false"/>
                  <w:smallCaps w:val="false"/>
                  <w:sz w:val="20"/>
                </w:rPr>
                <w:t>Controls and Procedures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797" w:type="dxa"/>
            <w:tcBorders/>
            <w:vAlign w:val="center"/>
          </w:tcPr>
          <w:p>
            <w:pPr>
              <w:pStyle w:val="TableContents"/>
              <w:pBdr/>
              <w:bidi w:val="0"/>
              <w:spacing w:before="0" w:after="240"/>
              <w:ind w:left="0" w:right="0" w:hanging="0"/>
              <w:jc w:val="left"/>
              <w:rPr/>
            </w:pPr>
            <w:r>
              <w:rPr/>
              <w:t>​</w:t>
            </w:r>
          </w:p>
        </w:tc>
        <w:tc>
          <w:tcPr>
            <w:tcW w:w="8896" w:type="dxa"/>
            <w:tcBorders/>
            <w:vAlign w:val="center"/>
          </w:tcPr>
          <w:p>
            <w:pPr>
              <w:pStyle w:val="TableContents"/>
              <w:bidi w:val="0"/>
              <w:spacing w:before="0" w:after="240"/>
              <w:ind w:left="0" w:right="0" w:hanging="0"/>
              <w:jc w:val="left"/>
              <w:rPr/>
            </w:pPr>
            <w:r>
              <w:rPr/>
              <w:t>​</w:t>
            </w:r>
          </w:p>
        </w:tc>
        <w:tc>
          <w:tcPr>
            <w:tcW w:w="512" w:type="dxa"/>
            <w:tcBorders/>
            <w:vAlign w:val="center"/>
          </w:tcPr>
          <w:p>
            <w:pPr>
              <w:pStyle w:val="TableContents"/>
              <w:bidi w:val="0"/>
              <w:spacing w:before="0" w:after="240"/>
              <w:ind w:left="0" w:right="0" w:hanging="0"/>
              <w:jc w:val="right"/>
              <w:rPr/>
            </w:pPr>
            <w:r>
              <w:rPr/>
              <w:t>​</w:t>
            </w:r>
          </w:p>
        </w:tc>
      </w:tr>
      <w:tr>
        <w:trPr/>
        <w:tc>
          <w:tcPr>
            <w:tcW w:w="10205"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II OTHER INFORMATION</w:t>
            </w:r>
          </w:p>
        </w:tc>
      </w:tr>
      <w:tr>
        <w:trPr/>
        <w:tc>
          <w:tcPr>
            <w:tcW w:w="10205" w:type="dxa"/>
            <w:gridSpan w:val="3"/>
            <w:tcBorders/>
            <w:vAlign w:val="center"/>
          </w:tcPr>
          <w:p>
            <w:pPr>
              <w:pStyle w:val="TableContents"/>
              <w:bidi w:val="0"/>
              <w:spacing w:before="0" w:after="240"/>
              <w:ind w:left="0" w:right="0" w:hanging="0"/>
              <w:jc w:val="center"/>
              <w:rPr/>
            </w:pPr>
            <w:r>
              <w:rPr/>
              <w:t>​</w:t>
            </w:r>
          </w:p>
        </w:tc>
      </w:tr>
      <w:tr>
        <w:trPr/>
        <w:tc>
          <w:tcPr>
            <w:tcW w:w="797" w:type="dxa"/>
            <w:tcBorders/>
            <w:vAlign w:val="center"/>
          </w:tcPr>
          <w:p>
            <w:pPr>
              <w:pStyle w:val="TableContents"/>
              <w:pBdr/>
              <w:bidi w:val="0"/>
              <w:spacing w:before="0" w:after="0"/>
              <w:ind w:left="0" w:right="0" w:hanging="0"/>
              <w:jc w:val="left"/>
              <w:rPr/>
            </w:pPr>
            <w:hyperlink w:anchor="Item1LegalProceedings_771938">
              <w:r>
                <w:rPr>
                  <w:rStyle w:val="InternetLink"/>
                  <w:rFonts w:ascii="Times New Roman;Times;serif" w:hAnsi="Times New Roman;Times;serif"/>
                  <w:b w:val="false"/>
                  <w:i w:val="false"/>
                  <w:caps w:val="false"/>
                  <w:smallCaps w:val="false"/>
                  <w:sz w:val="20"/>
                </w:rPr>
                <w:t>Item 1.</w:t>
              </w:r>
            </w:hyperlink>
          </w:p>
        </w:tc>
        <w:tc>
          <w:tcPr>
            <w:tcW w:w="8896" w:type="dxa"/>
            <w:tcBorders/>
            <w:vAlign w:val="center"/>
          </w:tcPr>
          <w:p>
            <w:pPr>
              <w:pStyle w:val="TableContents"/>
              <w:bidi w:val="0"/>
              <w:spacing w:before="0" w:after="0"/>
              <w:ind w:left="0" w:right="0" w:hanging="0"/>
              <w:jc w:val="left"/>
              <w:rPr/>
            </w:pPr>
            <w:hyperlink w:anchor="Item1LegalProceedings_771938">
              <w:r>
                <w:rPr>
                  <w:rStyle w:val="InternetLink"/>
                  <w:rFonts w:ascii="Times New Roman;Times;serif" w:hAnsi="Times New Roman;Times;serif"/>
                  <w:b w:val="false"/>
                  <w:i w:val="false"/>
                  <w:caps w:val="false"/>
                  <w:smallCaps w:val="false"/>
                  <w:sz w:val="20"/>
                </w:rPr>
                <w:t>Legal Proceedings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797" w:type="dxa"/>
            <w:tcBorders/>
            <w:vAlign w:val="center"/>
          </w:tcPr>
          <w:p>
            <w:pPr>
              <w:pStyle w:val="TableContents"/>
              <w:pBdr/>
              <w:bidi w:val="0"/>
              <w:spacing w:before="0" w:after="0"/>
              <w:ind w:left="0" w:right="0" w:hanging="0"/>
              <w:jc w:val="left"/>
              <w:rPr/>
            </w:pPr>
            <w:hyperlink w:anchor="Item1ARiskFactors_143189">
              <w:r>
                <w:rPr>
                  <w:rStyle w:val="InternetLink"/>
                  <w:rFonts w:ascii="Times New Roman;Times;serif" w:hAnsi="Times New Roman;Times;serif"/>
                  <w:b w:val="false"/>
                  <w:i w:val="false"/>
                  <w:caps w:val="false"/>
                  <w:smallCaps w:val="false"/>
                  <w:sz w:val="20"/>
                </w:rPr>
                <w:t>Item 1A.</w:t>
              </w:r>
            </w:hyperlink>
            <w:r>
              <w:rPr>
                <w:rFonts w:ascii="Times New Roman;Times;serif" w:hAnsi="Times New Roman;Times;serif"/>
                <w:sz w:val="20"/>
              </w:rPr>
              <w:t xml:space="preserve"> </w:t>
            </w:r>
          </w:p>
        </w:tc>
        <w:tc>
          <w:tcPr>
            <w:tcW w:w="8896" w:type="dxa"/>
            <w:tcBorders/>
            <w:vAlign w:val="center"/>
          </w:tcPr>
          <w:p>
            <w:pPr>
              <w:pStyle w:val="TableContents"/>
              <w:bidi w:val="0"/>
              <w:spacing w:before="0" w:after="0"/>
              <w:ind w:left="0" w:right="0" w:hanging="0"/>
              <w:jc w:val="left"/>
              <w:rPr/>
            </w:pPr>
            <w:hyperlink w:anchor="Item1ARiskFactors_143189">
              <w:r>
                <w:rPr>
                  <w:rStyle w:val="InternetLink"/>
                  <w:rFonts w:ascii="Times New Roman;Times;serif" w:hAnsi="Times New Roman;Times;serif"/>
                  <w:b w:val="false"/>
                  <w:i w:val="false"/>
                  <w:caps w:val="false"/>
                  <w:smallCaps w:val="false"/>
                  <w:sz w:val="20"/>
                </w:rPr>
                <w:t>Risk Factors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797"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9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797" w:type="dxa"/>
            <w:tcBorders/>
            <w:vAlign w:val="center"/>
          </w:tcPr>
          <w:p>
            <w:pPr>
              <w:pStyle w:val="TableContents"/>
              <w:pBdr/>
              <w:bidi w:val="0"/>
              <w:spacing w:before="0" w:after="0"/>
              <w:ind w:left="0" w:right="0" w:hanging="0"/>
              <w:jc w:val="left"/>
              <w:rPr/>
            </w:pPr>
            <w:hyperlink w:anchor="Item3DefaultsUponSeniorSecurities_782584">
              <w:r>
                <w:rPr>
                  <w:rStyle w:val="InternetLink"/>
                  <w:rFonts w:ascii="Times New Roman;Times;serif" w:hAnsi="Times New Roman;Times;serif"/>
                  <w:b w:val="false"/>
                  <w:i w:val="false"/>
                  <w:caps w:val="false"/>
                  <w:smallCaps w:val="false"/>
                  <w:sz w:val="20"/>
                </w:rPr>
                <w:t>Item 3.</w:t>
              </w:r>
            </w:hyperlink>
          </w:p>
        </w:tc>
        <w:tc>
          <w:tcPr>
            <w:tcW w:w="8896" w:type="dxa"/>
            <w:tcBorders/>
            <w:vAlign w:val="center"/>
          </w:tcPr>
          <w:p>
            <w:pPr>
              <w:pStyle w:val="TableContents"/>
              <w:bidi w:val="0"/>
              <w:spacing w:before="0" w:after="0"/>
              <w:ind w:left="0" w:right="0" w:hanging="0"/>
              <w:jc w:val="left"/>
              <w:rPr/>
            </w:pPr>
            <w:hyperlink w:anchor="Item3DefaultsUponSeniorSecurities_782584">
              <w:r>
                <w:rPr>
                  <w:rStyle w:val="InternetLink"/>
                  <w:rFonts w:ascii="Times New Roman;Times;serif" w:hAnsi="Times New Roman;Times;serif"/>
                  <w:b w:val="false"/>
                  <w:i w:val="false"/>
                  <w:caps w:val="false"/>
                  <w:smallCaps w:val="false"/>
                  <w:sz w:val="20"/>
                </w:rPr>
                <w:t>Defaults Upon Senior Securities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797" w:type="dxa"/>
            <w:tcBorders/>
            <w:vAlign w:val="center"/>
          </w:tcPr>
          <w:p>
            <w:pPr>
              <w:pStyle w:val="TableContents"/>
              <w:pBdr/>
              <w:bidi w:val="0"/>
              <w:spacing w:before="0" w:after="0"/>
              <w:ind w:left="0" w:right="0" w:hanging="0"/>
              <w:jc w:val="left"/>
              <w:rPr/>
            </w:pPr>
            <w:hyperlink w:anchor="Item4MineSafetyDisclosures_613042">
              <w:r>
                <w:rPr>
                  <w:rStyle w:val="InternetLink"/>
                  <w:rFonts w:ascii="Times New Roman;Times;serif" w:hAnsi="Times New Roman;Times;serif"/>
                  <w:b w:val="false"/>
                  <w:i w:val="false"/>
                  <w:caps w:val="false"/>
                  <w:smallCaps w:val="false"/>
                  <w:sz w:val="20"/>
                </w:rPr>
                <w:t>Item 4.</w:t>
              </w:r>
            </w:hyperlink>
          </w:p>
        </w:tc>
        <w:tc>
          <w:tcPr>
            <w:tcW w:w="8896" w:type="dxa"/>
            <w:tcBorders/>
            <w:vAlign w:val="center"/>
          </w:tcPr>
          <w:p>
            <w:pPr>
              <w:pStyle w:val="TableContents"/>
              <w:bidi w:val="0"/>
              <w:spacing w:before="0" w:after="0"/>
              <w:ind w:left="0" w:right="0" w:hanging="0"/>
              <w:jc w:val="left"/>
              <w:rPr/>
            </w:pPr>
            <w:hyperlink w:anchor="Item4MineSafetyDisclosures_613042">
              <w:r>
                <w:rPr>
                  <w:rStyle w:val="InternetLink"/>
                  <w:rFonts w:ascii="Times New Roman;Times;serif" w:hAnsi="Times New Roman;Times;serif"/>
                  <w:b w:val="false"/>
                  <w:i w:val="false"/>
                  <w:caps w:val="false"/>
                  <w:smallCaps w:val="false"/>
                  <w:sz w:val="20"/>
                </w:rPr>
                <w:t>Mine Safety Disclosures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797" w:type="dxa"/>
            <w:tcBorders/>
            <w:vAlign w:val="center"/>
          </w:tcPr>
          <w:p>
            <w:pPr>
              <w:pStyle w:val="TableContents"/>
              <w:pBdr/>
              <w:bidi w:val="0"/>
              <w:spacing w:before="0" w:after="0"/>
              <w:ind w:left="0" w:right="0" w:hanging="0"/>
              <w:jc w:val="left"/>
              <w:rPr/>
            </w:pPr>
            <w:hyperlink w:anchor="Item5OtherInformation_348642">
              <w:r>
                <w:rPr>
                  <w:rStyle w:val="InternetLink"/>
                  <w:rFonts w:ascii="Times New Roman;Times;serif" w:hAnsi="Times New Roman;Times;serif"/>
                  <w:b w:val="false"/>
                  <w:i w:val="false"/>
                  <w:caps w:val="false"/>
                  <w:smallCaps w:val="false"/>
                  <w:sz w:val="20"/>
                </w:rPr>
                <w:t>Item 5.</w:t>
              </w:r>
            </w:hyperlink>
          </w:p>
        </w:tc>
        <w:tc>
          <w:tcPr>
            <w:tcW w:w="8896" w:type="dxa"/>
            <w:tcBorders/>
            <w:vAlign w:val="center"/>
          </w:tcPr>
          <w:p>
            <w:pPr>
              <w:pStyle w:val="TableContents"/>
              <w:bidi w:val="0"/>
              <w:spacing w:before="0" w:after="0"/>
              <w:ind w:left="0" w:right="0" w:hanging="0"/>
              <w:jc w:val="left"/>
              <w:rPr/>
            </w:pPr>
            <w:hyperlink w:anchor="Item5OtherInformation_348642">
              <w:r>
                <w:rPr>
                  <w:rStyle w:val="InternetLink"/>
                  <w:rFonts w:ascii="Times New Roman;Times;serif" w:hAnsi="Times New Roman;Times;serif"/>
                  <w:b w:val="false"/>
                  <w:i w:val="false"/>
                  <w:caps w:val="false"/>
                  <w:smallCaps w:val="false"/>
                  <w:sz w:val="20"/>
                </w:rPr>
                <w:t>Other Information</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797" w:type="dxa"/>
            <w:tcBorders/>
            <w:vAlign w:val="center"/>
          </w:tcPr>
          <w:p>
            <w:pPr>
              <w:pStyle w:val="TableContents"/>
              <w:pBdr/>
              <w:bidi w:val="0"/>
              <w:spacing w:before="0" w:after="0"/>
              <w:ind w:left="0" w:right="0" w:hanging="0"/>
              <w:jc w:val="left"/>
              <w:rPr/>
            </w:pPr>
            <w:hyperlink w:anchor="Item6Exhibits_836986">
              <w:r>
                <w:rPr>
                  <w:rStyle w:val="InternetLink"/>
                  <w:rFonts w:ascii="Times New Roman;Times;serif" w:hAnsi="Times New Roman;Times;serif"/>
                  <w:b w:val="false"/>
                  <w:i w:val="false"/>
                  <w:caps w:val="false"/>
                  <w:smallCaps w:val="false"/>
                  <w:sz w:val="20"/>
                </w:rPr>
                <w:t>Item 6.</w:t>
              </w:r>
            </w:hyperlink>
          </w:p>
        </w:tc>
        <w:tc>
          <w:tcPr>
            <w:tcW w:w="8896" w:type="dxa"/>
            <w:tcBorders/>
            <w:vAlign w:val="center"/>
          </w:tcPr>
          <w:p>
            <w:pPr>
              <w:pStyle w:val="TableContents"/>
              <w:bidi w:val="0"/>
              <w:spacing w:before="0" w:after="0"/>
              <w:ind w:left="0" w:right="0" w:hanging="0"/>
              <w:jc w:val="left"/>
              <w:rPr/>
            </w:pPr>
            <w:hyperlink w:anchor="Item6Exhibits_836986">
              <w:r>
                <w:rPr>
                  <w:rStyle w:val="InternetLink"/>
                  <w:rFonts w:ascii="Times New Roman;Times;serif" w:hAnsi="Times New Roman;Times;serif"/>
                  <w:b w:val="false"/>
                  <w:i w:val="false"/>
                  <w:caps w:val="false"/>
                  <w:smallCaps w:val="false"/>
                  <w:sz w:val="20"/>
                </w:rPr>
                <w:t>Exhibits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9693" w:type="dxa"/>
            <w:gridSpan w:val="2"/>
            <w:tcBorders/>
            <w:vAlign w:val="center"/>
          </w:tcPr>
          <w:p>
            <w:pPr>
              <w:pStyle w:val="TableContents"/>
              <w:bidi w:val="0"/>
              <w:spacing w:before="0" w:after="0"/>
              <w:ind w:left="0" w:right="0" w:hanging="0"/>
              <w:jc w:val="left"/>
              <w:rPr/>
            </w:pPr>
            <w:hyperlink w:anchor="SIGNATURES_228043">
              <w:r>
                <w:rPr>
                  <w:rStyle w:val="InternetLink"/>
                  <w:rFonts w:ascii="Times New Roman;Times;serif" w:hAnsi="Times New Roman;Times;serif"/>
                  <w:b w:val="false"/>
                  <w:i w:val="false"/>
                  <w:caps w:val="false"/>
                  <w:smallCaps w:val="false"/>
                  <w:sz w:val="20"/>
                </w:rPr>
                <w:t>Signatures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120"/>
        <w:ind w:left="0" w:right="0" w:firstLine="360"/>
        <w:jc w:val="center"/>
        <w:rPr>
          <w:rFonts w:ascii="Times New Roman;Times;serif" w:hAnsi="Times New Roman;Times;serif"/>
          <w:b/>
          <w:sz w:val="20"/>
        </w:rPr>
      </w:pPr>
      <w:bookmarkStart w:id="45" w:name="FORWARDLOOKINGSTATEMENTS_531719"/>
      <w:bookmarkStart w:id="46" w:name="_22be4e42_3b7b_44b2_9f8e_be82d9e62f94"/>
      <w:bookmarkEnd w:id="45"/>
      <w:bookmarkEnd w:id="46"/>
      <w:r>
        <w:rPr>
          <w:rFonts w:ascii="Times New Roman;Times;serif" w:hAnsi="Times New Roman;Times;serif"/>
          <w:b/>
          <w:sz w:val="20"/>
        </w:rPr>
        <w:t>FORWARD-LOOKING STATEMENTS</w:t>
      </w:r>
    </w:p>
    <w:p>
      <w:pPr>
        <w:pStyle w:val="TextBody"/>
        <w:bidi w:val="0"/>
        <w:spacing w:lineRule="atLeast" w:line="220" w:before="0" w:after="120"/>
        <w:ind w:left="0" w:right="0" w:firstLine="360"/>
        <w:jc w:val="left"/>
        <w:rPr>
          <w:rFonts w:ascii="Times New Roman;Times;serif" w:hAnsi="Times New Roman;Times;serif"/>
          <w:sz w:val="20"/>
        </w:rPr>
      </w:pPr>
      <w:r>
        <w:rPr>
          <w:rFonts w:ascii="Times New Roman;Times;serif" w:hAnsi="Times New Roman;Times;serif"/>
          <w:sz w:val="20"/>
        </w:rPr>
        <w:t>This Quarterly Report on Form 10-Q (this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 words “anticipate,” “believe,” “can,” “continue,” “could,” “designed,” “estimate,” “expect,” “forecast,” “goal,” “intend,” “may,” “might,” “plan,” “possible,” “potential,” “predict,” “project,” “should,” “target,” “will,” “would” and similar expressions are intended to identify forward-looking statements, though not all forward-looking statements use these words or expressions. All statements contained in this Quarterly Report, other than statements of historical fact, are forward-looking statements, including, without limitation, statements regarding:</w:t>
      </w:r>
    </w:p>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and continue as a going concern;</w:t>
            </w:r>
          </w:p>
        </w:tc>
      </w:tr>
    </w:tbl>
    <w:tbl>
      <w:tblPr>
        <w:tblW w:w="8466" w:type="dxa"/>
        <w:jc w:val="left"/>
        <w:tblInd w:w="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properly service and/or re-negotiate the terms of our Credit Agreement with Oaktree;</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plans to explore strategic alternatives;</w:t>
            </w:r>
          </w:p>
        </w:tc>
      </w:tr>
    </w:tbl>
    <w:tbl>
      <w:tblPr>
        <w:tblW w:w="3111" w:type="dxa"/>
        <w:jc w:val="left"/>
        <w:tblInd w:w="0" w:type="dxa"/>
        <w:tblLayout w:type="fixed"/>
        <w:tblCellMar>
          <w:top w:w="28" w:type="dxa"/>
          <w:left w:w="28" w:type="dxa"/>
          <w:bottom w:w="28" w:type="dxa"/>
          <w:right w:w="28" w:type="dxa"/>
        </w:tblCellMar>
      </w:tblPr>
      <w:tblGrid>
        <w:gridCol w:w="124"/>
        <w:gridCol w:w="256"/>
        <w:gridCol w:w="2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31"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our sales strategy for IGALMI</w:t>
            </w:r>
            <w:r>
              <w:rPr>
                <w:rFonts w:ascii="Times New Roman;Times;serif" w:hAnsi="Times New Roman;Times;serif"/>
                <w:b w:val="false"/>
                <w:i w:val="false"/>
                <w:caps w:val="false"/>
                <w:smallCaps w:val="false"/>
                <w:sz w:val="15"/>
              </w:rPr>
              <w:t>®</w:t>
            </w:r>
            <w:r>
              <w:rPr>
                <w:rFonts w:ascii="Times New Roman;Times;serif" w:hAnsi="Times New Roman;Times;serif"/>
                <w:b w:val="false"/>
                <w:i w:val="false"/>
                <w:caps w:val="false"/>
                <w:smallCaps w:val="false"/>
                <w:sz w:val="20"/>
              </w:rPr>
              <w:t>;</w:t>
            </w:r>
          </w:p>
        </w:tc>
      </w:tr>
    </w:tbl>
    <w:tbl>
      <w:tblPr>
        <w:tblW w:w="4971" w:type="dxa"/>
        <w:jc w:val="left"/>
        <w:tblInd w:w="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stay listed on the Nasdaq Capital market;</w:t>
            </w:r>
          </w:p>
        </w:tc>
      </w:tr>
    </w:tbl>
    <w:tbl>
      <w:tblPr>
        <w:tblW w:w="5586" w:type="dxa"/>
        <w:jc w:val="left"/>
        <w:tblInd w:w="0" w:type="dxa"/>
        <w:tblLayout w:type="fixed"/>
        <w:tblCellMar>
          <w:top w:w="28" w:type="dxa"/>
          <w:left w:w="28" w:type="dxa"/>
          <w:bottom w:w="28" w:type="dxa"/>
          <w:right w:w="28" w:type="dxa"/>
        </w:tblCellMar>
      </w:tblPr>
      <w:tblGrid>
        <w:gridCol w:w="124"/>
        <w:gridCol w:w="256"/>
        <w:gridCol w:w="5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covenants under our financing arrangements;</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SERENITY and TRANQUILITY programs;</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our total addressable markets and related underlying estimates;</w:t>
            </w:r>
          </w:p>
        </w:tc>
      </w:tr>
    </w:tbl>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relating to clinical trials and marketing applications for our product candidates;</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research, develop and commercialize our current and future product candidates;</w:t>
            </w:r>
          </w:p>
        </w:tc>
      </w:tr>
    </w:tbl>
    <w:tbl>
      <w:tblPr>
        <w:tblW w:w="10191" w:type="dxa"/>
        <w:jc w:val="left"/>
        <w:tblInd w:w="0" w:type="dxa"/>
        <w:tblLayout w:type="fixed"/>
        <w:tblCellMar>
          <w:top w:w="28" w:type="dxa"/>
          <w:left w:w="28" w:type="dxa"/>
          <w:bottom w:w="28" w:type="dxa"/>
          <w:right w:w="28" w:type="dxa"/>
        </w:tblCellMar>
      </w:tblPr>
      <w:tblGrid>
        <w:gridCol w:w="124"/>
        <w:gridCol w:w="256"/>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seek to enter into collaborations for the development and commercialization of certain product candidates;</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of any future collaboration;</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our ability to obtain and maintain regulatory approvals for our product candidates;</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results of discussions we have with regulators;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the rate and degree of market acceptance, clinical utility, number of prescribers and formulary wins of IGALMI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and any product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commercialization, marketing and manufacturing capabilities and strategy, including the potential benefits from any advertising campaigns;</w:t>
            </w:r>
          </w:p>
        </w:tc>
      </w:tr>
    </w:tbl>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participation in, and any potential benefits from, events, conferences, presentations and conventions;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position and strategy;</w:t>
            </w:r>
          </w:p>
        </w:tc>
      </w:tr>
    </w:tbl>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future revenue, capital requirements and need for additional financing;</w:t>
            </w:r>
          </w:p>
        </w:tc>
      </w:tr>
    </w:tbl>
    <w:tbl>
      <w:tblPr>
        <w:tblW w:w="9981" w:type="dxa"/>
        <w:jc w:val="left"/>
        <w:tblInd w:w="0" w:type="dxa"/>
        <w:tblLayout w:type="fixed"/>
        <w:tblCellMar>
          <w:top w:w="28" w:type="dxa"/>
          <w:left w:w="28" w:type="dxa"/>
          <w:bottom w:w="28" w:type="dxa"/>
          <w:right w:w="28" w:type="dxa"/>
        </w:tblCellMar>
      </w:tblPr>
      <w:tblGrid>
        <w:gridCol w:w="124"/>
        <w:gridCol w:w="256"/>
        <w:gridCol w:w="9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investments in, or other strategic options for, our subsidiary, OnkosXcel Therapeutics, LLC (“OnkosXcel”);</w:t>
            </w:r>
          </w:p>
        </w:tc>
      </w:tr>
    </w:tbl>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government laws and regulations;</w:t>
            </w:r>
          </w:p>
        </w:tc>
      </w:tr>
    </w:tbl>
    <w:tbl>
      <w:tblPr>
        <w:tblW w:w="5916" w:type="dxa"/>
        <w:jc w:val="left"/>
        <w:tblInd w:w="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related to legal proceedings and investigations; and</w:t>
            </w:r>
          </w:p>
        </w:tc>
      </w:tr>
    </w:tbl>
    <w:tbl>
      <w:tblPr>
        <w:tblW w:w="3411" w:type="dxa"/>
        <w:jc w:val="left"/>
        <w:tblInd w:w="0" w:type="dxa"/>
        <w:tblLayout w:type="fixed"/>
        <w:tblCellMar>
          <w:top w:w="28" w:type="dxa"/>
          <w:left w:w="28" w:type="dxa"/>
          <w:bottom w:w="28" w:type="dxa"/>
          <w:right w:w="28" w:type="dxa"/>
        </w:tblCellMar>
      </w:tblPr>
      <w:tblGrid>
        <w:gridCol w:w="124"/>
        <w:gridCol w:w="256"/>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 with BioXcel LLC.</w:t>
            </w:r>
          </w:p>
        </w:tc>
      </w:tr>
    </w:tbl>
    <w:p>
      <w:pPr>
        <w:pStyle w:val="TextBody"/>
        <w:bidi w:val="0"/>
        <w:spacing w:lineRule="atLeast" w:line="220" w:before="0" w:after="120"/>
        <w:ind w:left="0" w:right="0" w:firstLine="360"/>
        <w:jc w:val="left"/>
        <w:rPr>
          <w:rFonts w:ascii="Times New Roman;Times;serif" w:hAnsi="Times New Roman;Times;serif"/>
          <w:sz w:val="20"/>
        </w:rPr>
      </w:pPr>
      <w:r>
        <w:rPr>
          <w:rFonts w:ascii="Times New Roman;Times;serif" w:hAnsi="Times New Roman;Times;serif"/>
          <w:sz w:val="20"/>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listed under “Summary Risk Factors,” Part II, Item 1A. “Risk Factors,” and Part I, Item 2. “Management’s Discussion and Analysis of Financial Condition and Results of Operations” and elsewhere in this Quarterly Report. These and other important factors discussed under the caption “Risk Factors” in our other filings with the Securities and Exchange Commission (“SEC”) could cause actual results to differ materially from those indicated by the forward-looking statements made in this filing. Given these uncertainties, you should not rely on these forward-looking statements as predictions of future events. While we may elect to update forward-looking statements at some point in the future, we disclaim any obligation to do so, even if subsequent events cause our views to change.</w:t>
      </w:r>
    </w:p>
    <w:p>
      <w:pPr>
        <w:pStyle w:val="TextBody"/>
        <w:bidi w:val="0"/>
        <w:spacing w:lineRule="auto" w:line="240" w:before="0" w:after="120"/>
        <w:ind w:left="0" w:right="0" w:firstLine="360"/>
        <w:jc w:val="left"/>
        <w:rPr>
          <w:rFonts w:ascii="Times New Roman;Times;serif" w:hAnsi="Times New Roman;Times;serif"/>
          <w:sz w:val="20"/>
        </w:rPr>
      </w:pPr>
      <w:r>
        <w:rPr>
          <w:rFonts w:ascii="Times New Roman;Times;serif" w:hAnsi="Times New Roman;Times;serif"/>
          <w:sz w:val="20"/>
        </w:rPr>
        <w:t>As used in this Quarterly Report, unless otherwise specified or the context otherwise requires, the terms “we,” “our,” “us,” the “Company” or “BTI” refer to BioXcel Therapeutics, Inc. and “BioXcel LLC” refers to the Company’s former parent company, BioXcel LLC and its predecessor, BioXcel Corporation. All brand names or trademarks appearing in this Quarterly Report are the property of their respective owners, including IGALMI</w:t>
      </w:r>
      <w:r>
        <w:rPr>
          <w:rFonts w:ascii="Times New Roman;Times;serif" w:hAnsi="Times New Roman;Times;serif"/>
          <w:sz w:val="15"/>
        </w:rPr>
        <w:t>®</w:t>
      </w:r>
      <w:r>
        <w:rPr>
          <w:rFonts w:ascii="Times New Roman;Times;serif" w:hAnsi="Times New Roman;Times;serif"/>
          <w:sz w:val="20"/>
        </w:rPr>
        <w:t>, which is a trademark of BioXcel Therapeutics, Inc.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may use our website as a distribution channel for material information about the Company. Financial and other important information regarding the Company is routinely posted on and accessible through the Investors &amp; Media section of its website at </w:t>
      </w:r>
      <w:r>
        <w:rPr>
          <w:rFonts w:ascii="Times New Roman;Times;serif" w:hAnsi="Times New Roman;Times;serif"/>
          <w:i/>
          <w:sz w:val="20"/>
        </w:rPr>
        <w:t>www.bioxceltherapeutics.com</w:t>
      </w:r>
      <w:r>
        <w:rPr>
          <w:rFonts w:ascii="Times New Roman;Times;serif" w:hAnsi="Times New Roman;Times;serif"/>
          <w:sz w:val="20"/>
        </w:rPr>
        <w:t xml:space="preserve">. In addition, you may automatically receive email alerts and other information about the Company when you enroll your email address by visiting the “Email Alerts” option under the News / Events menu of the Investors &amp; Media section of our website at </w:t>
      </w:r>
      <w:r>
        <w:rPr>
          <w:rFonts w:ascii="Times New Roman;Times;serif" w:hAnsi="Times New Roman;Times;serif"/>
          <w:i/>
          <w:sz w:val="20"/>
        </w:rPr>
        <w:t>www.bioxceltherapeutics.com</w:t>
      </w:r>
      <w:r>
        <w:rPr>
          <w:rFonts w:ascii="Times New Roman;Times;serif" w:hAnsi="Times New Roman;Times;serif"/>
          <w:sz w:val="20"/>
        </w:rPr>
        <w:t>. The information contained in, or accessible through, our website does not constitute part of this quarterly report and the inclusion of our website address in this quarterly report is an inactive textual reference only.</w:t>
      </w:r>
    </w:p>
    <w:p>
      <w:pPr>
        <w:pStyle w:val="TextBody"/>
        <w:bidi w:val="0"/>
        <w:spacing w:lineRule="atLeast" w:line="220" w:before="0" w:after="240"/>
        <w:ind w:left="0" w:right="0" w:firstLine="360"/>
        <w:jc w:val="left"/>
        <w:rPr/>
      </w:pPr>
      <w:r>
        <w:rPr/>
        <w:t>​</w:t>
      </w:r>
    </w:p>
    <w:p>
      <w:pPr>
        <w:pStyle w:val="TextBody"/>
        <w:bidi w:val="0"/>
        <w:spacing w:lineRule="atLeast" w:line="220" w:before="0" w:after="240"/>
        <w:ind w:left="0" w:right="0" w:firstLine="360"/>
        <w:jc w:val="left"/>
        <w:rPr/>
      </w:pPr>
      <w:r>
        <w:rPr/>
        <w:t>​</w:t>
      </w:r>
    </w:p>
    <w:p>
      <w:pPr>
        <w:pStyle w:val="TextBody"/>
        <w:bidi w:val="0"/>
        <w:spacing w:lineRule="atLeast" w:line="200" w:before="0" w:after="200"/>
        <w:ind w:left="0" w:right="0" w:firstLine="360"/>
        <w:jc w:val="center"/>
        <w:rPr>
          <w:rFonts w:ascii="Times New Roman;Times;serif" w:hAnsi="Times New Roman;Times;serif"/>
          <w:b/>
          <w:sz w:val="20"/>
        </w:rPr>
      </w:pPr>
      <w:bookmarkStart w:id="47" w:name="Summary_Risk_Factors"/>
      <w:bookmarkStart w:id="48" w:name="_710908df_8c55_43cc_9e39_b9ad4439fa16"/>
      <w:bookmarkEnd w:id="47"/>
      <w:bookmarkEnd w:id="48"/>
      <w:r>
        <w:rPr>
          <w:rFonts w:ascii="Times New Roman;Times;serif" w:hAnsi="Times New Roman;Times;serif"/>
          <w:b/>
          <w:sz w:val="20"/>
        </w:rPr>
        <w:t>SUMMARY RISK FACTORS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business is subject to numerous risks and uncertainties, including those described in Part II, Item 1A. “Risk Factors” in this Quarterly Report. You should carefully consider these risks and uncertainties when investing in our common stock. The principal risks and uncertainties affecting our business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do not complete a strategic transaction, or do not receive sufficient financing from other sources of equity or debt financings, we may be forced to file for bankruptcy, wind down our operations, or pursue a dissolution or liquidation. We will require substantial additional financing to service our debt facilities and achieve our goals, and a failure to obtain this necessary capital when needed could force us to delay, limit, reduce or terminate our product development or commercialization efforts. </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conditions and events that raise substantial doubt about our ability to continue as a going concern.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and have not generated substantial product revenues to date, which may make it difficult to evaluate the success of our business to date and to assess our future viability.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since inception and anticipate that we will continue to incur substantial operating losses for the foreseeable future and may never achieve or maintain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will need substantial additional funding, and if we are unable to raise capital when needed, we could be forced to delay, reduce or eliminate our product development programs or commercialization efforts or otherwise seek strategic alternatives.</w:t>
            </w:r>
            <w:r>
              <w:rPr>
                <w:caps w:val="false"/>
                <w:smallCaps w:val="false"/>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maintain compliance with the listing standards of the Nasdaq Capital Market, Nasdaq may delist our common stock from trading on its exchange, which could limit investors' ability to make transactions in our securities and subject us to additional trading restrictions.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the Credit Agreement.</w:t>
            </w:r>
          </w:p>
        </w:tc>
      </w:tr>
    </w:tbl>
    <w:tbl>
      <w:tblPr>
        <w:tblW w:w="9981" w:type="dxa"/>
        <w:jc w:val="left"/>
        <w:tblInd w:w="0" w:type="dxa"/>
        <w:tblLayout w:type="fixed"/>
        <w:tblCellMar>
          <w:top w:w="28" w:type="dxa"/>
          <w:left w:w="28" w:type="dxa"/>
          <w:bottom w:w="28" w:type="dxa"/>
          <w:right w:w="28" w:type="dxa"/>
        </w:tblCellMar>
      </w:tblPr>
      <w:tblGrid>
        <w:gridCol w:w="124"/>
        <w:gridCol w:w="256"/>
        <w:gridCol w:w="9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strategic clinical reprioritization and other workforce reductions in force may not achieve our intended outcome.</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experience in drug discovery and drug development.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 and may also subject us to additional risks and uncertainties, including regulatory, stockholder or other actions, loss of investor confidence and negative impacts on the trading price of our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In the near term, we are dependent on the success of IGALMI</w:t>
            </w:r>
            <w:r>
              <w:rPr>
                <w:rFonts w:ascii="Times New Roman;Times;serif" w:hAnsi="Times New Roman;Times;serif"/>
                <w:b w:val="false"/>
                <w:i w:val="false"/>
                <w:caps w:val="false"/>
                <w:smallCaps w:val="false"/>
                <w:sz w:val="15"/>
              </w:rPr>
              <w:t>®</w:t>
            </w:r>
            <w:r>
              <w:rPr>
                <w:rFonts w:ascii="Times New Roman;Times;serif" w:hAnsi="Times New Roman;Times;serif"/>
                <w:b w:val="false"/>
                <w:i w:val="false"/>
                <w:caps w:val="false"/>
                <w:smallCaps w:val="false"/>
                <w:sz w:val="20"/>
              </w:rPr>
              <w:t xml:space="preserve">, and our lead product candidate, BXCL501. If we are unable to complete the clinical development of or obtain marketing approval for our product candidates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or successfully commercialize IGALMI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or our lead product candidate, either alone or with a collaborator, or if we experience significant delays in doing so, our business could be substantially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approval processes of the United States (“U.S.”) Food and Drug Administration (“FDA”), and comparable foreign authorities are lengthy, time consuming, expensive and inherently unpredictable, and if we are ultimately unable to obtain regulatory approval for our product candidates, our business will be substantially harmed.</w:t>
            </w:r>
          </w:p>
        </w:tc>
      </w:tr>
    </w:tbl>
    <w:tbl>
      <w:tblPr>
        <w:tblW w:w="8871" w:type="dxa"/>
        <w:jc w:val="left"/>
        <w:tblInd w:w="0" w:type="dxa"/>
        <w:tblLayout w:type="fixed"/>
        <w:tblCellMar>
          <w:top w:w="28" w:type="dxa"/>
          <w:left w:w="28" w:type="dxa"/>
          <w:bottom w:w="28" w:type="dxa"/>
          <w:right w:w="28" w:type="dxa"/>
        </w:tblCellMar>
      </w:tblPr>
      <w:tblGrid>
        <w:gridCol w:w="124"/>
        <w:gridCol w:w="25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are expensive, difficult to design, difficult to conduct and involve an uncertain outcome.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enrollment of patients in our clinical trials to continue development of our product candidates. If we are unable to enroll patients in our clinical trials, our research and development efforts could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estimated number of episodes of agitation and our corresponding estimated total addressable market are subject to inherent challenges and uncertainties. If we have overestimated the number of episodes or the size of our total addressable market for our current and potential future products or product candidates, or if any approval that we obtain is based on a narrower definition of the patient population, our revenue and ability to achieve profitability may be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discovery and development of product candidates based on EvolverAI, BioXcel LLC’s proprietary pharmaceutical discovery and development engine, as well as and our own AI platform is novel and unproven, and we do not know whether we will be able to develop any products of commercial value.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Although the FDA has approved IGALMI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for the acute treatment of agitation associated with schizophrenia or bipolar I or II disorder, we will still face extensive and ongoing regulatory requirements and obligations for IGALMI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and for any product candidates for which we obtain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Although we obtained FDA approval for IGALMI</w:t>
            </w:r>
            <w:r>
              <w:rPr>
                <w:rFonts w:ascii="Times New Roman;Times;serif" w:hAnsi="Times New Roman;Times;serif"/>
                <w:b w:val="false"/>
                <w:i w:val="false"/>
                <w:caps w:val="false"/>
                <w:smallCaps w:val="false"/>
                <w:sz w:val="15"/>
              </w:rPr>
              <w:t>®</w:t>
            </w:r>
            <w:r>
              <w:rPr>
                <w:rFonts w:ascii="Times New Roman;Times;serif" w:hAnsi="Times New Roman;Times;serif"/>
                <w:b w:val="false"/>
                <w:i w:val="false"/>
                <w:caps w:val="false"/>
                <w:smallCaps w:val="false"/>
                <w:sz w:val="20"/>
              </w:rPr>
              <w:t>, our products and product candidates may not be accepted by physicians or the medical community in general, and there may be insufficient insurance coverage and reimbursement.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found in violation of federal, state or foreign health care “fraud and abuse” laws, we may be required to pay significant fines and penalties, which may adversely affect our business, financial condition and results of operations.</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depend on BioXcel LLC to provide us with certain services for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We are substantially dependent on third parties for the manufacture of our clinical supplies of our product candidates, and our commercial supplies of IGALMI</w:t>
            </w:r>
            <w:r>
              <w:rPr>
                <w:rFonts w:ascii="Times New Roman;Times;serif" w:hAnsi="Times New Roman;Times;serif"/>
                <w:b w:val="false"/>
                <w:i w:val="false"/>
                <w:caps w:val="false"/>
                <w:smallCaps w:val="false"/>
                <w:sz w:val="15"/>
              </w:rPr>
              <w:t>®</w:t>
            </w:r>
            <w:r>
              <w:rPr>
                <w:rFonts w:ascii="Times New Roman;Times;serif" w:hAnsi="Times New Roman;Times;serif"/>
                <w:b w:val="false"/>
                <w:i w:val="false"/>
                <w:caps w:val="false"/>
                <w:smallCaps w:val="false"/>
                <w:sz w:val="20"/>
              </w:rPr>
              <w:t xml:space="preserve">, and we intend to rely on third parties to produce commercial supplies of any other approved product candidate.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breaches or cyber-attacks could disrupt our business operations, information technology systems, and financial results, or result in the loss or exposure of confidential or sensitive Company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and may in the future be subject to legal proceedings, claims and investigations in or outside the ordinary course of business. Such proceedings, claims and investigations could be costly and time-consuming to defend and could result in unfavorable outcomes, which may have a material adverse effect on our business, operating results and financial condition, and negatively affect the price of our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global political or economic events and conditions could adversely affect our business, financial condition or results of operations.</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associated with the increased scrutiny relating to environmental, social and governance matters.</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and costly to protect our proprietary rights, and we may not be able to ensure their protection.</w:t>
            </w:r>
          </w:p>
        </w:tc>
      </w:tr>
    </w:tbl>
    <w:p>
      <w:pPr>
        <w:pStyle w:val="TextBody"/>
        <w:bidi w:val="0"/>
        <w:spacing w:before="0" w:after="200"/>
        <w:ind w:left="0" w:right="0" w:firstLine="360"/>
        <w:jc w:val="center"/>
        <w:rPr>
          <w:rFonts w:ascii="Times New Roman;Times;serif" w:hAnsi="Times New Roman;Times;serif"/>
          <w:b/>
          <w:sz w:val="20"/>
        </w:rPr>
      </w:pPr>
      <w:r>
        <w:rPr>
          <w:rFonts w:ascii="Times New Roman;Times;serif" w:hAnsi="Times New Roman;Times;serif"/>
          <w:b/>
          <w:sz w:val="20"/>
        </w:rPr>
        <w:t>TRADEMARKS, TRADE NAMES AND SERVICE MARKS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This Quarterly Report includes our trademarks, trade names and service marks, including, without limitation, “IGALMI</w:t>
      </w:r>
      <w:r>
        <w:rPr>
          <w:rFonts w:ascii="Times New Roman;Times;serif" w:hAnsi="Times New Roman;Times;serif"/>
          <w:sz w:val="15"/>
        </w:rPr>
        <w:t>®</w:t>
      </w:r>
      <w:r>
        <w:rPr>
          <w:rFonts w:ascii="Times New Roman;Times;serif" w:hAnsi="Times New Roman;Times;serif"/>
          <w:sz w:val="20"/>
        </w:rPr>
        <w:t xml:space="preserve">” and our logo, which are our property and are protected under applicable intellectual property laws. Solely for convenience, trademarks, trade names and service marks may appear in this Quarterly Report without the </w:t>
      </w:r>
      <w:r>
        <w:rPr>
          <w:rFonts w:ascii="Times New Roman;Times;serif" w:hAnsi="Times New Roman;Times;serif"/>
          <w:sz w:val="15"/>
        </w:rPr>
        <w:t>®</w:t>
      </w:r>
      <w:r>
        <w:rPr>
          <w:rFonts w:ascii="Times New Roman;Times;serif" w:hAnsi="Times New Roman;Times;serif"/>
          <w:sz w:val="20"/>
        </w:rPr>
        <w:t xml:space="preserve">, </w:t>
      </w:r>
      <w:r>
        <w:rPr>
          <w:rFonts w:ascii="Times New Roman;Times;serif" w:hAnsi="Times New Roman;Times;serif"/>
          <w:sz w:val="15"/>
        </w:rPr>
        <w:t>TM</w:t>
      </w:r>
      <w:r>
        <w:rPr>
          <w:rFonts w:ascii="Times New Roman;Times;serif" w:hAnsi="Times New Roman;Times;serif"/>
          <w:sz w:val="20"/>
        </w:rPr>
        <w:t xml:space="preserve"> and </w:t>
      </w:r>
      <w:r>
        <w:rPr>
          <w:rFonts w:ascii="Times New Roman;Times;serif" w:hAnsi="Times New Roman;Times;serif"/>
          <w:sz w:val="15"/>
        </w:rPr>
        <w:t>SM</w:t>
      </w:r>
      <w:r>
        <w:rPr>
          <w:rFonts w:ascii="Times New Roman;Times;serif" w:hAnsi="Times New Roman;Times;serif"/>
          <w:sz w:val="20"/>
        </w:rPr>
        <w:t xml:space="preserve">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pStyle w:val="TextBody"/>
        <w:bidi w:val="0"/>
        <w:spacing w:before="0" w:after="200"/>
        <w:ind w:left="0" w:right="0" w:firstLine="360"/>
        <w:jc w:val="center"/>
        <w:rPr>
          <w:rFonts w:ascii="Times New Roman;Times;serif" w:hAnsi="Times New Roman;Times;serif"/>
          <w:b/>
          <w:sz w:val="20"/>
        </w:rPr>
      </w:pPr>
      <w:r>
        <w:rPr>
          <w:rFonts w:ascii="Times New Roman;Times;serif" w:hAnsi="Times New Roman;Times;serif"/>
          <w:b/>
          <w:sz w:val="20"/>
        </w:rPr>
        <w:t>INDUSTRY AND OTHER DATA</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Unless otherwise indicated, information contained in this Quarterly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While we believe the information from these third-party publications, research, surveys and studies included in this Quarterly Report is reliable, we do not guarantee the accuracy or completeness of such information, and we have not independently verified this information.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Quarterly Report under “Forward-Looking Statements” and Part II, Item 1A “Risk Factors.” These and other factors could cause our future performance and market expectations to differ materially from our assumptions and estimates.</w:t>
      </w:r>
    </w:p>
    <w:p>
      <w:pPr>
        <w:pStyle w:val="TextBody"/>
        <w:bidi w:val="0"/>
        <w:spacing w:before="0" w:after="240"/>
        <w:ind w:left="0" w:right="0" w:firstLine="36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49" w:name="PART1FINANCIALINFORMATION_422919"/>
      <w:bookmarkStart w:id="50" w:name="_d7803f7b_1a03_43a5_9145_94f0125d75aa"/>
      <w:bookmarkEnd w:id="49"/>
      <w:bookmarkEnd w:id="50"/>
      <w:r>
        <w:rPr>
          <w:rFonts w:ascii="Times New Roman;Times;serif" w:hAnsi="Times New Roman;Times;serif"/>
          <w:b/>
          <w:sz w:val="20"/>
        </w:rPr>
        <w:t>PART I. FINANCIAL INFORMATION</w:t>
      </w:r>
    </w:p>
    <w:p>
      <w:pPr>
        <w:pStyle w:val="TextBody"/>
        <w:bidi w:val="0"/>
        <w:spacing w:before="0" w:after="200"/>
        <w:ind w:left="0" w:right="0" w:hanging="0"/>
        <w:jc w:val="left"/>
        <w:rPr>
          <w:rFonts w:ascii="Times New Roman;Times;serif" w:hAnsi="Times New Roman;Times;serif"/>
          <w:b/>
          <w:sz w:val="20"/>
        </w:rPr>
      </w:pPr>
      <w:bookmarkStart w:id="51" w:name="Item1FinancialStatements_877614"/>
      <w:bookmarkEnd w:id="51"/>
      <w:r>
        <w:rPr>
          <w:rFonts w:ascii="Times New Roman;Times;serif" w:hAnsi="Times New Roman;Times;serif"/>
          <w:b/>
          <w:sz w:val="20"/>
        </w:rPr>
        <w:t>Item 1. 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BIOXCEL THERAPEUTICS, INC.</w:t>
      </w:r>
    </w:p>
    <w:p>
      <w:pPr>
        <w:pStyle w:val="TextBody"/>
        <w:bidi w:val="0"/>
        <w:spacing w:before="0" w:after="120"/>
        <w:ind w:left="0" w:right="0" w:hanging="0"/>
        <w:jc w:val="center"/>
        <w:rPr>
          <w:rFonts w:ascii="Times New Roman;Times;serif" w:hAnsi="Times New Roman;Times;serif"/>
          <w:b/>
          <w:sz w:val="20"/>
        </w:rPr>
      </w:pPr>
      <w:bookmarkStart w:id="52" w:name="BALANCESHEETS_142330"/>
      <w:bookmarkEnd w:id="52"/>
      <w:r>
        <w:rPr>
          <w:rFonts w:ascii="Times New Roman;Times;serif" w:hAnsi="Times New Roman;Times;serif"/>
          <w:b/>
          <w:sz w:val="20"/>
        </w:rPr>
        <w:t>CONDENSED CONSOLIDATED BALANCE SHEETS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(amounts in thousands, except per share amounts)</w:t>
      </w:r>
    </w:p>
    <w:p>
      <w:pPr>
        <w:pStyle w:val="Normal"/>
        <w:bidi w:val="0"/>
        <w:spacing w:before="0" w:after="0"/>
        <w:jc w:val="left"/>
        <w:rPr>
          <w:sz w:val="4"/>
          <w:szCs w:val="4"/>
        </w:rPr>
      </w:pPr>
      <w:r>
        <w:rPr>
          <w:sz w:val="4"/>
          <w:szCs w:val="4"/>
        </w:rPr>
      </w:r>
      <w:bookmarkStart w:id="53" w:name="Tc_V4AABhnWU0ShQ9mDuGiqEg_38_5"/>
      <w:bookmarkStart w:id="54" w:name="Tc_7ReADwjAN0GYRIas27JRjg_38_2"/>
      <w:bookmarkStart w:id="55" w:name="Tc_qQQlBKO1VUOLj7voG3uoRQ_38_0"/>
      <w:bookmarkStart w:id="56" w:name="Tc_G7tUck0LQ0ekoTxR83O3NQ_37_0"/>
      <w:bookmarkStart w:id="57" w:name="Tc_0IpQHVnLAkaX_Fkw0yotow_36_0"/>
      <w:bookmarkStart w:id="58" w:name="Tc_LRnlqlssuEe0fuQK4Lemcg_35_0"/>
      <w:bookmarkStart w:id="59" w:name="Tc_gTDcmKl9jkWQspVc8Xw8vQ_34_0"/>
      <w:bookmarkStart w:id="60" w:name="Tc__0Cvn0v5lke7qFXqT-phBg_33_0"/>
      <w:bookmarkStart w:id="61" w:name="Tc_Sqsqj6XkREmWSCkHJGRE2g_32_0"/>
      <w:bookmarkStart w:id="62" w:name="Tc_Ro85aq75SkSNpIx4TAhaYw_31_0"/>
      <w:bookmarkStart w:id="63" w:name="Tc_OiBcpP1uj0eSMr6ab_vZaA_29_0"/>
      <w:bookmarkStart w:id="64" w:name="Tc_Im-Sis_SlEuzJLVV9LuXgQ_28_0"/>
      <w:bookmarkStart w:id="65" w:name="Tc_Z4TeUt3chka2dHAxS3WigA_27_0"/>
      <w:bookmarkStart w:id="66" w:name="Tc_y1rByI1RLEmwS9ATXnFAFA_26_0"/>
      <w:bookmarkStart w:id="67" w:name="Tc_Hwz_Q7XRzEORPNFoDMxJUA_25_0"/>
      <w:bookmarkStart w:id="68" w:name="Tc_1uslAsrHt0-gHjagfQCL1Q_24_0"/>
      <w:bookmarkStart w:id="69" w:name="Tc_GyI6Z3N6c0GW8vkKE29OkA_23_0"/>
      <w:bookmarkStart w:id="70" w:name="Tc_ywZvUCvxLE60T_jcVtzf4A_22_0"/>
      <w:bookmarkStart w:id="71" w:name="Tc_ZTKqH9YYSEeA2LCirENy6Q_21_5"/>
      <w:bookmarkStart w:id="72" w:name="Tc_nUMbQeP9rEuy9cWeTeL9rQ_21_2"/>
      <w:bookmarkStart w:id="73" w:name="Tc_xQdr76ydCUaWK863M3moGQ_21_0"/>
      <w:bookmarkStart w:id="74" w:name="Tc_e3UCwVm5RkmWxLH4ny8SMg_20_0"/>
      <w:bookmarkStart w:id="75" w:name="Tc_o0QVoqV8gUmx0ksvq13qwg_19_0"/>
      <w:bookmarkStart w:id="76" w:name="Tc_fS4EFRPTUEeyz8L1n-6w-w_17_5"/>
      <w:bookmarkStart w:id="77" w:name="Tc_uimMN5r94kiY6e73A6lp4g_17_2"/>
      <w:bookmarkStart w:id="78" w:name="Tc_As_sKt6-Akq4vEG3ReR_Mw_17_0"/>
      <w:bookmarkStart w:id="79" w:name="Tc_gnAZWQLLLES1EbAbzbgO7A_16_0"/>
      <w:bookmarkStart w:id="80" w:name="Tc_HEegaV2DWU2eulLnqVvmSw_15_0"/>
      <w:bookmarkStart w:id="81" w:name="Tc_UsVc_1Yh1ky1NZgDkvKjtA_14_0"/>
      <w:bookmarkStart w:id="82" w:name="Tc_MpTmKbNsJ0G61KeKYVkUWg_13_0"/>
      <w:bookmarkStart w:id="83" w:name="Tc_PzfDLJupBEqxH4kfhqbziw_12_0"/>
      <w:bookmarkStart w:id="84" w:name="Tc_Qf8WuE9l0k-Hfd_WE_zvHg_11_0"/>
      <w:bookmarkStart w:id="85" w:name="Tc_CLJUp08EfEmpMVBvEK5Rhg_10_0"/>
      <w:bookmarkStart w:id="86" w:name="Tc_DNkP98LhhkWpQkS61A9nhA_9_0"/>
      <w:bookmarkStart w:id="87" w:name="Tc_0vBBc5JQukadBU6eErPI0w_8_5"/>
      <w:bookmarkStart w:id="88" w:name="Tc_EQMQxAyCaUCIzyShc_5H-w_8_2"/>
      <w:bookmarkStart w:id="89" w:name="Tc_prVqZuJbG0m6WgPKEVvzdQ_8_0"/>
      <w:bookmarkStart w:id="90" w:name="Tc_nU_7bYCQH0GAaffcBoRD2Q_7_0"/>
      <w:bookmarkStart w:id="91" w:name="Tc_lg2_eT1x6UaTdr4KRCnTjg_6_0"/>
      <w:bookmarkStart w:id="92" w:name="Tc_Ht_QqSCoCEekwdaT0SZLGA_5_5"/>
      <w:bookmarkStart w:id="93" w:name="Tc_6r9bxJoAgkyWhTU5rokAzw_5_2"/>
      <w:bookmarkStart w:id="94" w:name="Tc_TymAB61lqEWuiVnGVA2ISA_4_5"/>
      <w:bookmarkStart w:id="95" w:name="Tc_2Kd6PKyvX0CKmQqkcIL_Ww_4_2"/>
      <w:bookmarkStart w:id="96" w:name="_6d6a86f9_eb22_49fa_8096_7b0529b174c7"/>
      <w:bookmarkStart w:id="97" w:name="Tc_V4AABhnWU0ShQ9mDuGiqEg_38_5"/>
      <w:bookmarkStart w:id="98" w:name="Tc_7ReADwjAN0GYRIas27JRjg_38_2"/>
      <w:bookmarkStart w:id="99" w:name="Tc_qQQlBKO1VUOLj7voG3uoRQ_38_0"/>
      <w:bookmarkStart w:id="100" w:name="Tc_G7tUck0LQ0ekoTxR83O3NQ_37_0"/>
      <w:bookmarkStart w:id="101" w:name="Tc_0IpQHVnLAkaX_Fkw0yotow_36_0"/>
      <w:bookmarkStart w:id="102" w:name="Tc_LRnlqlssuEe0fuQK4Lemcg_35_0"/>
      <w:bookmarkStart w:id="103" w:name="Tc_gTDcmKl9jkWQspVc8Xw8vQ_34_0"/>
      <w:bookmarkStart w:id="104" w:name="Tc__0Cvn0v5lke7qFXqT-phBg_33_0"/>
      <w:bookmarkStart w:id="105" w:name="Tc_Sqsqj6XkREmWSCkHJGRE2g_32_0"/>
      <w:bookmarkStart w:id="106" w:name="Tc_Ro85aq75SkSNpIx4TAhaYw_31_0"/>
      <w:bookmarkStart w:id="107" w:name="Tc_OiBcpP1uj0eSMr6ab_vZaA_29_0"/>
      <w:bookmarkStart w:id="108" w:name="Tc_Im-Sis_SlEuzJLVV9LuXgQ_28_0"/>
      <w:bookmarkStart w:id="109" w:name="Tc_Z4TeUt3chka2dHAxS3WigA_27_0"/>
      <w:bookmarkStart w:id="110" w:name="Tc_y1rByI1RLEmwS9ATXnFAFA_26_0"/>
      <w:bookmarkStart w:id="111" w:name="Tc_Hwz_Q7XRzEORPNFoDMxJUA_25_0"/>
      <w:bookmarkStart w:id="112" w:name="Tc_1uslAsrHt0-gHjagfQCL1Q_24_0"/>
      <w:bookmarkStart w:id="113" w:name="Tc_GyI6Z3N6c0GW8vkKE29OkA_23_0"/>
      <w:bookmarkStart w:id="114" w:name="Tc_ywZvUCvxLE60T_jcVtzf4A_22_0"/>
      <w:bookmarkStart w:id="115" w:name="Tc_ZTKqH9YYSEeA2LCirENy6Q_21_5"/>
      <w:bookmarkStart w:id="116" w:name="Tc_nUMbQeP9rEuy9cWeTeL9rQ_21_2"/>
      <w:bookmarkStart w:id="117" w:name="Tc_xQdr76ydCUaWK863M3moGQ_21_0"/>
      <w:bookmarkStart w:id="118" w:name="Tc_e3UCwVm5RkmWxLH4ny8SMg_20_0"/>
      <w:bookmarkStart w:id="119" w:name="Tc_o0QVoqV8gUmx0ksvq13qwg_19_0"/>
      <w:bookmarkStart w:id="120" w:name="Tc_fS4EFRPTUEeyz8L1n-6w-w_17_5"/>
      <w:bookmarkStart w:id="121" w:name="Tc_uimMN5r94kiY6e73A6lp4g_17_2"/>
      <w:bookmarkStart w:id="122" w:name="Tc_As_sKt6-Akq4vEG3ReR_Mw_17_0"/>
      <w:bookmarkStart w:id="123" w:name="Tc_gnAZWQLLLES1EbAbzbgO7A_16_0"/>
      <w:bookmarkStart w:id="124" w:name="Tc_HEegaV2DWU2eulLnqVvmSw_15_0"/>
      <w:bookmarkStart w:id="125" w:name="Tc_UsVc_1Yh1ky1NZgDkvKjtA_14_0"/>
      <w:bookmarkStart w:id="126" w:name="Tc_MpTmKbNsJ0G61KeKYVkUWg_13_0"/>
      <w:bookmarkStart w:id="127" w:name="Tc_PzfDLJupBEqxH4kfhqbziw_12_0"/>
      <w:bookmarkStart w:id="128" w:name="Tc_Qf8WuE9l0k-Hfd_WE_zvHg_11_0"/>
      <w:bookmarkStart w:id="129" w:name="Tc_CLJUp08EfEmpMVBvEK5Rhg_10_0"/>
      <w:bookmarkStart w:id="130" w:name="Tc_DNkP98LhhkWpQkS61A9nhA_9_0"/>
      <w:bookmarkStart w:id="131" w:name="Tc_0vBBc5JQukadBU6eErPI0w_8_5"/>
      <w:bookmarkStart w:id="132" w:name="Tc_EQMQxAyCaUCIzyShc_5H-w_8_2"/>
      <w:bookmarkStart w:id="133" w:name="Tc_prVqZuJbG0m6WgPKEVvzdQ_8_0"/>
      <w:bookmarkStart w:id="134" w:name="Tc_nU_7bYCQH0GAaffcBoRD2Q_7_0"/>
      <w:bookmarkStart w:id="135" w:name="Tc_lg2_eT1x6UaTdr4KRCnTjg_6_0"/>
      <w:bookmarkStart w:id="136" w:name="Tc_Ht_QqSCoCEekwdaT0SZLGA_5_5"/>
      <w:bookmarkStart w:id="137" w:name="Tc_6r9bxJoAgkyWhTU5rokAzw_5_2"/>
      <w:bookmarkStart w:id="138" w:name="Tc_TymAB61lqEWuiVnGVA2ISA_4_5"/>
      <w:bookmarkStart w:id="139" w:name="Tc_2Kd6PKyvX0CKmQqkcIL_Ww_4_2"/>
      <w:bookmarkStart w:id="140" w:name="_6d6a86f9_eb22_49fa_8096_7b0529b174c7"/>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tbl>
      <w:tblPr>
        <w:tblW w:w="10205" w:type="dxa"/>
        <w:jc w:val="left"/>
        <w:tblInd w:w="0" w:type="dxa"/>
        <w:tblLayout w:type="fixed"/>
        <w:tblCellMar>
          <w:top w:w="0" w:type="dxa"/>
          <w:left w:w="0" w:type="dxa"/>
          <w:bottom w:w="0" w:type="dxa"/>
          <w:right w:w="0" w:type="dxa"/>
        </w:tblCellMar>
      </w:tblPr>
      <w:tblGrid>
        <w:gridCol w:w="7311"/>
        <w:gridCol w:w="346"/>
        <w:gridCol w:w="211"/>
        <w:gridCol w:w="862"/>
        <w:gridCol w:w="346"/>
        <w:gridCol w:w="212"/>
        <w:gridCol w:w="917"/>
      </w:tblGrid>
      <w:tr>
        <w:trPr/>
        <w:tc>
          <w:tcPr>
            <w:tcW w:w="7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642485" cy="175260"/>
                      <wp:effectExtent l="0" t="0" r="0" b="0"/>
                      <wp:wrapNone/>
                      <wp:docPr id="4" name="Frame4"/>
                      <a:graphic xmlns:a="http://schemas.openxmlformats.org/drawingml/2006/main">
                        <a:graphicData uri="http://schemas.microsoft.com/office/word/2010/wordprocessingShape">
                          <wps:wsp>
                            <wps:cNvSpPr txBox="1"/>
                            <wps:spPr>
                              <a:xfrm>
                                <a:off x="0" y="0"/>
                                <a:ext cx="4642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47370" cy="175260"/>
                      <wp:effectExtent l="0" t="0" r="0" b="0"/>
                      <wp:wrapNone/>
                      <wp:docPr id="7" name="Frame7"/>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4620" cy="175260"/>
                      <wp:effectExtent l="0" t="0" r="0" b="0"/>
                      <wp:wrapNone/>
                      <wp:docPr id="9" name="Frame9"/>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82295" cy="175260"/>
                      <wp:effectExtent l="0" t="0" r="0" b="0"/>
                      <wp:wrapNone/>
                      <wp:docPr id="10" name="Frame10"/>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6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29" w:type="dxa"/>
            <w:gridSpan w:val="2"/>
            <w:tcBorders/>
            <w:vAlign w:val="center"/>
          </w:tcPr>
          <w:p>
            <w:pPr>
              <w:pStyle w:val="TableContents"/>
              <w:bidi w:val="0"/>
              <w:spacing w:before="0" w:after="1"/>
              <w:ind w:left="0" w:right="0" w:hanging="0"/>
              <w:jc w:val="center"/>
              <w:rPr/>
            </w:pPr>
            <w:r>
              <w:rPr/>
              <w:t>​</w:t>
            </w:r>
          </w:p>
        </w:tc>
      </w:tr>
      <w:tr>
        <w:trPr/>
        <w:tc>
          <w:tcPr>
            <w:tcW w:w="7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73"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2" w:type="dxa"/>
            <w:tcBorders/>
            <w:vAlign w:val="center"/>
          </w:tcPr>
          <w:p>
            <w:pPr>
              <w:pStyle w:val="TableContents"/>
              <w:bidi w:val="0"/>
              <w:spacing w:before="0" w:after="1"/>
              <w:ind w:left="0" w:right="0" w:hanging="0"/>
              <w:jc w:val="center"/>
              <w:rPr/>
            </w:pPr>
            <w:r>
              <w:rPr/>
              <w:t>​</w:t>
            </w:r>
          </w:p>
        </w:tc>
        <w:tc>
          <w:tcPr>
            <w:tcW w:w="917" w:type="dxa"/>
            <w:tcBorders/>
            <w:vAlign w:val="center"/>
          </w:tcPr>
          <w:p>
            <w:pPr>
              <w:pStyle w:val="TableContents"/>
              <w:bidi w:val="0"/>
              <w:spacing w:before="0" w:after="1"/>
              <w:ind w:left="0" w:right="0" w:hanging="0"/>
              <w:jc w:val="center"/>
              <w:rPr/>
            </w:pPr>
            <w:r>
              <w:rPr/>
              <w:t>​</w:t>
            </w:r>
          </w:p>
        </w:tc>
      </w:tr>
      <w:tr>
        <w:trPr/>
        <w:tc>
          <w:tcPr>
            <w:tcW w:w="7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73"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29" w:type="dxa"/>
            <w:gridSpan w:val="2"/>
            <w:tcBorders/>
            <w:vAlign w:val="center"/>
          </w:tcPr>
          <w:p>
            <w:pPr>
              <w:pStyle w:val="TableContents"/>
              <w:bidi w:val="0"/>
              <w:spacing w:before="0" w:after="1"/>
              <w:ind w:left="0" w:right="0" w:hanging="0"/>
              <w:jc w:val="center"/>
              <w:rPr/>
            </w:pPr>
            <w:r>
              <w:rPr/>
              <w:t>​</w:t>
            </w:r>
          </w:p>
        </w:tc>
      </w:tr>
      <w:tr>
        <w:trPr/>
        <w:tc>
          <w:tcPr>
            <w:tcW w:w="7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7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12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3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pPr>
            <w:r>
              <w:rPr/>
              <w:t>  ​</w:t>
            </w:r>
          </w:p>
        </w:tc>
      </w:tr>
      <w:tr>
        <w:trPr/>
        <w:tc>
          <w:tcPr>
            <w:tcW w:w="7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pPr>
            <w:r>
              <w:rPr/>
              <w:t>  ​</w:t>
            </w:r>
          </w:p>
        </w:tc>
      </w:tr>
      <w:tr>
        <w:trPr/>
        <w:tc>
          <w:tcPr>
            <w:tcW w:w="7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12,841</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28,415</w:t>
            </w:r>
          </w:p>
        </w:tc>
      </w:tr>
      <w:tr>
        <w:trPr/>
        <w:tc>
          <w:tcPr>
            <w:tcW w:w="7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960</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w:t>
            </w:r>
          </w:p>
        </w:tc>
      </w:tr>
      <w:tr>
        <w:trPr/>
        <w:tc>
          <w:tcPr>
            <w:tcW w:w="7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7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w:t>
            </w:r>
          </w:p>
        </w:tc>
      </w:tr>
      <w:tr>
        <w:trPr/>
        <w:tc>
          <w:tcPr>
            <w:tcW w:w="7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3,074</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4,028</w:t>
            </w:r>
          </w:p>
        </w:tc>
      </w:tr>
      <w:tr>
        <w:trPr/>
        <w:tc>
          <w:tcPr>
            <w:tcW w:w="7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11,260</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10,945</w:t>
            </w:r>
          </w:p>
        </w:tc>
      </w:tr>
      <w:tr>
        <w:trPr/>
        <w:tc>
          <w:tcPr>
            <w:tcW w:w="7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28,700</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44,685</w:t>
            </w:r>
          </w:p>
        </w:tc>
      </w:tr>
      <w:tr>
        <w:trPr/>
        <w:tc>
          <w:tcPr>
            <w:tcW w:w="7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7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28,799</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44,916</w:t>
            </w:r>
          </w:p>
        </w:tc>
      </w:tr>
      <w:tr>
        <w:trPr/>
        <w:tc>
          <w:tcPr>
            <w:tcW w:w="73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pPr>
            <w:r>
              <w:rPr/>
              <w:t>​</w:t>
            </w:r>
          </w:p>
        </w:tc>
      </w:tr>
      <w:tr>
        <w:trPr/>
        <w:tc>
          <w:tcPr>
            <w:tcW w:w="73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AND STOCKHOLDERS' (DEFICIT) EQUITY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pPr>
            <w:r>
              <w:rPr/>
              <w:t>  ​</w:t>
            </w:r>
          </w:p>
        </w:tc>
      </w:tr>
      <w:tr>
        <w:trPr/>
        <w:tc>
          <w:tcPr>
            <w:tcW w:w="7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pPr>
            <w:r>
              <w:rPr/>
              <w:t>  ​</w:t>
            </w:r>
          </w:p>
        </w:tc>
      </w:tr>
      <w:tr>
        <w:trPr/>
        <w:tc>
          <w:tcPr>
            <w:tcW w:w="7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18,783</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14,701</w:t>
            </w:r>
          </w:p>
        </w:tc>
      </w:tr>
      <w:tr>
        <w:trPr/>
        <w:tc>
          <w:tcPr>
            <w:tcW w:w="7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3,921</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4,341</w:t>
            </w:r>
          </w:p>
        </w:tc>
      </w:tr>
      <w:tr>
        <w:trPr/>
        <w:tc>
          <w:tcPr>
            <w:tcW w:w="7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portion of long-term debt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104,451</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24,931</w:t>
            </w:r>
          </w:p>
        </w:tc>
      </w:tr>
      <w:tr>
        <w:trPr/>
        <w:tc>
          <w:tcPr>
            <w:tcW w:w="7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to related parties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7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9,837</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9,815</w:t>
            </w:r>
          </w:p>
        </w:tc>
      </w:tr>
      <w:tr>
        <w:trPr/>
        <w:tc>
          <w:tcPr>
            <w:tcW w:w="7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137,149</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53,926</w:t>
            </w:r>
          </w:p>
        </w:tc>
      </w:tr>
      <w:tr>
        <w:trPr/>
        <w:tc>
          <w:tcPr>
            <w:tcW w:w="7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7,110</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1,790</w:t>
            </w:r>
          </w:p>
        </w:tc>
      </w:tr>
      <w:tr>
        <w:trPr/>
        <w:tc>
          <w:tcPr>
            <w:tcW w:w="7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84,663</w:t>
            </w:r>
          </w:p>
        </w:tc>
      </w:tr>
      <w:tr>
        <w:trPr/>
        <w:tc>
          <w:tcPr>
            <w:tcW w:w="7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144,259</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140,379</w:t>
            </w:r>
          </w:p>
        </w:tc>
      </w:tr>
      <w:tr>
        <w:trPr/>
        <w:tc>
          <w:tcPr>
            <w:tcW w:w="73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pPr>
            <w:r>
              <w:rPr/>
              <w:t>​</w:t>
            </w:r>
          </w:p>
        </w:tc>
      </w:tr>
      <w:tr>
        <w:trPr/>
        <w:tc>
          <w:tcPr>
            <w:tcW w:w="7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 (Note 16)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pPr>
            <w:r>
              <w:rPr/>
              <w:t>​</w:t>
            </w:r>
          </w:p>
        </w:tc>
      </w:tr>
      <w:tr>
        <w:trPr/>
        <w:tc>
          <w:tcPr>
            <w:tcW w:w="7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(deficit)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pPr>
            <w:r>
              <w:rPr/>
              <w:t>  ​</w:t>
            </w:r>
          </w:p>
        </w:tc>
      </w:tr>
      <w:tr>
        <w:trPr/>
        <w:tc>
          <w:tcPr>
            <w:tcW w:w="7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$0.001 par value, 10,000 shares authorized; no shares issued and outstanding as of June 30, 2026 and December 31, 2025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pPr>
            <w:r>
              <w:rPr/>
              <w:t>—</w:t>
            </w:r>
          </w:p>
        </w:tc>
      </w:tr>
      <w:tr>
        <w:trPr/>
        <w:tc>
          <w:tcPr>
            <w:tcW w:w="7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$0.001 par value, 200,000 shares authorized as of June 30, 2026 and December 31, 2025; 31,305 and 22,328 shares issued and outstanding as of June 30,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7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paid-in-capital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632,007</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624,555</w:t>
            </w:r>
          </w:p>
        </w:tc>
      </w:tr>
      <w:tr>
        <w:trPr/>
        <w:tc>
          <w:tcPr>
            <w:tcW w:w="7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(747,498)</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(720,094)</w:t>
            </w:r>
          </w:p>
        </w:tc>
      </w:tr>
      <w:tr>
        <w:trPr/>
        <w:tc>
          <w:tcPr>
            <w:tcW w:w="7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(deficit) equity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(115,460)</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(95,463)</w:t>
            </w:r>
          </w:p>
        </w:tc>
      </w:tr>
      <w:tr>
        <w:trPr/>
        <w:tc>
          <w:tcPr>
            <w:tcW w:w="7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(deficit)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28,799</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44,916</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val="false"/>
          <w:sz w:val="20"/>
        </w:rPr>
      </w:pPr>
      <w:r>
        <w:rPr>
          <w:rFonts w:ascii="Times New Roman;Times;serif" w:hAnsi="Times New Roman;Times;serif"/>
          <w:b w:val="false"/>
          <w:sz w:val="20"/>
        </w:rPr>
        <w:t>The accompanying notes are an integral part of these condensed consolidated financial statements.</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1" w:name="_9111daca_fd10_42ab_9348_5fa47031f253"/>
      <w:bookmarkEnd w:id="141"/>
      <w:r>
        <w:rPr>
          <w:rFonts w:ascii="Times New Roman;Times;serif" w:hAnsi="Times New Roman;Times;serif"/>
          <w:b/>
          <w:sz w:val="20"/>
        </w:rPr>
        <w:t>BIOXCEL THERAPEUTICS, INC.</w:t>
      </w:r>
    </w:p>
    <w:p>
      <w:pPr>
        <w:pStyle w:val="TextBody"/>
        <w:bidi w:val="0"/>
        <w:spacing w:before="0" w:after="240"/>
        <w:ind w:left="0" w:right="0" w:hanging="0"/>
        <w:jc w:val="center"/>
        <w:rPr>
          <w:rFonts w:ascii="Times New Roman;Times;serif" w:hAnsi="Times New Roman;Times;serif"/>
          <w:b/>
          <w:sz w:val="20"/>
        </w:rPr>
      </w:pPr>
      <w:bookmarkStart w:id="142" w:name="STATEMENTSOFOPERATIONS_842353"/>
      <w:bookmarkEnd w:id="142"/>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per share amounts)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43" w:name="Tc_82rttVPkhkOsgm8zn0cipA_19_0"/>
      <w:bookmarkStart w:id="144" w:name="Tc_WjR725-RQECI8cta5biIng_18_11"/>
      <w:bookmarkStart w:id="145" w:name="Tc_sUojQfi1qEC-QP-RzcLUoQ_18_8"/>
      <w:bookmarkStart w:id="146" w:name="Tc_HLbLsnhSlEK_5JGQ522uag_18_5"/>
      <w:bookmarkStart w:id="147" w:name="Tc__f7UO8mcu0SId7a5C0zktA_18_2"/>
      <w:bookmarkStart w:id="148" w:name="Tc_nhVQDBHZJkCQ5MmYCKFiZw_18_0"/>
      <w:bookmarkStart w:id="149" w:name="Tc_bBwGOCB20k224tqc7dcmAw_17_11"/>
      <w:bookmarkStart w:id="150" w:name="Tc_Ot86A_7zAkmCHJgedsaA2w_17_8"/>
      <w:bookmarkStart w:id="151" w:name="Tc_6gtSltSxJECvbKCYklNCnw_17_5"/>
      <w:bookmarkStart w:id="152" w:name="Tc_sSIeqT01a0qSSvV0w5LphA_17_2"/>
      <w:bookmarkStart w:id="153" w:name="Tc_TKPyZvSP_UarONG7ce50Lg_17_0"/>
      <w:bookmarkStart w:id="154" w:name="Tc_BPGMI2zb2kyJ9YzDPBvNCw_16_0"/>
      <w:bookmarkStart w:id="155" w:name="Tc_TrjQ-dVSZkOSAVf1UuPPeQ_15_0"/>
      <w:bookmarkStart w:id="156" w:name="Tc_KWZ0yeYkRku2PVIrDJHqvA_14_0"/>
      <w:bookmarkStart w:id="157" w:name="Tc_hSAvbVZLnEyQyUwwP-akpw_13_0"/>
      <w:bookmarkStart w:id="158" w:name="Tc_ApAtoL56Rk2eeFVfczJ02A_12_11"/>
      <w:bookmarkStart w:id="159" w:name="Tc_kAOFwWGO_0WCfNeE7XqX_g_12_8"/>
      <w:bookmarkStart w:id="160" w:name="Tc_DNH2sEqSokqd4mwMP8B6og_12_5"/>
      <w:bookmarkStart w:id="161" w:name="Tc_SAgfklaAgU-9B9lu9AEWOA_12_2"/>
      <w:bookmarkStart w:id="162" w:name="Tc_iDTNCV51ZEe4sNtsxncJiA_12_0"/>
      <w:bookmarkStart w:id="163" w:name="Tc_hapsUO-wUES6bAX12zBCxw_11_11"/>
      <w:bookmarkStart w:id="164" w:name="Tc_HrJvU7qd5E-Jamzbk1UDbA_11_8"/>
      <w:bookmarkStart w:id="165" w:name="Tc_zUcizX5p7EKWWi7irviVKQ_11_5"/>
      <w:bookmarkStart w:id="166" w:name="Tc_3cmXMQpcCUehhNWYa6CX0A_11_2"/>
      <w:bookmarkStart w:id="167" w:name="Tc_G9ZY9meJ5UCSOmlFy62c0A_11_0"/>
      <w:bookmarkStart w:id="168" w:name="Tc_KFn4IWxMTkyTUcwzCjpCWg_10_0"/>
      <w:bookmarkStart w:id="169" w:name="Tc_7AUXuR5jZ0SeuULnT7wH-Q_9_0"/>
      <w:bookmarkStart w:id="170" w:name="Tc_aSn6aGptyUKAE-bGLrcQ0w_8_11"/>
      <w:bookmarkStart w:id="171" w:name="Tc_-9DNWYvUVkmdAqiLTAtUPQ_8_8"/>
      <w:bookmarkStart w:id="172" w:name="Tc_1p-sF2TEkEW9G9OHkzi-AQ_8_5"/>
      <w:bookmarkStart w:id="173" w:name="Tc_6XoDWEkW70GX2VsXej5x9Q_8_2"/>
      <w:bookmarkStart w:id="174" w:name="Tc_LRxBvStIe0aUoyRoOOprpw_8_0"/>
      <w:bookmarkStart w:id="175" w:name="Tc_slVz5IzeQ0Sqo09EyMR4sQ_7_0"/>
      <w:bookmarkStart w:id="176" w:name="Tc_RBnyDBfzA0ejlSPv6dysFQ_5_11"/>
      <w:bookmarkStart w:id="177" w:name="Tc_iFrwJY_FBEmU8WohRkJQ3w_5_8"/>
      <w:bookmarkStart w:id="178" w:name="Tc_eESH1MbXHEWK6-bOFioGyA_5_5"/>
      <w:bookmarkStart w:id="179" w:name="Tc_v-Oqjq-bQkazOrNpIWH6wQ_5_2"/>
      <w:bookmarkStart w:id="180" w:name="Tc_N_c6dESTG0mk0copbLh-uA_5_0"/>
      <w:bookmarkStart w:id="181" w:name="Tc_cqQ-d0S-oEu-ioETooZyiw_4_0"/>
      <w:bookmarkStart w:id="182" w:name="Tc_RVeW0ZGtBU--jWEBYfiFOQ_2_11"/>
      <w:bookmarkStart w:id="183" w:name="Tc_2_W5n50F8U-bWdjgy6Lfkw_2_8"/>
      <w:bookmarkStart w:id="184" w:name="Tc_-n9Hp6h3-kSfO_ns_amSxg_2_5"/>
      <w:bookmarkStart w:id="185" w:name="Tc_-VBS2uUS_U-8Qwo5iFHiZg_2_2"/>
      <w:bookmarkStart w:id="186" w:name="Tc_MmIbSx24PUyax_6oJlUIGA_1_8"/>
      <w:bookmarkStart w:id="187" w:name="Tc_1sURgZtnKkakff7zxNgdzw_1_2"/>
      <w:bookmarkStart w:id="188" w:name="_075bd9ed_50a5_4472_bcc4_fcab4a3012c4"/>
      <w:bookmarkStart w:id="189" w:name="_22d046b9_a0ab_4da7_a73a_abc482023c0a"/>
      <w:bookmarkStart w:id="190" w:name="Tc_82rttVPkhkOsgm8zn0cipA_19_0"/>
      <w:bookmarkStart w:id="191" w:name="Tc_WjR725-RQECI8cta5biIng_18_11"/>
      <w:bookmarkStart w:id="192" w:name="Tc_sUojQfi1qEC-QP-RzcLUoQ_18_8"/>
      <w:bookmarkStart w:id="193" w:name="Tc_HLbLsnhSlEK_5JGQ522uag_18_5"/>
      <w:bookmarkStart w:id="194" w:name="Tc__f7UO8mcu0SId7a5C0zktA_18_2"/>
      <w:bookmarkStart w:id="195" w:name="Tc_nhVQDBHZJkCQ5MmYCKFiZw_18_0"/>
      <w:bookmarkStart w:id="196" w:name="Tc_bBwGOCB20k224tqc7dcmAw_17_11"/>
      <w:bookmarkStart w:id="197" w:name="Tc_Ot86A_7zAkmCHJgedsaA2w_17_8"/>
      <w:bookmarkStart w:id="198" w:name="Tc_6gtSltSxJECvbKCYklNCnw_17_5"/>
      <w:bookmarkStart w:id="199" w:name="Tc_sSIeqT01a0qSSvV0w5LphA_17_2"/>
      <w:bookmarkStart w:id="200" w:name="Tc_TKPyZvSP_UarONG7ce50Lg_17_0"/>
      <w:bookmarkStart w:id="201" w:name="Tc_BPGMI2zb2kyJ9YzDPBvNCw_16_0"/>
      <w:bookmarkStart w:id="202" w:name="Tc_TrjQ-dVSZkOSAVf1UuPPeQ_15_0"/>
      <w:bookmarkStart w:id="203" w:name="Tc_KWZ0yeYkRku2PVIrDJHqvA_14_0"/>
      <w:bookmarkStart w:id="204" w:name="Tc_hSAvbVZLnEyQyUwwP-akpw_13_0"/>
      <w:bookmarkStart w:id="205" w:name="Tc_ApAtoL56Rk2eeFVfczJ02A_12_11"/>
      <w:bookmarkStart w:id="206" w:name="Tc_kAOFwWGO_0WCfNeE7XqX_g_12_8"/>
      <w:bookmarkStart w:id="207" w:name="Tc_DNH2sEqSokqd4mwMP8B6og_12_5"/>
      <w:bookmarkStart w:id="208" w:name="Tc_SAgfklaAgU-9B9lu9AEWOA_12_2"/>
      <w:bookmarkStart w:id="209" w:name="Tc_iDTNCV51ZEe4sNtsxncJiA_12_0"/>
      <w:bookmarkStart w:id="210" w:name="Tc_hapsUO-wUES6bAX12zBCxw_11_11"/>
      <w:bookmarkStart w:id="211" w:name="Tc_HrJvU7qd5E-Jamzbk1UDbA_11_8"/>
      <w:bookmarkStart w:id="212" w:name="Tc_zUcizX5p7EKWWi7irviVKQ_11_5"/>
      <w:bookmarkStart w:id="213" w:name="Tc_3cmXMQpcCUehhNWYa6CX0A_11_2"/>
      <w:bookmarkStart w:id="214" w:name="Tc_G9ZY9meJ5UCSOmlFy62c0A_11_0"/>
      <w:bookmarkStart w:id="215" w:name="Tc_KFn4IWxMTkyTUcwzCjpCWg_10_0"/>
      <w:bookmarkStart w:id="216" w:name="Tc_7AUXuR5jZ0SeuULnT7wH-Q_9_0"/>
      <w:bookmarkStart w:id="217" w:name="Tc_aSn6aGptyUKAE-bGLrcQ0w_8_11"/>
      <w:bookmarkStart w:id="218" w:name="Tc_-9DNWYvUVkmdAqiLTAtUPQ_8_8"/>
      <w:bookmarkStart w:id="219" w:name="Tc_1p-sF2TEkEW9G9OHkzi-AQ_8_5"/>
      <w:bookmarkStart w:id="220" w:name="Tc_6XoDWEkW70GX2VsXej5x9Q_8_2"/>
      <w:bookmarkStart w:id="221" w:name="Tc_LRxBvStIe0aUoyRoOOprpw_8_0"/>
      <w:bookmarkStart w:id="222" w:name="Tc_slVz5IzeQ0Sqo09EyMR4sQ_7_0"/>
      <w:bookmarkStart w:id="223" w:name="Tc_RBnyDBfzA0ejlSPv6dysFQ_5_11"/>
      <w:bookmarkStart w:id="224" w:name="Tc_iFrwJY_FBEmU8WohRkJQ3w_5_8"/>
      <w:bookmarkStart w:id="225" w:name="Tc_eESH1MbXHEWK6-bOFioGyA_5_5"/>
      <w:bookmarkStart w:id="226" w:name="Tc_v-Oqjq-bQkazOrNpIWH6wQ_5_2"/>
      <w:bookmarkStart w:id="227" w:name="Tc_N_c6dESTG0mk0copbLh-uA_5_0"/>
      <w:bookmarkStart w:id="228" w:name="Tc_cqQ-d0S-oEu-ioETooZyiw_4_0"/>
      <w:bookmarkStart w:id="229" w:name="Tc_RVeW0ZGtBU--jWEBYfiFOQ_2_11"/>
      <w:bookmarkStart w:id="230" w:name="Tc_2_W5n50F8U-bWdjgy6Lfkw_2_8"/>
      <w:bookmarkStart w:id="231" w:name="Tc_-n9Hp6h3-kSfO_ns_amSxg_2_5"/>
      <w:bookmarkStart w:id="232" w:name="Tc_-VBS2uUS_U-8Qwo5iFHiZg_2_2"/>
      <w:bookmarkStart w:id="233" w:name="Tc_MmIbSx24PUyax_6oJlUIGA_1_8"/>
      <w:bookmarkStart w:id="234" w:name="Tc_1sURgZtnKkakff7zxNgdzw_1_2"/>
      <w:bookmarkStart w:id="235" w:name="_075bd9ed_50a5_4472_bcc4_fcab4a3012c4"/>
      <w:bookmarkStart w:id="236" w:name="_22d046b9_a0ab_4da7_a73a_abc482023c0a"/>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tbl>
      <w:tblPr>
        <w:tblW w:w="10205" w:type="dxa"/>
        <w:jc w:val="left"/>
        <w:tblInd w:w="0" w:type="dxa"/>
        <w:tblLayout w:type="fixed"/>
        <w:tblCellMar>
          <w:top w:w="0" w:type="dxa"/>
          <w:left w:w="0" w:type="dxa"/>
          <w:bottom w:w="0" w:type="dxa"/>
          <w:right w:w="0" w:type="dxa"/>
        </w:tblCellMar>
      </w:tblPr>
      <w:tblGrid>
        <w:gridCol w:w="4808"/>
        <w:gridCol w:w="346"/>
        <w:gridCol w:w="211"/>
        <w:gridCol w:w="780"/>
        <w:gridCol w:w="346"/>
        <w:gridCol w:w="211"/>
        <w:gridCol w:w="780"/>
        <w:gridCol w:w="346"/>
        <w:gridCol w:w="211"/>
        <w:gridCol w:w="780"/>
        <w:gridCol w:w="346"/>
        <w:gridCol w:w="211"/>
        <w:gridCol w:w="829"/>
      </w:tblGrid>
      <w:tr>
        <w:trPr/>
        <w:tc>
          <w:tcPr>
            <w:tcW w:w="4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053080" cy="175260"/>
                      <wp:effectExtent l="0" t="0" r="0" b="0"/>
                      <wp:wrapNone/>
                      <wp:docPr id="11" name="Frame11"/>
                      <a:graphic xmlns:a="http://schemas.openxmlformats.org/drawingml/2006/main">
                        <a:graphicData uri="http://schemas.microsoft.com/office/word/2010/wordprocessingShape">
                          <wps:wsp>
                            <wps:cNvSpPr txBox="1"/>
                            <wps:spPr>
                              <a:xfrm>
                                <a:off x="0" y="0"/>
                                <a:ext cx="305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95300" cy="175260"/>
                      <wp:effectExtent l="0" t="0" r="0" b="0"/>
                      <wp:wrapNone/>
                      <wp:docPr id="14" name="Frame14"/>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95300" cy="175260"/>
                      <wp:effectExtent l="0" t="0" r="0" b="0"/>
                      <wp:wrapNone/>
                      <wp:docPr id="17" name="Frame17"/>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95300" cy="175260"/>
                      <wp:effectExtent l="0" t="0" r="0" b="0"/>
                      <wp:wrapNone/>
                      <wp:docPr id="20" name="Frame20"/>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26415" cy="175260"/>
                      <wp:effectExtent l="0" t="0" r="0" b="0"/>
                      <wp:wrapNone/>
                      <wp:docPr id="23" name="Frame23"/>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37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8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center"/>
              <w:rPr/>
            </w:pPr>
            <w:r>
              <w:rPr/>
              <w:t>​</w:t>
            </w:r>
          </w:p>
        </w:tc>
      </w:tr>
      <w:tr>
        <w:trPr/>
        <w:tc>
          <w:tcPr>
            <w:tcW w:w="48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center"/>
              <w:rPr/>
            </w:pPr>
            <w:r>
              <w:rPr/>
              <w:t>​</w:t>
            </w:r>
          </w:p>
        </w:tc>
      </w:tr>
      <w:tr>
        <w:trPr/>
        <w:tc>
          <w:tcPr>
            <w:tcW w:w="48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48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center"/>
              <w:rPr/>
            </w:pPr>
            <w:r>
              <w:rPr/>
              <w:t>​</w:t>
            </w:r>
          </w:p>
        </w:tc>
      </w:tr>
      <w:tr>
        <w:trPr/>
        <w:tc>
          <w:tcPr>
            <w:tcW w:w="48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pPr>
            <w:r>
              <w:rPr/>
              <w:t>  ​</w:t>
            </w:r>
          </w:p>
        </w:tc>
      </w:tr>
      <w:tr>
        <w:trPr/>
        <w:tc>
          <w:tcPr>
            <w:tcW w:w="48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48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14,810</w:t>
            </w:r>
          </w:p>
        </w:tc>
      </w:tr>
      <w:tr>
        <w:trPr/>
        <w:tc>
          <w:tcPr>
            <w:tcW w:w="48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14,380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11,308</w:t>
            </w:r>
          </w:p>
        </w:tc>
      </w:tr>
      <w:tr>
        <w:trPr/>
        <w:tc>
          <w:tcPr>
            <w:tcW w:w="48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26,239</w:t>
            </w:r>
          </w:p>
        </w:tc>
      </w:tr>
      <w:tr>
        <w:trPr/>
        <w:tc>
          <w:tcPr>
            <w:tcW w:w="48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(15,852)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(20,416)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(25,951)</w:t>
            </w:r>
          </w:p>
        </w:tc>
      </w:tr>
      <w:tr>
        <w:trPr/>
        <w:tc>
          <w:tcPr>
            <w:tcW w:w="48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pPr>
            <w:r>
              <w:rPr/>
              <w:t>  ​</w:t>
            </w:r>
          </w:p>
        </w:tc>
      </w:tr>
      <w:tr>
        <w:trPr/>
        <w:tc>
          <w:tcPr>
            <w:tcW w:w="48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8,215</w:t>
            </w:r>
          </w:p>
        </w:tc>
      </w:tr>
      <w:tr>
        <w:trPr/>
        <w:tc>
          <w:tcPr>
            <w:tcW w:w="48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w:t>
            </w:r>
          </w:p>
        </w:tc>
      </w:tr>
      <w:tr>
        <w:trPr/>
        <w:tc>
          <w:tcPr>
            <w:tcW w:w="48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(7,216)</w:t>
            </w:r>
          </w:p>
        </w:tc>
      </w:tr>
      <w:tr>
        <w:trPr/>
        <w:tc>
          <w:tcPr>
            <w:tcW w:w="48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(26,441)</w:t>
            </w:r>
          </w:p>
        </w:tc>
      </w:tr>
      <w:tr>
        <w:trPr/>
        <w:tc>
          <w:tcPr>
            <w:tcW w:w="48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net loss per share attributable to common stockholders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w:t>
            </w:r>
          </w:p>
        </w:tc>
      </w:tr>
      <w:tr>
        <w:trPr/>
        <w:tc>
          <w:tcPr>
            <w:tcW w:w="48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6,347</w:t>
            </w:r>
          </w:p>
        </w:tc>
      </w:tr>
    </w:tbl>
    <w:p>
      <w:pPr>
        <w:pStyle w:val="TextBody"/>
        <w:bidi w:val="0"/>
        <w:spacing w:before="0" w:after="240"/>
        <w:ind w:left="0" w:right="0" w:hanging="0"/>
        <w:jc w:val="left"/>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bookmarkStart w:id="237" w:name="_970bf0a9_4076_47d1_a2c2_90b07e1e0bd6"/>
      <w:bookmarkEnd w:id="237"/>
      <w:r>
        <w:rPr>
          <w:rFonts w:ascii="Times New Roman;Times;serif" w:hAnsi="Times New Roman;Times;serif"/>
          <w:b/>
          <w:sz w:val="20"/>
        </w:rPr>
        <w:t>BIOXCEL THERAPEUTICS, INC.</w:t>
      </w:r>
    </w:p>
    <w:p>
      <w:pPr>
        <w:pStyle w:val="TextBody"/>
        <w:bidi w:val="0"/>
        <w:spacing w:before="0" w:after="60"/>
        <w:ind w:left="0" w:right="0" w:hanging="0"/>
        <w:jc w:val="center"/>
        <w:rPr>
          <w:rFonts w:ascii="Times New Roman;Times;serif" w:hAnsi="Times New Roman;Times;serif"/>
          <w:sz w:val="20"/>
        </w:rPr>
      </w:pPr>
      <w:bookmarkStart w:id="238" w:name="STATEMENTSOFCHANGESINSTOCKHOLDERSEQUITY_"/>
      <w:bookmarkEnd w:id="238"/>
      <w:r>
        <w:rPr>
          <w:rFonts w:ascii="Times New Roman;Times;serif" w:hAnsi="Times New Roman;Times;serif"/>
          <w:b/>
          <w:sz w:val="20"/>
        </w:rPr>
        <w:t>CONDENSED CONSOLIDATED STATEMENTS OF CHANGES IN STOCKHOLDERS’ (DEFICIT) EQUITY</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39" w:name="Tc_tIlbeBGmokmh20SIe9P6Hg_32_13"/>
      <w:bookmarkStart w:id="240" w:name="Tc_-ZucRiVKmECvj35u4RDzsw_32_10"/>
      <w:bookmarkStart w:id="241" w:name="Tc_kMsuAMe4U0KGeOEVqVMLLQ_32_7"/>
      <w:bookmarkStart w:id="242" w:name="Tc_KdGX60GqGUyRSrM1EAUiCQ_32_4"/>
      <w:bookmarkStart w:id="243" w:name="Tc_Re58pwwKGkOj6fxcHjGZEg_32_0"/>
      <w:bookmarkStart w:id="244" w:name="Tc_KJVTb65rfUWZ3CEOszlBvA_31_8"/>
      <w:bookmarkStart w:id="245" w:name="Tc_X_AkeenlMk-Y7pvPXtrMpA_31_5"/>
      <w:bookmarkStart w:id="246" w:name="Tc_LJW4P8qzzkCSyIS9h-5evg_31_2"/>
      <w:bookmarkStart w:id="247" w:name="Tc_vXqhI8OxZESicFzcWixgJg_31_0"/>
      <w:bookmarkStart w:id="248" w:name="Tc_YpYbWwvPXkC5ZZJoyg1G4w_30_11"/>
      <w:bookmarkStart w:id="249" w:name="Tc_u5PlwW0b3ESgfyhlLA5GbQ_30_5"/>
      <w:bookmarkStart w:id="250" w:name="Tc_7o9vK0O_70mafw403-udqw_30_0"/>
      <w:bookmarkStart w:id="251" w:name="Tc_S2OGIpMAc0uSMjWX_1xZ8g_29_11"/>
      <w:bookmarkStart w:id="252" w:name="Tc_mhB5UETI706AMJ4pblyOTg_29_5"/>
      <w:bookmarkStart w:id="253" w:name="Tc_QidDyyJnM0qWupGJ8XP1EA_29_2"/>
      <w:bookmarkStart w:id="254" w:name="Tc_d0IbzLo6-USoprveNE7UQQ_29_0"/>
      <w:bookmarkStart w:id="255" w:name="Tc_920KqGGiAEutSMRoPlo4LA_28_11"/>
      <w:bookmarkStart w:id="256" w:name="Tc_cY8Hg0eNn0uRvVbo9VYqMQ_28_0"/>
      <w:bookmarkStart w:id="257" w:name="Tc_X7cGW92H50SbPXP-paNZGg_27_13"/>
      <w:bookmarkStart w:id="258" w:name="Tc_N8wfCktoNEqTuDBVhS4jFg_27_10"/>
      <w:bookmarkStart w:id="259" w:name="Tc_MK3Dz0F440CJ7L4tQ_kqpg_27_7"/>
      <w:bookmarkStart w:id="260" w:name="Tc_xTkaqKqRzkOrd6MF2Id0GQ_27_4"/>
      <w:bookmarkStart w:id="261" w:name="Tc_Xw8Z1XZRnECdd6-grPtYwA_27_0"/>
      <w:bookmarkStart w:id="262" w:name="Tc_GoGZmFFPPEyV35DSjPKfqw_26_8"/>
      <w:bookmarkStart w:id="263" w:name="Tc_3zC9TwV87UOdiu9GphQkPw_26_5"/>
      <w:bookmarkStart w:id="264" w:name="Tc_Wm_mH7dG6kSP_ChMm5kj7Q_26_2"/>
      <w:bookmarkStart w:id="265" w:name="Tc_nJ7Nc-0l50i-50uus1Sglw_26_0"/>
      <w:bookmarkStart w:id="266" w:name="Tc_Mb32M_LVW0SoxJ0AQ1ci1w_25_14"/>
      <w:bookmarkStart w:id="267" w:name="Tc_q4K3-dVFxUaaJS5yU1UPjA_25_11"/>
      <w:bookmarkStart w:id="268" w:name="Tc_aJqSKSD3REC15gTEQo1L9Q_25_8"/>
      <w:bookmarkStart w:id="269" w:name="Tc_w_pGq_ZuwkiRDswg9XTksw_25_5"/>
      <w:bookmarkStart w:id="270" w:name="Tc_o2skBlyLX0C9hg6V9FcafA_25_0"/>
      <w:bookmarkStart w:id="271" w:name="Tc_3kl6I_T03E2SOdQJf1HfzA_24_11"/>
      <w:bookmarkStart w:id="272" w:name="Tc_HlKYtZnveEmN_7M1E_6Oew_24_5"/>
      <w:bookmarkStart w:id="273" w:name="Tc_9_UfLde4uEynNLQZvaSy4Q_24_2"/>
      <w:bookmarkStart w:id="274" w:name="Tc_Xxt8hfx5FUSNbwmjrXbDBQ_24_0"/>
      <w:bookmarkStart w:id="275" w:name="Tc_Sry3ZMxcGUWfvxESbijE_Q_23_11"/>
      <w:bookmarkStart w:id="276" w:name="Tc_cjAXuK3K-U2bFocaCSsrkQ_23_5"/>
      <w:bookmarkStart w:id="277" w:name="Tc_i9d6tpYtSEGcnRfbr_TGbA_23_2"/>
      <w:bookmarkStart w:id="278" w:name="Tc_JmHKDG8tt0y8b7WbTm0ptA_23_0"/>
      <w:bookmarkStart w:id="279" w:name="Tc_lU4clh5y2kqj4v3I-Wj4Cw_22_11"/>
      <w:bookmarkStart w:id="280" w:name="Tc_xgZljk6m60-l13ZovL_zEA_22_0"/>
      <w:bookmarkStart w:id="281" w:name="Tc_X97qxewLnEK2tn7Jv1tqFw_21_13"/>
      <w:bookmarkStart w:id="282" w:name="Tc_kJzAYM97HkmTfA8L9QuJLQ_21_10"/>
      <w:bookmarkStart w:id="283" w:name="Tc_lkLBh0iZX0u8QaIpgwHWSw_21_7"/>
      <w:bookmarkStart w:id="284" w:name="Tc_hBCqBvjne0eG4ABKXSEGWA_21_4"/>
      <w:bookmarkStart w:id="285" w:name="Tc_dn39FhU3DEa5iL4_zBxmfg_21_0"/>
      <w:bookmarkStart w:id="286" w:name="Tc_A8hJkXujP0-GmR5mxqAQIg_20_13"/>
      <w:bookmarkStart w:id="287" w:name="Tc_QyljoTaOTkyf4mNKxgM5tg_20_10"/>
      <w:bookmarkStart w:id="288" w:name="Tc_tZFH3q5wLkS4RU4WrEU_qQ_20_7"/>
      <w:bookmarkStart w:id="289" w:name="Tc_CIIDUg0j402PXf5YkSFMqw_20_4"/>
      <w:bookmarkStart w:id="290" w:name="Tc_MrKwi3nVVUu-sQz3o91GYQ_20_2"/>
      <w:bookmarkStart w:id="291" w:name="Tc_c8Ty3oo_ekW1MUN6Q9uzaA_19_10"/>
      <w:bookmarkStart w:id="292" w:name="Tc_qF2YRVHVsEOnUbrffFPZ2w_19_7"/>
      <w:bookmarkStart w:id="293" w:name="Tc_zGbAIW508kC8qUzL3OwizA_19_2"/>
      <w:bookmarkStart w:id="294" w:name="Tc_0Emvzg3gy0mHtSbOJ4AvAQ_18_7"/>
      <w:bookmarkStart w:id="295" w:name="Tc_SlRll7bzV02bqjDD3Yy4dw_15_13"/>
      <w:bookmarkStart w:id="296" w:name="Tc_CV0YAbXRM0m0kD5jWva7Sw_15_10"/>
      <w:bookmarkStart w:id="297" w:name="Tc_UPFfCrlSyUOZ9mfBfYGTnw_15_7"/>
      <w:bookmarkStart w:id="298" w:name="Tc_B3pLbjFJH0e7_YPfD34tcA_15_4"/>
      <w:bookmarkStart w:id="299" w:name="Tc_Bsesd3CbWUCs59NfQO1LZA_15_0"/>
      <w:bookmarkStart w:id="300" w:name="Tc_U8R5Iluu6kW3CvLNKoKLxw_14_8"/>
      <w:bookmarkStart w:id="301" w:name="Tc_ycw1GeACyU-OLb2asUD-yA_14_5"/>
      <w:bookmarkStart w:id="302" w:name="Tc_5F4V7x_mU0m8tdH_qebLlw_14_2"/>
      <w:bookmarkStart w:id="303" w:name="Tc_Gyt7NCbsrkeaKoyRT80QWQ_14_0"/>
      <w:bookmarkStart w:id="304" w:name="Tc_B849smll4UiRwZR2iTauWA_13_14"/>
      <w:bookmarkStart w:id="305" w:name="Tc_dvVF-8HgUkSSySJTRBdIwA_13_11"/>
      <w:bookmarkStart w:id="306" w:name="Tc_8yz1_RLkmUyw-96Nmht7PQ_13_8"/>
      <w:bookmarkStart w:id="307" w:name="Tc_zidOP3SATE2_3bZjGk49uA_13_5"/>
      <w:bookmarkStart w:id="308" w:name="Tc_3uN-tVreuEyHi8O8zgDl2A_13_0"/>
      <w:bookmarkStart w:id="309" w:name="Tc_ziot-J2jLUiEqByK9EV6Bw_12_11"/>
      <w:bookmarkStart w:id="310" w:name="Tc_EvYPFPZB_kODwq7V0qL3Gw_12_5"/>
      <w:bookmarkStart w:id="311" w:name="Tc_GmbV8xjs2kKAJmFNw826lg_12_2"/>
      <w:bookmarkStart w:id="312" w:name="Tc_ZzP6YII_1UGOpiLVt9-CEA_12_0"/>
      <w:bookmarkStart w:id="313" w:name="Tc_NrgtI1OwRkuRpaiencoDXA_11_11"/>
      <w:bookmarkStart w:id="314" w:name="Tc_XMmeIKxm60WkPCiulmIt-Q_11_0"/>
      <w:bookmarkStart w:id="315" w:name="Tc_mmXaEHNeN0ypXZucsea5Og_10_13"/>
      <w:bookmarkStart w:id="316" w:name="Tc_nIH5mKrfyE2uf54h_lGUBA_10_10"/>
      <w:bookmarkStart w:id="317" w:name="Tc_t5DXWGr7uUSk4-D_3pXBhg_10_7"/>
      <w:bookmarkStart w:id="318" w:name="Tc_swSdEDRpe0in0p4F40C_RA_10_4"/>
      <w:bookmarkStart w:id="319" w:name="Tc_7n_G6k3Wf0-VzsupcxZygg_10_0"/>
      <w:bookmarkStart w:id="320" w:name="Tc_t8UzssKqg0yFJVz-HX4eeA_9_8"/>
      <w:bookmarkStart w:id="321" w:name="Tc_pqFOtgIHWk-mjcBi-AG4IA_9_5"/>
      <w:bookmarkStart w:id="322" w:name="Tc_ZtmwsjqaOkqDM3myXWld4g_9_2"/>
      <w:bookmarkStart w:id="323" w:name="Tc_Oq9zCB1oWE6S1YHPY7n0Qw_9_0"/>
      <w:bookmarkStart w:id="324" w:name="Tc_Aw8Ro_GbYEyR_bSHUGPaTQ_8_11"/>
      <w:bookmarkStart w:id="325" w:name="Tc_eu2wmbLSpEmtduOwy72vyg_8_5"/>
      <w:bookmarkStart w:id="326" w:name="Tc_zxd0j4NoAU6o1I2vz_WNwQ_8_0"/>
      <w:bookmarkStart w:id="327" w:name="Tc_7dnZOVK2MESB2j8mAJnqvA_7_11"/>
      <w:bookmarkStart w:id="328" w:name="Tc_THxKKD7JDEC4BY98WeM7_Q_7_5"/>
      <w:bookmarkStart w:id="329" w:name="Tc__od1aJ_--ECkutX3UqK72g_7_2"/>
      <w:bookmarkStart w:id="330" w:name="Tc_LPhEhXwgC0WTEDsS_Cnscw_7_0"/>
      <w:bookmarkStart w:id="331" w:name="Tc_sH_FdeUtckGf-3EKeBd3Ow_6_11"/>
      <w:bookmarkStart w:id="332" w:name="Tc_s1_q0CxyHUC6_OfLLU2pgg_6_5"/>
      <w:bookmarkStart w:id="333" w:name="Tc_C8y1S7GZOEGstGZ5Xoy6RQ_6_2"/>
      <w:bookmarkStart w:id="334" w:name="Tc_yQnx7WwN3kyEp4IzfOAnKw_6_0"/>
      <w:bookmarkStart w:id="335" w:name="Tc_zTSKJwku_06V2YU997q1Tw_5_11"/>
      <w:bookmarkStart w:id="336" w:name="Tc_kacwRsKmdU2zgngYmjxzYA_5_0"/>
      <w:bookmarkStart w:id="337" w:name="Tc_CQDEzBc4y0WpOFHpxAQBRw_4_13"/>
      <w:bookmarkStart w:id="338" w:name="Tc_Q0TSBrXosUiJGKlo8QXdPw_4_10"/>
      <w:bookmarkStart w:id="339" w:name="Tc_EwQWIht_SEi35tprD3ThnQ_4_7"/>
      <w:bookmarkStart w:id="340" w:name="Tc_fZiCXTtKZEm65dF2TqHmxg_4_4"/>
      <w:bookmarkStart w:id="341" w:name="Tc_U2rL8z76GEKelCs_DPZZwQ_4_0"/>
      <w:bookmarkStart w:id="342" w:name="Tc_hXyGV1YXH0mpNhOF3xEJCQ_3_13"/>
      <w:bookmarkStart w:id="343" w:name="Tc_112Eeq74MEu1162Pa6lrig_3_10"/>
      <w:bookmarkStart w:id="344" w:name="Tc_pyVT0vz_9EeGQqZfNpOyMw_3_7"/>
      <w:bookmarkStart w:id="345" w:name="Tc__A6w9OkZPk-0kM6duib_AA_3_4"/>
      <w:bookmarkStart w:id="346" w:name="Tc_EZKGgcySSEaizXAd4rL9Ew_3_2"/>
      <w:bookmarkStart w:id="347" w:name="Tc_4XPcBz8ZbkeZt9FVFTniaQ_2_10"/>
      <w:bookmarkStart w:id="348" w:name="Tc_yd_yPAjr10C7PegEaMcKvw_2_7"/>
      <w:bookmarkStart w:id="349" w:name="Tc_174ZKJ50ZkaMW6jYJ6j-pA_2_2"/>
      <w:bookmarkStart w:id="350" w:name="Tc_f8EBtOuAVkicv7hC9rSCLg_1_7"/>
      <w:bookmarkStart w:id="351" w:name="_a03717f8_08f6_4876_baa9_dd271f2b2e08"/>
      <w:bookmarkStart w:id="352" w:name="Tc_tIlbeBGmokmh20SIe9P6Hg_32_13"/>
      <w:bookmarkStart w:id="353" w:name="Tc_-ZucRiVKmECvj35u4RDzsw_32_10"/>
      <w:bookmarkStart w:id="354" w:name="Tc_kMsuAMe4U0KGeOEVqVMLLQ_32_7"/>
      <w:bookmarkStart w:id="355" w:name="Tc_KdGX60GqGUyRSrM1EAUiCQ_32_4"/>
      <w:bookmarkStart w:id="356" w:name="Tc_Re58pwwKGkOj6fxcHjGZEg_32_0"/>
      <w:bookmarkStart w:id="357" w:name="Tc_KJVTb65rfUWZ3CEOszlBvA_31_8"/>
      <w:bookmarkStart w:id="358" w:name="Tc_X_AkeenlMk-Y7pvPXtrMpA_31_5"/>
      <w:bookmarkStart w:id="359" w:name="Tc_LJW4P8qzzkCSyIS9h-5evg_31_2"/>
      <w:bookmarkStart w:id="360" w:name="Tc_vXqhI8OxZESicFzcWixgJg_31_0"/>
      <w:bookmarkStart w:id="361" w:name="Tc_YpYbWwvPXkC5ZZJoyg1G4w_30_11"/>
      <w:bookmarkStart w:id="362" w:name="Tc_u5PlwW0b3ESgfyhlLA5GbQ_30_5"/>
      <w:bookmarkStart w:id="363" w:name="Tc_7o9vK0O_70mafw403-udqw_30_0"/>
      <w:bookmarkStart w:id="364" w:name="Tc_S2OGIpMAc0uSMjWX_1xZ8g_29_11"/>
      <w:bookmarkStart w:id="365" w:name="Tc_mhB5UETI706AMJ4pblyOTg_29_5"/>
      <w:bookmarkStart w:id="366" w:name="Tc_QidDyyJnM0qWupGJ8XP1EA_29_2"/>
      <w:bookmarkStart w:id="367" w:name="Tc_d0IbzLo6-USoprveNE7UQQ_29_0"/>
      <w:bookmarkStart w:id="368" w:name="Tc_920KqGGiAEutSMRoPlo4LA_28_11"/>
      <w:bookmarkStart w:id="369" w:name="Tc_cY8Hg0eNn0uRvVbo9VYqMQ_28_0"/>
      <w:bookmarkStart w:id="370" w:name="Tc_X7cGW92H50SbPXP-paNZGg_27_13"/>
      <w:bookmarkStart w:id="371" w:name="Tc_N8wfCktoNEqTuDBVhS4jFg_27_10"/>
      <w:bookmarkStart w:id="372" w:name="Tc_MK3Dz0F440CJ7L4tQ_kqpg_27_7"/>
      <w:bookmarkStart w:id="373" w:name="Tc_xTkaqKqRzkOrd6MF2Id0GQ_27_4"/>
      <w:bookmarkStart w:id="374" w:name="Tc_Xw8Z1XZRnECdd6-grPtYwA_27_0"/>
      <w:bookmarkStart w:id="375" w:name="Tc_GoGZmFFPPEyV35DSjPKfqw_26_8"/>
      <w:bookmarkStart w:id="376" w:name="Tc_3zC9TwV87UOdiu9GphQkPw_26_5"/>
      <w:bookmarkStart w:id="377" w:name="Tc_Wm_mH7dG6kSP_ChMm5kj7Q_26_2"/>
      <w:bookmarkStart w:id="378" w:name="Tc_nJ7Nc-0l50i-50uus1Sglw_26_0"/>
      <w:bookmarkStart w:id="379" w:name="Tc_Mb32M_LVW0SoxJ0AQ1ci1w_25_14"/>
      <w:bookmarkStart w:id="380" w:name="Tc_q4K3-dVFxUaaJS5yU1UPjA_25_11"/>
      <w:bookmarkStart w:id="381" w:name="Tc_aJqSKSD3REC15gTEQo1L9Q_25_8"/>
      <w:bookmarkStart w:id="382" w:name="Tc_w_pGq_ZuwkiRDswg9XTksw_25_5"/>
      <w:bookmarkStart w:id="383" w:name="Tc_o2skBlyLX0C9hg6V9FcafA_25_0"/>
      <w:bookmarkStart w:id="384" w:name="Tc_3kl6I_T03E2SOdQJf1HfzA_24_11"/>
      <w:bookmarkStart w:id="385" w:name="Tc_HlKYtZnveEmN_7M1E_6Oew_24_5"/>
      <w:bookmarkStart w:id="386" w:name="Tc_9_UfLde4uEynNLQZvaSy4Q_24_2"/>
      <w:bookmarkStart w:id="387" w:name="Tc_Xxt8hfx5FUSNbwmjrXbDBQ_24_0"/>
      <w:bookmarkStart w:id="388" w:name="Tc_Sry3ZMxcGUWfvxESbijE_Q_23_11"/>
      <w:bookmarkStart w:id="389" w:name="Tc_cjAXuK3K-U2bFocaCSsrkQ_23_5"/>
      <w:bookmarkStart w:id="390" w:name="Tc_i9d6tpYtSEGcnRfbr_TGbA_23_2"/>
      <w:bookmarkStart w:id="391" w:name="Tc_JmHKDG8tt0y8b7WbTm0ptA_23_0"/>
      <w:bookmarkStart w:id="392" w:name="Tc_lU4clh5y2kqj4v3I-Wj4Cw_22_11"/>
      <w:bookmarkStart w:id="393" w:name="Tc_xgZljk6m60-l13ZovL_zEA_22_0"/>
      <w:bookmarkStart w:id="394" w:name="Tc_X97qxewLnEK2tn7Jv1tqFw_21_13"/>
      <w:bookmarkStart w:id="395" w:name="Tc_kJzAYM97HkmTfA8L9QuJLQ_21_10"/>
      <w:bookmarkStart w:id="396" w:name="Tc_lkLBh0iZX0u8QaIpgwHWSw_21_7"/>
      <w:bookmarkStart w:id="397" w:name="Tc_hBCqBvjne0eG4ABKXSEGWA_21_4"/>
      <w:bookmarkStart w:id="398" w:name="Tc_dn39FhU3DEa5iL4_zBxmfg_21_0"/>
      <w:bookmarkStart w:id="399" w:name="Tc_A8hJkXujP0-GmR5mxqAQIg_20_13"/>
      <w:bookmarkStart w:id="400" w:name="Tc_QyljoTaOTkyf4mNKxgM5tg_20_10"/>
      <w:bookmarkStart w:id="401" w:name="Tc_tZFH3q5wLkS4RU4WrEU_qQ_20_7"/>
      <w:bookmarkStart w:id="402" w:name="Tc_CIIDUg0j402PXf5YkSFMqw_20_4"/>
      <w:bookmarkStart w:id="403" w:name="Tc_MrKwi3nVVUu-sQz3o91GYQ_20_2"/>
      <w:bookmarkStart w:id="404" w:name="Tc_c8Ty3oo_ekW1MUN6Q9uzaA_19_10"/>
      <w:bookmarkStart w:id="405" w:name="Tc_qF2YRVHVsEOnUbrffFPZ2w_19_7"/>
      <w:bookmarkStart w:id="406" w:name="Tc_zGbAIW508kC8qUzL3OwizA_19_2"/>
      <w:bookmarkStart w:id="407" w:name="Tc_0Emvzg3gy0mHtSbOJ4AvAQ_18_7"/>
      <w:bookmarkStart w:id="408" w:name="Tc_SlRll7bzV02bqjDD3Yy4dw_15_13"/>
      <w:bookmarkStart w:id="409" w:name="Tc_CV0YAbXRM0m0kD5jWva7Sw_15_10"/>
      <w:bookmarkStart w:id="410" w:name="Tc_UPFfCrlSyUOZ9mfBfYGTnw_15_7"/>
      <w:bookmarkStart w:id="411" w:name="Tc_B3pLbjFJH0e7_YPfD34tcA_15_4"/>
      <w:bookmarkStart w:id="412" w:name="Tc_Bsesd3CbWUCs59NfQO1LZA_15_0"/>
      <w:bookmarkStart w:id="413" w:name="Tc_U8R5Iluu6kW3CvLNKoKLxw_14_8"/>
      <w:bookmarkStart w:id="414" w:name="Tc_ycw1GeACyU-OLb2asUD-yA_14_5"/>
      <w:bookmarkStart w:id="415" w:name="Tc_5F4V7x_mU0m8tdH_qebLlw_14_2"/>
      <w:bookmarkStart w:id="416" w:name="Tc_Gyt7NCbsrkeaKoyRT80QWQ_14_0"/>
      <w:bookmarkStart w:id="417" w:name="Tc_B849smll4UiRwZR2iTauWA_13_14"/>
      <w:bookmarkStart w:id="418" w:name="Tc_dvVF-8HgUkSSySJTRBdIwA_13_11"/>
      <w:bookmarkStart w:id="419" w:name="Tc_8yz1_RLkmUyw-96Nmht7PQ_13_8"/>
      <w:bookmarkStart w:id="420" w:name="Tc_zidOP3SATE2_3bZjGk49uA_13_5"/>
      <w:bookmarkStart w:id="421" w:name="Tc_3uN-tVreuEyHi8O8zgDl2A_13_0"/>
      <w:bookmarkStart w:id="422" w:name="Tc_ziot-J2jLUiEqByK9EV6Bw_12_11"/>
      <w:bookmarkStart w:id="423" w:name="Tc_EvYPFPZB_kODwq7V0qL3Gw_12_5"/>
      <w:bookmarkStart w:id="424" w:name="Tc_GmbV8xjs2kKAJmFNw826lg_12_2"/>
      <w:bookmarkStart w:id="425" w:name="Tc_ZzP6YII_1UGOpiLVt9-CEA_12_0"/>
      <w:bookmarkStart w:id="426" w:name="Tc_NrgtI1OwRkuRpaiencoDXA_11_11"/>
      <w:bookmarkStart w:id="427" w:name="Tc_XMmeIKxm60WkPCiulmIt-Q_11_0"/>
      <w:bookmarkStart w:id="428" w:name="Tc_mmXaEHNeN0ypXZucsea5Og_10_13"/>
      <w:bookmarkStart w:id="429" w:name="Tc_nIH5mKrfyE2uf54h_lGUBA_10_10"/>
      <w:bookmarkStart w:id="430" w:name="Tc_t5DXWGr7uUSk4-D_3pXBhg_10_7"/>
      <w:bookmarkStart w:id="431" w:name="Tc_swSdEDRpe0in0p4F40C_RA_10_4"/>
      <w:bookmarkStart w:id="432" w:name="Tc_7n_G6k3Wf0-VzsupcxZygg_10_0"/>
      <w:bookmarkStart w:id="433" w:name="Tc_t8UzssKqg0yFJVz-HX4eeA_9_8"/>
      <w:bookmarkStart w:id="434" w:name="Tc_pqFOtgIHWk-mjcBi-AG4IA_9_5"/>
      <w:bookmarkStart w:id="435" w:name="Tc_ZtmwsjqaOkqDM3myXWld4g_9_2"/>
      <w:bookmarkStart w:id="436" w:name="Tc_Oq9zCB1oWE6S1YHPY7n0Qw_9_0"/>
      <w:bookmarkStart w:id="437" w:name="Tc_Aw8Ro_GbYEyR_bSHUGPaTQ_8_11"/>
      <w:bookmarkStart w:id="438" w:name="Tc_eu2wmbLSpEmtduOwy72vyg_8_5"/>
      <w:bookmarkStart w:id="439" w:name="Tc_zxd0j4NoAU6o1I2vz_WNwQ_8_0"/>
      <w:bookmarkStart w:id="440" w:name="Tc_7dnZOVK2MESB2j8mAJnqvA_7_11"/>
      <w:bookmarkStart w:id="441" w:name="Tc_THxKKD7JDEC4BY98WeM7_Q_7_5"/>
      <w:bookmarkStart w:id="442" w:name="Tc__od1aJ_--ECkutX3UqK72g_7_2"/>
      <w:bookmarkStart w:id="443" w:name="Tc_LPhEhXwgC0WTEDsS_Cnscw_7_0"/>
      <w:bookmarkStart w:id="444" w:name="Tc_sH_FdeUtckGf-3EKeBd3Ow_6_11"/>
      <w:bookmarkStart w:id="445" w:name="Tc_s1_q0CxyHUC6_OfLLU2pgg_6_5"/>
      <w:bookmarkStart w:id="446" w:name="Tc_C8y1S7GZOEGstGZ5Xoy6RQ_6_2"/>
      <w:bookmarkStart w:id="447" w:name="Tc_yQnx7WwN3kyEp4IzfOAnKw_6_0"/>
      <w:bookmarkStart w:id="448" w:name="Tc_zTSKJwku_06V2YU997q1Tw_5_11"/>
      <w:bookmarkStart w:id="449" w:name="Tc_kacwRsKmdU2zgngYmjxzYA_5_0"/>
      <w:bookmarkStart w:id="450" w:name="Tc_CQDEzBc4y0WpOFHpxAQBRw_4_13"/>
      <w:bookmarkStart w:id="451" w:name="Tc_Q0TSBrXosUiJGKlo8QXdPw_4_10"/>
      <w:bookmarkStart w:id="452" w:name="Tc_EwQWIht_SEi35tprD3ThnQ_4_7"/>
      <w:bookmarkStart w:id="453" w:name="Tc_fZiCXTtKZEm65dF2TqHmxg_4_4"/>
      <w:bookmarkStart w:id="454" w:name="Tc_U2rL8z76GEKelCs_DPZZwQ_4_0"/>
      <w:bookmarkStart w:id="455" w:name="Tc_hXyGV1YXH0mpNhOF3xEJCQ_3_13"/>
      <w:bookmarkStart w:id="456" w:name="Tc_112Eeq74MEu1162Pa6lrig_3_10"/>
      <w:bookmarkStart w:id="457" w:name="Tc_pyVT0vz_9EeGQqZfNpOyMw_3_7"/>
      <w:bookmarkStart w:id="458" w:name="Tc__A6w9OkZPk-0kM6duib_AA_3_4"/>
      <w:bookmarkStart w:id="459" w:name="Tc_EZKGgcySSEaizXAd4rL9Ew_3_2"/>
      <w:bookmarkStart w:id="460" w:name="Tc_4XPcBz8ZbkeZt9FVFTniaQ_2_10"/>
      <w:bookmarkStart w:id="461" w:name="Tc_yd_yPAjr10C7PegEaMcKvw_2_7"/>
      <w:bookmarkStart w:id="462" w:name="Tc_174ZKJ50ZkaMW6jYJ6j-pA_2_2"/>
      <w:bookmarkStart w:id="463" w:name="Tc_f8EBtOuAVkicv7hC9rSCLg_1_7"/>
      <w:bookmarkStart w:id="464" w:name="_a03717f8_08f6_4876_baa9_dd271f2b2e08"/>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tbl>
      <w:tblPr>
        <w:tblW w:w="10205" w:type="dxa"/>
        <w:jc w:val="left"/>
        <w:tblInd w:w="0" w:type="dxa"/>
        <w:tblLayout w:type="fixed"/>
        <w:tblCellMar>
          <w:top w:w="0" w:type="dxa"/>
          <w:left w:w="0" w:type="dxa"/>
          <w:bottom w:w="0" w:type="dxa"/>
          <w:right w:w="0" w:type="dxa"/>
        </w:tblCellMar>
      </w:tblPr>
      <w:tblGrid>
        <w:gridCol w:w="3889"/>
        <w:gridCol w:w="346"/>
        <w:gridCol w:w="676"/>
        <w:gridCol w:w="346"/>
        <w:gridCol w:w="248"/>
        <w:gridCol w:w="443"/>
        <w:gridCol w:w="346"/>
        <w:gridCol w:w="211"/>
        <w:gridCol w:w="781"/>
        <w:gridCol w:w="346"/>
        <w:gridCol w:w="211"/>
        <w:gridCol w:w="879"/>
        <w:gridCol w:w="346"/>
        <w:gridCol w:w="211"/>
        <w:gridCol w:w="926"/>
      </w:tblGrid>
      <w:tr>
        <w:trPr/>
        <w:tc>
          <w:tcPr>
            <w:tcW w:w="3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469515" cy="175260"/>
                      <wp:effectExtent l="0" t="0" r="0" b="0"/>
                      <wp:wrapNone/>
                      <wp:docPr id="24" name="Frame24"/>
                      <a:graphic xmlns:a="http://schemas.openxmlformats.org/drawingml/2006/main">
                        <a:graphicData uri="http://schemas.microsoft.com/office/word/2010/wordprocessingShape">
                          <wps:wsp>
                            <wps:cNvSpPr txBox="1"/>
                            <wps:spPr>
                              <a:xfrm>
                                <a:off x="0" y="0"/>
                                <a:ext cx="2469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29260" cy="175260"/>
                      <wp:effectExtent l="0" t="0" r="0" b="0"/>
                      <wp:wrapNone/>
                      <wp:docPr id="26" name="Frame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57480" cy="175260"/>
                      <wp:effectExtent l="0" t="0" r="0" b="0"/>
                      <wp:wrapNone/>
                      <wp:docPr id="28" name="Frame28"/>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81305" cy="175260"/>
                      <wp:effectExtent l="0" t="0" r="0" b="0"/>
                      <wp:wrapNone/>
                      <wp:docPr id="29" name="Frame29"/>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95935" cy="175260"/>
                      <wp:effectExtent l="0" t="0" r="0" b="0"/>
                      <wp:wrapNone/>
                      <wp:docPr id="32" name="Frame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58165" cy="175260"/>
                      <wp:effectExtent l="0" t="0" r="0" b="0"/>
                      <wp:wrapNone/>
                      <wp:docPr id="35" name="Frame35"/>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88010" cy="175260"/>
                      <wp:effectExtent l="0" t="0" r="0" b="0"/>
                      <wp:wrapNone/>
                      <wp:docPr id="38" name="Frame38"/>
                      <a:graphic xmlns:a="http://schemas.openxmlformats.org/drawingml/2006/main">
                        <a:graphicData uri="http://schemas.microsoft.com/office/word/2010/wordprocessingShape">
                          <wps:wsp>
                            <wps:cNvSpPr txBox="1"/>
                            <wps:spPr>
                              <a:xfrm>
                                <a:off x="0" y="0"/>
                                <a:ext cx="58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center"/>
              <w:rPr/>
            </w:pPr>
            <w:r>
              <w:rPr/>
              <w:t>​</w:t>
            </w:r>
          </w:p>
        </w:tc>
      </w:tr>
      <w:tr>
        <w:trPr/>
        <w:tc>
          <w:tcPr>
            <w:tcW w:w="38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1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0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center"/>
              <w:rPr/>
            </w:pPr>
            <w:r>
              <w:rPr/>
              <w:t>​</w:t>
            </w:r>
          </w:p>
        </w:tc>
      </w:tr>
      <w:tr>
        <w:trPr/>
        <w:tc>
          <w:tcPr>
            <w:tcW w:w="38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1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8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3,102</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557,047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(650,197)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(93,101)</w:t>
            </w:r>
          </w:p>
        </w:tc>
      </w:tr>
      <w:tr>
        <w:trPr/>
        <w:tc>
          <w:tcPr>
            <w:tcW w:w="3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shares, net of offering costs</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2,358</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r>
      <w:tr>
        <w:trPr/>
        <w:tc>
          <w:tcPr>
            <w:tcW w:w="38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3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pre-funded stock purchase warrants</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9,523</w:t>
            </w:r>
          </w:p>
        </w:tc>
      </w:tr>
      <w:tr>
        <w:trPr/>
        <w:tc>
          <w:tcPr>
            <w:tcW w:w="38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restricted stock units, net of employee tax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(7,254)</w:t>
            </w:r>
          </w:p>
        </w:tc>
      </w:tr>
      <w:tr>
        <w:trPr/>
        <w:tc>
          <w:tcPr>
            <w:tcW w:w="38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March 31, 2025</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5,468</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567,220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(657,451)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(90,172)</w:t>
            </w:r>
          </w:p>
        </w:tc>
      </w:tr>
      <w:tr>
        <w:trPr/>
        <w:tc>
          <w:tcPr>
            <w:tcW w:w="3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shares, net of offering costs</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38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w:t>
            </w:r>
          </w:p>
        </w:tc>
      </w:tr>
      <w:tr>
        <w:trPr/>
        <w:tc>
          <w:tcPr>
            <w:tcW w:w="3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restricted stock units, net of employee tax obligations</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pPr>
            <w:r>
              <w:rPr/>
              <w:t>—</w:t>
            </w:r>
          </w:p>
        </w:tc>
      </w:tr>
      <w:tr>
        <w:trPr/>
        <w:tc>
          <w:tcPr>
            <w:tcW w:w="38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(19,187)</w:t>
            </w:r>
          </w:p>
        </w:tc>
      </w:tr>
      <w:tr>
        <w:trPr/>
        <w:tc>
          <w:tcPr>
            <w:tcW w:w="3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30, 2025</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6,620</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568,911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(676,638)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(107,667)</w:t>
            </w:r>
          </w:p>
        </w:tc>
      </w:tr>
      <w:tr>
        <w:trPr/>
        <w:tc>
          <w:tcPr>
            <w:tcW w:w="388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r>
      <w:tr>
        <w:trPr/>
        <w:tc>
          <w:tcPr>
            <w:tcW w:w="38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r>
      <w:tr>
        <w:trPr/>
        <w:tc>
          <w:tcPr>
            <w:tcW w:w="38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center"/>
              <w:rPr/>
            </w:pPr>
            <w:r>
              <w:rPr/>
              <w:t>​</w:t>
            </w:r>
          </w:p>
        </w:tc>
      </w:tr>
      <w:tr>
        <w:trPr/>
        <w:tc>
          <w:tcPr>
            <w:tcW w:w="38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1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0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center"/>
              <w:rPr/>
            </w:pPr>
            <w:r>
              <w:rPr/>
              <w:t>​</w:t>
            </w:r>
          </w:p>
        </w:tc>
      </w:tr>
      <w:tr>
        <w:trPr/>
        <w:tc>
          <w:tcPr>
            <w:tcW w:w="38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1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8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22,328</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624,555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(720,094)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(95,463)</w:t>
            </w:r>
          </w:p>
        </w:tc>
      </w:tr>
      <w:tr>
        <w:trPr/>
        <w:tc>
          <w:tcPr>
            <w:tcW w:w="3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shares, net of offering costs</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4,746</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w:t>
            </w:r>
          </w:p>
        </w:tc>
      </w:tr>
      <w:tr>
        <w:trPr/>
        <w:tc>
          <w:tcPr>
            <w:tcW w:w="38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r>
      <w:tr>
        <w:trPr/>
        <w:tc>
          <w:tcPr>
            <w:tcW w:w="3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pre-funded stock purchase warrants</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r>
      <w:tr>
        <w:trPr/>
        <w:tc>
          <w:tcPr>
            <w:tcW w:w="38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restricted stock units, net of employee tax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pPr>
            <w:r>
              <w:rPr/>
              <w:t>—</w:t>
            </w:r>
          </w:p>
        </w:tc>
      </w:tr>
      <w:tr>
        <w:trPr/>
        <w:tc>
          <w:tcPr>
            <w:tcW w:w="3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(12,691)</w:t>
            </w:r>
          </w:p>
        </w:tc>
      </w:tr>
      <w:tr>
        <w:trPr/>
        <w:tc>
          <w:tcPr>
            <w:tcW w:w="38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27,075</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627,215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(732,785)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(105,543)</w:t>
            </w:r>
          </w:p>
        </w:tc>
      </w:tr>
      <w:tr>
        <w:trPr/>
        <w:tc>
          <w:tcPr>
            <w:tcW w:w="3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shares, net of offering costs</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4,047</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4,462</w:t>
            </w:r>
          </w:p>
        </w:tc>
      </w:tr>
      <w:tr>
        <w:trPr/>
        <w:tc>
          <w:tcPr>
            <w:tcW w:w="38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r>
      <w:tr>
        <w:trPr/>
        <w:tc>
          <w:tcPr>
            <w:tcW w:w="3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restricted stock units, net of employee tax obligations</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38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(14,713)</w:t>
            </w:r>
          </w:p>
        </w:tc>
      </w:tr>
      <w:tr>
        <w:trPr/>
        <w:tc>
          <w:tcPr>
            <w:tcW w:w="3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30, 2026</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31,305</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632,007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(747,498)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(115,460)</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465" w:name="_7958a2ac_5ac9_47cf_a080_c8a58509f6d7"/>
      <w:bookmarkEnd w:id="465"/>
      <w:r>
        <w:rPr>
          <w:rFonts w:ascii="Times New Roman;Times;serif" w:hAnsi="Times New Roman;Times;serif"/>
          <w:b/>
          <w:sz w:val="20"/>
        </w:rPr>
        <w:t>BIOXCEL THERAPEUTICS, INC.</w:t>
      </w:r>
    </w:p>
    <w:p>
      <w:pPr>
        <w:pStyle w:val="TextBody"/>
        <w:bidi w:val="0"/>
        <w:spacing w:before="0" w:after="200"/>
        <w:ind w:left="0" w:right="0" w:hanging="0"/>
        <w:jc w:val="center"/>
        <w:rPr>
          <w:rFonts w:ascii="Times New Roman;Times;serif" w:hAnsi="Times New Roman;Times;serif"/>
          <w:b/>
          <w:sz w:val="20"/>
        </w:rPr>
      </w:pPr>
      <w:bookmarkStart w:id="466" w:name="STATEMENTSOFCASHFLOWS_929012"/>
      <w:bookmarkEnd w:id="466"/>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467" w:name="Tc_5up9g_oO5UCrNq3S4dRTQA_43_5"/>
      <w:bookmarkStart w:id="468" w:name="Tc_qLPqJc0alUahN8QYF-jt_Q_43_2"/>
      <w:bookmarkStart w:id="469" w:name="Tc_OhN4kRnWREWRXJB5HplYHQ_43_0"/>
      <w:bookmarkStart w:id="470" w:name="Tc_8piFbwR7A06AriWQvZMxvA_42_5"/>
      <w:bookmarkStart w:id="471" w:name="Tc_WMj0vEQyQUeuLbn6TM0owg_42_2"/>
      <w:bookmarkStart w:id="472" w:name="Tc_qvPJXbwdV0OBRuYk4oJGKA_42_0"/>
      <w:bookmarkStart w:id="473" w:name="Tc_ouKrXnP-a0aHdVNY6jhsUg_41_5"/>
      <w:bookmarkStart w:id="474" w:name="Tc_tZFTJJF2gU2dpAa4wBUjHQ_41_2"/>
      <w:bookmarkStart w:id="475" w:name="Tc_4db4UiKCCEej5IT5Ea0Tpw_41_0"/>
      <w:bookmarkStart w:id="476" w:name="Tc_yftVTekPE0C1_ETmLZ344Q_40_0"/>
      <w:bookmarkStart w:id="477" w:name="Tc_mk6vdPjjtkWB6UV6SZdRkw_38_5"/>
      <w:bookmarkStart w:id="478" w:name="Tc_9_BcLcuvWUS9naUknFvSTQ_38_2"/>
      <w:bookmarkStart w:id="479" w:name="Tc_JHhfrfjoHEqjceC9F0P-Ig_38_0"/>
      <w:bookmarkStart w:id="480" w:name="Tc_6I1UtbzKW0CQLwc066K-Dg_37_0"/>
      <w:bookmarkStart w:id="481" w:name="Tc_ZM2CB7tQ-kC9me7Kut4nQQ_36_5"/>
      <w:bookmarkStart w:id="482" w:name="Tc_wJePAnS4N0GFmC3NUUrIEA_36_2"/>
      <w:bookmarkStart w:id="483" w:name="Tc_xIiecI0GqEm8DMxfCBj8HA_36_0"/>
      <w:bookmarkStart w:id="484" w:name="Tc_GPSnJLJkokO0TsS5YD7XLQ_35_0"/>
      <w:bookmarkStart w:id="485" w:name="Tc_uQ2FTL3wrkWC0wZJ977xUg_33_5"/>
      <w:bookmarkStart w:id="486" w:name="Tc_1UMcszYCCkmXk14PC8xTgQ_33_2"/>
      <w:bookmarkStart w:id="487" w:name="Tc_w51mz2UVUk6qtchBOqIK3w_33_0"/>
      <w:bookmarkStart w:id="488" w:name="Tc_dxE8OqyMP0G4NniHOfhtUg_32_0"/>
      <w:bookmarkStart w:id="489" w:name="Tc_slF91hgrHUWtedUJCeUICQ_31_0"/>
      <w:bookmarkStart w:id="490" w:name="Tc_DFe6iGnX-02GGEXbYOLcEw_29_0"/>
      <w:bookmarkStart w:id="491" w:name="Tc_OOmq9S2BTkuTUPzDF8jzdg_28_0"/>
      <w:bookmarkStart w:id="492" w:name="Tc_Nl2Opt-GTkqPrE-2L98XGQ_27_0"/>
      <w:bookmarkStart w:id="493" w:name="Tc_i5XyD1-eqkqlgGKUeSmF8g_26_0"/>
      <w:bookmarkStart w:id="494" w:name="Tc_6GouxCaWMkisMVF6zX70-A_25_0"/>
      <w:bookmarkStart w:id="495" w:name="Tc_M363G4iMAkSlLpS9VqOO1w_24_0"/>
      <w:bookmarkStart w:id="496" w:name="Tc_lKB9ziex60-UkIxNYzEwsw_22_0"/>
      <w:bookmarkStart w:id="497" w:name="Tc_4jOLYodUxkGSjqDi4gVQ-w_21_0"/>
      <w:bookmarkStart w:id="498" w:name="Tc_dD8X9dofY0WUf_nSF69kRw_20_0"/>
      <w:bookmarkStart w:id="499" w:name="Tc_2zxA1o8-oEmAyQns1iOUeA_18_0"/>
      <w:bookmarkStart w:id="500" w:name="Tc_reWfDpuP10SADyY7L_G7oQ_17_0"/>
      <w:bookmarkStart w:id="501" w:name="Tc_z7fFeFquEEmj6-J6aHtFKA_16_0"/>
      <w:bookmarkStart w:id="502" w:name="Tc_emNBIGBJb0WuH6jElLu7_w_15_0"/>
      <w:bookmarkStart w:id="503" w:name="Tc_gVeXrwzD3EesFH9ptc-jiQ_14_0"/>
      <w:bookmarkStart w:id="504" w:name="Tc_ekV6svmv8ES5QyIfO28XZw_13_0"/>
      <w:bookmarkStart w:id="505" w:name="Tc_kE5QJ-Yaa0WLGiGMX4klIw_12_0"/>
      <w:bookmarkStart w:id="506" w:name="Tc_4mysfPK-uUWQs0KJ8CiSFw_11_0"/>
      <w:bookmarkStart w:id="507" w:name="Tc_1fV0qzPmrUebgW2iQpS9IQ_10_0"/>
      <w:bookmarkStart w:id="508" w:name="Tc_KmQq0uD4O0i6CAE8h2i-6A_9_0"/>
      <w:bookmarkStart w:id="509" w:name="Tc_g42it2gy60WfL-z7CubngQ_8_0"/>
      <w:bookmarkStart w:id="510" w:name="Tc_2H36B74CuESuuz6MZBJqrA_7_0"/>
      <w:bookmarkStart w:id="511" w:name="Tc_k2urL9ysW0OEr6RsMCl4nA_6_0"/>
      <w:bookmarkStart w:id="512" w:name="Tc_Bedz4k0ExUKAEW0CRJ80DA_5_0"/>
      <w:bookmarkStart w:id="513" w:name="Tc_-x0xFbozDUyRVeB66sUxKw_4_5"/>
      <w:bookmarkStart w:id="514" w:name="Tc_9hMXGgWtZk-hLN0nVuK0AQ_4_2"/>
      <w:bookmarkStart w:id="515" w:name="Tc_SUV416sJckGYB1wUDEFnPw_4_0"/>
      <w:bookmarkStart w:id="516" w:name="Tc_yL30mBvqEkO8N53Lhwha1g_3_0"/>
      <w:bookmarkStart w:id="517" w:name="Tc_2iniV5591ESH5XOnCA932A_2_5"/>
      <w:bookmarkStart w:id="518" w:name="Tc_5cmCBBdMFk6-d4NtKwP0IQ_2_2"/>
      <w:bookmarkStart w:id="519" w:name="Tc_r_ZDLn9Sx0KjF1xAenkMFA_1_2"/>
      <w:bookmarkStart w:id="520" w:name="_c42f751b_e921_4abf_948e_33e23a0a9bd2"/>
      <w:bookmarkStart w:id="521" w:name="Tc_5up9g_oO5UCrNq3S4dRTQA_43_5"/>
      <w:bookmarkStart w:id="522" w:name="Tc_qLPqJc0alUahN8QYF-jt_Q_43_2"/>
      <w:bookmarkStart w:id="523" w:name="Tc_OhN4kRnWREWRXJB5HplYHQ_43_0"/>
      <w:bookmarkStart w:id="524" w:name="Tc_8piFbwR7A06AriWQvZMxvA_42_5"/>
      <w:bookmarkStart w:id="525" w:name="Tc_WMj0vEQyQUeuLbn6TM0owg_42_2"/>
      <w:bookmarkStart w:id="526" w:name="Tc_qvPJXbwdV0OBRuYk4oJGKA_42_0"/>
      <w:bookmarkStart w:id="527" w:name="Tc_ouKrXnP-a0aHdVNY6jhsUg_41_5"/>
      <w:bookmarkStart w:id="528" w:name="Tc_tZFTJJF2gU2dpAa4wBUjHQ_41_2"/>
      <w:bookmarkStart w:id="529" w:name="Tc_4db4UiKCCEej5IT5Ea0Tpw_41_0"/>
      <w:bookmarkStart w:id="530" w:name="Tc_yftVTekPE0C1_ETmLZ344Q_40_0"/>
      <w:bookmarkStart w:id="531" w:name="Tc_mk6vdPjjtkWB6UV6SZdRkw_38_5"/>
      <w:bookmarkStart w:id="532" w:name="Tc_9_BcLcuvWUS9naUknFvSTQ_38_2"/>
      <w:bookmarkStart w:id="533" w:name="Tc_JHhfrfjoHEqjceC9F0P-Ig_38_0"/>
      <w:bookmarkStart w:id="534" w:name="Tc_6I1UtbzKW0CQLwc066K-Dg_37_0"/>
      <w:bookmarkStart w:id="535" w:name="Tc_ZM2CB7tQ-kC9me7Kut4nQQ_36_5"/>
      <w:bookmarkStart w:id="536" w:name="Tc_wJePAnS4N0GFmC3NUUrIEA_36_2"/>
      <w:bookmarkStart w:id="537" w:name="Tc_xIiecI0GqEm8DMxfCBj8HA_36_0"/>
      <w:bookmarkStart w:id="538" w:name="Tc_GPSnJLJkokO0TsS5YD7XLQ_35_0"/>
      <w:bookmarkStart w:id="539" w:name="Tc_uQ2FTL3wrkWC0wZJ977xUg_33_5"/>
      <w:bookmarkStart w:id="540" w:name="Tc_1UMcszYCCkmXk14PC8xTgQ_33_2"/>
      <w:bookmarkStart w:id="541" w:name="Tc_w51mz2UVUk6qtchBOqIK3w_33_0"/>
      <w:bookmarkStart w:id="542" w:name="Tc_dxE8OqyMP0G4NniHOfhtUg_32_0"/>
      <w:bookmarkStart w:id="543" w:name="Tc_slF91hgrHUWtedUJCeUICQ_31_0"/>
      <w:bookmarkStart w:id="544" w:name="Tc_DFe6iGnX-02GGEXbYOLcEw_29_0"/>
      <w:bookmarkStart w:id="545" w:name="Tc_OOmq9S2BTkuTUPzDF8jzdg_28_0"/>
      <w:bookmarkStart w:id="546" w:name="Tc_Nl2Opt-GTkqPrE-2L98XGQ_27_0"/>
      <w:bookmarkStart w:id="547" w:name="Tc_i5XyD1-eqkqlgGKUeSmF8g_26_0"/>
      <w:bookmarkStart w:id="548" w:name="Tc_6GouxCaWMkisMVF6zX70-A_25_0"/>
      <w:bookmarkStart w:id="549" w:name="Tc_M363G4iMAkSlLpS9VqOO1w_24_0"/>
      <w:bookmarkStart w:id="550" w:name="Tc_lKB9ziex60-UkIxNYzEwsw_22_0"/>
      <w:bookmarkStart w:id="551" w:name="Tc_4jOLYodUxkGSjqDi4gVQ-w_21_0"/>
      <w:bookmarkStart w:id="552" w:name="Tc_dD8X9dofY0WUf_nSF69kRw_20_0"/>
      <w:bookmarkStart w:id="553" w:name="Tc_2zxA1o8-oEmAyQns1iOUeA_18_0"/>
      <w:bookmarkStart w:id="554" w:name="Tc_reWfDpuP10SADyY7L_G7oQ_17_0"/>
      <w:bookmarkStart w:id="555" w:name="Tc_z7fFeFquEEmj6-J6aHtFKA_16_0"/>
      <w:bookmarkStart w:id="556" w:name="Tc_emNBIGBJb0WuH6jElLu7_w_15_0"/>
      <w:bookmarkStart w:id="557" w:name="Tc_gVeXrwzD3EesFH9ptc-jiQ_14_0"/>
      <w:bookmarkStart w:id="558" w:name="Tc_ekV6svmv8ES5QyIfO28XZw_13_0"/>
      <w:bookmarkStart w:id="559" w:name="Tc_kE5QJ-Yaa0WLGiGMX4klIw_12_0"/>
      <w:bookmarkStart w:id="560" w:name="Tc_4mysfPK-uUWQs0KJ8CiSFw_11_0"/>
      <w:bookmarkStart w:id="561" w:name="Tc_1fV0qzPmrUebgW2iQpS9IQ_10_0"/>
      <w:bookmarkStart w:id="562" w:name="Tc_KmQq0uD4O0i6CAE8h2i-6A_9_0"/>
      <w:bookmarkStart w:id="563" w:name="Tc_g42it2gy60WfL-z7CubngQ_8_0"/>
      <w:bookmarkStart w:id="564" w:name="Tc_2H36B74CuESuuz6MZBJqrA_7_0"/>
      <w:bookmarkStart w:id="565" w:name="Tc_k2urL9ysW0OEr6RsMCl4nA_6_0"/>
      <w:bookmarkStart w:id="566" w:name="Tc_Bedz4k0ExUKAEW0CRJ80DA_5_0"/>
      <w:bookmarkStart w:id="567" w:name="Tc_-x0xFbozDUyRVeB66sUxKw_4_5"/>
      <w:bookmarkStart w:id="568" w:name="Tc_9hMXGgWtZk-hLN0nVuK0AQ_4_2"/>
      <w:bookmarkStart w:id="569" w:name="Tc_SUV416sJckGYB1wUDEFnPw_4_0"/>
      <w:bookmarkStart w:id="570" w:name="Tc_yL30mBvqEkO8N53Lhwha1g_3_0"/>
      <w:bookmarkStart w:id="571" w:name="Tc_2iniV5591ESH5XOnCA932A_2_5"/>
      <w:bookmarkStart w:id="572" w:name="Tc_5cmCBBdMFk6-d4NtKwP0IQ_2_2"/>
      <w:bookmarkStart w:id="573" w:name="Tc_r_ZDLn9Sx0KjF1xAenkMFA_1_2"/>
      <w:bookmarkStart w:id="574" w:name="_c42f751b_e921_4abf_948e_33e23a0a9bd2"/>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tbl>
      <w:tblPr>
        <w:tblW w:w="9907" w:type="dxa"/>
        <w:jc w:val="left"/>
        <w:tblInd w:w="0" w:type="dxa"/>
        <w:tblLayout w:type="fixed"/>
        <w:tblCellMar>
          <w:top w:w="0" w:type="dxa"/>
          <w:left w:w="0" w:type="dxa"/>
          <w:bottom w:w="0" w:type="dxa"/>
          <w:right w:w="0" w:type="dxa"/>
        </w:tblCellMar>
      </w:tblPr>
      <w:tblGrid>
        <w:gridCol w:w="7156"/>
        <w:gridCol w:w="346"/>
        <w:gridCol w:w="211"/>
        <w:gridCol w:w="796"/>
        <w:gridCol w:w="346"/>
        <w:gridCol w:w="211"/>
        <w:gridCol w:w="841"/>
      </w:tblGrid>
      <w:tr>
        <w:trPr/>
        <w:tc>
          <w:tcPr>
            <w:tcW w:w="7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544060" cy="175260"/>
                      <wp:effectExtent l="0" t="0" r="0" b="0"/>
                      <wp:wrapNone/>
                      <wp:docPr id="39" name="Frame39"/>
                      <a:graphic xmlns:a="http://schemas.openxmlformats.org/drawingml/2006/main">
                        <a:graphicData uri="http://schemas.microsoft.com/office/word/2010/wordprocessingShape">
                          <wps:wsp>
                            <wps:cNvSpPr txBox="1"/>
                            <wps:spPr>
                              <a:xfrm>
                                <a:off x="0" y="0"/>
                                <a:ext cx="454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05460" cy="175260"/>
                      <wp:effectExtent l="0" t="0" r="0" b="0"/>
                      <wp:wrapNone/>
                      <wp:docPr id="42" name="Frame4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34035" cy="175260"/>
                      <wp:effectExtent l="0" t="0" r="0" b="0"/>
                      <wp:wrapNone/>
                      <wp:docPr id="45" name="Frame4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7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CASH FLOW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(26,441)</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Reconciliation of net 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 of debt discount and amortization of financing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(7,222)</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1,736</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Payable-in-kind interest on Credit Agreement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5,433</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accrued expenses, due to related parties, and other 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(17,907)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(24,618)</w:t>
            </w:r>
          </w:p>
        </w:tc>
      </w:tr>
      <w:tr>
        <w:trPr/>
        <w:tc>
          <w:tcPr>
            <w:tcW w:w="71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INVESTING CASH FLOW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  ​</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Purchases of equipment and leasehold improvements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from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71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FINANCING CASH FLOW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  ​</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issuance of common stock and warrants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14,146</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of principal of Long-term debt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Offering costs for common stock and warrants issuance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of employee tax obligations related to vesting restricted stock units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13,339</w:t>
            </w:r>
          </w:p>
        </w:tc>
      </w:tr>
      <w:tr>
        <w:trPr/>
        <w:tc>
          <w:tcPr>
            <w:tcW w:w="7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(decrease) in 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(11,279)</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beginning of the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28,757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29,854</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end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18,575</w:t>
            </w:r>
          </w:p>
        </w:tc>
      </w:tr>
      <w:tr>
        <w:trPr/>
        <w:tc>
          <w:tcPr>
            <w:tcW w:w="7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sheet reconciliation: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17,435</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1,140</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cash and cash equivalents and restricted cash as presented above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13,801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18,575</w:t>
            </w:r>
          </w:p>
        </w:tc>
      </w:tr>
      <w:tr>
        <w:trPr/>
        <w:tc>
          <w:tcPr>
            <w:tcW w:w="71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Supplemental cash flow information: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stock purchase warrants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7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Repricing of stock purchase warrants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pPr>
            <w:r>
              <w:rPr/>
              <w:t>—</w:t>
            </w:r>
          </w:p>
        </w:tc>
      </w:tr>
      <w:tr>
        <w:trPr/>
        <w:tc>
          <w:tcPr>
            <w:tcW w:w="7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paid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70" w:hanging="0"/>
              <w:jc w:val="right"/>
              <w:rPr/>
            </w:pPr>
            <w:r>
              <w:rPr/>
              <w:t>—</w:t>
            </w:r>
          </w:p>
        </w:tc>
      </w:tr>
    </w:tbl>
    <w:p>
      <w:pPr>
        <w:pStyle w:val="TextBody"/>
        <w:bidi w:val="0"/>
        <w:spacing w:before="0" w:after="240"/>
        <w:ind w:left="0" w:right="0" w:hanging="0"/>
        <w:jc w:val="center"/>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75" w:name="_c9462e53_61a0_46f0_83cf_56bce0bd6511"/>
      <w:bookmarkEnd w:id="575"/>
      <w:r>
        <w:rPr>
          <w:rFonts w:ascii="Times New Roman;Times;serif" w:hAnsi="Times New Roman;Times;serif"/>
          <w:b/>
          <w:sz w:val="20"/>
        </w:rPr>
        <w:t>BIOXCEL THERAPEUTICS, INC.</w:t>
      </w:r>
    </w:p>
    <w:p>
      <w:pPr>
        <w:pStyle w:val="TextBody"/>
        <w:bidi w:val="0"/>
        <w:spacing w:before="0" w:after="240"/>
        <w:ind w:left="0" w:right="0" w:hanging="0"/>
        <w:jc w:val="center"/>
        <w:rPr>
          <w:rFonts w:ascii="Times New Roman;Times;serif" w:hAnsi="Times New Roman;Times;serif"/>
          <w:b/>
          <w:sz w:val="20"/>
        </w:rPr>
      </w:pPr>
      <w:bookmarkStart w:id="576" w:name="NOTESTOFINANCIALSTATEMENTS_349172"/>
      <w:bookmarkEnd w:id="576"/>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per share amounts and where otherwise noted)</w:t>
      </w:r>
    </w:p>
    <w:p>
      <w:pPr>
        <w:pStyle w:val="TextBody"/>
        <w:bidi w:val="0"/>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 Nature of the Business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BioXcel Therapeutics, Inc. (“BTI” or the “Company”) is a biopharmaceutical company built on artificial intelligence (“AI”) approaches to develop transformative medicines in neuroscience and immuno-oncology. The Company is focused on utilizing cutting-edge technology and innovative research to develop high-value therapeutics aimed at transforming patients’ lives. BTI developed a proprietary AI platform to reduce therapeutic development costs and potentially accelerate development timelines. The Company’s approach leverages existing approved drugs and/or clinically evaluated product candidates together with big data and proprietary machine learning algorithms to identify new therapeutic indices. BTI management believes this differentiated approach has proven its potential to reduce the expense and time associated with drug development in diseases with substantial unmet medical needs.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used in these condensed consolidated financial statements, unless otherwise specified or the context otherwise requires, the terms “BioXcel LLC” refers to the Company’s former parent company, BioXcel LLC and, its predecessor, BioXcel Corporation. “OnkosXcel” refers to BTI’s wholly owned subsidiary for its advanced immuno-oncology assets, OnkosXcel Therapeutics, LLC.</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On April 6, 2022, BTI announced that the FDA approved IGALMI</w:t>
      </w:r>
      <w:r>
        <w:rPr>
          <w:rFonts w:ascii="Times New Roman;Times;serif" w:hAnsi="Times New Roman;Times;serif"/>
          <w:sz w:val="15"/>
        </w:rPr>
        <w:t>®</w:t>
      </w:r>
      <w:r>
        <w:rPr>
          <w:rFonts w:ascii="Times New Roman;Times;serif" w:hAnsi="Times New Roman;Times;serif"/>
          <w:sz w:val="20"/>
        </w:rPr>
        <w:t> (dexmedetomidine or “Dex”) sublingual film for the acute treatment of agitation associated with schizophrenia or bipolar I or II disorder in adults. IGALMI</w:t>
      </w:r>
      <w:r>
        <w:rPr>
          <w:rFonts w:ascii="Times New Roman;Times;serif" w:hAnsi="Times New Roman;Times;serif"/>
          <w:sz w:val="15"/>
        </w:rPr>
        <w:t>®</w:t>
      </w:r>
      <w:r>
        <w:rPr>
          <w:rFonts w:ascii="Times New Roman;Times;serif" w:hAnsi="Times New Roman;Times;serif"/>
          <w:sz w:val="20"/>
        </w:rPr>
        <w:t> is approved to be self-administrated by patients under the supervision of a health care provider. On July 6, 2022, BTI announced that IGALMI</w:t>
      </w:r>
      <w:r>
        <w:rPr>
          <w:rFonts w:ascii="Times New Roman;Times;serif" w:hAnsi="Times New Roman;Times;serif"/>
          <w:sz w:val="15"/>
        </w:rPr>
        <w:t>®</w:t>
      </w:r>
      <w:r>
        <w:rPr>
          <w:rFonts w:ascii="Times New Roman;Times;serif" w:hAnsi="Times New Roman;Times;serif"/>
          <w:sz w:val="20"/>
        </w:rPr>
        <w:t>, was commercially available in doses of 120 and 180 micrograms.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The Company’s most advanced neuroscience clinical development program is BXCL501. In indications other than those approved by the FDA as IGALMI</w:t>
      </w:r>
      <w:r>
        <w:rPr>
          <w:rFonts w:ascii="Times New Roman;Times;serif" w:hAnsi="Times New Roman;Times;serif"/>
          <w:sz w:val="15"/>
        </w:rPr>
        <w:t>®</w:t>
      </w:r>
      <w:r>
        <w:rPr>
          <w:rFonts w:ascii="Times New Roman;Times;serif" w:hAnsi="Times New Roman;Times;serif"/>
          <w:sz w:val="20"/>
        </w:rPr>
        <w:t>, BXCL501 is an investigational proprietary, orally dissolving, film formulation of Dex for the treatment of agitation associated with psychiatric and neurological disorders.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Company’s advanced immuno-oncology asset, BXCL701, is an investigational, orally administered systemic innate immune activator for the treatment of a rare form of prostate cancer and advanced solid tumors that are refractory or treatment naïve to checkpoint inhibitors.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BTI was incorporated under the laws of the State of Delaware on March 29, 2017. The Company’s principal office is in New Haven, Connecticut.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2. Basis of Presentation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accompanying unaudited interim condensed consolidated financial statements do not include all the information and notes required by Generally Accepted Accounting Principles (“GAAP”) in the U.S. The accompanying year-end balance sheet was derived from audited financial statements but does not include all disclosures required by U.S. GAAP. The unaudited interim condensed consolidated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June 30, 2026, the results of its operations for the three and six months ended June 30, 2026 and 2025 and its cash flows for the six months ended June 30, 2026 and 2025. The results for the three and six months ended June 30, 2026 are not necessarily indicative of results to be expected for the year ending December 31, 2026, any other interim periods or any future year or period. The accompanying unaudited interim condensed consolidated financial statements of the Company should be read in conjunction with the audited financial statements and notes thereto included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Company’s Annual Report on Form 10-K for the year ended December 31, 2025, filed with the Securities and Exchange Commission on March 27, 2026.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accompanying condensed consolidated financial statements include the accounts for the Company and all entities where BTI has a controlling financial interest after elimination of all intercompany accounts and transactions and have been prepared in conformity with U.S. GAAP.</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the Company had cash, cash equivalents and restricted cash of $13,801 and an accumulated deficit of $747,498. The Company has incurred substantial net losses and negative cash flows from operating activities in nearly every fiscal period since inception and expects this trend to continue for the foreseeable future. The Company recognized net losses of $14,713 and $19,187 for the three months ended June 30, 2026 and 2025, respectively, and $27,404 and $26,441 for the six months ended June 30, 2026 and 2025, respectively, and had net cash used in operating activities of $17,907 and $24,618 for the six months ended June 30, 2026 and 2025, respectively. </w:t>
      </w:r>
    </w:p>
    <w:p>
      <w:pPr>
        <w:pStyle w:val="TextBody"/>
        <w:bidi w:val="0"/>
        <w:spacing w:lineRule="auto" w:line="300" w:before="0" w:after="160"/>
        <w:ind w:left="0" w:right="0" w:firstLine="360"/>
        <w:jc w:val="left"/>
        <w:rPr>
          <w:rFonts w:ascii="Times New Roman;Times;serif" w:hAnsi="Times New Roman;Times;serif"/>
          <w:sz w:val="20"/>
        </w:rPr>
      </w:pPr>
      <w:r>
        <w:rPr>
          <w:rFonts w:ascii="Times New Roman;Times;serif" w:hAnsi="Times New Roman;Times;serif"/>
          <w:sz w:val="20"/>
        </w:rPr>
        <w:t xml:space="preserve">Under ASC Topic 205-40, Presentation of Financial Statements - Going Concern, management is required at each reporting period to evaluate whether there are conditions and events, considered in the aggregate, that raise substantial doubt about an entity’s ability to continue as a going concern within one year after the date that the financial statements are issued. </w:t>
      </w:r>
    </w:p>
    <w:p>
      <w:pPr>
        <w:pStyle w:val="TextBody"/>
        <w:bidi w:val="0"/>
        <w:spacing w:lineRule="auto" w:line="300" w:before="0" w:after="160"/>
        <w:ind w:left="0" w:right="0" w:firstLine="360"/>
        <w:jc w:val="left"/>
        <w:rPr>
          <w:rFonts w:ascii="Times New Roman;Times;serif" w:hAnsi="Times New Roman;Times;serif"/>
          <w:sz w:val="20"/>
        </w:rPr>
      </w:pPr>
      <w:r>
        <w:rPr>
          <w:rFonts w:ascii="Times New Roman;Times;serif" w:hAnsi="Times New Roman;Times;serif"/>
          <w:sz w:val="20"/>
        </w:rPr>
        <w:t xml:space="preserve">The Company’s history of significant losses, its negative cash flows from operations, its current debt obligations, potential near-term increased covenant-driven amortization payments under its Credit Agreement (as defined in Note 9, </w:t>
      </w:r>
      <w:r>
        <w:rPr>
          <w:rFonts w:ascii="Times New Roman;Times;serif" w:hAnsi="Times New Roman;Times;serif"/>
          <w:i/>
          <w:sz w:val="20"/>
        </w:rPr>
        <w:t>Debt and Credit Facilities</w:t>
      </w:r>
      <w:r>
        <w:rPr>
          <w:rFonts w:ascii="Times New Roman;Times;serif" w:hAnsi="Times New Roman;Times;serif"/>
          <w:sz w:val="20"/>
        </w:rPr>
        <w:t xml:space="preserve">), its limited liquidity resources currently on hand, and its dependence on its ability to obtain additional financing to fund its operations after the current resources are exhausted, about which there can be no certainty, have resulted in management’s assessment that there is substantial doubt about the Company’s ability to continue as a going concern for a period of at least 12 months from the issuance date of the financial statements included in this Quarterly Report. </w:t>
      </w:r>
    </w:p>
    <w:p>
      <w:pPr>
        <w:pStyle w:val="TextBody"/>
        <w:bidi w:val="0"/>
        <w:spacing w:lineRule="auto" w:line="300" w:before="0" w:after="160"/>
        <w:ind w:left="0" w:right="0" w:firstLine="360"/>
        <w:jc w:val="left"/>
        <w:rPr>
          <w:rFonts w:ascii="Times New Roman;Times;serif" w:hAnsi="Times New Roman;Times;serif"/>
          <w:sz w:val="20"/>
        </w:rPr>
      </w:pPr>
      <w:r>
        <w:rPr>
          <w:rFonts w:ascii="Times New Roman;Times;serif" w:hAnsi="Times New Roman;Times;serif"/>
          <w:sz w:val="20"/>
        </w:rPr>
        <w:t xml:space="preserve">This going concern evaluation takes into consideration the potential mitigating effect of management’s Clinical Reprioritization (as defined in Note 4, </w:t>
      </w:r>
      <w:r>
        <w:rPr>
          <w:rFonts w:ascii="Times New Roman;Times;serif" w:hAnsi="Times New Roman;Times;serif"/>
          <w:i/>
          <w:sz w:val="20"/>
        </w:rPr>
        <w:t>Restructuring</w:t>
      </w:r>
      <w:r>
        <w:rPr>
          <w:rFonts w:ascii="Times New Roman;Times;serif" w:hAnsi="Times New Roman;Times;serif"/>
          <w:sz w:val="20"/>
        </w:rPr>
        <w:t xml:space="preserve">). When substantial doubt exists, management evaluates whether the mitigating effect of its plans sufficiently alleviates the substantial doubt about the Company’s ability to continue as a going concern. The mitigating effect of management’s plans, however, is only considered if both (i) it is probable that the plans will be effectively implemented within one year after the date that the financial statements are issued and (ii)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need to be approved by the Company’s Board of Directors. Although the Company has developed and implemented certain plans, they will not mitigate the entity’s ability to continue as a going concern within one year after the date that the financial statements are issued.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accompanying condensed consolidated financial statements have been prepared on a going concern basis, which contemplates the realization of assets and the satisfaction of liabilities in the normal course of business and does not include any adjustments that may result from the outcome of this uncertainty. The going concern analysis does not consider possible future amendments to or restructuring of the Credit Agreement (as defined in Note 9, </w:t>
      </w:r>
      <w:r>
        <w:rPr>
          <w:rFonts w:ascii="Times New Roman;Times;serif" w:hAnsi="Times New Roman;Times;serif"/>
          <w:i/>
          <w:sz w:val="20"/>
        </w:rPr>
        <w:t>Debt and Credit Facilities</w:t>
      </w:r>
      <w:r>
        <w:rPr>
          <w:rFonts w:ascii="Times New Roman;Times;serif" w:hAnsi="Times New Roman;Times;serif"/>
          <w:sz w:val="20"/>
        </w:rPr>
        <w:t>) or other potential sources of debt or equity capital.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Management and the Company’s board of directors, with the assistance of advisors, have been actively pursuing a sale, merger, or other strategic transaction and additional financing alternatives, but to date these efforts have not resulted in a signed definitive agreement or committed source of additional capital.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To date, the Company has continued research and development activities while managing its cash position. However, the Company requires additional funding to continue as a going concern and has been unsuccessful to date in securing sufficient additional funding, notwithstanding an active process to identify and complete a sale, merger, financing or other strategic transaction. If the Company does not complete a strategic transaction, or does not receive sufficient financing from other sources of equity or debt financings, the Company expects it will likely file for protection under the U.S. Bankruptcy Code. Even if the Company is successful in raising additional capital, it will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require substantial additional financing to service its debt facilities and achieve its goals and a failure to obtain this necessary capital when needed could force the Company to delay, limit, reduce or terminate its product development or commercialization efforts. In connection with its efforts to pursue strategic alternatives, the Company has engaged restructuring and financial advisory professionals and, together with our Lenders, is engaged in contingency planning, including discussions regarding the potential availability of debtor-in-possession financing, in the event a strategic transaction acceptable to the Lenders is not completed on or prior to August 21, 2026, as required pursuant to the Twelfth Amendment to the Credit Agreement described below. The Company has not made any determination to commence a bankruptcy proceeding, and there can be no assurance as to which, if any, of these alternatives will be pursued or completed. Further, certain strategic alternatives will require the consent of our Lenders pursuant to the covenants in the Company’s Credit Agreement.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Note 3. Summary of Significant Accounting Policies </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accordance with U.S. GAAP requires management to make estimates and assumptions that affect amounts reported in the condensed consolidated financial statements and notes thereto. Estimates are used in the following areas, among others: revenue recognition, derivative liabilities, stock-based compensation expense, inventory, accrued expenses and income taxes. Although these estimates are based on the Company’s knowledge of current events and actions it may undertake in the future, actual results may ultimately materially differ from these estimates.</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Significant Accounting Policies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have been no material changes to the significant accounting policies previously disclosed in Note 3 to the Consolidated Financial Statements in the Company’s Annual Report on Form 10-K for the year ended December 31, 2025.</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July 2025, the FASB issued ASU 2025-05, Financial Instruments - Credit Losses (Topic 326): Measurement of Credit Losses for Accounts Receivable and Contract Assets. The amendments provide a practical expedient and, if applicable, an accounting policy election to simplify the measurement of credit losses for certain receivables and contract assets. The amendments are effective for annual reporting periods beginning after December 15, 2025, and interim reporting periods within those annual reporting periods. The adoption of this guidance did not have an impact on our consolidated financial statements and accompanying notes. </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Accounting pronouncements effective in future periods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November 2024, the FASB issued ASU 2024-03, Income statement-reporting comprehensive income-expense disaggregation disclosures, which requires public entities to disclose specified information about certain costs and expenses. ASU 2024-03 is effective for annual periods beginning after December 15, 2026 and interim reporting periods beginning after December 15, 2027, with early adoption permitted. The Company is evaluating the effect of adopting this guidance on its consolidated financial statements.</w:t>
      </w:r>
    </w:p>
    <w:p>
      <w:pPr>
        <w:pStyle w:val="TextBody"/>
        <w:bidi w:val="0"/>
        <w:spacing w:before="0" w:after="240"/>
        <w:ind w:left="0" w:right="0" w:firstLine="36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Note 4. Restructuring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both 2023 and 2024 the Company took multiple steps to reduce its headcount to curtail expenses and focus on its clinical development efforts, collectively referred to as its Clinical Reprioritization.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an on-going part of the Clinical Reprioritization, on April 8, 2025, the Board unanimously approved (i) the payment of a retention bonus to all non-executive employees in the total aggregate amount of $1,522, to be paid in two equal installments and (ii) the issuance of 66 RSUs which fully vest on the one-year anniversary of the grant date.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first installment of the retention bonus was paid on April 30, 2025 and the second installment was paid on September 30, 2025. Each such installment payment was subject to the applicable employee’s continued employment through December 31,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September 16, 2025, the Company dissolved its operations in the Czech Republic and paid $194 in closure related expenses during the third quarter of 2025.</w:t>
      </w:r>
    </w:p>
    <w:p>
      <w:pPr>
        <w:pStyle w:val="TextBody"/>
        <w:bidi w:val="0"/>
        <w:spacing w:before="0" w:after="200"/>
        <w:ind w:left="0" w:right="0" w:hanging="0"/>
        <w:jc w:val="left"/>
        <w:rPr>
          <w:rFonts w:ascii="Times New Roman;Times;serif" w:hAnsi="Times New Roman;Times;serif"/>
          <w:b/>
          <w:sz w:val="20"/>
        </w:rPr>
      </w:pPr>
      <w:bookmarkStart w:id="577" w:name="Tc_DBM44d5mbUyvFzK-bbOy-g_7_5"/>
      <w:bookmarkStart w:id="578" w:name="Tc_5h-NURuSSUmRkzBWCbI79Q_7_2"/>
      <w:bookmarkStart w:id="579" w:name="Tc_Ey_FK03e2EmQnQLl_r2WTg_7_0"/>
      <w:bookmarkStart w:id="580" w:name="Tc_J7xC8sX6OEOpKLxmNfWmcA_6_0"/>
      <w:bookmarkStart w:id="581" w:name="Tc_yWrsDfkFn0uTy3LjWWX7hg_5_0"/>
      <w:bookmarkStart w:id="582" w:name="Tc_jl-AfgQyAUeRmBXNfCzI5w_4_5"/>
      <w:bookmarkStart w:id="583" w:name="Tc_rO9cfV02O0ygIgLTnxKSHQ_4_2"/>
      <w:bookmarkStart w:id="584" w:name="Tc_80zjlpNNqEqA2GjacpngnQ_4_0"/>
      <w:bookmarkStart w:id="585" w:name="Tc_M1cF7aMKmE-ZU05DkAxSZA_2_5"/>
      <w:bookmarkStart w:id="586" w:name="Tc_wwLfE89jh0iWHq8JlUg_HQ_2_2"/>
      <w:bookmarkStart w:id="587" w:name="Tc_SpuVA5YLq0uCcZj0k0XNpw_1_5"/>
      <w:bookmarkStart w:id="588" w:name="Tc_6q3pW16i40igJN0HEpMTRg_1_2"/>
      <w:bookmarkEnd w:id="577"/>
      <w:bookmarkEnd w:id="578"/>
      <w:bookmarkEnd w:id="579"/>
      <w:bookmarkEnd w:id="580"/>
      <w:bookmarkEnd w:id="581"/>
      <w:bookmarkEnd w:id="582"/>
      <w:bookmarkEnd w:id="583"/>
      <w:bookmarkEnd w:id="584"/>
      <w:bookmarkEnd w:id="585"/>
      <w:bookmarkEnd w:id="586"/>
      <w:bookmarkEnd w:id="587"/>
      <w:bookmarkEnd w:id="588"/>
      <w:r>
        <w:rPr>
          <w:rFonts w:ascii="Times New Roman;Times;serif" w:hAnsi="Times New Roman;Times;serif"/>
          <w:b/>
          <w:sz w:val="20"/>
        </w:rPr>
        <w:t>Note 5. Inventory</w:t>
      </w:r>
    </w:p>
    <w:p>
      <w:pPr>
        <w:pStyle w:val="TextBody"/>
        <w:bidi w:val="0"/>
        <w:spacing w:before="0" w:after="20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Inventory consists of the following:</w:t>
      </w:r>
    </w:p>
    <w:p>
      <w:pPr>
        <w:pStyle w:val="TextBody"/>
        <w:bidi w:val="0"/>
        <w:spacing w:before="0" w:after="0"/>
        <w:ind w:left="0" w:right="0" w:hanging="0"/>
        <w:jc w:val="left"/>
        <w:rPr/>
      </w:pPr>
      <w:r>
        <w:rPr/>
        <w:t>​</w:t>
      </w:r>
    </w:p>
    <w:tbl>
      <w:tblPr>
        <w:tblW w:w="4098" w:type="dxa"/>
        <w:jc w:val="left"/>
        <w:tblInd w:w="0" w:type="dxa"/>
        <w:tblLayout w:type="fixed"/>
        <w:tblCellMar>
          <w:top w:w="0" w:type="dxa"/>
          <w:left w:w="0" w:type="dxa"/>
          <w:bottom w:w="0" w:type="dxa"/>
          <w:right w:w="0" w:type="dxa"/>
        </w:tblCellMar>
      </w:tblPr>
      <w:tblGrid>
        <w:gridCol w:w="1456"/>
        <w:gridCol w:w="346"/>
        <w:gridCol w:w="254"/>
        <w:gridCol w:w="511"/>
        <w:gridCol w:w="346"/>
        <w:gridCol w:w="334"/>
        <w:gridCol w:w="851"/>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924560" cy="175260"/>
                      <wp:effectExtent l="0" t="0" r="0" b="0"/>
                      <wp:wrapNone/>
                      <wp:docPr id="46" name="Frame46"/>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61290" cy="175260"/>
                      <wp:effectExtent l="0" t="0" r="0" b="0"/>
                      <wp:wrapNone/>
                      <wp:docPr id="48" name="Frame48"/>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24485" cy="175260"/>
                      <wp:effectExtent l="0" t="0" r="0" b="0"/>
                      <wp:wrapNone/>
                      <wp:docPr id="49" name="Frame4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2090" cy="175260"/>
                      <wp:effectExtent l="0" t="0" r="0" b="0"/>
                      <wp:wrapNone/>
                      <wp:docPr id="51" name="Frame51"/>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40385" cy="175260"/>
                      <wp:effectExtent l="0" t="0" r="0" b="0"/>
                      <wp:wrapNone/>
                      <wp:docPr id="52" name="Frame52"/>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4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4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left"/>
              <w:rPr/>
            </w:pPr>
            <w:r>
              <w:rPr/>
              <w:t>​</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c>
          <w:tcPr>
            <w:tcW w:w="346"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4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vAlign w:val="center"/>
          </w:tcPr>
          <w:p>
            <w:pPr>
              <w:pStyle w:val="TableContents"/>
              <w:bidi w:val="0"/>
              <w:spacing w:before="0" w:after="1"/>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inventory</w:t>
            </w:r>
          </w:p>
        </w:tc>
        <w:tc>
          <w:tcPr>
            <w:tcW w:w="346" w:type="dxa"/>
            <w:tcBorders/>
            <w:vAlign w:val="center"/>
          </w:tcPr>
          <w:p>
            <w:pPr>
              <w:pStyle w:val="TableContents"/>
              <w:bidi w:val="0"/>
              <w:spacing w:before="0" w:after="1"/>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w:t>
            </w:r>
          </w:p>
        </w:tc>
        <w:tc>
          <w:tcPr>
            <w:tcW w:w="346" w:type="dxa"/>
            <w:tcBorders/>
            <w:vAlign w:val="center"/>
          </w:tcPr>
          <w:p>
            <w:pPr>
              <w:pStyle w:val="TableContents"/>
              <w:bidi w:val="0"/>
              <w:spacing w:before="0" w:after="1"/>
              <w:ind w:left="0" w:right="0" w:hanging="0"/>
              <w:jc w:val="left"/>
              <w:rPr/>
            </w:pPr>
            <w:r>
              <w:rPr/>
              <w:t>​</w:t>
            </w:r>
          </w:p>
        </w:tc>
        <w:tc>
          <w:tcPr>
            <w:tcW w:w="3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722</w:t>
            </w:r>
          </w:p>
        </w:tc>
      </w:tr>
    </w:tbl>
    <w:p>
      <w:pPr>
        <w:pStyle w:val="TextBody"/>
        <w:bidi w:val="0"/>
        <w:spacing w:before="0" w:after="240"/>
        <w:ind w:left="0" w:right="0" w:firstLine="360"/>
        <w:jc w:val="left"/>
        <w:rPr>
          <w:shd w:fill="FFFFFF" w:val="clear"/>
        </w:rPr>
      </w:pPr>
      <w:r>
        <w:rPr>
          <w:shd w:fill="FFFFFF" w:val="clear"/>
        </w:rPr>
        <w:t>​</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val="false"/>
          <w:sz w:val="20"/>
          <w:shd w:fill="FFFFFF" w:val="clear"/>
        </w:rPr>
        <w:t>The Company recorded inventory write-downs totaling $0</w:t>
      </w:r>
      <w:r>
        <w:rPr>
          <w:rFonts w:ascii="Times New Roman;Times;serif" w:hAnsi="Times New Roman;Times;serif"/>
          <w:b/>
          <w:sz w:val="20"/>
          <w:shd w:fill="FFFFFF" w:val="clear"/>
        </w:rPr>
        <w:t xml:space="preserve"> </w:t>
      </w:r>
      <w:r>
        <w:rPr>
          <w:rFonts w:ascii="Times New Roman;Times;serif" w:hAnsi="Times New Roman;Times;serif"/>
          <w:b w:val="false"/>
          <w:sz w:val="20"/>
          <w:shd w:fill="FFFFFF" w:val="clear"/>
        </w:rPr>
        <w:t>and $265</w:t>
      </w:r>
      <w:r>
        <w:rPr>
          <w:rFonts w:ascii="Times New Roman;Times;serif" w:hAnsi="Times New Roman;Times;serif"/>
          <w:b/>
          <w:sz w:val="20"/>
          <w:shd w:fill="FFFFFF" w:val="clear"/>
        </w:rPr>
        <w:t xml:space="preserve"> </w:t>
      </w:r>
      <w:r>
        <w:rPr>
          <w:rFonts w:ascii="Times New Roman;Times;serif" w:hAnsi="Times New Roman;Times;serif"/>
          <w:b w:val="false"/>
          <w:sz w:val="20"/>
          <w:shd w:fill="FFFFFF" w:val="clear"/>
        </w:rPr>
        <w:t>for the three and six months ended June 30, 2026, respectively. The Company recorded inventory write-downs of $95</w:t>
      </w:r>
      <w:r>
        <w:rPr>
          <w:rFonts w:ascii="Times New Roman;Times;serif" w:hAnsi="Times New Roman;Times;serif"/>
          <w:b/>
          <w:sz w:val="20"/>
          <w:shd w:fill="FFFFFF" w:val="clear"/>
        </w:rPr>
        <w:t xml:space="preserve"> </w:t>
      </w:r>
      <w:r>
        <w:rPr>
          <w:rFonts w:ascii="Times New Roman;Times;serif" w:hAnsi="Times New Roman;Times;serif"/>
          <w:b w:val="false"/>
          <w:sz w:val="20"/>
          <w:shd w:fill="FFFFFF" w:val="clear"/>
        </w:rPr>
        <w:t xml:space="preserve">for the three and six months ended June 30, 2025. </w:t>
      </w:r>
    </w:p>
    <w:p>
      <w:pPr>
        <w:pStyle w:val="TextBody"/>
        <w:bidi w:val="0"/>
        <w:spacing w:before="0" w:after="200"/>
        <w:ind w:left="0" w:right="0" w:hanging="0"/>
        <w:jc w:val="left"/>
        <w:rPr>
          <w:rFonts w:ascii="Times New Roman;Times;serif" w:hAnsi="Times New Roman;Times;serif"/>
          <w:b/>
          <w:sz w:val="20"/>
        </w:rPr>
      </w:pPr>
      <w:bookmarkStart w:id="589" w:name="Tc_rDLBWuqtcEy2nYZrzXBP5g_9_5"/>
      <w:bookmarkStart w:id="590" w:name="Tc_1ETciR1xQkq8wvT3t3Hw6Q_9_2"/>
      <w:bookmarkStart w:id="591" w:name="Tc_OK9e2t5FyESTlXySQwsHAg_9_0"/>
      <w:bookmarkStart w:id="592" w:name="Tc_zcqEvayxHUye9M56U5Ck0Q_8_0"/>
      <w:bookmarkStart w:id="593" w:name="Tc_KyRGrmsLo0SfxGm7e274zg_7_5"/>
      <w:bookmarkStart w:id="594" w:name="Tc_tDAgceILK023JrLJ9A0z4Q_7_2"/>
      <w:bookmarkStart w:id="595" w:name="Tc_3_JhkLDqU0CIbO-VDYHS1Q_7_0"/>
      <w:bookmarkStart w:id="596" w:name="Tc_6P1O_QGaOkq0DCBvVH90rg_6_0"/>
      <w:bookmarkStart w:id="597" w:name="Tc_BvPPzwEQlEuAHvLCMm8Chg_5_0"/>
      <w:bookmarkStart w:id="598" w:name="Tc_ikYDuOJ0dE2ZuI8O_UmhDw_4_5"/>
      <w:bookmarkStart w:id="599" w:name="Tc_2KJGdOAzjUyTHzNsO4l0cQ_4_2"/>
      <w:bookmarkStart w:id="600" w:name="Tc_IX3To6yz9EKIPq3XyqLXSg_4_0"/>
      <w:bookmarkStart w:id="601" w:name="Tc_wJOUk_Jcsk6wJDVe7gVAeg_2_5"/>
      <w:bookmarkStart w:id="602" w:name="Tc_6RVYVw2i7E2_cgNNut2IlA_2_2"/>
      <w:bookmarkStart w:id="603" w:name="Tc_BOgGjvRXLEq1vgVfq6QadQ_1_5"/>
      <w:bookmarkStart w:id="604" w:name="Tc_0tW3PUWd9kezxVpPjvmWpg_1_2"/>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r>
        <w:rPr>
          <w:rFonts w:ascii="Times New Roman;Times;serif" w:hAnsi="Times New Roman;Times;serif"/>
          <w:b/>
          <w:sz w:val="20"/>
        </w:rPr>
        <w:t>Note 6. Property and Equipment, Net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Property and equipment, net consists of the following:</w:t>
      </w:r>
    </w:p>
    <w:p>
      <w:pPr>
        <w:pStyle w:val="TextBody"/>
        <w:bidi w:val="0"/>
        <w:spacing w:before="0" w:after="0"/>
        <w:ind w:left="0" w:right="0" w:hanging="0"/>
        <w:jc w:val="left"/>
        <w:rPr/>
      </w:pPr>
      <w:r>
        <w:rPr/>
        <w:t>​</w:t>
      </w:r>
    </w:p>
    <w:tbl>
      <w:tblPr>
        <w:tblW w:w="5675" w:type="dxa"/>
        <w:jc w:val="left"/>
        <w:tblInd w:w="0" w:type="dxa"/>
        <w:tblLayout w:type="fixed"/>
        <w:tblCellMar>
          <w:top w:w="0" w:type="dxa"/>
          <w:left w:w="0" w:type="dxa"/>
          <w:bottom w:w="0" w:type="dxa"/>
          <w:right w:w="0" w:type="dxa"/>
        </w:tblCellMar>
      </w:tblPr>
      <w:tblGrid>
        <w:gridCol w:w="2896"/>
        <w:gridCol w:w="346"/>
        <w:gridCol w:w="211"/>
        <w:gridCol w:w="691"/>
        <w:gridCol w:w="346"/>
        <w:gridCol w:w="281"/>
        <w:gridCol w:w="904"/>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838960" cy="175260"/>
                      <wp:effectExtent l="0" t="0" r="0" b="0"/>
                      <wp:wrapNone/>
                      <wp:docPr id="53" name="Frame53"/>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5"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38785" cy="175260"/>
                      <wp:effectExtent l="0" t="0" r="0" b="0"/>
                      <wp:wrapNone/>
                      <wp:docPr id="56" name="Frame5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78435" cy="175260"/>
                      <wp:effectExtent l="0" t="0" r="0" b="0"/>
                      <wp:wrapNone/>
                      <wp:docPr id="58" name="Frame58"/>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74040" cy="175260"/>
                      <wp:effectExtent l="0" t="0" r="0" b="0"/>
                      <wp:wrapNone/>
                      <wp:docPr id="59" name="Frame59"/>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center"/>
              <w:rPr/>
            </w:pPr>
            <w:r>
              <w:rPr/>
              <w:t>​</w:t>
            </w:r>
          </w:p>
        </w:tc>
        <w:tc>
          <w:tcPr>
            <w:tcW w:w="904" w:type="dxa"/>
            <w:tcBorders/>
            <w:vAlign w:val="center"/>
          </w:tcPr>
          <w:p>
            <w:pPr>
              <w:pStyle w:val="TableContents"/>
              <w:bidi w:val="0"/>
              <w:spacing w:before="0" w:after="1"/>
              <w:ind w:left="0" w:right="0" w:hanging="0"/>
              <w:jc w:val="center"/>
              <w:rPr/>
            </w:pPr>
            <w:r>
              <w:rPr/>
              <w:t>​</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Computers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1,977</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1,977</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(1,878)</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(1,802)</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vAlign w:val="center"/>
          </w:tcPr>
          <w:p>
            <w:pPr>
              <w:pStyle w:val="TableContents"/>
              <w:bidi w:val="0"/>
              <w:spacing w:before="0" w:after="1"/>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175</w:t>
            </w:r>
          </w:p>
        </w:tc>
      </w:tr>
    </w:tbl>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Depreciation expense was $18 and $75 for the three months ended June 30, 2026 and 2025, respectively, and $76 and $151 for the six months ended June 30, 2026 and 2025, respectively.</w:t>
      </w:r>
    </w:p>
    <w:p>
      <w:pPr>
        <w:pStyle w:val="TextBody"/>
        <w:bidi w:val="0"/>
        <w:spacing w:before="0" w:after="240"/>
        <w:ind w:left="0" w:right="0" w:firstLine="360"/>
        <w:jc w:val="left"/>
        <w:rPr/>
      </w:pPr>
      <w:r>
        <w:rPr/>
        <w:t>​</w:t>
      </w:r>
    </w:p>
    <w:p>
      <w:pPr>
        <w:pStyle w:val="TextBody"/>
        <w:bidi w:val="0"/>
        <w:spacing w:before="0" w:after="200"/>
        <w:ind w:left="0" w:right="0" w:hanging="0"/>
        <w:jc w:val="left"/>
        <w:rPr>
          <w:rFonts w:ascii="Times New Roman;Times;serif" w:hAnsi="Times New Roman;Times;serif"/>
          <w:b/>
          <w:sz w:val="20"/>
        </w:rPr>
      </w:pPr>
      <w:bookmarkStart w:id="605" w:name="Tc_jH13osJkQE-tqcWutihMuQ_8_5"/>
      <w:bookmarkStart w:id="606" w:name="Tc__s0rqp4PI0mzbke7skFSvw_8_2"/>
      <w:bookmarkStart w:id="607" w:name="Tc_Cf8E1ZXiAkeVjZouum453A_8_0"/>
      <w:bookmarkStart w:id="608" w:name="Tc_YEz0YaTJzUqw2ZvrgT2HwA_7_0"/>
      <w:bookmarkStart w:id="609" w:name="Tc_z6Shah6OD0qGDqYWZrvsZg_6_0"/>
      <w:bookmarkStart w:id="610" w:name="Tc_sFUAezxe4EikHjc5np7yFg_5_0"/>
      <w:bookmarkStart w:id="611" w:name="Tc_Jp8ElL2RxkSJPduXI2N4dA_4_0"/>
      <w:bookmarkStart w:id="612" w:name="Tc_kGerMMPJdkOVdbxzt-li0w_3_5"/>
      <w:bookmarkStart w:id="613" w:name="Tc_r_rP8DsynkOC9ACCVgMbsA_3_2"/>
      <w:bookmarkStart w:id="614" w:name="Tc_vwvMctURP0eaa1OJdv-dGQ_3_0"/>
      <w:bookmarkStart w:id="615" w:name="Tc_gJXFHmIMe0GI48VfyzC9Gw_1_5"/>
      <w:bookmarkStart w:id="616" w:name="Tc_z_a0nxq1U0qSUBQyJOLzLA_1_2"/>
      <w:bookmarkEnd w:id="605"/>
      <w:bookmarkEnd w:id="606"/>
      <w:bookmarkEnd w:id="607"/>
      <w:bookmarkEnd w:id="608"/>
      <w:bookmarkEnd w:id="609"/>
      <w:bookmarkEnd w:id="610"/>
      <w:bookmarkEnd w:id="611"/>
      <w:bookmarkEnd w:id="612"/>
      <w:bookmarkEnd w:id="613"/>
      <w:bookmarkEnd w:id="614"/>
      <w:bookmarkEnd w:id="615"/>
      <w:bookmarkEnd w:id="616"/>
      <w:r>
        <w:rPr>
          <w:rFonts w:ascii="Times New Roman;Times;serif" w:hAnsi="Times New Roman;Times;serif"/>
          <w:b/>
          <w:sz w:val="20"/>
        </w:rPr>
        <w:t>Note 7. Accrued Expenses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Accrued expenses consist of the following:</w:t>
      </w:r>
    </w:p>
    <w:p>
      <w:pPr>
        <w:pStyle w:val="TextBody"/>
        <w:bidi w:val="0"/>
        <w:spacing w:before="0" w:after="0"/>
        <w:ind w:left="0" w:right="0" w:hanging="0"/>
        <w:jc w:val="left"/>
        <w:rPr/>
      </w:pPr>
      <w:r>
        <w:rPr/>
        <w:t>​</w:t>
      </w:r>
    </w:p>
    <w:tbl>
      <w:tblPr>
        <w:tblW w:w="7100" w:type="dxa"/>
        <w:jc w:val="left"/>
        <w:tblInd w:w="0" w:type="dxa"/>
        <w:tblLayout w:type="fixed"/>
        <w:tblCellMar>
          <w:top w:w="0" w:type="dxa"/>
          <w:left w:w="0" w:type="dxa"/>
          <w:bottom w:w="0" w:type="dxa"/>
          <w:right w:w="0" w:type="dxa"/>
        </w:tblCellMar>
      </w:tblPr>
      <w:tblGrid>
        <w:gridCol w:w="3736"/>
        <w:gridCol w:w="346"/>
        <w:gridCol w:w="303"/>
        <w:gridCol w:w="823"/>
        <w:gridCol w:w="346"/>
        <w:gridCol w:w="363"/>
        <w:gridCol w:w="1183"/>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372360" cy="175260"/>
                      <wp:effectExtent l="0" t="0" r="0" b="0"/>
                      <wp:wrapNone/>
                      <wp:docPr id="60" name="Frame60"/>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92405" cy="175260"/>
                      <wp:effectExtent l="0" t="0" r="0" b="0"/>
                      <wp:wrapNone/>
                      <wp:docPr id="62" name="Frame62"/>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22605" cy="175260"/>
                      <wp:effectExtent l="0" t="0" r="0" b="0"/>
                      <wp:wrapNone/>
                      <wp:docPr id="63" name="Frame63"/>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30505" cy="175260"/>
                      <wp:effectExtent l="0" t="0" r="0" b="0"/>
                      <wp:wrapNone/>
                      <wp:docPr id="65" name="Frame65"/>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751205" cy="175260"/>
                      <wp:effectExtent l="0" t="0" r="0" b="0"/>
                      <wp:wrapNone/>
                      <wp:docPr id="66" name="Frame66"/>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2,546</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benefits</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taxes</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expenses</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3,921</w:t>
            </w:r>
          </w:p>
        </w:tc>
        <w:tc>
          <w:tcPr>
            <w:tcW w:w="346" w:type="dxa"/>
            <w:tcBorders/>
            <w:vAlign w:val="center"/>
          </w:tcPr>
          <w:p>
            <w:pPr>
              <w:pStyle w:val="TableContents"/>
              <w:bidi w:val="0"/>
              <w:spacing w:before="0" w:after="0"/>
              <w:ind w:left="0" w:right="0" w:hanging="0"/>
              <w:jc w:val="left"/>
              <w:rPr/>
            </w:pPr>
            <w:r>
              <w:rPr/>
              <w:t>​</w:t>
            </w:r>
          </w:p>
        </w:tc>
        <w:tc>
          <w:tcPr>
            <w:tcW w:w="3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4,341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617" w:name="Tc_LWrEro5I-U-cIsHUcceBjw_6_11"/>
      <w:bookmarkStart w:id="618" w:name="Tc_0srME260vEiKJJbvfpjxQA_6_8"/>
      <w:bookmarkStart w:id="619" w:name="Tc_P1ivuUOO30G-JNSr_axW_Q_6_5"/>
      <w:bookmarkStart w:id="620" w:name="Tc_sMjiWV5PV0qwadEKL9zvrA_6_2"/>
      <w:bookmarkStart w:id="621" w:name="Tc_dc19Pn7IdUiUOrscxXXLsw_6_0"/>
      <w:bookmarkStart w:id="622" w:name="Tc_CH7VOYOGc0SKT53sxUiVnw_5_0"/>
      <w:bookmarkStart w:id="623" w:name="Tc_StdWOg0Ha0yW4WSoq_V4rA_4_11"/>
      <w:bookmarkStart w:id="624" w:name="Tc_EpLrSwOBbkukIEQ5PtI79g_4_8"/>
      <w:bookmarkStart w:id="625" w:name="Tc_mo0KfZHe0UW1vit-2XY_Wg_4_5"/>
      <w:bookmarkStart w:id="626" w:name="Tc__wNekKHaJEeDEyR1agjyQQ_4_2"/>
      <w:bookmarkStart w:id="627" w:name="Tc_MOl8UEAfl0-4GRmSdAsdbg_4_0"/>
      <w:bookmarkStart w:id="628" w:name="Tc_yIwvoMpO5kOj-7MtmeVHyA_2_11"/>
      <w:bookmarkStart w:id="629" w:name="Tc_RQkxwNdQhkKQS7ApyfjCBw_2_8"/>
      <w:bookmarkStart w:id="630" w:name="Tc_WcxVOSnWRESz1YelTymHJw_2_5"/>
      <w:bookmarkStart w:id="631" w:name="Tc_RqJCJWnMKU27HdvkBdu7LA_2_2"/>
      <w:bookmarkStart w:id="632" w:name="Tc_WiuvtKkLY0C2MMe7pRc8Bw_1_8"/>
      <w:bookmarkStart w:id="633" w:name="Tc_vx1V1YeMtEGaIMuNbJa2Vw_1_2"/>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r>
        <w:rPr>
          <w:rFonts w:ascii="Times New Roman;Times;serif" w:hAnsi="Times New Roman;Times;serif"/>
          <w:b/>
          <w:sz w:val="20"/>
        </w:rPr>
        <w:t>Note 8. Transactions with BioXcel LLC</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entered into a Separation and Shared Services Agreement with BioXcel LLC that took effect on June 30, 2017, as amended and restated thereafter (the “Services Agreement”), pursuant to which BioXcel LLC has agreed to provide the Company with certain intellectual property prosecution and management and research and development activities.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Under the Services Agreement, the Company had an option to enter into a separate collaborative services agreement with BioXcel LLC pursuant to which BioXcel LLC shall perform product identification and related services for us utilizing its EvolverAI. The Company agreed to pay BioXcel LLC $18 per month from March 13, 2023 to December 31, 2024 in exchange for this option. This option expired without being exercised. However, BioXcel LLC continues to perform certain administrative services under the terms of the original contract. We agreed to negotiate any such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$10,000 in the aggregate and not be payable prior to proof of concept in humans and (ii) commercialization milestone payments shall be based on reaching annual net sales levels, be limited to 3% of the applicable net sales level, and not exceed $30,000 in the aggregate. The Company did not exercise its option to renew the agreement for product identification and related services utilizing BioXcel LLC’s EvolverAI. Subsequent to December 31, 2024 no development activity has been carried out by BioXcel LLC and none is contemplated.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Service charges recorded under the Services Agreement for the three and six months ended June 30, 2026 and 2025, respectively were as follows:</w:t>
      </w:r>
    </w:p>
    <w:p>
      <w:pPr>
        <w:pStyle w:val="TextBody"/>
        <w:bidi w:val="0"/>
        <w:spacing w:before="0" w:after="0"/>
        <w:ind w:left="0" w:right="0" w:hanging="0"/>
        <w:jc w:val="left"/>
        <w:rPr/>
      </w:pPr>
      <w:r>
        <w:rPr/>
        <w:t>​</w:t>
      </w:r>
    </w:p>
    <w:tbl>
      <w:tblPr>
        <w:tblW w:w="7789" w:type="dxa"/>
        <w:jc w:val="left"/>
        <w:tblInd w:w="0" w:type="dxa"/>
        <w:tblLayout w:type="fixed"/>
        <w:tblCellMar>
          <w:top w:w="0" w:type="dxa"/>
          <w:left w:w="0" w:type="dxa"/>
          <w:bottom w:w="0" w:type="dxa"/>
          <w:right w:w="0" w:type="dxa"/>
        </w:tblCellMar>
      </w:tblPr>
      <w:tblGrid>
        <w:gridCol w:w="2956"/>
        <w:gridCol w:w="346"/>
        <w:gridCol w:w="348"/>
        <w:gridCol w:w="694"/>
        <w:gridCol w:w="179"/>
        <w:gridCol w:w="348"/>
        <w:gridCol w:w="694"/>
        <w:gridCol w:w="109"/>
        <w:gridCol w:w="300"/>
        <w:gridCol w:w="598"/>
        <w:gridCol w:w="155"/>
        <w:gridCol w:w="300"/>
        <w:gridCol w:w="762"/>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877060" cy="175260"/>
                      <wp:effectExtent l="0" t="0" r="0" b="0"/>
                      <wp:wrapNone/>
                      <wp:docPr id="67" name="Frame67"/>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20980" cy="175260"/>
                      <wp:effectExtent l="0" t="0" r="0" b="0"/>
                      <wp:wrapNone/>
                      <wp:docPr id="69" name="Frame69"/>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40690" cy="175260"/>
                      <wp:effectExtent l="0" t="0" r="0" b="0"/>
                      <wp:wrapNone/>
                      <wp:docPr id="70" name="Frame70"/>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13665" cy="175260"/>
                      <wp:effectExtent l="0" t="0" r="0" b="0"/>
                      <wp:wrapNone/>
                      <wp:docPr id="71" name="Frame71"/>
                      <a:graphic xmlns:a="http://schemas.openxmlformats.org/drawingml/2006/main">
                        <a:graphicData uri="http://schemas.microsoft.com/office/word/2010/wordprocessingShape">
                          <wps:wsp>
                            <wps:cNvSpPr txBox="1"/>
                            <wps:spPr>
                              <a:xfrm>
                                <a:off x="0" y="0"/>
                                <a:ext cx="113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20980" cy="175260"/>
                      <wp:effectExtent l="0" t="0" r="0" b="0"/>
                      <wp:wrapNone/>
                      <wp:docPr id="72" name="Frame72"/>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40690" cy="175260"/>
                      <wp:effectExtent l="0" t="0" r="0" b="0"/>
                      <wp:wrapNone/>
                      <wp:docPr id="73" name="Frame73"/>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215" cy="175260"/>
                      <wp:effectExtent l="0" t="0" r="0" b="0"/>
                      <wp:wrapNone/>
                      <wp:docPr id="74" name="Frame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90500" cy="175260"/>
                      <wp:effectExtent l="0" t="0" r="0" b="0"/>
                      <wp:wrapNone/>
                      <wp:docPr id="75" name="Frame75"/>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79730" cy="175260"/>
                      <wp:effectExtent l="0" t="0" r="0" b="0"/>
                      <wp:wrapNone/>
                      <wp:docPr id="76" name="Frame76"/>
                      <a:graphic xmlns:a="http://schemas.openxmlformats.org/drawingml/2006/main">
                        <a:graphicData uri="http://schemas.microsoft.com/office/word/2010/wordprocessingShape">
                          <wps:wsp>
                            <wps:cNvSpPr txBox="1"/>
                            <wps:spPr>
                              <a:xfrm>
                                <a:off x="0" y="0"/>
                                <a:ext cx="379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98425" cy="175260"/>
                      <wp:effectExtent l="0" t="0" r="0" b="0"/>
                      <wp:wrapNone/>
                      <wp:docPr id="77" name="Frame77"/>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90500" cy="175260"/>
                      <wp:effectExtent l="0" t="0" r="0" b="0"/>
                      <wp:wrapNone/>
                      <wp:docPr id="78" name="Frame78"/>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83870" cy="175260"/>
                      <wp:effectExtent l="0" t="0" r="0" b="0"/>
                      <wp:wrapNone/>
                      <wp:docPr id="79" name="Frame79"/>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1"/>
              <w:ind w:left="0" w:right="0" w:hanging="0"/>
              <w:jc w:val="left"/>
              <w:rPr>
                <w:color w:val="0563C1"/>
              </w:rPr>
            </w:pPr>
            <w:r>
              <w:rPr>
                <w:color w:val="0563C1"/>
              </w:rPr>
              <w:t>​</w:t>
            </w:r>
          </w:p>
        </w:tc>
        <w:tc>
          <w:tcPr>
            <w:tcW w:w="346" w:type="dxa"/>
            <w:tcBorders/>
            <w:vAlign w:val="center"/>
          </w:tcPr>
          <w:p>
            <w:pPr>
              <w:pStyle w:val="TableContents"/>
              <w:bidi w:val="0"/>
              <w:spacing w:before="0" w:after="1"/>
              <w:ind w:left="0" w:right="0" w:hanging="0"/>
              <w:jc w:val="left"/>
              <w:rPr/>
            </w:pPr>
            <w:r>
              <w:rPr/>
              <w:t>​</w:t>
            </w:r>
          </w:p>
        </w:tc>
        <w:tc>
          <w:tcPr>
            <w:tcW w:w="22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left"/>
              <w:rPr/>
            </w:pPr>
            <w:r>
              <w:rPr/>
              <w:t>​</w:t>
            </w:r>
          </w:p>
        </w:tc>
        <w:tc>
          <w:tcPr>
            <w:tcW w:w="21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79" w:type="dxa"/>
            <w:tcBorders/>
            <w:vAlign w:val="center"/>
          </w:tcPr>
          <w:p>
            <w:pPr>
              <w:pStyle w:val="TableContents"/>
              <w:bidi w:val="0"/>
              <w:spacing w:before="0" w:after="1"/>
              <w:ind w:left="0" w:right="0" w:hanging="0"/>
              <w:jc w:val="center"/>
              <w:rPr/>
            </w:pPr>
            <w:r>
              <w:rPr/>
              <w:t>​</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8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5" w:type="dxa"/>
            <w:tcBorders/>
            <w:vAlign w:val="center"/>
          </w:tcPr>
          <w:p>
            <w:pPr>
              <w:pStyle w:val="TableContents"/>
              <w:bidi w:val="0"/>
              <w:spacing w:before="0" w:after="1"/>
              <w:ind w:left="0" w:right="0" w:hanging="0"/>
              <w:jc w:val="center"/>
              <w:rPr/>
            </w:pPr>
            <w:r>
              <w:rPr/>
              <w:t>​</w:t>
            </w:r>
          </w:p>
        </w:tc>
        <w:tc>
          <w:tcPr>
            <w:tcW w:w="10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8"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center"/>
              <w:rPr/>
            </w:pPr>
            <w:r>
              <w:rPr/>
              <w:t>​</w:t>
            </w:r>
          </w:p>
        </w:tc>
        <w:tc>
          <w:tcPr>
            <w:tcW w:w="179" w:type="dxa"/>
            <w:tcBorders/>
            <w:vAlign w:val="center"/>
          </w:tcPr>
          <w:p>
            <w:pPr>
              <w:pStyle w:val="TableContents"/>
              <w:bidi w:val="0"/>
              <w:spacing w:before="0" w:after="1"/>
              <w:ind w:left="0" w:right="0" w:hanging="0"/>
              <w:jc w:val="center"/>
              <w:rPr/>
            </w:pPr>
            <w:r>
              <w:rPr/>
              <w:t>​</w:t>
            </w:r>
          </w:p>
        </w:tc>
        <w:tc>
          <w:tcPr>
            <w:tcW w:w="348"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w:t>
            </w:r>
          </w:p>
        </w:tc>
        <w:tc>
          <w:tcPr>
            <w:tcW w:w="598" w:type="dxa"/>
            <w:tcBorders/>
            <w:vAlign w:val="center"/>
          </w:tcPr>
          <w:p>
            <w:pPr>
              <w:pStyle w:val="TableContents"/>
              <w:bidi w:val="0"/>
              <w:spacing w:before="0" w:after="1"/>
              <w:ind w:left="0" w:right="0" w:hanging="0"/>
              <w:jc w:val="center"/>
              <w:rPr/>
            </w:pPr>
            <w:r>
              <w:rPr/>
              <w:t>​</w:t>
            </w:r>
          </w:p>
        </w:tc>
        <w:tc>
          <w:tcPr>
            <w:tcW w:w="155" w:type="dxa"/>
            <w:tcBorders/>
            <w:vAlign w:val="center"/>
          </w:tcPr>
          <w:p>
            <w:pPr>
              <w:pStyle w:val="TableContents"/>
              <w:bidi w:val="0"/>
              <w:spacing w:before="0" w:after="1"/>
              <w:ind w:left="0" w:right="0" w:hanging="0"/>
              <w:jc w:val="center"/>
              <w:rPr/>
            </w:pPr>
            <w:r>
              <w:rPr/>
              <w:t>​</w:t>
            </w:r>
          </w:p>
        </w:tc>
        <w:tc>
          <w:tcPr>
            <w:tcW w:w="300" w:type="dxa"/>
            <w:tcBorders/>
            <w:vAlign w:val="center"/>
          </w:tcPr>
          <w:p>
            <w:pPr>
              <w:pStyle w:val="TableContents"/>
              <w:bidi w:val="0"/>
              <w:spacing w:before="0" w:after="1"/>
              <w:ind w:left="0" w:right="0" w:hanging="0"/>
              <w:jc w:val="left"/>
              <w:rPr/>
            </w:pPr>
            <w:r>
              <w:rPr/>
              <w:t>​</w:t>
            </w:r>
          </w:p>
        </w:tc>
        <w:tc>
          <w:tcPr>
            <w:tcW w:w="762" w:type="dxa"/>
            <w:tcBorders/>
            <w:vAlign w:val="center"/>
          </w:tcPr>
          <w:p>
            <w:pPr>
              <w:pStyle w:val="TableContents"/>
              <w:bidi w:val="0"/>
              <w:spacing w:before="0" w:after="1"/>
              <w:ind w:left="0" w:right="0" w:hanging="0"/>
              <w:jc w:val="center"/>
              <w:rPr/>
            </w:pPr>
            <w:r>
              <w:rPr/>
              <w:t>​</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346" w:type="dxa"/>
            <w:tcBorders/>
            <w:shd w:fill="CCEEFF" w:val="clear"/>
            <w:vAlign w:val="center"/>
          </w:tcPr>
          <w:p>
            <w:pPr>
              <w:pStyle w:val="TableContents"/>
              <w:bidi w:val="0"/>
              <w:spacing w:before="0" w:after="1"/>
              <w:ind w:left="0" w:right="0" w:hanging="0"/>
              <w:jc w:val="left"/>
              <w:rPr/>
            </w:pPr>
            <w:r>
              <w:rPr/>
              <w:t>  ​ ​ ​</w:t>
            </w:r>
          </w:p>
        </w:tc>
        <w:tc>
          <w:tcPr>
            <w:tcW w:w="3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179" w:type="dxa"/>
            <w:tcBorders/>
            <w:shd w:fill="CCEEFF" w:val="clear"/>
            <w:vAlign w:val="center"/>
          </w:tcPr>
          <w:p>
            <w:pPr>
              <w:pStyle w:val="TableContents"/>
              <w:bidi w:val="0"/>
              <w:spacing w:before="0" w:after="1"/>
              <w:ind w:left="0" w:right="0" w:hanging="0"/>
              <w:jc w:val="left"/>
              <w:rPr/>
            </w:pPr>
            <w:r>
              <w:rPr/>
              <w:t>​</w:t>
            </w:r>
          </w:p>
        </w:tc>
        <w:tc>
          <w:tcPr>
            <w:tcW w:w="3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109"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155"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1"/>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179" w:type="dxa"/>
            <w:tcBorders/>
            <w:vAlign w:val="center"/>
          </w:tcPr>
          <w:p>
            <w:pPr>
              <w:pStyle w:val="TableContents"/>
              <w:bidi w:val="0"/>
              <w:spacing w:before="0" w:after="1"/>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vAlign w:val="center"/>
          </w:tcPr>
          <w:p>
            <w:pPr>
              <w:pStyle w:val="TableContents"/>
              <w:bidi w:val="0"/>
              <w:spacing w:before="0" w:after="1"/>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155" w:type="dxa"/>
            <w:tcBorders/>
            <w:vAlign w:val="center"/>
          </w:tcPr>
          <w:p>
            <w:pPr>
              <w:pStyle w:val="TableContents"/>
              <w:bidi w:val="0"/>
              <w:spacing w:before="0" w:after="1"/>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179" w:type="dxa"/>
            <w:tcBorders/>
            <w:shd w:fill="CCEEFF" w:val="clear"/>
            <w:vAlign w:val="center"/>
          </w:tcPr>
          <w:p>
            <w:pPr>
              <w:pStyle w:val="TableContents"/>
              <w:bidi w:val="0"/>
              <w:spacing w:before="0" w:after="1"/>
              <w:ind w:left="0" w:right="0" w:hanging="0"/>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109" w:type="dxa"/>
            <w:tcBorders/>
            <w:shd w:fill="CCEEFF" w:val="clear"/>
            <w:vAlign w:val="center"/>
          </w:tcPr>
          <w:p>
            <w:pPr>
              <w:pStyle w:val="TableContents"/>
              <w:bidi w:val="0"/>
              <w:spacing w:before="0" w:after="1"/>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155" w:type="dxa"/>
            <w:tcBorders/>
            <w:shd w:fill="CCEEFF" w:val="clear"/>
            <w:vAlign w:val="center"/>
          </w:tcPr>
          <w:p>
            <w:pPr>
              <w:pStyle w:val="TableContents"/>
              <w:bidi w:val="0"/>
              <w:spacing w:before="0" w:after="1"/>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349</w:t>
            </w:r>
          </w:p>
        </w:tc>
      </w:tr>
    </w:tbl>
    <w:p>
      <w:pPr>
        <w:pStyle w:val="TextBody"/>
        <w:bidi w:val="0"/>
        <w:spacing w:before="0" w:after="24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of June 30, 2026, there were no outstanding service charges related to the Services Agreement included in Due to related parties in the Company’s Condensed Consolidated Balance Sheets.</w:t>
      </w:r>
    </w:p>
    <w:p>
      <w:pPr>
        <w:pStyle w:val="TextBody"/>
        <w:bidi w:val="0"/>
        <w:spacing w:before="0" w:after="200"/>
        <w:ind w:left="0" w:right="0" w:hanging="0"/>
        <w:jc w:val="left"/>
        <w:rPr>
          <w:rFonts w:ascii="Times New Roman;Times;serif" w:hAnsi="Times New Roman;Times;serif"/>
          <w:b/>
          <w:sz w:val="20"/>
        </w:rPr>
      </w:pPr>
      <w:bookmarkStart w:id="634" w:name="Tc_tw4kEtc0nU-utBZAAS8MWg_9_5"/>
      <w:bookmarkStart w:id="635" w:name="Tc_OXinzyoyzkOV1GdiAkhWjA_9_2"/>
      <w:bookmarkStart w:id="636" w:name="Tc_6cyu_sv9VEeu4tTWqgEcnw_9_0"/>
      <w:bookmarkStart w:id="637" w:name="Tc_grTqUujNh0uOetB4LDpETw_8_0"/>
      <w:bookmarkStart w:id="638" w:name="Tc_iu2G6duwRkW6v8wzQT5mNA_7_5"/>
      <w:bookmarkStart w:id="639" w:name="Tc_OyvNl37r9UmQe25RpEURIQ_7_2"/>
      <w:bookmarkStart w:id="640" w:name="Tc_HQ_-bT7hUU6rKwLUbWrUVQ_7_0"/>
      <w:bookmarkStart w:id="641" w:name="Tc_Ze8I1y8KUkOVX2VAJLf2zA_6_0"/>
      <w:bookmarkStart w:id="642" w:name="Tc_w5VDlIYGD0q5ksN4PqzEgQ_5_5"/>
      <w:bookmarkStart w:id="643" w:name="Tc_cMrKd_tpk0aKaMq44Df8fA_5_2"/>
      <w:bookmarkStart w:id="644" w:name="Tc_HWNwdek9s0qozhUmXM-peQ_5_0"/>
      <w:bookmarkStart w:id="645" w:name="Tc_UU5OOuBwDkKAPmkpWGZ4kA_4_0"/>
      <w:bookmarkStart w:id="646" w:name="Tc_PFszADXaTUegwoFTb_upog_3_5"/>
      <w:bookmarkStart w:id="647" w:name="Tc_zExa1LL_BEq2TxPz8e4STA_3_2"/>
      <w:bookmarkStart w:id="648" w:name="Tc_uq6vDVP1-0KWe-wTFWm76g_3_0"/>
      <w:bookmarkStart w:id="649" w:name="Tc_-Mei-DRUbUKxHpLK3ej6CQ_1_5"/>
      <w:bookmarkStart w:id="650" w:name="Tc_5y4Mov9BbkayhckH8PgDhA_1_2"/>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r>
        <w:rPr>
          <w:rFonts w:ascii="Times New Roman;Times;serif" w:hAnsi="Times New Roman;Times;serif"/>
          <w:b/>
          <w:sz w:val="20"/>
        </w:rPr>
        <w:t>Note 9. Debt and Credit Facilities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Debt, net of unamortized discounts and financing costs, consists of the following:</w:t>
      </w:r>
    </w:p>
    <w:p>
      <w:pPr>
        <w:pStyle w:val="TextBody"/>
        <w:bidi w:val="0"/>
        <w:spacing w:before="0" w:after="0"/>
        <w:ind w:left="0" w:right="0" w:hanging="0"/>
        <w:jc w:val="left"/>
        <w:rPr/>
      </w:pPr>
      <w:r>
        <w:rPr/>
        <w:t>​</w:t>
      </w:r>
    </w:p>
    <w:tbl>
      <w:tblPr>
        <w:tblW w:w="7943" w:type="dxa"/>
        <w:jc w:val="left"/>
        <w:tblInd w:w="0" w:type="dxa"/>
        <w:tblLayout w:type="fixed"/>
        <w:tblCellMar>
          <w:top w:w="0" w:type="dxa"/>
          <w:left w:w="0" w:type="dxa"/>
          <w:bottom w:w="0" w:type="dxa"/>
          <w:right w:w="0" w:type="dxa"/>
        </w:tblCellMar>
      </w:tblPr>
      <w:tblGrid>
        <w:gridCol w:w="4816"/>
        <w:gridCol w:w="109"/>
        <w:gridCol w:w="225"/>
        <w:gridCol w:w="901"/>
        <w:gridCol w:w="346"/>
        <w:gridCol w:w="314"/>
        <w:gridCol w:w="1232"/>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058160" cy="175260"/>
                      <wp:effectExtent l="0" t="0" r="0" b="0"/>
                      <wp:wrapNone/>
                      <wp:docPr id="80" name="Frame80"/>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1"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42875" cy="175260"/>
                      <wp:effectExtent l="0" t="0" r="0" b="0"/>
                      <wp:wrapNone/>
                      <wp:docPr id="82" name="Frame82"/>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72135" cy="175260"/>
                      <wp:effectExtent l="0" t="0" r="0" b="0"/>
                      <wp:wrapNone/>
                      <wp:docPr id="83" name="Frame8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99390" cy="175260"/>
                      <wp:effectExtent l="0" t="0" r="0" b="0"/>
                      <wp:wrapNone/>
                      <wp:docPr id="85" name="Frame85"/>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782320" cy="175260"/>
                      <wp:effectExtent l="0" t="0" r="0" b="0"/>
                      <wp:wrapNone/>
                      <wp:docPr id="86" name="Frame86"/>
                      <a:graphic xmlns:a="http://schemas.openxmlformats.org/drawingml/2006/main">
                        <a:graphicData uri="http://schemas.microsoft.com/office/word/2010/wordprocessingShape">
                          <wps:wsp>
                            <wps:cNvSpPr txBox="1"/>
                            <wps:spPr>
                              <a:xfrm>
                                <a:off x="0" y="0"/>
                                <a:ext cx="782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8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Agreement and Guaranty</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93,906</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102,319</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Payable-in-kind ("PIK") interest</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13,246</w:t>
            </w:r>
          </w:p>
        </w:tc>
        <w:tc>
          <w:tcPr>
            <w:tcW w:w="34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9,837</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107,152</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112,156</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debt premiums, discounts and issuance costs</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(2,701)</w:t>
            </w:r>
          </w:p>
        </w:tc>
        <w:tc>
          <w:tcPr>
            <w:tcW w:w="34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(2,562)</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104,451</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109,594</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current portion of debt </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(104,451)</w:t>
            </w:r>
          </w:p>
        </w:tc>
        <w:tc>
          <w:tcPr>
            <w:tcW w:w="34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(24,931)</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84,663</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maintains a senior secured credit facility (the “Credit Agreement”), as amended, with lenders (the “Lenders”) managed by Oaktree Fund Administration LLC (“OFA”), as administrative agent. The Lenders 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comprised of affiliates of Oaktree Capital Management, L.P. The facility provides for term loans that are secured by substantially all of the assets of the Company and its guarantor subsidiaries, subject to customary exceptions.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of June 30, 2026, borrowings under the Credit Agreement consisted of funded term loans, inclusive of previously capitalized interest and net of required principal repayments made to date. The loans are not revolving and no additional tranches remain available, as all undrawn commitments have expired.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term loans bear interest at a fixed annual rate of 13.0%. Interest is payable quarterly in cash. The Company previously had the ability to elect payment-in-kind (“PIK”) interest through June 30, 2025, which resulted in additional amounts being capitalized as principal. Pursuant to the Tenth Amendment to the Credit Agreement (the “Tenth Amendment”), the Company subsequently regained the ability to elect PIK interest only for the second quarter of 2026 and elected such treatment for interest accrued from April 1, 2026 through June 30, 2026, with the related interest amounts capitalized to principal. The blended effective interest rate as of June 30, 2026 was approximately 16.6%.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to interest, the Credit Agreement includes customary fees, including prepayment premiums and amendment-related fees. There are no remaining commitment fees as all undrawn commitments have expired. An exit fee of 0.50% of the principal amount repaid is payable upon maturity or prepayment of the loans. The loans under the Credit Agreement do not amortize and mature on April 19, 2027. The Company may, at its option, no earlier than September 21, 2026 and no later than October 21, 2026, request an extension of the maturity date to April 19, 2028, provided that the Company satisfies certain conditions including receipt of certain regulatory and financial milestones.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Company’s obligations under the Credit Agreement are guaranteed by BTI’s existing and subsequently acquired or organized subsidiaries, subject to certain exceptions. BTI’s obligations under the Credit Agreement and the related guarantees thereunder are secured, subject to customary permitted liens and other agreed upon exceptions, by (i) a pledge of all of the equity interests of all of the Company’s existing and any future direct subsidiaries, and (ii) a perfected security interest in all of its and the guarantors’ tangible and intangible assets (except that the guarantees provided by the BXCL701 Subsidiaries are unsecured).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Credit Agreement contains customary affirmative and negative covenants, including restrictions on additional indebtedness, liens, investments, asset sales, and distributions, and requires the Company to maintain a specified minimum level of cash and cash equivalents under a minimum liquidity covenant. As of June 30, 2026, the Company had satisfied the minimum liquidity requirement of $12,500.</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Credit Agreement includes customary events of default, including payment defaults, covenant breaches, cross-defaults, bankruptcy-related events, and certain regulatory-related events. Upon an event of default, the lenders may accelerate the obligations and exercise remedies against the collateral.</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connection with prior period amendments to the Credit Agreement, the Company issued and modified several warrants as part of its financing arrangements. The “Closing Date Warrants”, originally issued in April 2022, were amended and restated in December 2023 to reduce the exercise price, and the Company concurrently issued additional “2023 Warrants”, with both sets of warrants exercisable at the same price, expiring on April 19, 2029, and subject to net exercise provisions. At the subsidiary level, “OnkosXcel Warrants” were issued to purchase limited liability company units, with a formula-based exercise price contingent on future equity financings or liquidity events and similarly expiring in 2029. Subsequently, in connection with a later amendment, the Company issued “2024 Warrants” with an exercise price based on a premium to recent market prices, which also expire on April 19, 2029 and may be net exercised.</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 xml:space="preserve">2026 Credit Agreement Amendment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March 27, 2026, the Company entered into the Ninth Amendment to Credit Agreement, and by and among the Company, as the borrower, the Lenders and OFA as administrative agent, which included among other things, (i)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651" w:name="Tc_wo9dfJ-QSkq8q2hp4drz5w_7_10"/>
      <w:bookmarkStart w:id="652" w:name="Tc_GCWZGrsqxE6bCsQKA0TOmQ_7_7"/>
      <w:bookmarkStart w:id="653" w:name="Tc_KfeASFfGj02_m0zfgetX0A_7_4"/>
      <w:bookmarkStart w:id="654" w:name="Tc_evxg_eyHK0GCrRnPj2Rt8Q_7_1"/>
      <w:bookmarkStart w:id="655" w:name="Tc_GRvDyOvt-Em7DIT69YI5zg_7_0"/>
      <w:bookmarkStart w:id="656" w:name="Tc_AR8fB_w4iEKyNta7hcs6nA_6_0"/>
      <w:bookmarkStart w:id="657" w:name="Tc_wzy6mWkCuUiDzt1NPinQYQ_5_10"/>
      <w:bookmarkStart w:id="658" w:name="Tc_ytQkT9xMRkOQJy5ySBPK9A_5_7"/>
      <w:bookmarkStart w:id="659" w:name="Tc_TnBWyHjAeEO9fEfbtuPxOQ_5_4"/>
      <w:bookmarkStart w:id="660" w:name="Tc_VjRU1RFQikO5my1WZOoA6g_5_1"/>
      <w:bookmarkStart w:id="661" w:name="Tc_j5saBb9sdk-e2C1rGFdLjw_5_0"/>
      <w:bookmarkStart w:id="662" w:name="Tc_YwXNiouC70-BThZUYDBINw_3_10"/>
      <w:bookmarkStart w:id="663" w:name="Tc_17GUNRXgy0OktF--R6cwCQ_3_7"/>
      <w:bookmarkStart w:id="664" w:name="Tc_n2gPQj5OtkSZ-pIXbw1XYg_3_4"/>
      <w:bookmarkStart w:id="665" w:name="Tc_OiirzRi4YEW67goPl718LQ_3_1"/>
      <w:bookmarkStart w:id="666" w:name="Tc_GjeKmL7Dnk2tpiSTz64--Q_2_7"/>
      <w:bookmarkStart w:id="667" w:name="Tc_lQadoq59CEqX2msbf_3dQg_2_1"/>
      <w:bookmarkStart w:id="668" w:name="Tc_0lQFnbtlYEOtRhvht34GLQ_1_7"/>
      <w:bookmarkStart w:id="669" w:name="Tc_SAIVSUrt1kOCv9q98bawsw_1_1"/>
      <w:bookmarkStart w:id="670" w:name="Tc_wEGpJs_0ZkuAPwDyI8tgPw_5_2"/>
      <w:bookmarkStart w:id="671" w:name="Tc_EXcGIkuXxk65i8joOTZ8-g_5_0"/>
      <w:bookmarkStart w:id="672" w:name="Tc_dI2OgYPcRkS6qwfGf5JhLA_4_2"/>
      <w:bookmarkStart w:id="673" w:name="Tc_GRNqdF6kWkaIf4b1yUlTsw_4_0"/>
      <w:bookmarkStart w:id="674" w:name="Tc_LBma60HrhkmUOKX1Xul1Gg_3_2"/>
      <w:bookmarkStart w:id="675" w:name="Tc_FUErc8DiK0m58QPSINPlJg_3_0"/>
      <w:bookmarkStart w:id="676" w:name="Tc_s0b1gw__-EKy4q_InZMDkw_1_2"/>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Pr>
          <w:rFonts w:ascii="Times New Roman;Times;serif" w:hAnsi="Times New Roman;Times;serif"/>
          <w:sz w:val="20"/>
        </w:rPr>
        <w:t>waiver of the “going concern” qualification for our audited annual financial statements for the year ended December 31, 2025 and (ii) a reduction in the Credit Agreement’s minimum liquidity covenant of $2,500 (from $15,000 to $12,500).</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connection with the Ninth Amendment the Company (i) made a one-time prepayment of the principal amount of $2,500, together with accrued and unpaid interest thereon on March 31, 2026, (ii) granted warrants to the Lenders to purchase up to 1,354 shares of common stock of the Company, at an exercise price of $0.01 per share (the “April 2026 Warrants”) and (iii) following receipt of aggregated gross proceeds following the effective date of the Ninth Amendment from (a) the issuance of the Company’s common stock, warrants and/or pre-funded warrants, (b) non-refundable cash consideration from partnering transactions, (c) the issuance of the Company’s subordinated debt and/or (d) sales by the Company of its assets, in each case ((a) through (d)), in transactions permitted under the Credit Agreement (“Capital Raise Activities”), make a prepayment of the loans under the Credit Agreement in an aggregate principal amount equal to 50% of such gross cash proceeds, together with accrued interest thereon and any fees or premia (including prepayment premium) payable in connection therewith; provided, that the foregoing requirement will not apply (A) with respect to the first $2,500 in the aggregate of proceeds raised from Capital Raise Activities (as defined in the Credit Agreement) and (B) once the aggregate principal amount of the Loans prepaid pursuant to one or more Capital Raise Prepayments equals $2,500.</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April 30, 2026 and May 2, 2026, the Company issued 671 and 671 shares of its common stock, respectively, in connection with the cashless exercise of the 1,354 warrants.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of June 30, 2026, the Company was in compliance with all financial and restrictive covenants under the Credit Agreement.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Maturities of debt are expected to be as follows:</w:t>
      </w:r>
    </w:p>
    <w:p>
      <w:pPr>
        <w:pStyle w:val="TextBody"/>
        <w:bidi w:val="0"/>
        <w:spacing w:before="0" w:after="0"/>
        <w:ind w:left="0" w:right="0" w:hanging="0"/>
        <w:jc w:val="left"/>
        <w:rPr/>
      </w:pPr>
      <w:r>
        <w:rPr/>
        <w:t>​</w:t>
      </w:r>
    </w:p>
    <w:tbl>
      <w:tblPr>
        <w:tblW w:w="2226" w:type="dxa"/>
        <w:jc w:val="left"/>
        <w:tblInd w:w="0" w:type="dxa"/>
        <w:tblLayout w:type="fixed"/>
        <w:tblCellMar>
          <w:top w:w="0" w:type="dxa"/>
          <w:left w:w="0" w:type="dxa"/>
          <w:bottom w:w="0" w:type="dxa"/>
          <w:right w:w="0" w:type="dxa"/>
        </w:tblCellMar>
      </w:tblPr>
      <w:tblGrid>
        <w:gridCol w:w="946"/>
        <w:gridCol w:w="109"/>
        <w:gridCol w:w="265"/>
        <w:gridCol w:w="90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00710" cy="175260"/>
                      <wp:effectExtent l="0" t="0" r="0" b="0"/>
                      <wp:wrapNone/>
                      <wp:docPr id="87" name="Frame8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68275" cy="175260"/>
                      <wp:effectExtent l="0" t="0" r="0" b="0"/>
                      <wp:wrapNone/>
                      <wp:docPr id="89" name="Frame89"/>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75310" cy="175260"/>
                      <wp:effectExtent l="0" t="0" r="0" b="0"/>
                      <wp:wrapNone/>
                      <wp:docPr id="90" name="Frame90"/>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left"/>
              <w:rPr/>
            </w:pPr>
            <w:r>
              <w:rPr/>
              <w:t>​</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20,233</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86,919</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0"/>
              <w:ind w:left="0" w:right="70" w:hanging="0"/>
              <w:jc w:val="right"/>
              <w:rPr/>
            </w:pPr>
            <w:r>
              <w:rPr/>
              <w:t>—</w:t>
            </w:r>
          </w:p>
        </w:tc>
      </w:tr>
    </w:tbl>
    <w:p>
      <w:pPr>
        <w:pStyle w:val="TextBody"/>
        <w:bidi w:val="0"/>
        <w:spacing w:before="0" w:after="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Interest expense was as follows:</w:t>
      </w:r>
    </w:p>
    <w:p>
      <w:pPr>
        <w:pStyle w:val="TextBody"/>
        <w:bidi w:val="0"/>
        <w:spacing w:before="0" w:after="0"/>
        <w:ind w:left="0" w:right="0" w:hanging="0"/>
        <w:jc w:val="left"/>
        <w:rPr/>
      </w:pPr>
      <w:r>
        <w:rPr/>
        <w:t>​</w:t>
      </w:r>
    </w:p>
    <w:tbl>
      <w:tblPr>
        <w:tblW w:w="8761" w:type="dxa"/>
        <w:jc w:val="left"/>
        <w:tblInd w:w="0" w:type="dxa"/>
        <w:tblLayout w:type="fixed"/>
        <w:tblCellMar>
          <w:top w:w="0" w:type="dxa"/>
          <w:left w:w="0" w:type="dxa"/>
          <w:bottom w:w="0" w:type="dxa"/>
          <w:right w:w="0" w:type="dxa"/>
        </w:tblCellMar>
      </w:tblPr>
      <w:tblGrid>
        <w:gridCol w:w="5191"/>
        <w:gridCol w:w="211"/>
        <w:gridCol w:w="571"/>
        <w:gridCol w:w="109"/>
        <w:gridCol w:w="211"/>
        <w:gridCol w:w="571"/>
        <w:gridCol w:w="109"/>
        <w:gridCol w:w="211"/>
        <w:gridCol w:w="571"/>
        <w:gridCol w:w="109"/>
        <w:gridCol w:w="211"/>
        <w:gridCol w:w="686"/>
      </w:tblGrid>
      <w:tr>
        <w:trPr/>
        <w:tc>
          <w:tcPr>
            <w:tcW w:w="5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296285" cy="175260"/>
                      <wp:effectExtent l="0" t="0" r="0" b="0"/>
                      <wp:wrapNone/>
                      <wp:docPr id="91" name="Frame91"/>
                      <a:graphic xmlns:a="http://schemas.openxmlformats.org/drawingml/2006/main">
                        <a:graphicData uri="http://schemas.microsoft.com/office/word/2010/wordprocessingShape">
                          <wps:wsp>
                            <wps:cNvSpPr txBox="1"/>
                            <wps:spPr>
                              <a:xfrm>
                                <a:off x="0" y="0"/>
                                <a:ext cx="3296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62585" cy="175260"/>
                      <wp:effectExtent l="0" t="0" r="0" b="0"/>
                      <wp:wrapNone/>
                      <wp:docPr id="93" name="Frame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62585" cy="175260"/>
                      <wp:effectExtent l="0" t="0" r="0" b="0"/>
                      <wp:wrapNone/>
                      <wp:docPr id="96" name="Frame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7"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62585" cy="175260"/>
                      <wp:effectExtent l="0" t="0" r="0" b="0"/>
                      <wp:wrapNone/>
                      <wp:docPr id="99" name="Frame9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215" cy="175260"/>
                      <wp:effectExtent l="0" t="0" r="0" b="0"/>
                      <wp:wrapNone/>
                      <wp:docPr id="100"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35610" cy="175260"/>
                      <wp:effectExtent l="0" t="0" r="0" b="0"/>
                      <wp:wrapNone/>
                      <wp:docPr id="102" name="Frame102"/>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91" w:type="dxa"/>
            <w:tcBorders/>
            <w:vAlign w:val="center"/>
          </w:tcPr>
          <w:p>
            <w:pPr>
              <w:pStyle w:val="TableContents"/>
              <w:bidi w:val="0"/>
              <w:spacing w:before="0" w:after="0"/>
              <w:ind w:left="0" w:right="0" w:hanging="0"/>
              <w:jc w:val="left"/>
              <w:rPr/>
            </w:pPr>
            <w:r>
              <w:rPr/>
              <w:t>​</w:t>
            </w:r>
          </w:p>
        </w:tc>
        <w:tc>
          <w:tcPr>
            <w:tcW w:w="167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78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191" w:type="dxa"/>
            <w:tcBorders/>
            <w:vAlign w:val="center"/>
          </w:tcPr>
          <w:p>
            <w:pPr>
              <w:pStyle w:val="TableContents"/>
              <w:bidi w:val="0"/>
              <w:spacing w:before="0" w:after="0"/>
              <w:ind w:left="0" w:right="0" w:hanging="0"/>
              <w:jc w:val="left"/>
              <w:rPr/>
            </w:pPr>
            <w:r>
              <w:rPr/>
              <w:t>​</w:t>
            </w:r>
          </w:p>
        </w:tc>
        <w:tc>
          <w:tcPr>
            <w:tcW w:w="16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17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191"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1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r>
      <w:tr>
        <w:trPr/>
        <w:tc>
          <w:tcPr>
            <w:tcW w:w="5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7,472</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debt discount and amortization of financing costs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r>
      <w:tr>
        <w:trPr/>
        <w:tc>
          <w:tcPr>
            <w:tcW w:w="5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8,215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10. Derivative Financial Instruments</w:t>
      </w:r>
    </w:p>
    <w:p>
      <w:pPr>
        <w:pStyle w:val="TextBody"/>
        <w:bidi w:val="0"/>
        <w:spacing w:before="0" w:after="0"/>
        <w:ind w:left="0" w:right="0" w:firstLine="450"/>
        <w:jc w:val="left"/>
        <w:rPr>
          <w:rFonts w:ascii="Times New Roman;Times;serif" w:hAnsi="Times New Roman;Times;serif"/>
          <w:sz w:val="20"/>
        </w:rPr>
      </w:pPr>
      <w:r>
        <w:rPr>
          <w:rFonts w:ascii="Times New Roman;Times;serif" w:hAnsi="Times New Roman;Times;serif"/>
          <w:sz w:val="20"/>
        </w:rPr>
        <w:t>BTI identified certain freestanding financial instruments and/or embedded features that require separate accounting from the borrowings under the OFA Facilities. This includes the OnkosXcel Warrants held by the Lenders.</w:t>
      </w:r>
      <w:r>
        <w:rPr>
          <w:rFonts w:ascii="Times New Roman;Times;serif" w:hAnsi="Times New Roman;Times;serif"/>
          <w:color w:val="EE0000"/>
          <w:sz w:val="20"/>
        </w:rPr>
        <w:t xml:space="preserve"> </w:t>
      </w:r>
      <w:r>
        <w:rPr>
          <w:rFonts w:ascii="Times New Roman;Times;serif" w:hAnsi="Times New Roman;Times;serif"/>
          <w:sz w:val="20"/>
        </w:rPr>
        <w:t xml:space="preserve">The OnkosXcel Warrants do not meet certain scope exceptions under U.S. GAAP, primarily because the exercise price and number of shares of the Company’s common stock issuable under the instrument is variable, and the instrument meets the definition of a derivative instrument. Therefore, this instrument is recorded as Derivative liabilities in the Condensed Consolidated Balance Sheets. The Derivative liability was recorded at fair value on the date of issuance and is revalued on each balance sheet date until the instrument is settled or expire, with changes in the fair value between reporting periods recorded within Other (income) expense, net in the Company’s Condensed Consolidated Statements of Operations. </w:t>
      </w:r>
    </w:p>
    <w:p>
      <w:pPr>
        <w:pStyle w:val="TextBody"/>
        <w:bidi w:val="0"/>
        <w:spacing w:before="0" w:after="0"/>
        <w:ind w:left="0" w:right="0" w:firstLine="446"/>
        <w:jc w:val="left"/>
        <w:rPr/>
      </w:pPr>
      <w:r>
        <w:rPr/>
        <w:t>​</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 xml:space="preserve">On March 25, 2024, with respect to the Purchase Agreement discussed in Note 11, </w:t>
      </w:r>
      <w:r>
        <w:rPr>
          <w:rFonts w:ascii="Times New Roman;Times;serif" w:hAnsi="Times New Roman;Times;serif"/>
          <w:i/>
          <w:sz w:val="20"/>
        </w:rPr>
        <w:t>Common Stock Financing Activities</w:t>
      </w:r>
      <w:r>
        <w:rPr>
          <w:rFonts w:ascii="Times New Roman;Times;serif" w:hAnsi="Times New Roman;Times;serif"/>
          <w:sz w:val="20"/>
        </w:rPr>
        <w:t xml:space="preserve">, BTI determined that the Accompanying Warrants fail the equity classification criteria and are therefore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677" w:name="_839cd21e_bf9c_4662_b676_814e07a13405"/>
      <w:bookmarkEnd w:id="677"/>
      <w:r>
        <w:rPr>
          <w:rFonts w:ascii="Times New Roman;Times;serif" w:hAnsi="Times New Roman;Times;serif"/>
          <w:sz w:val="20"/>
        </w:rPr>
        <w:t xml:space="preserve">classified as liabilities in accordance with ASC 480, Distinguishing Liabilities from Equity ("ASC 480") and ASC 815, Derivatives and Hedging (“ASC 815”). The Accompanying Warrants failed to meet the requirements to be indexed to equity and equity classified, and meet the definition of a derivative instrument. Therefore, these instruments are recorded as Derivative liabilities in the Condensed Consolidated Balance Sheet as of June 30, 2026. The respective derivative liabilities were recorded at fair value on the date of issuance and are revalued on each balance sheet date until such instruments are settled or expire, with changes in the fair value between reporting periods recorded within Other (income) expense, net in the Company’s Condensed Consolidated Statements of Operations. We value the Accompanying Warrants using the Black-Scholes option pricing model as discussed in Note 14, </w:t>
      </w:r>
      <w:r>
        <w:rPr>
          <w:rFonts w:ascii="Times New Roman;Times;serif" w:hAnsi="Times New Roman;Times;serif"/>
          <w:i/>
          <w:sz w:val="20"/>
        </w:rPr>
        <w:t>Fair value measurements</w:t>
      </w:r>
      <w:r>
        <w:rPr>
          <w:rFonts w:ascii="Times New Roman;Times;serif" w:hAnsi="Times New Roman;Times;serif"/>
          <w:sz w:val="20"/>
        </w:rPr>
        <w:t xml:space="preserve">. </w:t>
      </w:r>
    </w:p>
    <w:p>
      <w:pPr>
        <w:pStyle w:val="TextBody"/>
        <w:bidi w:val="0"/>
        <w:spacing w:before="0" w:after="0"/>
        <w:ind w:left="0" w:right="0" w:firstLine="446"/>
        <w:jc w:val="left"/>
        <w:rPr/>
      </w:pPr>
      <w:r>
        <w:rPr/>
        <w:t>​</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 xml:space="preserve">On November 21, 2024, the exercise price of 534 of the total 539 Accompanying Warrants was reduced from $51.20 to $9.136 per share. On March 10, 2026, in connection with the March 2026 Offering discussed in Note 11, </w:t>
      </w:r>
      <w:r>
        <w:rPr>
          <w:rFonts w:ascii="Times New Roman;Times;serif" w:hAnsi="Times New Roman;Times;serif"/>
          <w:i/>
          <w:sz w:val="20"/>
        </w:rPr>
        <w:t>Common Stock Financing Activities</w:t>
      </w:r>
      <w:r>
        <w:rPr>
          <w:rFonts w:ascii="Times New Roman;Times;serif" w:hAnsi="Times New Roman;Times;serif"/>
          <w:sz w:val="20"/>
        </w:rPr>
        <w:t xml:space="preserve">, the exercise price of 534 of the Accompanying Warrants was further reduced from $9.136 to $1.614 per share, the exercise price of the remaining 5 Accompanying Warrants was reduced from $51.20 to $1.614 per share and the term of all 539 Accompanying Warrants was extended to five years following the closing date of the March 2026 Offering. As a result of the repricing, the Company recorded the increase in fair value of $224 as an increase to the carrying value of Derivative liabilities, and as a reduction to Additional paid-in-capital in the Company’s Condensed Consolidated Balance Sheets. For the three and six months ended June 30, 2026, the Company recorded a net loss of $34 and a net gain of $96, respectively, in Other (income) expense, net, in the Company’s Condensed Consolidated Statements of Operations. As of June 30, 2026, the fair value of the Accompanying Warrants was $630. </w:t>
      </w:r>
    </w:p>
    <w:p>
      <w:pPr>
        <w:pStyle w:val="TextBody"/>
        <w:bidi w:val="0"/>
        <w:spacing w:before="0" w:after="0"/>
        <w:ind w:left="0" w:right="0" w:firstLine="446"/>
        <w:jc w:val="left"/>
        <w:rPr/>
      </w:pPr>
      <w:r>
        <w:rPr/>
        <w:t>​</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 xml:space="preserve">On November 25, 2024, with respect to the Underwriter Agreement discussed in Note 11, </w:t>
      </w:r>
      <w:r>
        <w:rPr>
          <w:rFonts w:ascii="Times New Roman;Times;serif" w:hAnsi="Times New Roman;Times;serif"/>
          <w:i/>
          <w:sz w:val="20"/>
        </w:rPr>
        <w:t>Common Stock Financing Activities</w:t>
      </w:r>
      <w:r>
        <w:rPr>
          <w:rFonts w:ascii="Times New Roman;Times;serif" w:hAnsi="Times New Roman;Times;serif"/>
          <w:sz w:val="20"/>
        </w:rPr>
        <w:t xml:space="preserve">, the Company issued additional warrants (the “November 2024 Accompanying Warrants”). The November 2024 Accompanying Warrants failed to meet the requirements to be indexed to equity and equity classified, and meet the definition of a derivative instrument. Therefore, these instruments are recorded as Derivative liabilities in the Consolidated Balance Sheet as of June 30, 2026. The respective derivative liabilities were recorded at fair value on the date of issuance and are revalued on each balance sheet date until such instruments are settled or expire, with changes in the fair value between reporting periods recorded within Other (income) expense, net in the Company’s Condensed Consolidated Statements of Operations. </w:t>
      </w:r>
    </w:p>
    <w:p>
      <w:pPr>
        <w:pStyle w:val="TextBody"/>
        <w:bidi w:val="0"/>
        <w:spacing w:before="0" w:after="0"/>
        <w:ind w:left="0" w:right="0" w:firstLine="446"/>
        <w:jc w:val="left"/>
        <w:rPr/>
      </w:pPr>
      <w:r>
        <w:rPr/>
        <w:t>​</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 xml:space="preserve">On March 10, 2026, in connection with the March 2026 Offering discussed in Note 11, </w:t>
      </w:r>
      <w:r>
        <w:rPr>
          <w:rFonts w:ascii="Times New Roman;Times;serif" w:hAnsi="Times New Roman;Times;serif"/>
          <w:i/>
          <w:sz w:val="20"/>
        </w:rPr>
        <w:t>Common Stock Financing Activities</w:t>
      </w:r>
      <w:r>
        <w:rPr>
          <w:rFonts w:ascii="Times New Roman;Times;serif" w:hAnsi="Times New Roman;Times;serif"/>
          <w:sz w:val="20"/>
        </w:rPr>
        <w:t>, the exercise price of 846 of the total 913 November 2024 Accompanying Warrants was reduced from $7.68 to $1.614 per share and the term was extended to five years following the closing date of the March 2026 Offering. As a result of the repricing, the Company recorded the increase in fair value of $282 as an increase to the carrying value of Derivative liabilities, and as a reduction to Additional paid-in-capital in the Company’s Condensed Consolidated Balance Sheets. For the three and six months ended June 30, 2026, the Company recorded a net loss of $56 and a net gain of $170, respectively, in Other (income) expense, net, in the Company’s Condensed Consolidated Statements of Operations. As of June 30, 2026, the fair value of the November 2024 Accompanying Warrants was $1,046.</w:t>
      </w:r>
    </w:p>
    <w:p>
      <w:pPr>
        <w:pStyle w:val="TextBody"/>
        <w:bidi w:val="0"/>
        <w:spacing w:before="0" w:after="0"/>
        <w:ind w:left="0" w:right="0" w:firstLine="446"/>
        <w:jc w:val="left"/>
        <w:rPr/>
      </w:pPr>
      <w:r>
        <w:rPr/>
        <w:t>​</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 xml:space="preserve">On March 3, 2025, with respect to the March 2025 Offering discussed in Note 11, </w:t>
      </w:r>
      <w:r>
        <w:rPr>
          <w:rFonts w:ascii="Times New Roman;Times;serif" w:hAnsi="Times New Roman;Times;serif"/>
          <w:i/>
          <w:sz w:val="20"/>
        </w:rPr>
        <w:t>Common Stock Financing Activities</w:t>
      </w:r>
      <w:r>
        <w:rPr>
          <w:rFonts w:ascii="Times New Roman;Times;serif" w:hAnsi="Times New Roman;Times;serif"/>
          <w:sz w:val="20"/>
        </w:rPr>
        <w:t xml:space="preserve">, the Company issued additional warrants (the “March 2025 Accompanying Warrants”). The March 2025 Accompanying Warrants failed to meet the requirements to be indexed to equity and equity classified, and meet the definition of a derivative instrument. Therefore, these instruments are recorded as Derivative liabilities in the Condensed Consolidated Balance Sheet as of June 30, 2026. The respective derivative liabilities were recorded at fair value on the date of issuance and are revalued on each balance sheet date until such instruments are settled or expire, with changes in the fair value between reporting periods recorded within Other (income) expense, net in the Company’s Condensed Consolidated Statements of Operations. In August 2025, 2,300 of the March 2025 Accompanying Warrants were exercised. In connection with the exercise, the Company remeasured the fair value of the warrant liability, resulting in a recognized net loss of $9,920 recorded in Other (income) expense, net in the Company’s Condensed Consolidated Statements of Operations. As of June 30, 2026, the fair value of the remaining 1,700 March 2025 Accompanying Warrants was $167. For the three and six months ended June 30, 2026, the Company recorded a net loss of $16 and a net gain of $187, for the remaining warrants in Other (income) expense, net, in the Company’s Condensed Consolidated Statements of Operations. </w:t>
      </w:r>
    </w:p>
    <w:p>
      <w:pPr>
        <w:pStyle w:val="TextBody"/>
        <w:bidi w:val="0"/>
        <w:spacing w:before="0" w:after="0"/>
        <w:ind w:left="0" w:right="0" w:firstLine="446"/>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 xml:space="preserve">In connection with the March 2025 Offering discussed in Note 11, </w:t>
      </w:r>
      <w:r>
        <w:rPr>
          <w:rFonts w:ascii="Times New Roman;Times;serif" w:hAnsi="Times New Roman;Times;serif"/>
          <w:i/>
          <w:sz w:val="20"/>
        </w:rPr>
        <w:t>Common Stock Financing Activities</w:t>
      </w:r>
      <w:r>
        <w:rPr>
          <w:rFonts w:ascii="Times New Roman;Times;serif" w:hAnsi="Times New Roman;Times;serif"/>
          <w:sz w:val="20"/>
        </w:rPr>
        <w:t>, the Company also issued option warrants (the “Option Warrants”). The Option Warrants failed to meet the requirements to be indexed to equity and equity classified, and meet the definition of a derivative instrument. Therefore, these instruments are initially recorded as Derivative liabilities. The respective derivative liabilities were recorded at fair value on the date of issuance in the amount of $369. The Option Warrants expired on March 18, 2025 without being exercised, and the Company recorded a termination gain of $369 in Other (income) expense, net, in the Company’s Condensed Consolidated Statements of Operations. As of June 30, 2026, the fair value of the Option Warrants was $0.</w:t>
      </w:r>
    </w:p>
    <w:p>
      <w:pPr>
        <w:pStyle w:val="TextBody"/>
        <w:bidi w:val="0"/>
        <w:spacing w:before="0" w:after="0"/>
        <w:ind w:left="0" w:right="0" w:firstLine="446"/>
        <w:jc w:val="left"/>
        <w:rPr/>
      </w:pPr>
      <w:r>
        <w:rPr/>
        <w:t>​</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 xml:space="preserve">On March 10, 2026, with respect to the March 2026 Offering discussed in Note 11, </w:t>
      </w:r>
      <w:r>
        <w:rPr>
          <w:rFonts w:ascii="Times New Roman;Times;serif" w:hAnsi="Times New Roman;Times;serif"/>
          <w:i/>
          <w:sz w:val="20"/>
        </w:rPr>
        <w:t>Common Stock Financing Activities</w:t>
      </w:r>
      <w:r>
        <w:rPr>
          <w:rFonts w:ascii="Times New Roman;Times;serif" w:hAnsi="Times New Roman;Times;serif"/>
          <w:sz w:val="20"/>
        </w:rPr>
        <w:t>, the Company issued additional warrants (the “March 2026 Accompanying Warrants”). The March 2026 Accompanying Warrants failed to meet the requirements to be indexed to equity and equity classified, and met the definition of a derivative instrument. Therefore, these instruments are recorded as Derivative liabilities in the Condensed Consolidated Balance Sheet as of June 30, 2026. The respective derivative liabilities were recorded at fair value on the date of issuance in the amount of $5,940 and are revalued on each balance sheet date until such instruments are settled or expire, with changes in the fair value between reporting periods recorded within Other (income) expense, net in the Company’s Condensed Consolidated Statements of Operations. As of June 30, 2026, the fair value of the March 2026 Accompanying Warrants was $5,267. For the three and six months ended June 30, 2026, the Company recorded a net loss of $287, and a net gain of $673, respectively, in Other (income) expense, net, in the Company’s Condensed Consolidated Statements of Operations.</w:t>
      </w:r>
    </w:p>
    <w:p>
      <w:pPr>
        <w:pStyle w:val="TextBody"/>
        <w:bidi w:val="0"/>
        <w:spacing w:before="0" w:after="240"/>
        <w:ind w:left="0" w:right="0" w:firstLine="360"/>
        <w:jc w:val="left"/>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 Common Stock Financing Activities</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March 2024 Offering</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March 25, 2024, the Company entered into a Securities Purchase Agreement (the “Purchase Agreement”) with the purchasers named therein (collectively, the “Purchasers”). Pursuant to the Purchase Agreement, the Company agreed to issue and sell to the Purchasers in a registered direct offering (the “Offering”) under an effective shelf registration statement on Form S-3 (File No. 333-275261) and a related prospectus supplement filed with the Securities and Exchange Commission on March 25, 2024 (the “Prospectus Supplement”) an aggregate of 191 shares (the “Shares”) of Common Stock, and accompanying warrants (the “Accompanying Warrants”) to purchase up to 191 shares of common stock at a combined offering price of $46.416 per Share and Accompanying Warrant and pre-funded warrants (the “Pre-Funded Warrants”) to purchase up to 348 shares of common stock and Accompanying Warrants to purchase up to 348 shares of common stock, at a combined offering price of $46.40 per share underlying each Pre-Funded Warrant and Accompanying Warrant, which equals the offering price per Share and Accompanying Warrant less the $0.016 exercise price per share of the Pre-Funded Warrants. The Pre-Funded Warrants and Accompanying Warrants are not listed on the Nasdaq Capital Market or any other securities exchange or trading system and the Company does not intend to list them. On March 27, 2024, the Company received $25,000 of gross proceeds from the Offering, incurred costs of $248, and received net proceeds of $24,752. </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Pre-Funded Warrants have an exercise price per share of common stock equal to $0.016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The Pre-Funded Warrants meet the equity classification criteria and are therefore classified as equity. For the year ended December 31, 2024, all 348 Pre-Funded Warrants were exercised and the same number of shares of common stock were issued. </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Accompanying Warrants have an exercise price per share of common stock equal to $51.20 per share. The exercise price and the number of shares of common stock issuable upon exercise of the Accompanying Warrants are subject to appropriate adjustments in the event of certain stock dividends and distributions, stock splits, stock combinations, reclassifications or similar events affecting the common stock. The Accompanying Warrants will be exercisable at any time after the date of issuance and will expire on the fifth anniversary of the date of issuance. The Accompanying Warrants do not meet certain scope exceptions under U.S. GAAP, primarily because they did not meet the requirements to be indexed to equity and equity classified, and the instruments meet the definition of a derivative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instrument. Therefore, these instruments are recorded as Derivative liabilities in the Condensed Consolidated Balance Sheet as of June 30, 2026. There were no warrant exercises during the three and six months ended June 30, 2026.</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b/>
          <w:sz w:val="20"/>
          <w:shd w:fill="FFFFFF" w:val="clear"/>
        </w:rPr>
      </w:pPr>
      <w:r>
        <w:rPr>
          <w:rFonts w:ascii="Times New Roman;Times;serif" w:hAnsi="Times New Roman;Times;serif"/>
          <w:b/>
          <w:sz w:val="20"/>
          <w:shd w:fill="FFFFFF" w:val="clear"/>
        </w:rPr>
        <w:t>November 2024 Offering</w:t>
      </w:r>
    </w:p>
    <w:p>
      <w:pPr>
        <w:pStyle w:val="TextBody"/>
        <w:bidi w:val="0"/>
        <w:spacing w:before="0" w:after="240"/>
        <w:ind w:left="0" w:right="0" w:firstLine="360"/>
        <w:jc w:val="left"/>
        <w:rPr>
          <w:shd w:fill="FFFFFF" w:val="clear"/>
        </w:rPr>
      </w:pPr>
      <w:r>
        <w:rPr>
          <w:shd w:fill="FFFFFF"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On November 22, 2024, the Company entered into an underwriting agreement (the “Underwriting Agreement”) with Canaccord Genuity LLC, as underwriter (the “Underwriter”), in connection with the issuance and sale by the Company in a public offering of (i) </w:t>
      </w:r>
      <w:r>
        <w:rPr>
          <w:rFonts w:ascii="Times New Roman;Times;serif" w:hAnsi="Times New Roman;Times;serif"/>
          <w:sz w:val="20"/>
        </w:rPr>
        <w:t>350</w:t>
      </w:r>
      <w:r>
        <w:rPr>
          <w:rFonts w:ascii="Times New Roman;Times;serif" w:hAnsi="Times New Roman;Times;serif"/>
          <w:sz w:val="20"/>
          <w:shd w:fill="FFFFFF" w:val="clear"/>
        </w:rPr>
        <w:t> shares of the Company’s common stock, and accompanying warrants (the “November 2024 Accompanying Warrants”) to purchase </w:t>
      </w:r>
      <w:r>
        <w:rPr>
          <w:rFonts w:ascii="Times New Roman;Times;serif" w:hAnsi="Times New Roman;Times;serif"/>
          <w:sz w:val="20"/>
        </w:rPr>
        <w:t>350</w:t>
      </w:r>
      <w:r>
        <w:rPr>
          <w:rFonts w:ascii="Times New Roman;Times;serif" w:hAnsi="Times New Roman;Times;serif"/>
          <w:sz w:val="20"/>
          <w:shd w:fill="FFFFFF" w:val="clear"/>
        </w:rPr>
        <w:t> shares of Common Stock, at a combined public offering price of $</w:t>
      </w:r>
      <w:r>
        <w:rPr>
          <w:rFonts w:ascii="Times New Roman;Times;serif" w:hAnsi="Times New Roman;Times;serif"/>
          <w:sz w:val="20"/>
        </w:rPr>
        <w:t>7.68</w:t>
      </w:r>
      <w:r>
        <w:rPr>
          <w:rFonts w:ascii="Times New Roman;Times;serif" w:hAnsi="Times New Roman;Times;serif"/>
          <w:sz w:val="20"/>
          <w:shd w:fill="FFFFFF" w:val="clear"/>
        </w:rPr>
        <w:t> per share, and, in lieu thereof to certain investors, (ii) Pre-Funded Warrants to purchase </w:t>
      </w:r>
      <w:r>
        <w:rPr>
          <w:rFonts w:ascii="Times New Roman;Times;serif" w:hAnsi="Times New Roman;Times;serif"/>
          <w:sz w:val="20"/>
        </w:rPr>
        <w:t>563</w:t>
      </w:r>
      <w:r>
        <w:rPr>
          <w:rFonts w:ascii="Times New Roman;Times;serif" w:hAnsi="Times New Roman;Times;serif"/>
          <w:sz w:val="20"/>
          <w:shd w:fill="FFFFFF" w:val="clear"/>
        </w:rPr>
        <w:t> shares of Common Stock, and accompanying warrants to purchase </w:t>
      </w:r>
      <w:r>
        <w:rPr>
          <w:rFonts w:ascii="Times New Roman;Times;serif" w:hAnsi="Times New Roman;Times;serif"/>
          <w:sz w:val="20"/>
        </w:rPr>
        <w:t>563</w:t>
      </w:r>
      <w:r>
        <w:rPr>
          <w:rFonts w:ascii="Times New Roman;Times;serif" w:hAnsi="Times New Roman;Times;serif"/>
          <w:sz w:val="20"/>
          <w:shd w:fill="FFFFFF" w:val="clear"/>
        </w:rPr>
        <w:t> shares of Common Stock, at a combined public offering price of $</w:t>
      </w:r>
      <w:r>
        <w:rPr>
          <w:rFonts w:ascii="Times New Roman;Times;serif" w:hAnsi="Times New Roman;Times;serif"/>
          <w:sz w:val="20"/>
        </w:rPr>
        <w:t>7.664</w:t>
      </w:r>
      <w:r>
        <w:rPr>
          <w:rFonts w:ascii="Times New Roman;Times;serif" w:hAnsi="Times New Roman;Times;serif"/>
          <w:sz w:val="20"/>
          <w:shd w:fill="FFFFFF" w:val="clear"/>
        </w:rPr>
        <w:t> per pre-funded warrant, which equals the public offering price per share of Common Stock and accompanying warrant less the $</w:t>
      </w:r>
      <w:r>
        <w:rPr>
          <w:rFonts w:ascii="Times New Roman;Times;serif" w:hAnsi="Times New Roman;Times;serif"/>
          <w:sz w:val="20"/>
        </w:rPr>
        <w:t>0.016</w:t>
      </w:r>
      <w:r>
        <w:rPr>
          <w:rFonts w:ascii="Times New Roman;Times;serif" w:hAnsi="Times New Roman;Times;serif"/>
          <w:sz w:val="20"/>
          <w:shd w:fill="FFFFFF" w:val="clear"/>
        </w:rPr>
        <w:t xml:space="preserve"> exercise price per share of the pre-funded warrants, less underwriting discounts and commissions, pursuant to an effective shelf registration statement on Form S-3 (Registration No. 333-275261) and a related prospectus supplement filed with the Securities and Exchange Commission. </w:t>
      </w:r>
      <w:r>
        <w:rPr>
          <w:rFonts w:ascii="Times New Roman;Times;serif" w:hAnsi="Times New Roman;Times;serif"/>
          <w:sz w:val="20"/>
        </w:rPr>
        <w:t>The Company received net proceeds from the offering of approximately $6,128, after deducting underwriting discounts and commissions and offering expenses of $871. The Company used the net proceeds of the offering to fund the SERENITY At-Home trial, prepare for the initiation of the TRANQUILITY In-Care trial, working capital and general corporate purposes.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Pre-Funded Warrants have an exercise price per share of common stock equal to $0.016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The Pre-Funded Warrants meet the equity classification criteria and are therefore classified as equity. </w:t>
      </w:r>
      <w:r>
        <w:rPr>
          <w:rFonts w:ascii="Times New Roman;Times;serif" w:hAnsi="Times New Roman;Times;serif"/>
          <w:sz w:val="20"/>
          <w:shd w:fill="FFFFFF" w:val="clear"/>
        </w:rPr>
        <w:t>For the year ended December 31, 2024, </w:t>
      </w:r>
      <w:r>
        <w:rPr>
          <w:rFonts w:ascii="Times New Roman;Times;serif" w:hAnsi="Times New Roman;Times;serif"/>
          <w:sz w:val="20"/>
        </w:rPr>
        <w:t>80</w:t>
      </w:r>
      <w:r>
        <w:rPr>
          <w:rFonts w:ascii="Times New Roman;Times;serif" w:hAnsi="Times New Roman;Times;serif"/>
          <w:sz w:val="20"/>
          <w:shd w:fill="FFFFFF" w:val="clear"/>
        </w:rPr>
        <w:t xml:space="preserve"> Pre-Funded Warrants were exercised and the same number of shares of common stock were issued. The remaining 483 Pre-Funded Warrants were exercised and the same number of common stock were issued during the three months ended March 31, 2025 in exchange for $8 of proceeds received. </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November 2024 Accompanying Warrants originally had an exercise price per share of common stock equal to $7.68 per share. The exercise price and the number of shares of common stock issuable upon exercise of the November 2024 Accompanying Warrants are subject to appropriate adjustments in the event of certain stock dividends and distributions, stock splits, stock combinations, reclassifications or similar events affecting the common stock. The November 2024 Accompanying Warrants are exercisable at any time after the date of issuance and will expire on the fifth anniversary of the date of issuance. The November 2024 Accompanying Warrants do not meet certain scope exceptions under U.S. GAAP, primarily because they did not meet the requirements to be indexed to equity and equity classified, and the instruments meet the definition of a derivative instrument. Therefore, these instruments are recorded as Derivative liabilities in the Condensed Consolidated Balance Sheet as of June 30, 2026. There were no warrant exercises during the three and six months ended June 30, 2026.</w:t>
      </w:r>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March 2025 Offering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March 3, 2025, the Company entered into a purchase agreement (the “March 2025 Offering”) with a purchaser. Pursuant to the March 2025 Offering, the Company agreed to issue and sell to the purchaser and the purchaser agreed to buy in a registered direct offering (i) an aggregate of 188 shares (the “Shares”) of Common Stock at an offering price of $3.50 per share, (ii) Pre-Funded Warrants to purchase up to 3,812 shares of Common Stock, at an offering price of $3.499 per share underlying the Pre-Funded Warrants, which equals the offering price per share less the $0.001 exercise price per share of the Pre-Funded Warrants, and (iii) an aggregate of 4,000 accompanying warrants (the “March 2025 Accompanying Warrants”) to purchase up to 4,000 shares of Common Stock at an offering price of $4.20 per accompanying warrant, pursuant to an effective registration statement on Form S-3 (File No. 333-275261), including the base prospectus included therein, and prospectus supplement filed with the SEC on March 4, 2025. The Company received net proceeds from the offering of approximately $12,957, after deducting underwriting discounts and commissions and offering expenses of $1,039.</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Pre-Funded Warrants have an exercise price per share of common stock equal to $0.001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The Pre-Funded Warrants meet the equity classification criteria and are therefore classified as equity. For the three months ended March 31, 2025, 1,688 Pre-Funded Warrants were exercised and the same number of common stock were issued in exchange for $2 of proceeds received. The remaining 2,124 Pre-Funded Warrants were exercised </w:t>
      </w:r>
      <w:r>
        <w:rPr>
          <w:rFonts w:ascii="Times New Roman;Times;serif" w:hAnsi="Times New Roman;Times;serif"/>
          <w:sz w:val="20"/>
          <w:shd w:fill="FFFFFF" w:val="clear"/>
        </w:rPr>
        <w:t xml:space="preserve">and the same number of common stock were issued </w:t>
      </w:r>
      <w:r>
        <w:rPr>
          <w:rFonts w:ascii="Times New Roman;Times;serif" w:hAnsi="Times New Roman;Times;serif"/>
          <w:sz w:val="20"/>
        </w:rPr>
        <w:t>during the second and third quarter of 2025.</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March 2025 Accompanying Warrants have an exercise price per share of common stock equal to $4.20 per share. The exercise price and the number of shares of common stock issuable upon exercise of the March 2025 Accompanying Warrants are subject to appropriate adjustments in the event of certain stock dividends and distributions, stock splits, stock combinations, reclassifications or similar events affecting the common stock. The March 2025 Accompanying Warrants will be exercisable at any time after the date of issuance and will expire on the fifth anniversary of the date of issuance. The March 2025 Accompanying Warrants do not meet certain scope exceptions under U.S. GAAP, primarily because they did not meet the requirements to be indexed to equity and equity classified, and the instruments meet the definition of a derivative instrument. Therefore, these instruments are recorded as Derivative liabilities in the Condensed Consolidated Balance Sheet as of June 30, 2026. During the third quarter of 2025, 2,300 March 2025 Accompanying Warrants were exercised and the same number of common stock were issued in exchange for $9,660 of proceeds received. There were no warrant exercises during the three and six months ended June 30, 2026.</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the March 2025 Offering, the Company also issued to the purchaser option warrants, to purchase up to 4,000 shares of Common Stock (or pre-funded warrants in lieu thereof) and accompanying warrants to purchase up to 4,000 shares of Common Stock. The exercise price of the Option Warrant is $3.50 per underlying share of Common Stock or $3.499 per underlying pre-funded warrant to purchase one share of Common Stock and accompanying warrant. The option accompanying warrants have an exercise price per share of common stock equal to $4.20 per share. The Option Warrants expired on March 18, 2025 without being exercised.</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 xml:space="preserve">Canaccord At-the-Market Program </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val="false"/>
          <w:sz w:val="20"/>
        </w:rPr>
        <w:t>On April 3, 2025, the Company entered into</w:t>
      </w:r>
      <w:r>
        <w:rPr>
          <w:rFonts w:ascii="Times New Roman;Times;serif" w:hAnsi="Times New Roman;Times;serif"/>
          <w:b/>
          <w:sz w:val="20"/>
        </w:rPr>
        <w:t xml:space="preserve"> </w:t>
      </w:r>
      <w:r>
        <w:rPr>
          <w:rFonts w:ascii="Times New Roman;Times;serif" w:hAnsi="Times New Roman;Times;serif"/>
          <w:b w:val="false"/>
          <w:sz w:val="20"/>
        </w:rPr>
        <w:t>an Equity Distribution Agreement (the “Equity Distribution Agreement”) with Canaccord Genuity LLC (“Canaccord”) to sell shares of the Company’s common stock, par value $0.001</w:t>
      </w:r>
      <w:r>
        <w:rPr>
          <w:rFonts w:ascii="Times New Roman;Times;serif" w:hAnsi="Times New Roman;Times;serif"/>
          <w:b/>
          <w:sz w:val="20"/>
        </w:rPr>
        <w:t xml:space="preserve"> </w:t>
      </w:r>
      <w:r>
        <w:rPr>
          <w:rFonts w:ascii="Times New Roman;Times;serif" w:hAnsi="Times New Roman;Times;serif"/>
          <w:b w:val="false"/>
          <w:sz w:val="20"/>
        </w:rPr>
        <w:t xml:space="preserve">per share, with aggregate gross sales proceeds of up to $8,135, from time to time, through an “at the market” equity offering program under which Canaccord will act as sales agent. </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August 6, 2025, the Company increased the maximum amount of shares that are eligible to be sold pursuant to the Equity Distribution Agreement to allow for the offer and sale of up to $3,500 of its common stock. Following the sale of common stock, the Company raised sufficient net proceeds to satisfy the Raise 3 requirement under a prior amendment to the Credit Agreement.</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August 18, 2025, the Company filed a prospectus supplement with the Securities and Exchange Commission for the offer and sale of up to $80,000 shares of common stock pursuant to the Equity Distribution Agreement. For the three months ended June 30, 2026, the Company sold 2,706 shares for gross proceeds of $3,109 and received proceeds of $3,047, net of issuance costs of $62. For the six months ended June 30, 2026, the Company sold 2,951 shares for gross proceeds of $3,607 and received proceeds of $3,535, net of issuance costs of $72.</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March 2026 Offering</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March 10, 2026, the Company entered into a securities purchase agreement (the “March 2026 Offering”) with a purchaser. Pursuant to the March 2026 Offering, the Company agreed to issue and sell to the purchaser and the purchaser agreed to buy in a registered direct offering (i) an aggregate of 2,480 shares (the “Shares”) of Common Stock, at an offering price of $1.739 per share, (ii) Pre-Funded warrants to purchase up to 2,020 shares of Common Stock, at an offering price of $1.738 per share underlying the Pre-Funded Warrants, which equals the offering price per Share and accompanying warrant less the $0.001 exercise price per share of the Pre-Funded Warrants, and (iii) an aggregate of 4,500 accompanying warrants (the “March 2026 Accompanying Warrants”) to purchase up to 4,500 shares of Common Stock at an offering price of $1.614 per accompanying warrant. pursuant to an effective registration statement on Form S-3 (File No. 333-275261), including the base prospectus included therein, and a prospectus supplement filed with the Securities and Exchange Commission on March 10, 2026. The March 2026 Offering closed on March 11, 2026. The Company received net proceeds from the offering of approximately $6,879, after deducting underwriting discounts and commissions and offering expenses of $946.</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Pre-Funded Warrants have an exercise price per share of common stock equal to $0.001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The Pre-Funded Warrants meet the equity classification criteria and are therefore classified as equity. During the three months ended March 31, 2026, all 2,020 Pre-Funded Warrants were exercised and the same number of common stock were issued in exchange for $2 of proceeds received.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March 2026 Accompanying Warrants have an exercise price per share of common stock equal to $1.614 per share. The exercise price and the number of shares of common stock issuable upon exercise of the March 2026 Accompanying Warrants are subject to appropriate adjustments in the event of certain stock dividends and distributions, stock splits, stock combinations, reclassifications or similar events affecting the common stock. The March 2026 Accompanying Warrants will be exercisable at any time after the date of issuance and will expire on the fifth anniversary of the date of issuance. The March 2026 Accompanying Warrants do not meet certain scope exceptions under U.S. GAAP, primarily because they did not meet the requirements to be indexed to equity and equity classified, and the instruments meet the definition of a derivative instrument. Therefore, these instruments are recorded as Derivative liabilities in the Condensed Consolidated Balance Sheet as of June 30, 2026. There were no warrant exercises during the three and six months ended June 30, 2026.</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Rodman &amp; Renshaw LLC (the “Placement Agent”) acted as the Company’s exclusive placement agent in connection with the March 2026 Offering. As compensation in connection with the March 2026 Offering, the Company agreed to (i) pay the Placement Agent a cash fee equal to 6.0% of the gross proceeds from the March 2026 Offering, (ii) reimburse certain expenses of $75, (iii) pay $16 for clearing and closing expenses, and (iv) issue to the Placement Agent or its designees warrants to purchase a number of shares of Common Stock equal to 4.0% of the aggregate number of shares placed in the Registered Direct Offering (180,031 shares), at an exercise price equal to 125% of the offering price per share (or $2.0175 per share), with a term of five years from the commencement of the Registered Direct Offering (the “March 2026 Placement Agent Warrants”). The exercise price and the number of shares of common stock issuable upon exercise of the March 2026 Placement Agent Warrants are subject to appropriate adjustments in the event of certain stock dividends and distributions, stock splits, stock combinations, reclassifications or similar events affecting the common stock. The March 2026 Placement Agent Warrants will be exercisable at any time after the date of issuance and will expire on the fifth anniversary of the date of issuance. The March 2026 Placement Agent Warrants met certain scope exceptions under ASC 718 for equity classification. Therefore, these instruments are recorded as a component of stockholders’ equity in Additional-paid-in-capital in the Condensed Consolidated Balance Sheet as of June 30, 2026. There were no warrant exercises during the three and six months ended June 30, 2026.</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March 2026 Offering, pursuant to the terms of a Warrant Amendment Agreement, dated as of March 10, 2026 (the “Warrant Amendment Agreement”), the exercise price of all 539 Accompanying Warrants and 846 of the November 2024 Accompanying Warrants was reduced to $1.614 per share and the term was extended to five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years following the closing date of the March 2026 Offering. The investor paid $173 in exchange for the reduction in exercise price and the extension of the term of these warrants. The Company paid the Placement Agent a cash fee of 6.0% of the gross proceeds paid for the warrant amendment. </w:t>
      </w:r>
    </w:p>
    <w:p>
      <w:pPr>
        <w:pStyle w:val="TextBody"/>
        <w:bidi w:val="0"/>
        <w:spacing w:before="0" w:after="0"/>
        <w:ind w:left="0" w:right="0" w:firstLine="360"/>
        <w:jc w:val="left"/>
        <w:rPr/>
      </w:pPr>
      <w:r>
        <w:rPr/>
        <w:t>​</w:t>
      </w:r>
    </w:p>
    <w:p>
      <w:pPr>
        <w:pStyle w:val="TextBody"/>
        <w:bidi w:val="0"/>
        <w:spacing w:before="0" w:after="200"/>
        <w:ind w:left="0" w:right="0" w:hanging="0"/>
        <w:jc w:val="left"/>
        <w:rPr>
          <w:rFonts w:ascii="Times New Roman;Times;serif" w:hAnsi="Times New Roman;Times;serif"/>
          <w:b/>
          <w:sz w:val="20"/>
        </w:rPr>
      </w:pPr>
      <w:bookmarkStart w:id="678" w:name="Tc_KB7sf7ytB02dYtLWXgnPpQ_9_0"/>
      <w:bookmarkStart w:id="679" w:name="Tc_kSueRDDE7ECoH6D3a0I_7g_8_0"/>
      <w:bookmarkStart w:id="680" w:name="Tc_ozzPFdX7vEKrtsdq6Igapw_7_0"/>
      <w:bookmarkStart w:id="681" w:name="Tc_YUoGZX0fBEqwIZdg3bk57A_6_0"/>
      <w:bookmarkStart w:id="682" w:name="Tc_i01ei3dOpE-2LM9RCCh6wA_5_0"/>
      <w:bookmarkStart w:id="683" w:name="Tc_MkX3AorAOUKdXKm3tYg_4Q_3_2"/>
      <w:bookmarkStart w:id="684" w:name="Tc_phyoPHERTkKzardsDyt1Ww_2_2"/>
      <w:bookmarkEnd w:id="678"/>
      <w:bookmarkEnd w:id="679"/>
      <w:bookmarkEnd w:id="680"/>
      <w:bookmarkEnd w:id="681"/>
      <w:bookmarkEnd w:id="682"/>
      <w:bookmarkEnd w:id="683"/>
      <w:bookmarkEnd w:id="684"/>
      <w:r>
        <w:rPr>
          <w:rFonts w:ascii="Times New Roman;Times;serif" w:hAnsi="Times New Roman;Times;serif"/>
          <w:b/>
          <w:sz w:val="20"/>
        </w:rPr>
        <w:t>Note 12. Stock-Based Compensation</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2017 Equity Incentive Plan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Company’s 2017 Plan became effective in August 2017. Following the effective date of the Company's 2020 Plan, the Company ceased granting awards under the 2017 Plan, however, the terms and conditions of the 2017 Plan continue to govern any outstanding awards granted thereunder.</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2020 Incentive Award Plan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Company’s 2020 Plan was approved and became effective at the Company’s 2020 annual meeting of stockholders on May 20, 2020, and unless earlier terminated by the Board of Directors, will remain in effect until March 26, 2030. The 2020 Plan originally authorized for issuance the sum of (i) 57 shares of the Company’s common stock and (ii) 15 shares of the Company’s common stock, which represents the number of shares that remained available for issuance under the 2017 Plan immediately prior to the approval of the 2020 Plan by the Company’s stockholders. Any shares of common stock which, immediately prior to the approval of the 2020 Plan by the Company’s stockholders, were subject to awards granted under the 2017 Plan that are forfeited or lapse unexercised and are not issued under the 2017 Plan will increase the number of shares of common stock available for grant under the 2020 Plan. In addition, the number of shares available for issuance under the 2020 Plan will increase on the first day of each calendar year, beginning January 1, 2021 and ending on and including January 1, 2030, by a number of shares equal to the lesser of (A) 4% of the aggregate number of shares of the Company’s common stock outstanding on the final day of the immediately preceding calendar year and (B) such smaller number of shares of common stock as determined by the Board of Directors. The shares available for issuance under the 2020 Plan increased by 893 shares and 124 shares on January 1, 2026 and 2025, respectively.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Stock options granted under the 2020 Plan have a term of ten years. The vesting schedule of all awards granted under the 2020 Plan is determined by the Board of Directors, which is generally four years.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of June 30, 2026, there were 435 shares available to be granted under the 2020 Plan.</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BTI Restricted stock units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table below summarizes activity relating to BTI RSUs.</w:t>
      </w:r>
    </w:p>
    <w:p>
      <w:pPr>
        <w:pStyle w:val="TextBody"/>
        <w:bidi w:val="0"/>
        <w:spacing w:before="0" w:after="0"/>
        <w:ind w:left="0" w:right="0" w:hanging="0"/>
        <w:jc w:val="left"/>
        <w:rPr/>
      </w:pPr>
      <w:r>
        <w:rPr/>
        <w:t>​</w:t>
      </w:r>
    </w:p>
    <w:tbl>
      <w:tblPr>
        <w:tblW w:w="4038" w:type="dxa"/>
        <w:jc w:val="left"/>
        <w:tblInd w:w="0" w:type="dxa"/>
        <w:tblLayout w:type="fixed"/>
        <w:tblCellMar>
          <w:top w:w="0" w:type="dxa"/>
          <w:left w:w="0" w:type="dxa"/>
          <w:bottom w:w="0" w:type="dxa"/>
          <w:right w:w="0" w:type="dxa"/>
        </w:tblCellMar>
      </w:tblPr>
      <w:tblGrid>
        <w:gridCol w:w="2881"/>
        <w:gridCol w:w="226"/>
        <w:gridCol w:w="931"/>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829435" cy="175260"/>
                      <wp:effectExtent l="0" t="0" r="0" b="0"/>
                      <wp:wrapNone/>
                      <wp:docPr id="103" name="Frame103"/>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43510" cy="175260"/>
                      <wp:effectExtent l="0" t="0" r="0" b="0"/>
                      <wp:wrapNone/>
                      <wp:docPr id="104" name="Frame10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91185" cy="175260"/>
                      <wp:effectExtent l="0" t="0" r="0" b="0"/>
                      <wp:wrapNone/>
                      <wp:docPr id="105" name="Frame10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28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28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shares </w:t>
            </w:r>
          </w:p>
        </w:tc>
      </w:tr>
      <w:tr>
        <w:trPr/>
        <w:tc>
          <w:tcPr>
            <w:tcW w:w="28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January 1, 2026</w:t>
            </w:r>
          </w:p>
        </w:tc>
        <w:tc>
          <w:tcPr>
            <w:tcW w:w="2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2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Cancelled</w:t>
            </w:r>
          </w:p>
        </w:tc>
        <w:tc>
          <w:tcPr>
            <w:tcW w:w="2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2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June 30, 2026</w:t>
            </w:r>
          </w:p>
        </w:tc>
        <w:tc>
          <w:tcPr>
            <w:tcW w:w="22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308</w:t>
            </w:r>
          </w:p>
        </w:tc>
      </w:tr>
    </w:tbl>
    <w:p>
      <w:pPr>
        <w:pStyle w:val="TextBody"/>
        <w:bidi w:val="0"/>
        <w:spacing w:before="0" w:after="24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2026, the Company granted 409 time-based BTI RSUs. These BTI RSUs vest quarterly over two years, with vesting beginning on November 4, 2025. The weighted average grant date fair value per share for the BTI RSUs for the six months ended June 30, 2026 was $1.86. The outstanding BTI RSUs issued prior to 2026 generally vest over four years, with 25% vesting at the one-year anniversary of the grant date and the balance vesting ratably over the remaining 12 quarters of the vesting period. The total fair value of BTI RSUs vested in the six months ended June 30, 2026 was $254. Unrecognized stock-based compensation expense related to the BTI RSUs was approximately $380 and $445 as of June 30, 2026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360" w:right="0" w:hanging="0"/>
        <w:jc w:val="left"/>
        <w:rPr>
          <w:rFonts w:ascii="Times New Roman;Times;serif" w:hAnsi="Times New Roman;Times;serif"/>
          <w:b/>
          <w:sz w:val="20"/>
        </w:rPr>
      </w:pPr>
      <w:bookmarkStart w:id="685" w:name="Tc_ieRk8uZhsEm1k5OoMQoR8g_9_0"/>
      <w:bookmarkStart w:id="686" w:name="Tc_xo1kIQxduEiZ47Flk-vfWQ_8_0"/>
      <w:bookmarkStart w:id="687" w:name="Tc_eSJjdKrbfkaGtRy7GkwRjQ_7_0"/>
      <w:bookmarkStart w:id="688" w:name="Tc_RICdpEEp1kO9VerF00v8_w_6_0"/>
      <w:bookmarkStart w:id="689" w:name="Tc_HTpiokhQYUqj2ejUnyomCw_5_0"/>
      <w:bookmarkStart w:id="690" w:name="Tc_SCwMeNuOAEmHRSt1TtJRNQ_3_2"/>
      <w:bookmarkStart w:id="691" w:name="Tc_R3B6V69ZpE-oP5dwj7DsNg_2_2"/>
      <w:bookmarkStart w:id="692" w:name="Tc_dMe8zjp0FEuqSLWmIJK7dQ_7_3"/>
      <w:bookmarkStart w:id="693" w:name="Tc_wUG1FqWPIEa0E1Qgh44vAQ_7_0"/>
      <w:bookmarkStart w:id="694" w:name="Tc_AnSDg82s0Ei5FSK5SumGHA_6_3"/>
      <w:bookmarkStart w:id="695" w:name="Tc_3_WYKAUo6U6IBZfRVdf53A_6_0"/>
      <w:bookmarkStart w:id="696" w:name="Tc_jECIOqNCTE2hdwZzkatqcQ_5_3"/>
      <w:bookmarkStart w:id="697" w:name="Tc_5onmh1erSUm7e4iJo6DCXA_5_0"/>
      <w:bookmarkStart w:id="698" w:name="Tc_9UZM34zUskKaCTpwDv8Vgg_4_3"/>
      <w:bookmarkStart w:id="699" w:name="Tc_ncsa-VV9xk6IT-R7R640BA_4_0"/>
      <w:bookmarkStart w:id="700" w:name="Tc_dYo0Zz5vgUapW7qyLcw3dg_2_2"/>
      <w:bookmarkStart w:id="701" w:name="Tc_Acijv8ilhUiwVlnkm0nUcg_12_4"/>
      <w:bookmarkStart w:id="702" w:name="Tc_9EqvGgvgkEqzQ0-kqvSAFw_12_0"/>
      <w:bookmarkStart w:id="703" w:name="Tc_z-ToH5NaJECQ_XyREViBXg_10_0"/>
      <w:bookmarkStart w:id="704" w:name="Tc_Xqq_U8F3T0yrV0bacKyBFw_9_4"/>
      <w:bookmarkStart w:id="705" w:name="Tc__B2nreabbkaq-L3cVAhyqA_9_0"/>
      <w:bookmarkStart w:id="706" w:name="Tc_vqTPWWTqF06qU26nO2yDtw_8_4"/>
      <w:bookmarkStart w:id="707" w:name="Tc_ToSNPDtx5kS4rR3Yl97dmg_8_0"/>
      <w:bookmarkStart w:id="708" w:name="Tc_4hZgCWDMtEyvkcJMnNRj4A_7_4"/>
      <w:bookmarkStart w:id="709" w:name="Tc_ddsisZu9VUG6acjscKUq3Q_7_0"/>
      <w:bookmarkStart w:id="710" w:name="Tc_xgK7LEzOP0Wwwr7c1y-t4w_6_4"/>
      <w:bookmarkStart w:id="711" w:name="Tc_smzx_EiD0kK0CxjNiDdgGg_6_0"/>
      <w:bookmarkStart w:id="712" w:name="Tc_na8pqOkkK0GnYOWpVHNJdA_4_4"/>
      <w:bookmarkStart w:id="713" w:name="Tc_bz6G5BGutUKWuLhL-1IfPQ_4_2"/>
      <w:bookmarkStart w:id="714" w:name="Tc_IDCtfEP6hUaKxd5Rhc0nvQ_3_4"/>
      <w:bookmarkStart w:id="715" w:name="Tc_EUlJmuLlj06u5WjRGTSkFQ_3_2"/>
      <w:bookmarkStart w:id="716" w:name="Tc_6viRd4JOd0eUEd2LxETWTg_2_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r>
        <w:rPr>
          <w:rFonts w:ascii="Times New Roman;Times;serif" w:hAnsi="Times New Roman;Times;serif"/>
          <w:b/>
          <w:sz w:val="20"/>
        </w:rPr>
        <w:t>OnkosXcel profit sharing units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table below summarizes activity relating to the PSUs associated with OnkosXcel as described below.</w:t>
      </w:r>
    </w:p>
    <w:p>
      <w:pPr>
        <w:pStyle w:val="TextBody"/>
        <w:bidi w:val="0"/>
        <w:spacing w:before="0" w:after="0"/>
        <w:ind w:left="0" w:right="0" w:hanging="0"/>
        <w:jc w:val="left"/>
        <w:rPr/>
      </w:pPr>
      <w:r>
        <w:rPr/>
        <w:t>​</w:t>
      </w:r>
    </w:p>
    <w:tbl>
      <w:tblPr>
        <w:tblW w:w="5572" w:type="dxa"/>
        <w:jc w:val="left"/>
        <w:tblInd w:w="0" w:type="dxa"/>
        <w:tblLayout w:type="fixed"/>
        <w:tblCellMar>
          <w:top w:w="0" w:type="dxa"/>
          <w:left w:w="0" w:type="dxa"/>
          <w:bottom w:w="0" w:type="dxa"/>
          <w:right w:w="0" w:type="dxa"/>
        </w:tblCellMar>
      </w:tblPr>
      <w:tblGrid>
        <w:gridCol w:w="2881"/>
        <w:gridCol w:w="226"/>
        <w:gridCol w:w="886"/>
        <w:gridCol w:w="109"/>
        <w:gridCol w:w="346"/>
        <w:gridCol w:w="1124"/>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829435" cy="175260"/>
                      <wp:effectExtent l="0" t="0" r="0" b="0"/>
                      <wp:wrapNone/>
                      <wp:docPr id="106" name="Frame106"/>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43510" cy="175260"/>
                      <wp:effectExtent l="0" t="0" r="0" b="0"/>
                      <wp:wrapNone/>
                      <wp:docPr id="107" name="Frame10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62610" cy="175260"/>
                      <wp:effectExtent l="0" t="0" r="0" b="0"/>
                      <wp:wrapNone/>
                      <wp:docPr id="108" name="Frame10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09" name="Frame1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713740" cy="175260"/>
                      <wp:effectExtent l="0" t="0" r="0" b="0"/>
                      <wp:wrapNone/>
                      <wp:docPr id="111" name="Frame111"/>
                      <a:graphic xmlns:a="http://schemas.openxmlformats.org/drawingml/2006/main">
                        <a:graphicData uri="http://schemas.microsoft.com/office/word/2010/wordprocessingShape">
                          <wps:wsp>
                            <wps:cNvSpPr txBox="1"/>
                            <wps:spPr>
                              <a:xfrm>
                                <a:off x="0" y="0"/>
                                <a:ext cx="713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4" w:type="dxa"/>
            <w:tcBorders/>
            <w:vAlign w:val="center"/>
          </w:tcPr>
          <w:p>
            <w:pPr>
              <w:pStyle w:val="TableContents"/>
              <w:bidi w:val="0"/>
              <w:spacing w:before="0" w:after="1"/>
              <w:ind w:left="0" w:right="0" w:hanging="0"/>
              <w:jc w:val="left"/>
              <w:rPr/>
            </w:pPr>
            <w:r>
              <w:rPr/>
              <w:t>​</w:t>
            </w:r>
          </w:p>
        </w:tc>
      </w:tr>
      <w:tr>
        <w:trPr/>
        <w:tc>
          <w:tcPr>
            <w:tcW w:w="28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4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8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vAlign w:val="center"/>
          </w:tcPr>
          <w:p>
            <w:pPr>
              <w:pStyle w:val="TableContents"/>
              <w:bidi w:val="0"/>
              <w:spacing w:before="0" w:after="1"/>
              <w:ind w:left="0" w:right="0" w:hanging="0"/>
              <w:jc w:val="center"/>
              <w:rPr/>
            </w:pPr>
            <w:r>
              <w:rPr/>
              <w:t>​</w:t>
            </w:r>
          </w:p>
        </w:tc>
        <w:tc>
          <w:tcPr>
            <w:tcW w:w="14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per unit</w:t>
            </w:r>
          </w:p>
        </w:tc>
      </w:tr>
      <w:tr>
        <w:trPr/>
        <w:tc>
          <w:tcPr>
            <w:tcW w:w="28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1"/>
              <w:ind w:left="0" w:right="0" w:hanging="0"/>
              <w:jc w:val="center"/>
              <w:rPr/>
            </w:pPr>
            <w:r>
              <w:rPr/>
              <w:t>​</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whole dollars)</w:t>
            </w:r>
          </w:p>
        </w:tc>
      </w:tr>
      <w:tr>
        <w:trPr/>
        <w:tc>
          <w:tcPr>
            <w:tcW w:w="28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4" w:type="dxa"/>
            <w:tcBorders/>
            <w:vAlign w:val="center"/>
          </w:tcPr>
          <w:p>
            <w:pPr>
              <w:pStyle w:val="TableContents"/>
              <w:bidi w:val="0"/>
              <w:spacing w:before="0" w:after="1"/>
              <w:ind w:left="0" w:right="0" w:hanging="0"/>
              <w:jc w:val="left"/>
              <w:rPr/>
            </w:pPr>
            <w:r>
              <w:rPr/>
              <w:t>​</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January 1, 2026</w:t>
            </w:r>
          </w:p>
        </w:tc>
        <w:tc>
          <w:tcPr>
            <w:tcW w:w="2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1,072</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5,663</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vAlign w:val="center"/>
          </w:tcPr>
          <w:p>
            <w:pPr>
              <w:pStyle w:val="TableContents"/>
              <w:bidi w:val="0"/>
              <w:spacing w:before="0" w:after="1"/>
              <w:ind w:left="0" w:right="0" w:hanging="0"/>
              <w:jc w:val="right"/>
              <w:rPr/>
            </w:pPr>
            <w:r>
              <w:rPr/>
              <w:t>—</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Cancelled</w:t>
            </w:r>
          </w:p>
        </w:tc>
        <w:tc>
          <w:tcPr>
            <w:tcW w:w="2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shd w:fill="CCEEFF" w:val="clear"/>
            <w:vAlign w:val="center"/>
          </w:tcPr>
          <w:p>
            <w:pPr>
              <w:pStyle w:val="TableContents"/>
              <w:bidi w:val="0"/>
              <w:spacing w:before="0" w:after="1"/>
              <w:ind w:left="0" w:right="0" w:hanging="0"/>
              <w:jc w:val="right"/>
              <w:rPr/>
            </w:pPr>
            <w:r>
              <w:rPr/>
              <w:t>—</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2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vAlign w:val="center"/>
          </w:tcPr>
          <w:p>
            <w:pPr>
              <w:pStyle w:val="TableContents"/>
              <w:bidi w:val="0"/>
              <w:spacing w:before="0" w:after="1"/>
              <w:ind w:left="0" w:right="0" w:hanging="0"/>
              <w:jc w:val="right"/>
              <w:rPr/>
            </w:pPr>
            <w:r>
              <w:rPr/>
              <w:t>—</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June 30, 2026</w:t>
            </w:r>
          </w:p>
        </w:tc>
        <w:tc>
          <w:tcPr>
            <w:tcW w:w="226" w:type="dxa"/>
            <w:tcBorders/>
            <w:shd w:fill="CCEEFF" w:val="clear"/>
            <w:vAlign w:val="center"/>
          </w:tcPr>
          <w:p>
            <w:pPr>
              <w:pStyle w:val="TableContents"/>
              <w:bidi w:val="0"/>
              <w:spacing w:before="0" w:after="1"/>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1,072</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24" w:type="dxa"/>
            <w:tcBorders/>
            <w:shd w:fill="CCEEFF" w:val="clear"/>
            <w:vAlign w:val="center"/>
          </w:tcPr>
          <w:p>
            <w:pPr>
              <w:pStyle w:val="TableContents"/>
              <w:bidi w:val="0"/>
              <w:spacing w:before="0" w:after="1"/>
              <w:ind w:left="0" w:right="0" w:hanging="0"/>
              <w:jc w:val="left"/>
              <w:rPr/>
            </w:pPr>
            <w:r>
              <w:rPr/>
              <w:t>​</w:t>
            </w:r>
          </w:p>
        </w:tc>
      </w:tr>
      <w:tr>
        <w:trPr/>
        <w:tc>
          <w:tcPr>
            <w:tcW w:w="28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4" w:type="dxa"/>
            <w:tcBorders/>
            <w:vAlign w:val="center"/>
          </w:tcPr>
          <w:p>
            <w:pPr>
              <w:pStyle w:val="TableContents"/>
              <w:bidi w:val="0"/>
              <w:spacing w:before="0" w:after="1"/>
              <w:ind w:left="0" w:right="0" w:hanging="0"/>
              <w:jc w:val="left"/>
              <w:rPr/>
            </w:pPr>
            <w:r>
              <w:rPr/>
              <w:t>​</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units as of June 30, 2026</w:t>
            </w:r>
          </w:p>
        </w:tc>
        <w:tc>
          <w:tcPr>
            <w:tcW w:w="226" w:type="dxa"/>
            <w:tcBorders/>
            <w:shd w:fill="CCEEFF" w:val="clear"/>
            <w:vAlign w:val="center"/>
          </w:tcPr>
          <w:p>
            <w:pPr>
              <w:pStyle w:val="TableContents"/>
              <w:bidi w:val="0"/>
              <w:spacing w:before="0" w:after="1"/>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1,061</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5,611</w:t>
            </w:r>
          </w:p>
        </w:tc>
      </w:tr>
    </w:tbl>
    <w:p>
      <w:pPr>
        <w:pStyle w:val="TextBody"/>
        <w:bidi w:val="0"/>
        <w:spacing w:before="0" w:after="24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2024, OnkosXcel Employee Holdings, LLC, a management holding company used to facilitate the grant of equity interests to service providers of OnkosXcel granted 15 individual (not in thousands) time-based PSUs related to OnkosXcel to certain employees of the Company in consideration for services provided to OnkosXcel. The PSUs represent indirect equity interests in OnkosXcel. These PSUs vest ratably over 48 months.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fair values of PSUs granted in 2024 were estimated at the date of grant using a Black-Scholes option pricing model and assumptions below. </w:t>
      </w:r>
    </w:p>
    <w:p>
      <w:pPr>
        <w:pStyle w:val="TextBody"/>
        <w:bidi w:val="0"/>
        <w:spacing w:before="0" w:after="0"/>
        <w:ind w:left="0" w:right="0" w:hanging="0"/>
        <w:jc w:val="left"/>
        <w:rPr/>
      </w:pPr>
      <w:r>
        <w:rPr/>
        <w:t>​</w:t>
      </w:r>
    </w:p>
    <w:tbl>
      <w:tblPr>
        <w:tblW w:w="6249" w:type="dxa"/>
        <w:jc w:val="left"/>
        <w:tblInd w:w="0" w:type="dxa"/>
        <w:tblLayout w:type="fixed"/>
        <w:tblCellMar>
          <w:top w:w="0" w:type="dxa"/>
          <w:left w:w="0" w:type="dxa"/>
          <w:bottom w:w="0" w:type="dxa"/>
          <w:right w:w="0" w:type="dxa"/>
        </w:tblCellMar>
      </w:tblPr>
      <w:tblGrid>
        <w:gridCol w:w="2131"/>
        <w:gridCol w:w="109"/>
        <w:gridCol w:w="1811"/>
        <w:gridCol w:w="2044"/>
        <w:gridCol w:w="154"/>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53185" cy="175260"/>
                      <wp:effectExtent l="0" t="0" r="0" b="0"/>
                      <wp:wrapNone/>
                      <wp:docPr id="112" name="Frame112"/>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149985" cy="175260"/>
                      <wp:effectExtent l="0" t="0" r="0" b="0"/>
                      <wp:wrapNone/>
                      <wp:docPr id="114" name="Frame114"/>
                      <a:graphic xmlns:a="http://schemas.openxmlformats.org/drawingml/2006/main">
                        <a:graphicData uri="http://schemas.microsoft.com/office/word/2010/wordprocessingShape">
                          <wps:wsp>
                            <wps:cNvSpPr txBox="1"/>
                            <wps:spPr>
                              <a:xfrm>
                                <a:off x="0" y="0"/>
                                <a:ext cx="1149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297940" cy="175260"/>
                      <wp:effectExtent l="0" t="0" r="0" b="0"/>
                      <wp:wrapNone/>
                      <wp:docPr id="115" name="Frame115"/>
                      <a:graphic xmlns:a="http://schemas.openxmlformats.org/drawingml/2006/main">
                        <a:graphicData uri="http://schemas.microsoft.com/office/word/2010/wordprocessingShape">
                          <wps:wsp>
                            <wps:cNvSpPr txBox="1"/>
                            <wps:spPr>
                              <a:xfrm>
                                <a:off x="0" y="0"/>
                                <a:ext cx="1297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97790" cy="175260"/>
                      <wp:effectExtent l="0" t="0" r="0" b="0"/>
                      <wp:wrapNone/>
                      <wp:docPr id="116" name="Frame11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1" w:type="dxa"/>
            <w:tcBorders/>
            <w:vAlign w:val="center"/>
          </w:tcPr>
          <w:p>
            <w:pPr>
              <w:pStyle w:val="TableContents"/>
              <w:bidi w:val="0"/>
              <w:spacing w:before="0" w:after="1"/>
              <w:ind w:left="0" w:right="0" w:hanging="0"/>
              <w:jc w:val="left"/>
              <w:rPr/>
            </w:pPr>
            <w:r>
              <w:rPr/>
              <w:t>​</w:t>
            </w:r>
          </w:p>
        </w:tc>
        <w:tc>
          <w:tcPr>
            <w:tcW w:w="2044"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8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 grant profit share unit valuation inputs</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1" w:type="dxa"/>
            <w:tcBorders/>
            <w:vAlign w:val="center"/>
          </w:tcPr>
          <w:p>
            <w:pPr>
              <w:pStyle w:val="TableContents"/>
              <w:bidi w:val="0"/>
              <w:spacing w:before="0" w:after="1"/>
              <w:ind w:left="0" w:right="0" w:hanging="0"/>
              <w:jc w:val="left"/>
              <w:rPr/>
            </w:pPr>
            <w:r>
              <w:rPr/>
              <w:t>​</w:t>
            </w:r>
          </w:p>
        </w:tc>
        <w:tc>
          <w:tcPr>
            <w:tcW w:w="2044"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1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97.4</w:t>
            </w:r>
          </w:p>
        </w:tc>
        <w:tc>
          <w:tcPr>
            <w:tcW w:w="20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 of interest</w:t>
            </w:r>
          </w:p>
        </w:tc>
        <w:tc>
          <w:tcPr>
            <w:tcW w:w="109" w:type="dxa"/>
            <w:tcBorders/>
            <w:vAlign w:val="center"/>
          </w:tcPr>
          <w:p>
            <w:pPr>
              <w:pStyle w:val="TableContents"/>
              <w:bidi w:val="0"/>
              <w:spacing w:before="0" w:after="1"/>
              <w:ind w:left="0" w:right="0" w:hanging="0"/>
              <w:jc w:val="left"/>
              <w:rPr/>
            </w:pPr>
            <w:r>
              <w:rPr/>
              <w:t>​</w:t>
            </w:r>
          </w:p>
        </w:tc>
        <w:tc>
          <w:tcPr>
            <w:tcW w:w="1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204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109" w:type="dxa"/>
            <w:tcBorders/>
            <w:shd w:fill="CCEEFF" w:val="clear"/>
            <w:vAlign w:val="center"/>
          </w:tcPr>
          <w:p>
            <w:pPr>
              <w:pStyle w:val="TableContents"/>
              <w:bidi w:val="0"/>
              <w:spacing w:before="0" w:after="1"/>
              <w:ind w:left="0" w:right="0" w:hanging="0"/>
              <w:jc w:val="left"/>
              <w:rPr/>
            </w:pPr>
            <w:r>
              <w:rPr/>
              <w:t>​</w:t>
            </w:r>
          </w:p>
        </w:tc>
        <w:tc>
          <w:tcPr>
            <w:tcW w:w="1811" w:type="dxa"/>
            <w:tcBorders/>
            <w:shd w:fill="CCEEFF" w:val="clear"/>
            <w:vAlign w:val="center"/>
          </w:tcPr>
          <w:p>
            <w:pPr>
              <w:pStyle w:val="TableContents"/>
              <w:bidi w:val="0"/>
              <w:spacing w:before="0" w:after="1"/>
              <w:ind w:left="0" w:right="0" w:hanging="0"/>
              <w:jc w:val="right"/>
              <w:rPr/>
            </w:pPr>
            <w:r>
              <w:rPr/>
              <w:t>—</w:t>
            </w:r>
          </w:p>
        </w:tc>
        <w:tc>
          <w:tcPr>
            <w:tcW w:w="20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109" w:type="dxa"/>
            <w:tcBorders/>
            <w:vAlign w:val="center"/>
          </w:tcPr>
          <w:p>
            <w:pPr>
              <w:pStyle w:val="TableContents"/>
              <w:bidi w:val="0"/>
              <w:spacing w:before="0" w:after="1"/>
              <w:ind w:left="0" w:right="0" w:hanging="0"/>
              <w:jc w:val="left"/>
              <w:rPr/>
            </w:pPr>
            <w:r>
              <w:rPr/>
              <w:t>​</w:t>
            </w:r>
          </w:p>
        </w:tc>
        <w:tc>
          <w:tcPr>
            <w:tcW w:w="1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204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Unrecognized stock-based compensation expense related to these awards was $44 and $40 as of June 30, 2026 and 2025, respectively.</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OnkosXcel restricted stock units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table below summarizes activity relating to the OnkosXcel RSUs.</w:t>
      </w:r>
    </w:p>
    <w:p>
      <w:pPr>
        <w:pStyle w:val="TextBody"/>
        <w:bidi w:val="0"/>
        <w:spacing w:before="0" w:after="0"/>
        <w:ind w:left="0" w:right="0" w:hanging="0"/>
        <w:jc w:val="left"/>
        <w:rPr/>
      </w:pPr>
      <w:r>
        <w:rPr/>
        <w:t>​</w:t>
      </w:r>
    </w:p>
    <w:tbl>
      <w:tblPr>
        <w:tblW w:w="4158" w:type="dxa"/>
        <w:jc w:val="left"/>
        <w:tblInd w:w="0" w:type="dxa"/>
        <w:tblLayout w:type="fixed"/>
        <w:tblCellMar>
          <w:top w:w="0" w:type="dxa"/>
          <w:left w:w="0" w:type="dxa"/>
          <w:bottom w:w="0" w:type="dxa"/>
          <w:right w:w="0" w:type="dxa"/>
        </w:tblCellMar>
      </w:tblPr>
      <w:tblGrid>
        <w:gridCol w:w="2881"/>
        <w:gridCol w:w="226"/>
        <w:gridCol w:w="1051"/>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829435" cy="175260"/>
                      <wp:effectExtent l="0" t="0" r="0" b="0"/>
                      <wp:wrapNone/>
                      <wp:docPr id="117" name="Frame117"/>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43510" cy="175260"/>
                      <wp:effectExtent l="0" t="0" r="0" b="0"/>
                      <wp:wrapNone/>
                      <wp:docPr id="118" name="Frame11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67385" cy="175260"/>
                      <wp:effectExtent l="0" t="0" r="0" b="0"/>
                      <wp:wrapNone/>
                      <wp:docPr id="119" name="Frame11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r>
        <w:trPr/>
        <w:tc>
          <w:tcPr>
            <w:tcW w:w="28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Number of</w:t>
            </w:r>
          </w:p>
        </w:tc>
      </w:tr>
      <w:tr>
        <w:trPr/>
        <w:tc>
          <w:tcPr>
            <w:tcW w:w="28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units</w:t>
            </w:r>
          </w:p>
        </w:tc>
      </w:tr>
      <w:tr>
        <w:trPr/>
        <w:tc>
          <w:tcPr>
            <w:tcW w:w="28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January 1, 2026</w:t>
            </w:r>
          </w:p>
        </w:tc>
        <w:tc>
          <w:tcPr>
            <w:tcW w:w="2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2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2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Cancelled</w:t>
            </w:r>
          </w:p>
        </w:tc>
        <w:tc>
          <w:tcPr>
            <w:tcW w:w="22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June 30, 2026</w:t>
            </w:r>
          </w:p>
        </w:tc>
        <w:tc>
          <w:tcPr>
            <w:tcW w:w="226" w:type="dxa"/>
            <w:tcBorders/>
            <w:shd w:fill="CCEEFF" w:val="clear"/>
            <w:vAlign w:val="center"/>
          </w:tcPr>
          <w:p>
            <w:pPr>
              <w:pStyle w:val="TableContents"/>
              <w:bidi w:val="0"/>
              <w:spacing w:before="0" w:after="1"/>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288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bookmarkStart w:id="717" w:name="Tc_W6lslfqZe0ak2IfWRCRRYg_8_12"/>
      <w:bookmarkStart w:id="718" w:name="Tc_a8HGFGMod0iPXmTF6ri2uw_8_6"/>
      <w:bookmarkStart w:id="719" w:name="Tc_o8mkQAyQBkut3BfyjjHVJw_8_0"/>
      <w:bookmarkStart w:id="720" w:name="Tc_84LzlIIFCUO-X_YnU4EdSQ_7_12"/>
      <w:bookmarkStart w:id="721" w:name="Tc_Z9uMTkVGPkO_dHbxn3lF1Q_7_6"/>
      <w:bookmarkStart w:id="722" w:name="Tc_DD0mFVbcME6nLVLJk9jKPw_7_0"/>
      <w:bookmarkStart w:id="723" w:name="Tc_ejTANk7VrkigdpuXp1duUg_6_12"/>
      <w:bookmarkStart w:id="724" w:name="Tc_mJXtJtivREeI2vab8Itb0Q_6_6"/>
      <w:bookmarkStart w:id="725" w:name="Tc_6vcbNsVm2kKhrAiskHgnaQ_6_0"/>
      <w:bookmarkStart w:id="726" w:name="Tc_fUe2TJkqX0mcm4z1AS4nnQ_5_12"/>
      <w:bookmarkStart w:id="727" w:name="Tc_q2zA3ZzJVk6y8mYC4k8slA_5_6"/>
      <w:bookmarkStart w:id="728" w:name="Tc_os2mrY6PBUCX6mlr6qImvA_5_0"/>
      <w:bookmarkStart w:id="729" w:name="Tc_tbuKxC4HKUO7A2poQmRD7w_3_9"/>
      <w:bookmarkStart w:id="730" w:name="Tc_Shsnx4WBsk-QFxd7-V7pUw_3_3"/>
      <w:bookmarkStart w:id="731" w:name="Tc_uSseKxolRkuLslA9whFq3A_2_9"/>
      <w:bookmarkStart w:id="732" w:name="Tc_fMbDDfzUmUSQxLhNDiVngQ_2_2"/>
      <w:bookmarkStart w:id="733" w:name="Tc_aDofYXx-4ky9afD_MFf1Bw_12_4"/>
      <w:bookmarkStart w:id="734" w:name="Tc_j-Y9oKc9uUehnQSiJMaLWg_12_0"/>
      <w:bookmarkStart w:id="735" w:name="Tc_huEiRs7HkkOGy-zeFRULZg_10_4"/>
      <w:bookmarkStart w:id="736" w:name="Tc_FyUeX4oRjEu1MhAqd8SzRA_10_0"/>
      <w:bookmarkStart w:id="737" w:name="Tc_Xypx0Rrkm0yFXWOgsaHUiQ_9_4"/>
      <w:bookmarkStart w:id="738" w:name="Tc_RPQBBn_CN0K_mGsH9M405Q_9_0"/>
      <w:bookmarkStart w:id="739" w:name="Tc_gCGxztm78EKw365bAzU8Cg_8_4"/>
      <w:bookmarkStart w:id="740" w:name="Tc_YNR33llaUE-d8t2uP72d5A_8_0"/>
      <w:bookmarkStart w:id="741" w:name="Tc_uT-H-bPiPUGhF3fxbRKL4w_7_4"/>
      <w:bookmarkStart w:id="742" w:name="Tc_cqsMzWFO7ESLZ9BMl2KXMg_7_0"/>
      <w:bookmarkStart w:id="743" w:name="Tc_B1GQym8yFU6Zucr2GCvv2g_6_4"/>
      <w:bookmarkStart w:id="744" w:name="Tc_lEoumZcYqUGIyqd1PriwCw_6_0"/>
      <w:bookmarkStart w:id="745" w:name="Tc_zSVydtDOdEGlD9GBOhIRZw_5_4"/>
      <w:bookmarkStart w:id="746" w:name="Tc_Q_hLhaTBokKdrqUsUK-icA_5_0"/>
      <w:bookmarkStart w:id="747" w:name="Tc_IgIROOVPL0qrZuC-l_kQ-A_3_4"/>
      <w:bookmarkStart w:id="748" w:name="Tc_wGb9sOSm4kCTeXZfsuv8sQ_3_2"/>
      <w:bookmarkStart w:id="749" w:name="Tc_6gKPI6eZFkyNAb59oZppUw_2_4"/>
      <w:bookmarkStart w:id="750" w:name="Tc_JVxR0lcKKUubG7gRmrRijQ_2_2"/>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r>
        <w:rPr>
          <w:rFonts w:ascii="Times New Roman;Times;serif" w:hAnsi="Times New Roman;Times;serif"/>
          <w:sz w:val="20"/>
        </w:rPr>
        <w:t>As of June 30, 2026, the Company had 131 OnkosXcel Restricted Stock Units outstanding. Unrecognized stock-based compensation expense related to the awards expected to vest was approximately $9 and $40 as of June 30, 2026 and 2025, respectively.</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BTI Stock options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 summary of the Company’s stock option activity for the six months ended June 30, 2026 is presented below.</w:t>
      </w:r>
    </w:p>
    <w:p>
      <w:pPr>
        <w:pStyle w:val="TextBody"/>
        <w:bidi w:val="0"/>
        <w:spacing w:before="0" w:after="0"/>
        <w:ind w:left="0" w:right="0" w:hanging="0"/>
        <w:jc w:val="left"/>
        <w:rPr/>
      </w:pPr>
      <w:r>
        <w:rPr/>
        <w:t>​</w:t>
      </w:r>
    </w:p>
    <w:tbl>
      <w:tblPr>
        <w:tblW w:w="7280" w:type="dxa"/>
        <w:jc w:val="left"/>
        <w:tblInd w:w="0" w:type="dxa"/>
        <w:tblLayout w:type="fixed"/>
        <w:tblCellMar>
          <w:top w:w="0" w:type="dxa"/>
          <w:left w:w="0" w:type="dxa"/>
          <w:bottom w:w="0" w:type="dxa"/>
          <w:right w:w="0" w:type="dxa"/>
        </w:tblCellMar>
      </w:tblPr>
      <w:tblGrid>
        <w:gridCol w:w="4246"/>
        <w:gridCol w:w="226"/>
        <w:gridCol w:w="886"/>
        <w:gridCol w:w="226"/>
        <w:gridCol w:w="339"/>
        <w:gridCol w:w="1086"/>
        <w:gridCol w:w="271"/>
      </w:tblGrid>
      <w:tr>
        <w:trPr/>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696210" cy="175260"/>
                      <wp:effectExtent l="0" t="0" r="0" b="0"/>
                      <wp:wrapNone/>
                      <wp:docPr id="120" name="Frame120"/>
                      <a:graphic xmlns:a="http://schemas.openxmlformats.org/drawingml/2006/main">
                        <a:graphicData uri="http://schemas.microsoft.com/office/word/2010/wordprocessingShape">
                          <wps:wsp>
                            <wps:cNvSpPr txBox="1"/>
                            <wps:spPr>
                              <a:xfrm>
                                <a:off x="0" y="0"/>
                                <a:ext cx="269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43510" cy="175260"/>
                      <wp:effectExtent l="0" t="0" r="0" b="0"/>
                      <wp:wrapNone/>
                      <wp:docPr id="121" name="Frame1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62610" cy="175260"/>
                      <wp:effectExtent l="0" t="0" r="0" b="0"/>
                      <wp:wrapNone/>
                      <wp:docPr id="122" name="Frame12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43510" cy="175260"/>
                      <wp:effectExtent l="0" t="0" r="0" b="0"/>
                      <wp:wrapNone/>
                      <wp:docPr id="123" name="Frame1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5265" cy="175260"/>
                      <wp:effectExtent l="0" t="0" r="0" b="0"/>
                      <wp:wrapNone/>
                      <wp:docPr id="124" name="Frame124"/>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89610" cy="175260"/>
                      <wp:effectExtent l="0" t="0" r="0" b="0"/>
                      <wp:wrapNone/>
                      <wp:docPr id="125" name="Frame125"/>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72085" cy="175260"/>
                      <wp:effectExtent l="0" t="0" r="0" b="0"/>
                      <wp:wrapNone/>
                      <wp:docPr id="126" name="Frame12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r>
      <w:tr>
        <w:trPr/>
        <w:tc>
          <w:tcPr>
            <w:tcW w:w="42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22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271" w:type="dxa"/>
            <w:tcBorders/>
            <w:vAlign w:val="center"/>
          </w:tcPr>
          <w:p>
            <w:pPr>
              <w:pStyle w:val="TableContents"/>
              <w:bidi w:val="0"/>
              <w:spacing w:before="0" w:after="0"/>
              <w:ind w:left="0" w:right="0" w:hanging="0"/>
              <w:jc w:val="left"/>
              <w:rPr/>
            </w:pPr>
            <w:r>
              <w:rPr/>
              <w:t>​</w:t>
            </w:r>
          </w:p>
        </w:tc>
      </w:tr>
      <w:tr>
        <w:trPr/>
        <w:tc>
          <w:tcPr>
            <w:tcW w:w="42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shares </w:t>
            </w:r>
          </w:p>
        </w:tc>
        <w:tc>
          <w:tcPr>
            <w:tcW w:w="226" w:type="dxa"/>
            <w:tcBorders/>
            <w:vAlign w:val="center"/>
          </w:tcPr>
          <w:p>
            <w:pPr>
              <w:pStyle w:val="TableContents"/>
              <w:bidi w:val="0"/>
              <w:spacing w:before="0" w:after="0"/>
              <w:ind w:left="0" w:right="0" w:hanging="0"/>
              <w:jc w:val="left"/>
              <w:rPr/>
            </w:pPr>
            <w:r>
              <w:rPr/>
              <w:t>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 share</w:t>
            </w:r>
          </w:p>
        </w:tc>
        <w:tc>
          <w:tcPr>
            <w:tcW w:w="27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center"/>
              <w:rPr/>
            </w:pPr>
            <w:r>
              <w:rPr/>
              <w:t>​</w:t>
            </w:r>
          </w:p>
        </w:tc>
        <w:tc>
          <w:tcPr>
            <w:tcW w:w="108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January 1, 2026</w:t>
            </w:r>
          </w:p>
        </w:tc>
        <w:tc>
          <w:tcPr>
            <w:tcW w:w="2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2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202.81</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2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2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271" w:type="dxa"/>
            <w:tcBorders/>
            <w:vAlign w:val="center"/>
          </w:tcPr>
          <w:p>
            <w:pPr>
              <w:pStyle w:val="TableContents"/>
              <w:bidi w:val="0"/>
              <w:spacing w:before="0" w:after="0"/>
              <w:ind w:left="0" w:right="0" w:hanging="0"/>
              <w:jc w:val="left"/>
              <w:rPr/>
            </w:pPr>
            <w:r>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2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143.42</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w:t>
            </w:r>
          </w:p>
        </w:tc>
        <w:tc>
          <w:tcPr>
            <w:tcW w:w="2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2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387.85</w:t>
            </w:r>
          </w:p>
        </w:tc>
        <w:tc>
          <w:tcPr>
            <w:tcW w:w="271" w:type="dxa"/>
            <w:tcBorders/>
            <w:vAlign w:val="center"/>
          </w:tcPr>
          <w:p>
            <w:pPr>
              <w:pStyle w:val="TableContents"/>
              <w:bidi w:val="0"/>
              <w:spacing w:before="0" w:after="0"/>
              <w:ind w:left="0" w:right="0" w:hanging="0"/>
              <w:jc w:val="left"/>
              <w:rPr/>
            </w:pPr>
            <w:r>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22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June 30, 2026</w:t>
            </w:r>
          </w:p>
        </w:tc>
        <w:tc>
          <w:tcPr>
            <w:tcW w:w="226" w:type="dxa"/>
            <w:tcBorders/>
            <w:vAlign w:val="center"/>
          </w:tcPr>
          <w:p>
            <w:pPr>
              <w:pStyle w:val="TableContents"/>
              <w:bidi w:val="0"/>
              <w:spacing w:before="0" w:after="0"/>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2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150.78</w:t>
            </w:r>
          </w:p>
        </w:tc>
        <w:tc>
          <w:tcPr>
            <w:tcW w:w="271" w:type="dxa"/>
            <w:tcBorders/>
            <w:vAlign w:val="center"/>
          </w:tcPr>
          <w:p>
            <w:pPr>
              <w:pStyle w:val="TableContents"/>
              <w:bidi w:val="0"/>
              <w:spacing w:before="0" w:after="0"/>
              <w:ind w:left="0" w:right="0" w:hanging="0"/>
              <w:jc w:val="left"/>
              <w:rPr/>
            </w:pPr>
            <w:r>
              <w:rPr/>
              <w:t>​</w:t>
            </w:r>
          </w:p>
        </w:tc>
      </w:tr>
      <w:tr>
        <w:trPr/>
        <w:tc>
          <w:tcPr>
            <w:tcW w:w="42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vested and exercisable as of June 30, 2026</w:t>
            </w:r>
          </w:p>
        </w:tc>
        <w:tc>
          <w:tcPr>
            <w:tcW w:w="2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2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206.82</w:t>
            </w:r>
          </w:p>
        </w:tc>
        <w:tc>
          <w:tcPr>
            <w:tcW w:w="2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of June 30, 2026, the intrinsic value of options outstanding was $0. The intrinsic value for stock options is calculated based on the difference between the exercise prices of the underlying awards and the quoted stock price of the Company’s common stock as of the reporting date.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 stock options were exercised for the six months ended June 30, 2026. As of June 30, 2026, the total intrinsic value of stock options exercisable was $0.</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weighted average grant date fair value per share of options granted as of June 30, 2026 was $1.73.</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weighted average grant date fair value per share of options vested as of June 30, 2026 was $152.85.</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weighted average remaining contractual life is 4.9 years for options exercisable as of June 30, 2026. The weighted average remaining contractual life was 6.2 years for options outstanding as of June 30, 2026.</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Unrecognized compensation expense related to unvested stock option awards as of June 30, 2026 was $232 and will be recognized over the remaining vesting periods of the underlying awards. The weighted-average period over which such compensation is expected to be recognized is 0.5 years.</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fair value of stock options granted during the six months ended June 30, 2026 and 2025 was estimated using the Black-Scholes pricing model with the following assumptions: </w:t>
      </w:r>
    </w:p>
    <w:p>
      <w:pPr>
        <w:pStyle w:val="TextBody"/>
        <w:bidi w:val="0"/>
        <w:spacing w:before="0" w:after="0"/>
        <w:ind w:left="0" w:right="0" w:hanging="0"/>
        <w:jc w:val="left"/>
        <w:rPr/>
      </w:pPr>
      <w:r>
        <w:rPr/>
        <w:t>​</w:t>
      </w:r>
    </w:p>
    <w:tbl>
      <w:tblPr>
        <w:tblW w:w="6083" w:type="dxa"/>
        <w:jc w:val="left"/>
        <w:tblInd w:w="0" w:type="dxa"/>
        <w:tblLayout w:type="fixed"/>
        <w:tblCellMar>
          <w:top w:w="0" w:type="dxa"/>
          <w:left w:w="0" w:type="dxa"/>
          <w:bottom w:w="0" w:type="dxa"/>
          <w:right w:w="0" w:type="dxa"/>
        </w:tblCellMar>
      </w:tblPr>
      <w:tblGrid>
        <w:gridCol w:w="2626"/>
        <w:gridCol w:w="346"/>
        <w:gridCol w:w="109"/>
        <w:gridCol w:w="109"/>
        <w:gridCol w:w="109"/>
        <w:gridCol w:w="571"/>
        <w:gridCol w:w="526"/>
        <w:gridCol w:w="109"/>
        <w:gridCol w:w="109"/>
        <w:gridCol w:w="109"/>
        <w:gridCol w:w="109"/>
        <w:gridCol w:w="571"/>
        <w:gridCol w:w="526"/>
        <w:gridCol w:w="154"/>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667510" cy="175260"/>
                      <wp:effectExtent l="0" t="0" r="0" b="0"/>
                      <wp:wrapNone/>
                      <wp:docPr id="127" name="Frame127"/>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9215" cy="175260"/>
                      <wp:effectExtent l="0" t="0" r="0" b="0"/>
                      <wp:wrapNone/>
                      <wp:docPr id="130" name="Frame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1" name="Frame1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62585" cy="175260"/>
                      <wp:effectExtent l="0" t="0" r="0" b="0"/>
                      <wp:wrapNone/>
                      <wp:docPr id="132" name="Frame1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34010" cy="175260"/>
                      <wp:effectExtent l="0" t="0" r="0" b="0"/>
                      <wp:wrapNone/>
                      <wp:docPr id="133" name="Frame133"/>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4" name="Frame1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5" name="Frame1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9215" cy="175260"/>
                      <wp:effectExtent l="0" t="0" r="0" b="0"/>
                      <wp:wrapNone/>
                      <wp:docPr id="137"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62585" cy="175260"/>
                      <wp:effectExtent l="0" t="0" r="0" b="0"/>
                      <wp:wrapNone/>
                      <wp:docPr id="138" name="Frame1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34010" cy="175260"/>
                      <wp:effectExtent l="0" t="0" r="0" b="0"/>
                      <wp:wrapNone/>
                      <wp:docPr id="139" name="Frame13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97790" cy="175260"/>
                      <wp:effectExtent l="0" t="0" r="0" b="0"/>
                      <wp:wrapNone/>
                      <wp:docPr id="140" name="Frame14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33" w:type="dxa"/>
            <w:gridSpan w:val="6"/>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69" w:type="dxa"/>
            <w:gridSpan w:val="5"/>
            <w:tcBorders/>
            <w:vAlign w:val="center"/>
          </w:tcPr>
          <w:p>
            <w:pPr>
              <w:pStyle w:val="TableContents"/>
              <w:bidi w:val="0"/>
              <w:spacing w:before="0" w:after="0"/>
              <w:ind w:left="0" w:right="0" w:hanging="0"/>
              <w:jc w:val="center"/>
              <w:rPr/>
            </w:pPr>
            <w:r>
              <w:rPr/>
              <w:t>​</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33"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09" w:type="dxa"/>
            <w:tcBorders/>
            <w:vAlign w:val="center"/>
          </w:tcPr>
          <w:p>
            <w:pPr>
              <w:pStyle w:val="TableContents"/>
              <w:bidi w:val="0"/>
              <w:spacing w:before="0" w:after="0"/>
              <w:ind w:left="0" w:right="0" w:hanging="0"/>
              <w:jc w:val="center"/>
              <w:rPr/>
            </w:pPr>
            <w:r>
              <w:rPr/>
              <w:t>​</w:t>
            </w:r>
          </w:p>
        </w:tc>
        <w:tc>
          <w:tcPr>
            <w:tcW w:w="146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center"/>
              <w:rPr/>
            </w:pPr>
            <w:r>
              <w:rPr/>
              <w:t>​</w:t>
            </w:r>
          </w:p>
        </w:tc>
        <w:tc>
          <w:tcPr>
            <w:tcW w:w="14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0"/>
              <w:ind w:left="0" w:right="0" w:hanging="0"/>
              <w:jc w:val="center"/>
              <w:rPr/>
            </w:pPr>
            <w:r>
              <w:rPr/>
              <w:t>​</w:t>
            </w:r>
          </w:p>
        </w:tc>
        <w:tc>
          <w:tcPr>
            <w:tcW w:w="14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stock price volatility</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 of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2026, the Company continued using the historical volatility of its common stock to estimate volatility. Prior to 2023, volatility was estimated using a combination of the historical volatility of publicly traded peer companies and that of the Company’s common stock. The expected term of the awards is estimated based on the simplified method, which calculates the expected term based upon the midpoint of the life of the award and the vesting period. The Company uses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751" w:name="Tc_ymm19OGrgE6a7q777knrJA_6_11"/>
      <w:bookmarkStart w:id="752" w:name="Tc_wcN7XrYw_kuskuI0_vKqog_6_8"/>
      <w:bookmarkStart w:id="753" w:name="Tc_ma3hJFvUBEmAmMzJ_LycmQ_6_5"/>
      <w:bookmarkStart w:id="754" w:name="Tc_iWGCO0KJuEiaf1gdq4aP6A_6_2"/>
      <w:bookmarkStart w:id="755" w:name="Tc_Zxe3Fm343k-qFX4ER6yLeg_6_0"/>
      <w:bookmarkStart w:id="756" w:name="Tc_h03tY7wwrUelzO1Kbu65LA_5_0"/>
      <w:bookmarkStart w:id="757" w:name="Tc_ph_VAmx-HUKNmfYEwOkMDQ_4_11"/>
      <w:bookmarkStart w:id="758" w:name="Tc_Hco9kr_o0EuKx9n3yAAYBw_4_8"/>
      <w:bookmarkStart w:id="759" w:name="Tc_6wOEbBZUD02L3YKEcxwH5w_4_5"/>
      <w:bookmarkStart w:id="760" w:name="Tc_foeHzwQ-oEWOuygT_RsBvQ_4_2"/>
      <w:bookmarkStart w:id="761" w:name="Tc_SvQPL_4HfkiTXk9k9Tk0pw_4_0"/>
      <w:bookmarkStart w:id="762" w:name="Tc_ofWw4ZLmg0ay_jjlUo4tdw_2_11"/>
      <w:bookmarkStart w:id="763" w:name="Tc_7jQq_ST7c0er-EO0W7N0kg_2_8"/>
      <w:bookmarkStart w:id="764" w:name="Tc_Kyo16x2dqkS2BeCK8zX99w_2_5"/>
      <w:bookmarkStart w:id="765" w:name="Tc_Y9_HloWLlkODH04aSmdapg_2_2"/>
      <w:bookmarkStart w:id="766" w:name="Tc_nMyTHzR2iUundub9Buc1HA_1_8"/>
      <w:bookmarkStart w:id="767" w:name="Tc_F_9R9kdMtk2jmcXAn7G17A_1_2"/>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r>
        <w:rPr>
          <w:rFonts w:ascii="Times New Roman;Times;serif" w:hAnsi="Times New Roman;Times;serif"/>
          <w:sz w:val="20"/>
        </w:rPr>
        <w:t>the simplified method because it does not have sufficient option exercise data to provide a reasonable basis upon which to estimate the expected term. The expected dividend yield is zero percent as the Company has no history of paying dividends nor does management expect to pay dividends over the contractual terms of these options. The risk-free interest rates are determined by reference to the U.S. Treasury yield curve in effect at the time of grant, with maturities approximating the expected term of the stock options. The fair value of the underlying common stock is generally determined as the closing price of the Company’s common stock on The Nasdaq Capital Market on the grant date, with consideration of whether there is material nonpublic information that could impact that estimated fair value when it is released.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recognized stock-based compensation expense related to awards issued under the 2017 Plan and the 2020 Plan, as well as the OnkosXcel RSUs and PSUs, of $358 and $1,556 for the three months ended June 30, 2026 and 2025, respectively, and $793 and $1,736 for the six months ended June 30, 2026 and 2025, respectively, which were comprised as follows:</w:t>
      </w:r>
    </w:p>
    <w:p>
      <w:pPr>
        <w:pStyle w:val="TextBody"/>
        <w:bidi w:val="0"/>
        <w:spacing w:before="0" w:after="0"/>
        <w:ind w:left="0" w:right="0" w:hanging="0"/>
        <w:jc w:val="left"/>
        <w:rPr/>
      </w:pPr>
      <w:r>
        <w:rPr/>
        <w:t>​</w:t>
      </w:r>
    </w:p>
    <w:tbl>
      <w:tblPr>
        <w:tblW w:w="7787" w:type="dxa"/>
        <w:jc w:val="left"/>
        <w:tblInd w:w="0" w:type="dxa"/>
        <w:tblLayout w:type="fixed"/>
        <w:tblCellMar>
          <w:top w:w="0" w:type="dxa"/>
          <w:left w:w="0" w:type="dxa"/>
          <w:bottom w:w="0" w:type="dxa"/>
          <w:right w:w="0" w:type="dxa"/>
        </w:tblCellMar>
      </w:tblPr>
      <w:tblGrid>
        <w:gridCol w:w="2956"/>
        <w:gridCol w:w="346"/>
        <w:gridCol w:w="313"/>
        <w:gridCol w:w="626"/>
        <w:gridCol w:w="162"/>
        <w:gridCol w:w="313"/>
        <w:gridCol w:w="849"/>
        <w:gridCol w:w="109"/>
        <w:gridCol w:w="272"/>
        <w:gridCol w:w="543"/>
        <w:gridCol w:w="140"/>
        <w:gridCol w:w="272"/>
        <w:gridCol w:w="886"/>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877060" cy="175260"/>
                      <wp:effectExtent l="0" t="0" r="0" b="0"/>
                      <wp:wrapNone/>
                      <wp:docPr id="141" name="Frame141"/>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98755" cy="175260"/>
                      <wp:effectExtent l="0" t="0" r="0" b="0"/>
                      <wp:wrapNone/>
                      <wp:docPr id="143" name="Frame143"/>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97510" cy="175260"/>
                      <wp:effectExtent l="0" t="0" r="0" b="0"/>
                      <wp:wrapNone/>
                      <wp:docPr id="144" name="Frame144"/>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02870" cy="175260"/>
                      <wp:effectExtent l="0" t="0" r="0" b="0"/>
                      <wp:wrapNone/>
                      <wp:docPr id="145" name="Frame145"/>
                      <a:graphic xmlns:a="http://schemas.openxmlformats.org/drawingml/2006/main">
                        <a:graphicData uri="http://schemas.microsoft.com/office/word/2010/wordprocessingShape">
                          <wps:wsp>
                            <wps:cNvSpPr txBox="1"/>
                            <wps:spPr>
                              <a:xfrm>
                                <a:off x="0" y="0"/>
                                <a:ext cx="102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98755" cy="175260"/>
                      <wp:effectExtent l="0" t="0" r="0" b="0"/>
                      <wp:wrapNone/>
                      <wp:docPr id="146" name="Frame146"/>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39115" cy="175260"/>
                      <wp:effectExtent l="0" t="0" r="0" b="0"/>
                      <wp:wrapNone/>
                      <wp:docPr id="147" name="Frame147"/>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48"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72720" cy="175260"/>
                      <wp:effectExtent l="0" t="0" r="0" b="0"/>
                      <wp:wrapNone/>
                      <wp:docPr id="149" name="Frame149"/>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44805" cy="175260"/>
                      <wp:effectExtent l="0" t="0" r="0" b="0"/>
                      <wp:wrapNone/>
                      <wp:docPr id="150" name="Frame150"/>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88900" cy="175260"/>
                      <wp:effectExtent l="0" t="0" r="0" b="0"/>
                      <wp:wrapNone/>
                      <wp:docPr id="151" name="Frame151"/>
                      <a:graphic xmlns:a="http://schemas.openxmlformats.org/drawingml/2006/main">
                        <a:graphicData uri="http://schemas.microsoft.com/office/word/2010/wordprocessingShape">
                          <wps:wsp>
                            <wps:cNvSpPr txBox="1"/>
                            <wps:spPr>
                              <a:xfrm>
                                <a:off x="0" y="0"/>
                                <a:ext cx="88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72720" cy="175260"/>
                      <wp:effectExtent l="0" t="0" r="0" b="0"/>
                      <wp:wrapNone/>
                      <wp:docPr id="152" name="Frame152"/>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62610" cy="175260"/>
                      <wp:effectExtent l="0" t="0" r="0" b="0"/>
                      <wp:wrapNone/>
                      <wp:docPr id="153" name="Frame15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62" w:type="dxa"/>
            <w:tcBorders/>
            <w:vAlign w:val="center"/>
          </w:tcPr>
          <w:p>
            <w:pPr>
              <w:pStyle w:val="TableContents"/>
              <w:bidi w:val="0"/>
              <w:spacing w:before="0" w:after="1"/>
              <w:ind w:left="0" w:right="0" w:hanging="0"/>
              <w:jc w:val="center"/>
              <w:rPr/>
            </w:pPr>
            <w:r>
              <w:rPr/>
              <w:t>​</w:t>
            </w:r>
          </w:p>
        </w:tc>
        <w:tc>
          <w:tcPr>
            <w:tcW w:w="11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8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0" w:type="dxa"/>
            <w:tcBorders/>
            <w:vAlign w:val="center"/>
          </w:tcPr>
          <w:p>
            <w:pPr>
              <w:pStyle w:val="TableContents"/>
              <w:bidi w:val="0"/>
              <w:spacing w:before="0" w:after="1"/>
              <w:ind w:left="0" w:right="0" w:hanging="0"/>
              <w:jc w:val="center"/>
              <w:rPr/>
            </w:pPr>
            <w:r>
              <w:rPr/>
              <w:t>​</w:t>
            </w:r>
          </w:p>
        </w:tc>
        <w:tc>
          <w:tcPr>
            <w:tcW w:w="11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center"/>
              <w:rPr/>
            </w:pPr>
            <w:r>
              <w:rPr/>
              <w:t>​</w:t>
            </w:r>
          </w:p>
        </w:tc>
        <w:tc>
          <w:tcPr>
            <w:tcW w:w="162" w:type="dxa"/>
            <w:tcBorders/>
            <w:vAlign w:val="center"/>
          </w:tcPr>
          <w:p>
            <w:pPr>
              <w:pStyle w:val="TableContents"/>
              <w:bidi w:val="0"/>
              <w:spacing w:before="0" w:after="1"/>
              <w:ind w:left="0" w:right="0" w:hanging="0"/>
              <w:jc w:val="center"/>
              <w:rPr/>
            </w:pPr>
            <w:r>
              <w:rPr/>
              <w:t>​</w:t>
            </w:r>
          </w:p>
        </w:tc>
        <w:tc>
          <w:tcPr>
            <w:tcW w:w="313"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center"/>
              <w:rPr/>
            </w:pPr>
            <w:r>
              <w:rPr/>
              <w:t>​</w:t>
            </w:r>
          </w:p>
        </w:tc>
        <w:tc>
          <w:tcPr>
            <w:tcW w:w="140" w:type="dxa"/>
            <w:tcBorders/>
            <w:vAlign w:val="center"/>
          </w:tcPr>
          <w:p>
            <w:pPr>
              <w:pStyle w:val="TableContents"/>
              <w:bidi w:val="0"/>
              <w:spacing w:before="0" w:after="1"/>
              <w:ind w:left="0" w:right="0" w:hanging="0"/>
              <w:jc w:val="center"/>
              <w:rPr/>
            </w:pPr>
            <w:r>
              <w:rPr/>
              <w:t>​</w:t>
            </w:r>
          </w:p>
        </w:tc>
        <w:tc>
          <w:tcPr>
            <w:tcW w:w="272"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346" w:type="dxa"/>
            <w:tcBorders/>
            <w:shd w:fill="CCEEFF" w:val="clear"/>
            <w:vAlign w:val="center"/>
          </w:tcPr>
          <w:p>
            <w:pPr>
              <w:pStyle w:val="TableContents"/>
              <w:bidi w:val="0"/>
              <w:spacing w:before="0" w:after="1"/>
              <w:ind w:left="0" w:right="0" w:hanging="0"/>
              <w:jc w:val="left"/>
              <w:rPr/>
            </w:pPr>
            <w:r>
              <w:rPr/>
              <w:t>  ​ ​ ​</w:t>
            </w:r>
          </w:p>
        </w:tc>
        <w:tc>
          <w:tcPr>
            <w:tcW w:w="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162"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w:t>
            </w:r>
          </w:p>
        </w:tc>
        <w:tc>
          <w:tcPr>
            <w:tcW w:w="109"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140"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1"/>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c>
          <w:tcPr>
            <w:tcW w:w="162" w:type="dxa"/>
            <w:tcBorders/>
            <w:vAlign w:val="center"/>
          </w:tcPr>
          <w:p>
            <w:pPr>
              <w:pStyle w:val="TableContents"/>
              <w:bidi w:val="0"/>
              <w:spacing w:before="0" w:after="1"/>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w:t>
            </w:r>
          </w:p>
        </w:tc>
        <w:tc>
          <w:tcPr>
            <w:tcW w:w="109" w:type="dxa"/>
            <w:tcBorders/>
            <w:vAlign w:val="center"/>
          </w:tcPr>
          <w:p>
            <w:pPr>
              <w:pStyle w:val="TableContents"/>
              <w:bidi w:val="0"/>
              <w:spacing w:before="0" w:after="1"/>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w:t>
            </w:r>
          </w:p>
        </w:tc>
        <w:tc>
          <w:tcPr>
            <w:tcW w:w="140" w:type="dxa"/>
            <w:tcBorders/>
            <w:vAlign w:val="center"/>
          </w:tcPr>
          <w:p>
            <w:pPr>
              <w:pStyle w:val="TableContents"/>
              <w:bidi w:val="0"/>
              <w:spacing w:before="0" w:after="1"/>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1,602</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3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w:t>
            </w:r>
          </w:p>
        </w:tc>
        <w:tc>
          <w:tcPr>
            <w:tcW w:w="162" w:type="dxa"/>
            <w:tcBorders/>
            <w:shd w:fill="CCEEFF" w:val="clear"/>
            <w:vAlign w:val="center"/>
          </w:tcPr>
          <w:p>
            <w:pPr>
              <w:pStyle w:val="TableContents"/>
              <w:bidi w:val="0"/>
              <w:spacing w:before="0" w:after="1"/>
              <w:ind w:left="0" w:right="0" w:hanging="0"/>
              <w:jc w:val="left"/>
              <w:rPr/>
            </w:pPr>
            <w:r>
              <w:rPr/>
              <w:t>​</w:t>
            </w:r>
          </w:p>
        </w:tc>
        <w:tc>
          <w:tcPr>
            <w:tcW w:w="3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1,556</w:t>
            </w:r>
          </w:p>
        </w:tc>
        <w:tc>
          <w:tcPr>
            <w:tcW w:w="109" w:type="dxa"/>
            <w:tcBorders/>
            <w:shd w:fill="CCEEFF" w:val="clear"/>
            <w:vAlign w:val="center"/>
          </w:tcPr>
          <w:p>
            <w:pPr>
              <w:pStyle w:val="TableContents"/>
              <w:bidi w:val="0"/>
              <w:spacing w:before="0" w:after="1"/>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793</w:t>
            </w:r>
          </w:p>
        </w:tc>
        <w:tc>
          <w:tcPr>
            <w:tcW w:w="140" w:type="dxa"/>
            <w:tcBorders/>
            <w:shd w:fill="CCEEFF" w:val="clear"/>
            <w:vAlign w:val="center"/>
          </w:tcPr>
          <w:p>
            <w:pPr>
              <w:pStyle w:val="TableContents"/>
              <w:bidi w:val="0"/>
              <w:spacing w:before="0" w:after="1"/>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1,736</w:t>
            </w:r>
          </w:p>
        </w:tc>
      </w:tr>
    </w:tbl>
    <w:p>
      <w:pPr>
        <w:pStyle w:val="TextBody"/>
        <w:bidi w:val="0"/>
        <w:spacing w:before="0" w:after="240"/>
        <w:ind w:left="0" w:right="0" w:hanging="0"/>
        <w:jc w:val="left"/>
        <w:rPr/>
      </w:pPr>
      <w:r>
        <w:rPr/>
        <w:t>​</w:t>
      </w:r>
    </w:p>
    <w:p>
      <w:pPr>
        <w:pStyle w:val="TextBody"/>
        <w:bidi w:val="0"/>
        <w:spacing w:before="0" w:after="200"/>
        <w:ind w:left="360" w:right="0" w:firstLine="360"/>
        <w:jc w:val="left"/>
        <w:rPr>
          <w:rFonts w:ascii="Times New Roman;Times;serif" w:hAnsi="Times New Roman;Times;serif"/>
          <w:b/>
          <w:sz w:val="20"/>
        </w:rPr>
      </w:pPr>
      <w:r>
        <w:rPr>
          <w:rFonts w:ascii="Times New Roman;Times;serif" w:hAnsi="Times New Roman;Times;serif"/>
          <w:b/>
          <w:sz w:val="20"/>
        </w:rPr>
        <w:t>2020 Employee Stock Purchase Plan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Company’s 2020 Employee Stock Purchase Plan (the “ESPP”) was also approved and became effective at the Company’s 2020 annual meeting of stockholders on May 20, 2020. The ESPP is designed to assist eligible employees of the Company with the opportunity to purchase the Company’s common stock at a discount through accumulated payroll deductions during successive offering periods. The aggregate number of shares that were initially available to be issued pursuant to rights granted under the ESPP was 6 shares of common stock. In addition, the number of shares available for issuance under the ESPP increases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of Directors. The number of shares that may be issued or transferred pursuant to rights granted under the component of the ESPP that is intended to qualify for favorable U.S. federal tax treatment under Section 423 of the Internal Revenue Code (the “Section 423 Component”) shall not exceed 31 shares. The purchase price will be determined by the administrator of the ESPP and, for purposes of the Section 423 Component, shall not be less than 85% of the fair value of a share on the first trading day or on the last trading day of the applicable offering period, whichever is lower. The shares available for issuance under the ESPP increased by 224 shares and 31 shares on January 1, 2026 and 2025, respectively. To date, no shares have been sold under the ESPP. There were 330 shares available for issuance as of June 30, 2026.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13. Leases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BTI leases office space for its corporate headquarters at 555 Long Wharf Drive, New Haven, Connecticut (the “HQ Lease”) under an operating lease that was set to expire in February 2026. The Company did not exercise the option to renew the HQ Lease for an additional five-year term.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Prior to the expiration of the HQ Lease, on February 17, 2026, the Company agreed to amend the HQ lease agreement. The amendment extends the lease on a month-to-month basis with a continued monthly base rent payment of $33. As the lease is now on a month-to-month basis, the Company has accounted for the arrangement as a short-term lease and no right-of-use asset or lease liability has been recorded.</w:t>
      </w:r>
    </w:p>
    <w:p>
      <w:pPr>
        <w:pStyle w:val="TextBody"/>
        <w:bidi w:val="0"/>
        <w:spacing w:before="0" w:after="0"/>
        <w:ind w:left="0" w:right="0" w:firstLine="360"/>
        <w:jc w:val="left"/>
        <w:rPr>
          <w:shd w:fill="FFFF00" w:val="clear"/>
        </w:rPr>
      </w:pPr>
      <w:r>
        <w:rPr>
          <w:shd w:fill="FFFF00" w:val="clea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Lease expense was $101 and $101 for the three months ended June 30, 2026 and 2025, respectively, and $204 and $202 for the six months ended June 30, 2026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768" w:name="Tc_FzycLab390K-GTewTFYcOg_10_5"/>
      <w:bookmarkStart w:id="769" w:name="Tc_4fwlQ0VvS0SL_JCl7Zkz3Q_10_2"/>
      <w:bookmarkStart w:id="770" w:name="Tc_JAn-ooVc606xtO0Jmz0bkw_10_0"/>
      <w:bookmarkStart w:id="771" w:name="Tc_5cIckqZ0REqmGNfCcIANOw_8_0"/>
      <w:bookmarkStart w:id="772" w:name="Tc_Vcoq5xjUiU-VnO0FPj2-Ew_7_0"/>
      <w:bookmarkStart w:id="773" w:name="Tc_xo5NFHm6kkuJ3XpQH0oEvg_6_0"/>
      <w:bookmarkStart w:id="774" w:name="Tc_mdAiz6MZmkWPYOXgoaBRsQ_5_5"/>
      <w:bookmarkStart w:id="775" w:name="Tc_x-hXSrjzPkCfJtElJZUXDA_5_2"/>
      <w:bookmarkStart w:id="776" w:name="Tc_PX7_fKbhYUStq2t1W-FL8A_5_0"/>
      <w:bookmarkStart w:id="777" w:name="Tc_2tYq6wl-_UO3bZr-M8BirQ_3_5"/>
      <w:bookmarkStart w:id="778" w:name="Tc_tU96uagMsUi0i0nGAoQ9DQ_3_2"/>
      <w:bookmarkStart w:id="779" w:name="Tc_RG1pSMfYz0i5b_tDY0flrQ_2_2"/>
      <w:bookmarkStart w:id="780" w:name="Tc_s754X_XScEaPYFIwt049Ug_1_2"/>
      <w:bookmarkStart w:id="781" w:name="Tc_X_cI7Pi7F0GWwMaSVBFGfw_8_11"/>
      <w:bookmarkStart w:id="782" w:name="Tc__ZHltKFmFkmXvQWYMsTwYA_8_8"/>
      <w:bookmarkStart w:id="783" w:name="Tc_9Fu60UibY0mmmE49-SOvhQ_8_5"/>
      <w:bookmarkStart w:id="784" w:name="Tc_QpYwMIh8WkmfD96fdH4B7A_8_2"/>
      <w:bookmarkStart w:id="785" w:name="Tc_8Drn1ekXeEqrHCoadFI9Ew_8_0"/>
      <w:bookmarkStart w:id="786" w:name="Tc_eXpcXGOZ2EyKeoCkQ9Ulfg_7_0"/>
      <w:bookmarkStart w:id="787" w:name="Tc_YYqSrQliH0CVpBE0iYW_2A_6_11"/>
      <w:bookmarkStart w:id="788" w:name="Tc_iElrcLhMz0Go-nKdyLFueA_6_8"/>
      <w:bookmarkStart w:id="789" w:name="Tc_GpLaHA50XEScEtF10Z8n6Q_6_5"/>
      <w:bookmarkStart w:id="790" w:name="Tc_mRcgSiYJcUy03jAOVNokSA_6_2"/>
      <w:bookmarkStart w:id="791" w:name="Tc_SCdaphF_lEWWn49D7qglNA_6_0"/>
      <w:bookmarkStart w:id="792" w:name="Tc_Ae3NZ-qQ20Odh1L8Yy226w_4_11"/>
      <w:bookmarkStart w:id="793" w:name="Tc_HVw52BVY_kayFNgJXFixRw_4_8"/>
      <w:bookmarkStart w:id="794" w:name="Tc_6h8jVDFab02IyY7xr0v3cQ_4_5"/>
      <w:bookmarkStart w:id="795" w:name="Tc_ppyIILjhDUScT1gCWbQgvg_4_2"/>
      <w:bookmarkStart w:id="796" w:name="Tc_rYsAwJdab0aKB9uzF0K4nQ_2_2"/>
      <w:bookmarkStart w:id="797" w:name="Tc_ry6bcPTepUCosRGVVILjwg_1_2"/>
      <w:bookmarkStart w:id="798" w:name="_dac1b6b1_54b7_497c_8cbd_ff29fec29f19"/>
      <w:bookmarkStart w:id="799" w:name="Tc_fwlGm9FVYkuu4b639PjZ0g_7_11"/>
      <w:bookmarkStart w:id="800" w:name="Tc_dF5vAkHayEqZLoVSQNru6A_7_8"/>
      <w:bookmarkStart w:id="801" w:name="Tc_fQGFjRtmRUOYkY0Zy9l6pg_7_5"/>
      <w:bookmarkStart w:id="802" w:name="Tc_QGkqle9xEkGAsQxxDJNFHQ_7_2"/>
      <w:bookmarkStart w:id="803" w:name="Tc_hZY3_BPgSUaDtRLt3ACWXQ_7_0"/>
      <w:bookmarkStart w:id="804" w:name="Tc__p-lMp77MEW7MBJkiK2hdg_6_0"/>
      <w:bookmarkStart w:id="805" w:name="Tc_i_qa4SdLbU6Whgz65j9pAA_5_11"/>
      <w:bookmarkStart w:id="806" w:name="Tc_GrwDDUJEqkKEcu-n0MjJYQ_5_8"/>
      <w:bookmarkStart w:id="807" w:name="Tc_-RJZxfKhvkih0EBunGDddA_5_5"/>
      <w:bookmarkStart w:id="808" w:name="Tc_gVSZRxy70EaOmW0XxiTMTA_5_2"/>
      <w:bookmarkStart w:id="809" w:name="Tc_hyBhfEoD10exmaqzsgEzZw_5_0"/>
      <w:bookmarkStart w:id="810" w:name="Tc_60Pj3GqckUiPiDby0rVh_A_3_11"/>
      <w:bookmarkStart w:id="811" w:name="Tc_0RAD_Ya06UagBQIUbhZdAA_3_8"/>
      <w:bookmarkStart w:id="812" w:name="Tc_ZWI4MS_H2kmi6bzgutExAw_3_5"/>
      <w:bookmarkStart w:id="813" w:name="Tc_hxhhnCryDkG8QMKT2_gZkw_3_2"/>
      <w:bookmarkStart w:id="814" w:name="Tc_irQ_LQIpnkG_VTW09PZMSQ_2_2"/>
      <w:bookmarkStart w:id="815" w:name="Tc_QtbIBC56v06ndkm38DcQSw_1_2"/>
      <w:bookmarkStart w:id="816" w:name="_84b72567_fbbd_4dbd_88bd_5f5e55403672"/>
      <w:bookmarkStart w:id="817" w:name="_de3d8d3b_0e4a_4425_b696_080a14965b6a_3"/>
      <w:bookmarkStart w:id="818" w:name="_de3d8d3b_0e4a_4425_b696_080a14965b6a_2"/>
      <w:bookmarkStart w:id="819" w:name="_de3d8d3b_0e4a_4425_b696_080a14965b6a"/>
      <w:bookmarkStart w:id="820" w:name="_f2c5f40f_e0c0_4843_bcec_fbfb245323bf_3"/>
      <w:bookmarkStart w:id="821" w:name="_f2c5f40f_e0c0_4843_bcec_fbfb245323bf_2"/>
      <w:bookmarkStart w:id="822" w:name="_f2c5f40f_e0c0_4843_bcec_fbfb245323bf"/>
      <w:bookmarkStart w:id="823" w:name="_f90fadbe_5b0e_4c45_bed1_c326c3b48240_3"/>
      <w:bookmarkStart w:id="824" w:name="_f90fadbe_5b0e_4c45_bed1_c326c3b48240_2"/>
      <w:bookmarkStart w:id="825" w:name="_f90fadbe_5b0e_4c45_bed1_c326c3b48240"/>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r>
        <w:rPr>
          <w:rFonts w:ascii="Times New Roman;Times;serif" w:hAnsi="Times New Roman;Times;serif"/>
          <w:b/>
          <w:sz w:val="20"/>
        </w:rPr>
        <w:t>Note 14. Fair Value Measurements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Company groups its assets and liabilities measured at fair value in three levels based on the nature of the inputs and assumptions used to determine fair value. Refer to Note 3, </w:t>
      </w:r>
      <w:r>
        <w:rPr>
          <w:rFonts w:ascii="Times New Roman;Times;serif" w:hAnsi="Times New Roman;Times;serif"/>
          <w:i/>
          <w:sz w:val="20"/>
        </w:rPr>
        <w:t>Summary of Significant Accounting Policies</w:t>
      </w:r>
      <w:r>
        <w:rPr>
          <w:rFonts w:ascii="Times New Roman;Times;serif" w:hAnsi="Times New Roman;Times;serif"/>
          <w:sz w:val="20"/>
        </w:rPr>
        <w:t>, within the Company’s Annual Report on Form 10-K for the year ended December 31, 2025 for additional information on the accounting policies related to fair value.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carrying amounts of cash and cash equivalents, accounts receivable, net, and accounts payable approximate fair value due to the short-term nature of these instruments. As of June 30, 2026 and December 31, 2025, the Company had $12,624 and $27,085, respectively, primarily in money market funds that hold U.S. government cash equivalent instruments (included in cash and cash equivalents) which were valued based on Level 1 inputs. There were no transfers between levels within the hierarchy during the three and six months ended June 30, 2026 and the year ended December 31, 2025.</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Derivative liabilities measured at fair value on a recurring basis are summarized below.</w:t>
      </w:r>
    </w:p>
    <w:p>
      <w:pPr>
        <w:pStyle w:val="TextBody"/>
        <w:bidi w:val="0"/>
        <w:spacing w:before="0" w:after="0"/>
        <w:ind w:left="0" w:right="0" w:hanging="0"/>
        <w:jc w:val="left"/>
        <w:rPr/>
      </w:pPr>
      <w:r>
        <w:rPr/>
        <w:t>​</w:t>
      </w:r>
    </w:p>
    <w:tbl>
      <w:tblPr>
        <w:tblW w:w="6873" w:type="dxa"/>
        <w:jc w:val="left"/>
        <w:tblInd w:w="0" w:type="dxa"/>
        <w:tblLayout w:type="fixed"/>
        <w:tblCellMar>
          <w:top w:w="0" w:type="dxa"/>
          <w:left w:w="0" w:type="dxa"/>
          <w:bottom w:w="0" w:type="dxa"/>
          <w:right w:w="0" w:type="dxa"/>
        </w:tblCellMar>
      </w:tblPr>
      <w:tblGrid>
        <w:gridCol w:w="3496"/>
        <w:gridCol w:w="109"/>
        <w:gridCol w:w="239"/>
        <w:gridCol w:w="391"/>
        <w:gridCol w:w="109"/>
        <w:gridCol w:w="211"/>
        <w:gridCol w:w="571"/>
        <w:gridCol w:w="109"/>
        <w:gridCol w:w="211"/>
        <w:gridCol w:w="421"/>
        <w:gridCol w:w="109"/>
        <w:gridCol w:w="211"/>
        <w:gridCol w:w="68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219960" cy="175260"/>
                      <wp:effectExtent l="0" t="0" r="0" b="0"/>
                      <wp:wrapNone/>
                      <wp:docPr id="154" name="Frame154"/>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51765" cy="175260"/>
                      <wp:effectExtent l="0" t="0" r="0" b="0"/>
                      <wp:wrapNone/>
                      <wp:docPr id="156" name="Frame15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48285" cy="175260"/>
                      <wp:effectExtent l="0" t="0" r="0" b="0"/>
                      <wp:wrapNone/>
                      <wp:docPr id="157" name="Frame15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62585" cy="175260"/>
                      <wp:effectExtent l="0" t="0" r="0" b="0"/>
                      <wp:wrapNone/>
                      <wp:docPr id="160" name="Frame16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67335" cy="175260"/>
                      <wp:effectExtent l="0" t="0" r="0" b="0"/>
                      <wp:wrapNone/>
                      <wp:docPr id="163" name="Frame16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4"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35610" cy="175260"/>
                      <wp:effectExtent l="0" t="0" r="0" b="0"/>
                      <wp:wrapNone/>
                      <wp:docPr id="166" name="Frame166"/>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3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0"/>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0"/>
              <w:ind w:left="0" w:right="0" w:hanging="0"/>
              <w:jc w:val="left"/>
              <w:rPr/>
            </w:pPr>
            <w:r>
              <w:rPr/>
              <w:t>​</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 - BTI Warrants</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7,110</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 - OnkosXcel Warrants</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derivative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7,110</w:t>
            </w:r>
          </w:p>
        </w:tc>
      </w:tr>
    </w:tbl>
    <w:p>
      <w:pPr>
        <w:pStyle w:val="TextBody"/>
        <w:bidi w:val="0"/>
        <w:spacing w:before="0" w:after="200"/>
        <w:ind w:left="0" w:right="0" w:firstLine="446"/>
        <w:jc w:val="left"/>
        <w:rPr/>
      </w:pPr>
      <w:r>
        <w:rPr/>
        <w:t>​</w:t>
      </w:r>
    </w:p>
    <w:tbl>
      <w:tblPr>
        <w:tblW w:w="6873" w:type="dxa"/>
        <w:jc w:val="left"/>
        <w:tblInd w:w="0" w:type="dxa"/>
        <w:tblLayout w:type="fixed"/>
        <w:tblCellMar>
          <w:top w:w="0" w:type="dxa"/>
          <w:left w:w="0" w:type="dxa"/>
          <w:bottom w:w="0" w:type="dxa"/>
          <w:right w:w="0" w:type="dxa"/>
        </w:tblCellMar>
      </w:tblPr>
      <w:tblGrid>
        <w:gridCol w:w="3496"/>
        <w:gridCol w:w="109"/>
        <w:gridCol w:w="239"/>
        <w:gridCol w:w="391"/>
        <w:gridCol w:w="109"/>
        <w:gridCol w:w="211"/>
        <w:gridCol w:w="571"/>
        <w:gridCol w:w="109"/>
        <w:gridCol w:w="211"/>
        <w:gridCol w:w="421"/>
        <w:gridCol w:w="109"/>
        <w:gridCol w:w="211"/>
        <w:gridCol w:w="68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219960" cy="175260"/>
                      <wp:effectExtent l="0" t="0" r="0" b="0"/>
                      <wp:wrapNone/>
                      <wp:docPr id="167" name="Frame167"/>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51765" cy="175260"/>
                      <wp:effectExtent l="0" t="0" r="0" b="0"/>
                      <wp:wrapNone/>
                      <wp:docPr id="169" name="Frame16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48285" cy="175260"/>
                      <wp:effectExtent l="0" t="0" r="0" b="0"/>
                      <wp:wrapNone/>
                      <wp:docPr id="170" name="Frame17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1"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62585" cy="175260"/>
                      <wp:effectExtent l="0" t="0" r="0" b="0"/>
                      <wp:wrapNone/>
                      <wp:docPr id="173" name="Frame17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4"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67335" cy="175260"/>
                      <wp:effectExtent l="0" t="0" r="0" b="0"/>
                      <wp:wrapNone/>
                      <wp:docPr id="176" name="Frame17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78"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35610" cy="175260"/>
                      <wp:effectExtent l="0" t="0" r="0" b="0"/>
                      <wp:wrapNone/>
                      <wp:docPr id="179" name="Frame179"/>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3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0"/>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0"/>
              <w:ind w:left="0" w:right="0" w:hanging="0"/>
              <w:jc w:val="left"/>
              <w:rPr/>
            </w:pPr>
            <w:r>
              <w:rPr/>
              <w:t>​</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 - BTI Warrants</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 - OnkosXcel Warrants</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derivative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1,790</w:t>
            </w:r>
          </w:p>
        </w:tc>
      </w:tr>
    </w:tbl>
    <w:p>
      <w:pPr>
        <w:pStyle w:val="TextBody"/>
        <w:bidi w:val="0"/>
        <w:spacing w:before="0" w:after="0"/>
        <w:ind w:left="0" w:right="0" w:firstLine="446"/>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Derivative liabilities are comprised of the OnkosXcel Warrants, BTI Warrants, and Option Warrants. The fair value of the derivative liabilities was determined using Binomial Option Pricing and Distribution models for the OnkosXcel Warrants and Option Warrants, and the Black Scholes model was used for the BTI Warrants.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presents changes in Level 3 liabilities measured at fair value for the six months ended June 30, 2026 and 2025. Both observable and unobservable inputs were used to determine the fair value of positions that the Company has classified within the Level 3 category.</w:t>
      </w:r>
    </w:p>
    <w:p>
      <w:pPr>
        <w:pStyle w:val="TextBody"/>
        <w:bidi w:val="0"/>
        <w:spacing w:before="0" w:after="0"/>
        <w:ind w:left="0" w:right="0" w:hanging="0"/>
        <w:jc w:val="left"/>
        <w:rPr/>
      </w:pPr>
      <w:r>
        <w:rPr/>
        <w:t>​</w:t>
      </w:r>
    </w:p>
    <w:tbl>
      <w:tblPr>
        <w:tblW w:w="9043" w:type="dxa"/>
        <w:jc w:val="left"/>
        <w:tblInd w:w="0" w:type="dxa"/>
        <w:tblLayout w:type="fixed"/>
        <w:tblCellMar>
          <w:top w:w="0" w:type="dxa"/>
          <w:left w:w="0" w:type="dxa"/>
          <w:bottom w:w="0" w:type="dxa"/>
          <w:right w:w="0" w:type="dxa"/>
        </w:tblCellMar>
      </w:tblPr>
      <w:tblGrid>
        <w:gridCol w:w="7126"/>
        <w:gridCol w:w="109"/>
        <w:gridCol w:w="211"/>
        <w:gridCol w:w="541"/>
        <w:gridCol w:w="109"/>
        <w:gridCol w:w="211"/>
        <w:gridCol w:w="736"/>
      </w:tblGrid>
      <w:tr>
        <w:trPr/>
        <w:tc>
          <w:tcPr>
            <w:tcW w:w="7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525010" cy="175260"/>
                      <wp:effectExtent l="0" t="0" r="0" b="0"/>
                      <wp:wrapNone/>
                      <wp:docPr id="180" name="Frame180"/>
                      <a:graphic xmlns:a="http://schemas.openxmlformats.org/drawingml/2006/main">
                        <a:graphicData uri="http://schemas.microsoft.com/office/word/2010/wordprocessingShape">
                          <wps:wsp>
                            <wps:cNvSpPr txBox="1"/>
                            <wps:spPr>
                              <a:xfrm>
                                <a:off x="0" y="0"/>
                                <a:ext cx="452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81"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343535" cy="175260"/>
                      <wp:effectExtent l="0" t="0" r="0" b="0"/>
                      <wp:wrapNone/>
                      <wp:docPr id="183" name="Frame18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260"/>
                      <wp:effectExtent l="0" t="0" r="0" b="0"/>
                      <wp:wrapNone/>
                      <wp:docPr id="184"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67360" cy="175260"/>
                      <wp:effectExtent l="0" t="0" r="0" b="0"/>
                      <wp:wrapNone/>
                      <wp:docPr id="186" name="Frame18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color w:val="0563C1"/>
              </w:rPr>
            </w:pPr>
            <w:r>
              <w:rPr>
                <w:color w:val="0563C1"/>
              </w:rPr>
              <w:t>​</w:t>
            </w:r>
          </w:p>
        </w:tc>
        <w:tc>
          <w:tcPr>
            <w:tcW w:w="180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712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color w:val="0563C1"/>
              </w:rPr>
            </w:pPr>
            <w:r>
              <w:rPr>
                <w:color w:val="0563C1"/>
              </w:rPr>
              <w:t>​</w:t>
            </w:r>
          </w:p>
        </w:tc>
        <w:tc>
          <w:tcPr>
            <w:tcW w:w="18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71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0563C1"/>
              </w:rPr>
            </w:pPr>
            <w:r>
              <w:rPr>
                <w:color w:val="0563C1"/>
              </w:rPr>
              <w:t>​</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liabilities, Balance - January 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 of derivative liabilities - BTI Warrant (March 2025 Accompanying Warrants)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2,831</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 of derivative liabilities - Option Warrant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Termination of derivative liabilities - Option Warrant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liabilities, Balance - June 30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1,015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bookmarkStart w:id="826" w:name="Tc_rkgEwsMdKU-7PNcKo2f7rQ_16_0"/>
      <w:bookmarkStart w:id="827" w:name="Tc_9qMH-CA1k0-1OZzeKGeShg_15_11"/>
      <w:bookmarkStart w:id="828" w:name="Tc_AAJvcZiHv0WOmF_alwfoYQ_15_6"/>
      <w:bookmarkStart w:id="829" w:name="Tc_vgnShSWKf0-gXpr0ekxY3w_15_4"/>
      <w:bookmarkStart w:id="830" w:name="Tc_sAd6rqLk0Eay0pfqnGT0Bg_15_2"/>
      <w:bookmarkStart w:id="831" w:name="Tc_d_LU1hjAUEiyWT9SU5SfaA_15_0"/>
      <w:bookmarkStart w:id="832" w:name="Tc_Dx2En8w8wUeaBQ37qO2org_14_11"/>
      <w:bookmarkStart w:id="833" w:name="Tc_nq7lNTES-USU0tlBR1qb6A_14_6"/>
      <w:bookmarkStart w:id="834" w:name="Tc_x3S63XPh9E-0ynA6FmoUkg_14_4"/>
      <w:bookmarkStart w:id="835" w:name="Tc_3nOJKSO9SUO-liwSVYmmoQ_14_2"/>
      <w:bookmarkStart w:id="836" w:name="Tc_ihN-xXBbREK3k2Lj41KSwA_14_0"/>
      <w:bookmarkStart w:id="837" w:name="Tc_zoMX-TFqLEmupj_XLZ-nXw_13_11"/>
      <w:bookmarkStart w:id="838" w:name="Tc_lS28xhlD-0as2_0_bLJ8GQ_13_6"/>
      <w:bookmarkStart w:id="839" w:name="Tc_LrTQTVdHe0mF82ahPFcbJQ_13_4"/>
      <w:bookmarkStart w:id="840" w:name="Tc_8GfxEEemk0KxVlcDK2xsiw_13_2"/>
      <w:bookmarkStart w:id="841" w:name="Tc_Z-Iau522Mkuqg8KsYezZ7Q_13_0"/>
      <w:bookmarkStart w:id="842" w:name="Tc_3vFx6ARmwES2_m9WOsuBiw_12_11"/>
      <w:bookmarkStart w:id="843" w:name="Tc_9r9elN3nbE2CqSZ9U8_fMA_12_6"/>
      <w:bookmarkStart w:id="844" w:name="Tc_E9uO1AgBKEKBg2uEZAD74A_12_4"/>
      <w:bookmarkStart w:id="845" w:name="Tc_wqgQ8Kid40OJKE3lsw5O4Q_12_2"/>
      <w:bookmarkStart w:id="846" w:name="Tc_bqLLrWYhwUS_4kdqz8vUFg_12_0"/>
      <w:bookmarkStart w:id="847" w:name="Tc_3u8OtgyD3U2KPL7fg_0ZJQ_11_11"/>
      <w:bookmarkStart w:id="848" w:name="Tc_PFhrDTs-60Gqkw5CrmM57w_11_6"/>
      <w:bookmarkStart w:id="849" w:name="Tc_UW3Mt0-8wk6Iqjs2_Dqmvg_11_4"/>
      <w:bookmarkStart w:id="850" w:name="Tc_Oh13a6BlI0er23oxtFGCQA_11_2"/>
      <w:bookmarkStart w:id="851" w:name="Tc_isu9vuL9eUGcHFKO-mMd6Q_11_0"/>
      <w:bookmarkStart w:id="852" w:name="Tc_ckZQDWC2OkeGJpJaI2gyVA_10_11"/>
      <w:bookmarkStart w:id="853" w:name="Tc_lwlpRlsaJk-ogMRVmR6TYw_10_6"/>
      <w:bookmarkStart w:id="854" w:name="Tc_hSq1koHcEk-M2Ujhfk_zJQ_10_4"/>
      <w:bookmarkStart w:id="855" w:name="Tc_BD-iESMS30mmwVB6AMuhDA_10_2"/>
      <w:bookmarkStart w:id="856" w:name="Tc_ihTa7NYdA0OjkVtLNX4KHw_10_0"/>
      <w:bookmarkStart w:id="857" w:name="Tc_UMlfeizxgUKSeoRoq3OGLQ_9_11"/>
      <w:bookmarkStart w:id="858" w:name="Tc_liGT1aKFBE65U1_QlQqEyA_9_6"/>
      <w:bookmarkStart w:id="859" w:name="Tc_fBa8-VLhQ0ejF4f4tQLKqQ_9_4"/>
      <w:bookmarkStart w:id="860" w:name="Tc_iHc375pTKkGPKCdprLFVxg_9_2"/>
      <w:bookmarkStart w:id="861" w:name="Tc_u810e209IkSxQ71K83UQKg_9_0"/>
      <w:bookmarkStart w:id="862" w:name="Tc_HM9pjXFeCEmIM9-Rc5efVw_8_11"/>
      <w:bookmarkStart w:id="863" w:name="Tc_FffVTONBYUyhw2u2tXXqLw_8_6"/>
      <w:bookmarkStart w:id="864" w:name="Tc_sWYi7PuTjEC6-O7tsjsBLA_8_4"/>
      <w:bookmarkStart w:id="865" w:name="Tc_TAx6HTGCLEaCqPIwjMfBdQ_8_2"/>
      <w:bookmarkStart w:id="866" w:name="Tc_9vOTkjmn3EC8_BdqG3itcg_8_0"/>
      <w:bookmarkStart w:id="867" w:name="Tc_gg8983-o5ki4RKklrbM0qQ_7_11"/>
      <w:bookmarkStart w:id="868" w:name="Tc_8cwXpGv4N0KDc9NVHSugJg_7_6"/>
      <w:bookmarkStart w:id="869" w:name="Tc_v31Rg6-j3keOu19lEwaUEw_7_4"/>
      <w:bookmarkStart w:id="870" w:name="Tc_bMxqGqfvQUuCiXuUJUKspg_7_2"/>
      <w:bookmarkStart w:id="871" w:name="Tc_R825JOYX9kaWZjugalCRBw_7_0"/>
      <w:bookmarkStart w:id="872" w:name="Tc_m3lk1nwgOku_i7YHmc16Tg_6_11"/>
      <w:bookmarkStart w:id="873" w:name="Tc_34YfFEj0GkOdsz11fSn99g_6_6"/>
      <w:bookmarkStart w:id="874" w:name="Tc_vJwULiwor0exKM_6e49iHQ_6_4"/>
      <w:bookmarkStart w:id="875" w:name="Tc_oIwRLURH9U2yo8Rn4kTu5g_6_2"/>
      <w:bookmarkStart w:id="876" w:name="Tc_eG5YgiyHKUS7ty0zsQ8z6Q_6_0"/>
      <w:bookmarkStart w:id="877" w:name="Tc_qh3esZvwY0yH84Wdqa3wJg_5_11"/>
      <w:bookmarkStart w:id="878" w:name="Tc_sGMLY6Zpm0SiHYX9suFsKg_5_6"/>
      <w:bookmarkStart w:id="879" w:name="Tc_uaDkg8-kLEe74CaBzvQM2Q_5_4"/>
      <w:bookmarkStart w:id="880" w:name="Tc_ree8VblRfEqBZX0uQaBQCw_5_2"/>
      <w:bookmarkStart w:id="881" w:name="Tc_H1jYzExB0kioO4NVcj3neA_5_0"/>
      <w:bookmarkStart w:id="882" w:name="Tc_xiYsajeMo06k-zJ0gtSKfQ_4_11"/>
      <w:bookmarkStart w:id="883" w:name="Tc_FpUcfXUepUqNrSbZH1zIiw_4_6"/>
      <w:bookmarkStart w:id="884" w:name="Tc_KQN7i4AMGEGWoQayqtrrGg_4_4"/>
      <w:bookmarkStart w:id="885" w:name="Tc_o_V_3B9Us02vFQRqRmWHHg_4_2"/>
      <w:bookmarkStart w:id="886" w:name="Tc_krrKR7DRVkKWZ91Xr8B3FA_4_0"/>
      <w:bookmarkStart w:id="887" w:name="Tc_zl0utUfm60SBoHrxQz41PA_3_11"/>
      <w:bookmarkStart w:id="888" w:name="Tc_nmlyyS1EPUG1P-rQTc_xcQ_3_6"/>
      <w:bookmarkStart w:id="889" w:name="Tc_V7_n7oLnKEuoxUNSrBEl-A_3_4"/>
      <w:bookmarkStart w:id="890" w:name="Tc_jTHtX6jR5UG73Uabe-4svQ_3_2"/>
      <w:bookmarkStart w:id="891" w:name="Tc_VbOyCEaF0UmoElkpL634kA_3_0"/>
      <w:bookmarkStart w:id="892" w:name="Tc_xdcJfo88ZUm7yPymeevHMA_1_11"/>
      <w:bookmarkStart w:id="893" w:name="Tc_vbpEnPERZkCiiBLDI9g_2g_1_9"/>
      <w:bookmarkStart w:id="894" w:name="Tc__tf-ZdYBDU60NIgKNpH7XA_1_6"/>
      <w:bookmarkStart w:id="895" w:name="Tc_zJ-GBWABHkCY7sTlSey6iw_1_4"/>
      <w:bookmarkStart w:id="896" w:name="Tc_fVWm6hOHFkGtSfIANiiS7g_1_2"/>
      <w:bookmarkStart w:id="897" w:name="Tc_EID-BV1beE-QWRhHfhVDXg_1_0"/>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r>
        <w:rPr>
          <w:rFonts w:ascii="Times New Roman;Times;serif" w:hAnsi="Times New Roman;Times;serif"/>
          <w:sz w:val="20"/>
        </w:rPr>
        <w:t>The derivative liabilities were reported at their fair values in the Condensed Consolidated Balance Sheets. The change in fair value of the derivative liabilities was reported in the Condensed Consolidated Statements of Operations as Other (income) expense, net, for the three and six months ended June 30, 2026.</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estimating the fair value of the derivative liability related to the OnkosXcel Warrants, inputs included third-party fair value estimates of OnkosXcel limited liability company units along with the volatility of those units based on the historical volatility of the Company’s stock, along with a peer group of comparable publicly traded companies), and the timing and probability of the relevant capital transactions occurring. As of June 30, 2026, the OnkosXcel Warrants had no fair value, as the Company does not anticipate a public offering of OnkosXcel at this time.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estimating the fair value of the derivative liability related to the Option Warrants, the valuation inputs used were a strike price of $3.50, the Company’s stock price of $2.70, volatility of 39.2% (adjusted to set the value of securities in the March 2025 Offering equal to the consideration paid), a term of 0.04 years and a risk-free rate of 4.39%. The Option Warrants expired on March 18, 2025 without being exercised, and the Company recorded a termination gain of $369 in Other (income) expense, net, in the Company’s Condensed Consolidated Statements of Operations.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estimating the fair value of the derivative liability related to the BTI Warrants – March 2025 Accompanying Warrants, the valuation inputs used were a strike price of $4.20, the Company’s stock price of $2.70, volatility of 39.2% (adjusted to set the value of securities in the March 2025 Offering equal to the consideration paid), a term of 5 years and a risk-free rate of 4.01%. As the fair value measurement of the derivative liability related to the BTI Warrants – March 2025 Accompanying Warrants is classified within Level 3 of the fair value hierarchy and relies on a significant unobservable input (volatility), the resulting fair value is subject to inherent measurement uncertainty. Reasonably possible changes in the volatility assumption at the reporting date could have resulted in a significantly higher or lower fair value measurement and increases in volatility would generally increase the fair value of the warrant liability while decreases in volatility would reduce it. The Company remeasured the fair value of the remaining warrants at June 30, 2026 of $167, and for the three and six months ended June 30, 2026 recorded a net loss of $16 and a net gain of $187, respectively, within Other (income) expense, net in the Company’s Condensed Consolidated Statements of Operations. The valuation inputs used as of June 30, 2026 were a strike price of $4.20, the Company’s stock price of $1.41, volatility of 41.32%, term of 3.7 years and risk-free rate of 4.17%.</w:t>
      </w:r>
    </w:p>
    <w:p>
      <w:pPr>
        <w:pStyle w:val="TextBody"/>
        <w:bidi w:val="0"/>
        <w:spacing w:before="0" w:after="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estimated fair value of the Credit Agreement as of June 30, 2026 and December 31, 2025 was $106,445 and $107,850, respectively. Both observable and unobservable inputs were used to determine the fair value of long-term debt, which was classified within the Level 3 category.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presents the BTI warrants issued and outstanding by the Company and the corresponding balance sheet classification: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95"/>
        <w:gridCol w:w="109"/>
        <w:gridCol w:w="2470"/>
        <w:gridCol w:w="109"/>
        <w:gridCol w:w="783"/>
        <w:gridCol w:w="109"/>
        <w:gridCol w:w="252"/>
        <w:gridCol w:w="775"/>
        <w:gridCol w:w="109"/>
        <w:gridCol w:w="1392"/>
        <w:gridCol w:w="109"/>
        <w:gridCol w:w="1393"/>
      </w:tblGrid>
      <w:tr>
        <w:trPr/>
        <w:tc>
          <w:tcPr>
            <w:tcW w:w="2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647825" cy="175260"/>
                      <wp:effectExtent l="0" t="0" r="0" b="0"/>
                      <wp:wrapNone/>
                      <wp:docPr id="187" name="Frame187"/>
                      <a:graphic xmlns:a="http://schemas.openxmlformats.org/drawingml/2006/main">
                        <a:graphicData uri="http://schemas.microsoft.com/office/word/2010/wordprocessingShape">
                          <wps:wsp>
                            <wps:cNvSpPr txBox="1"/>
                            <wps:spPr>
                              <a:xfrm>
                                <a:off x="0" y="0"/>
                                <a:ext cx="164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88" name="Frame1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568450" cy="175260"/>
                      <wp:effectExtent l="0" t="0" r="0" b="0"/>
                      <wp:wrapNone/>
                      <wp:docPr id="189" name="Frame189"/>
                      <a:graphic xmlns:a="http://schemas.openxmlformats.org/drawingml/2006/main">
                        <a:graphicData uri="http://schemas.microsoft.com/office/word/2010/wordprocessingShape">
                          <wps:wsp>
                            <wps:cNvSpPr txBox="1"/>
                            <wps:spPr>
                              <a:xfrm>
                                <a:off x="0" y="0"/>
                                <a:ext cx="1568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0"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97205" cy="175260"/>
                      <wp:effectExtent l="0" t="0" r="0" b="0"/>
                      <wp:wrapNone/>
                      <wp:docPr id="191" name="Frame191"/>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2" name="Frame1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60020" cy="175260"/>
                      <wp:effectExtent l="0" t="0" r="0" b="0"/>
                      <wp:wrapNone/>
                      <wp:docPr id="193" name="Frame19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92125" cy="175260"/>
                      <wp:effectExtent l="0" t="0" r="0" b="0"/>
                      <wp:wrapNone/>
                      <wp:docPr id="194" name="Frame194"/>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5"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883920" cy="175260"/>
                      <wp:effectExtent l="0" t="0" r="0" b="0"/>
                      <wp:wrapNone/>
                      <wp:docPr id="196" name="Frame196"/>
                      <a:graphic xmlns:a="http://schemas.openxmlformats.org/drawingml/2006/main">
                        <a:graphicData uri="http://schemas.microsoft.com/office/word/2010/wordprocessingShape">
                          <wps:wsp>
                            <wps:cNvSpPr txBox="1"/>
                            <wps:spPr>
                              <a:xfrm>
                                <a:off x="0" y="0"/>
                                <a:ext cx="883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97"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884555" cy="175260"/>
                      <wp:effectExtent l="0" t="0" r="0" b="0"/>
                      <wp:wrapNone/>
                      <wp:docPr id="198" name="Frame198"/>
                      <a:graphic xmlns:a="http://schemas.openxmlformats.org/drawingml/2006/main">
                        <a:graphicData uri="http://schemas.microsoft.com/office/word/2010/wordprocessingShape">
                          <wps:wsp>
                            <wps:cNvSpPr txBox="1"/>
                            <wps:spPr>
                              <a:xfrm>
                                <a:off x="0" y="0"/>
                                <a:ext cx="884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Warrant Recipient</w:t>
            </w:r>
          </w:p>
        </w:tc>
        <w:tc>
          <w:tcPr>
            <w:tcW w:w="109" w:type="dxa"/>
            <w:tcBorders/>
            <w:vAlign w:val="center"/>
          </w:tcPr>
          <w:p>
            <w:pPr>
              <w:pStyle w:val="TableContents"/>
              <w:bidi w:val="0"/>
              <w:spacing w:before="0" w:after="0"/>
              <w:ind w:left="0" w:right="0" w:hanging="0"/>
              <w:jc w:val="left"/>
              <w:rPr/>
            </w:pPr>
            <w:r>
              <w:rPr/>
              <w:t>​</w:t>
            </w:r>
          </w:p>
        </w:tc>
        <w:tc>
          <w:tcPr>
            <w:tcW w:w="24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 Type</w:t>
            </w:r>
          </w:p>
        </w:tc>
        <w:tc>
          <w:tcPr>
            <w:tcW w:w="109" w:type="dxa"/>
            <w:tcBorders/>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Issue Date</w:t>
            </w:r>
          </w:p>
        </w:tc>
        <w:tc>
          <w:tcPr>
            <w:tcW w:w="109" w:type="dxa"/>
            <w:tcBorders/>
            <w:vAlign w:val="center"/>
          </w:tcPr>
          <w:p>
            <w:pPr>
              <w:pStyle w:val="TableContents"/>
              <w:bidi w:val="0"/>
              <w:spacing w:before="0" w:after="0"/>
              <w:ind w:left="0" w:right="0" w:hanging="0"/>
              <w:jc w:val="center"/>
              <w:rPr/>
            </w:pPr>
            <w:r>
              <w:rPr/>
              <w:t>​</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109" w:type="dxa"/>
            <w:tcBorders/>
            <w:vAlign w:val="center"/>
          </w:tcPr>
          <w:p>
            <w:pPr>
              <w:pStyle w:val="TableContents"/>
              <w:bidi w:val="0"/>
              <w:spacing w:before="0" w:after="0"/>
              <w:ind w:left="0" w:right="0" w:hanging="0"/>
              <w:jc w:val="center"/>
              <w:rPr/>
            </w:pPr>
            <w:r>
              <w:rPr/>
              <w:t>​</w:t>
            </w:r>
          </w:p>
        </w:tc>
        <w:tc>
          <w:tcPr>
            <w:tcW w:w="139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Warrants</w:t>
            </w:r>
          </w:p>
        </w:tc>
        <w:tc>
          <w:tcPr>
            <w:tcW w:w="109" w:type="dxa"/>
            <w:tcBorders/>
            <w:vAlign w:val="center"/>
          </w:tcPr>
          <w:p>
            <w:pPr>
              <w:pStyle w:val="TableContents"/>
              <w:bidi w:val="0"/>
              <w:spacing w:before="0" w:after="0"/>
              <w:ind w:left="0" w:right="0" w:hanging="0"/>
              <w:jc w:val="center"/>
              <w:rPr/>
            </w:pPr>
            <w:r>
              <w:rPr/>
              <w:t>​</w:t>
            </w:r>
          </w:p>
        </w:tc>
        <w:tc>
          <w:tcPr>
            <w:tcW w:w="13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Classification</w:t>
            </w:r>
          </w:p>
        </w:tc>
      </w:tr>
      <w:tr>
        <w:trPr/>
        <w:tc>
          <w:tcPr>
            <w:tcW w:w="259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2"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9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93" w:type="dxa"/>
            <w:tcBorders/>
            <w:vAlign w:val="center"/>
          </w:tcPr>
          <w:p>
            <w:pPr>
              <w:pStyle w:val="TableContents"/>
              <w:bidi w:val="0"/>
              <w:spacing w:before="0" w:after="0"/>
              <w:ind w:left="0" w:right="0" w:hanging="0"/>
              <w:jc w:val="center"/>
              <w:rPr/>
            </w:pPr>
            <w:r>
              <w:rPr/>
              <w:t>​</w:t>
            </w:r>
          </w:p>
        </w:tc>
      </w:tr>
      <w:tr>
        <w:trPr/>
        <w:tc>
          <w:tcPr>
            <w:tcW w:w="25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Lenders</w:t>
            </w:r>
          </w:p>
        </w:tc>
        <w:tc>
          <w:tcPr>
            <w:tcW w:w="109" w:type="dxa"/>
            <w:tcBorders/>
            <w:shd w:fill="CCEEFF" w:val="clear"/>
            <w:vAlign w:val="center"/>
          </w:tcPr>
          <w:p>
            <w:pPr>
              <w:pStyle w:val="TableContents"/>
              <w:bidi w:val="0"/>
              <w:spacing w:before="0" w:after="0"/>
              <w:ind w:left="0" w:right="0" w:hanging="0"/>
              <w:jc w:val="left"/>
              <w:rPr/>
            </w:pPr>
            <w:r>
              <w:rPr/>
              <w:t>​</w:t>
            </w:r>
          </w:p>
        </w:tc>
        <w:tc>
          <w:tcPr>
            <w:tcW w:w="24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Closing Date Warrants</w:t>
            </w:r>
          </w:p>
        </w:tc>
        <w:tc>
          <w:tcPr>
            <w:tcW w:w="109"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4/19/2022</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w:t>
            </w:r>
          </w:p>
        </w:tc>
        <w:tc>
          <w:tcPr>
            <w:tcW w:w="109" w:type="dxa"/>
            <w:tcBorders/>
            <w:shd w:fill="CCEEFF" w:val="clear"/>
            <w:vAlign w:val="center"/>
          </w:tcPr>
          <w:p>
            <w:pPr>
              <w:pStyle w:val="TableContents"/>
              <w:bidi w:val="0"/>
              <w:spacing w:before="0" w:after="0"/>
              <w:ind w:left="0" w:right="0" w:hanging="0"/>
              <w:jc w:val="left"/>
              <w:rPr/>
            </w:pPr>
            <w:r>
              <w:rPr/>
              <w:t>​</w:t>
            </w:r>
          </w:p>
        </w:tc>
        <w:tc>
          <w:tcPr>
            <w:tcW w:w="13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109" w:type="dxa"/>
            <w:tcBorders/>
            <w:shd w:fill="CCEEFF" w:val="clear"/>
            <w:vAlign w:val="center"/>
          </w:tcPr>
          <w:p>
            <w:pPr>
              <w:pStyle w:val="TableContents"/>
              <w:bidi w:val="0"/>
              <w:spacing w:before="0" w:after="0"/>
              <w:ind w:left="0" w:right="0" w:hanging="0"/>
              <w:jc w:val="left"/>
              <w:rPr/>
            </w:pPr>
            <w:r>
              <w:rPr/>
              <w:t>​</w:t>
            </w:r>
          </w:p>
        </w:tc>
        <w:tc>
          <w:tcPr>
            <w:tcW w:w="13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w:t>
            </w:r>
          </w:p>
        </w:tc>
      </w:tr>
      <w:tr>
        <w:trPr/>
        <w:tc>
          <w:tcPr>
            <w:tcW w:w="25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Lenders</w:t>
            </w:r>
          </w:p>
        </w:tc>
        <w:tc>
          <w:tcPr>
            <w:tcW w:w="109" w:type="dxa"/>
            <w:tcBorders/>
            <w:vAlign w:val="center"/>
          </w:tcPr>
          <w:p>
            <w:pPr>
              <w:pStyle w:val="TableContents"/>
              <w:bidi w:val="0"/>
              <w:spacing w:before="0" w:after="0"/>
              <w:ind w:left="0" w:right="0" w:hanging="0"/>
              <w:jc w:val="left"/>
              <w:rPr/>
            </w:pPr>
            <w:r>
              <w:rPr/>
              <w:t>​</w:t>
            </w:r>
          </w:p>
        </w:tc>
        <w:tc>
          <w:tcPr>
            <w:tcW w:w="24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2023 Warrants</w:t>
            </w:r>
          </w:p>
        </w:tc>
        <w:tc>
          <w:tcPr>
            <w:tcW w:w="109"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12/5/2023</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w:t>
            </w:r>
          </w:p>
        </w:tc>
        <w:tc>
          <w:tcPr>
            <w:tcW w:w="109" w:type="dxa"/>
            <w:tcBorders/>
            <w:vAlign w:val="center"/>
          </w:tcPr>
          <w:p>
            <w:pPr>
              <w:pStyle w:val="TableContents"/>
              <w:bidi w:val="0"/>
              <w:spacing w:before="0" w:after="0"/>
              <w:ind w:left="0" w:right="0" w:hanging="0"/>
              <w:jc w:val="left"/>
              <w:rPr/>
            </w:pPr>
            <w:r>
              <w:rPr/>
              <w:t>​</w:t>
            </w:r>
          </w:p>
        </w:tc>
        <w:tc>
          <w:tcPr>
            <w:tcW w:w="13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109" w:type="dxa"/>
            <w:tcBorders/>
            <w:vAlign w:val="center"/>
          </w:tcPr>
          <w:p>
            <w:pPr>
              <w:pStyle w:val="TableContents"/>
              <w:bidi w:val="0"/>
              <w:spacing w:before="0" w:after="0"/>
              <w:ind w:left="0" w:right="0" w:hanging="0"/>
              <w:jc w:val="left"/>
              <w:rPr/>
            </w:pPr>
            <w:r>
              <w:rPr/>
              <w:t>​</w:t>
            </w:r>
          </w:p>
        </w:tc>
        <w:tc>
          <w:tcPr>
            <w:tcW w:w="13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w:t>
            </w:r>
          </w:p>
        </w:tc>
      </w:tr>
      <w:tr>
        <w:trPr/>
        <w:tc>
          <w:tcPr>
            <w:tcW w:w="25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Lenders</w:t>
            </w:r>
          </w:p>
        </w:tc>
        <w:tc>
          <w:tcPr>
            <w:tcW w:w="109" w:type="dxa"/>
            <w:tcBorders/>
            <w:shd w:fill="CCEEFF" w:val="clear"/>
            <w:vAlign w:val="center"/>
          </w:tcPr>
          <w:p>
            <w:pPr>
              <w:pStyle w:val="TableContents"/>
              <w:bidi w:val="0"/>
              <w:spacing w:before="0" w:after="0"/>
              <w:ind w:left="0" w:right="0" w:hanging="0"/>
              <w:jc w:val="left"/>
              <w:rPr/>
            </w:pPr>
            <w:r>
              <w:rPr/>
              <w:t>​</w:t>
            </w:r>
          </w:p>
        </w:tc>
        <w:tc>
          <w:tcPr>
            <w:tcW w:w="24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2024 Warrants</w:t>
            </w:r>
          </w:p>
        </w:tc>
        <w:tc>
          <w:tcPr>
            <w:tcW w:w="109"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3/20/2024</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w:t>
            </w:r>
          </w:p>
        </w:tc>
        <w:tc>
          <w:tcPr>
            <w:tcW w:w="109" w:type="dxa"/>
            <w:tcBorders/>
            <w:shd w:fill="CCEEFF" w:val="clear"/>
            <w:vAlign w:val="center"/>
          </w:tcPr>
          <w:p>
            <w:pPr>
              <w:pStyle w:val="TableContents"/>
              <w:bidi w:val="0"/>
              <w:spacing w:before="0" w:after="0"/>
              <w:ind w:left="0" w:right="0" w:hanging="0"/>
              <w:jc w:val="left"/>
              <w:rPr/>
            </w:pPr>
            <w:r>
              <w:rPr/>
              <w:t>​</w:t>
            </w:r>
          </w:p>
        </w:tc>
        <w:tc>
          <w:tcPr>
            <w:tcW w:w="13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109" w:type="dxa"/>
            <w:tcBorders/>
            <w:shd w:fill="CCEEFF" w:val="clear"/>
            <w:vAlign w:val="center"/>
          </w:tcPr>
          <w:p>
            <w:pPr>
              <w:pStyle w:val="TableContents"/>
              <w:bidi w:val="0"/>
              <w:spacing w:before="0" w:after="0"/>
              <w:ind w:left="0" w:right="0" w:hanging="0"/>
              <w:jc w:val="left"/>
              <w:rPr/>
            </w:pPr>
            <w:r>
              <w:rPr/>
              <w:t>​</w:t>
            </w:r>
          </w:p>
        </w:tc>
        <w:tc>
          <w:tcPr>
            <w:tcW w:w="13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w:t>
            </w:r>
          </w:p>
        </w:tc>
      </w:tr>
      <w:tr>
        <w:trPr/>
        <w:tc>
          <w:tcPr>
            <w:tcW w:w="25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Armistice Capital Master Fund Ltd.</w:t>
            </w:r>
          </w:p>
        </w:tc>
        <w:tc>
          <w:tcPr>
            <w:tcW w:w="109" w:type="dxa"/>
            <w:tcBorders/>
            <w:vAlign w:val="center"/>
          </w:tcPr>
          <w:p>
            <w:pPr>
              <w:pStyle w:val="TableContents"/>
              <w:bidi w:val="0"/>
              <w:spacing w:before="0" w:after="0"/>
              <w:ind w:left="0" w:right="0" w:hanging="0"/>
              <w:jc w:val="left"/>
              <w:rPr/>
            </w:pPr>
            <w:r>
              <w:rPr/>
              <w:t>​</w:t>
            </w:r>
          </w:p>
        </w:tc>
        <w:tc>
          <w:tcPr>
            <w:tcW w:w="24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Accompanying Warrants</w:t>
            </w:r>
          </w:p>
        </w:tc>
        <w:tc>
          <w:tcPr>
            <w:tcW w:w="109"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3/27/2024</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1.614</w:t>
            </w:r>
          </w:p>
        </w:tc>
        <w:tc>
          <w:tcPr>
            <w:tcW w:w="109" w:type="dxa"/>
            <w:tcBorders/>
            <w:vAlign w:val="center"/>
          </w:tcPr>
          <w:p>
            <w:pPr>
              <w:pStyle w:val="TableContents"/>
              <w:bidi w:val="0"/>
              <w:spacing w:before="0" w:after="0"/>
              <w:ind w:left="0" w:right="0" w:hanging="0"/>
              <w:jc w:val="left"/>
              <w:rPr/>
            </w:pPr>
            <w:r>
              <w:rPr/>
              <w:t>​</w:t>
            </w:r>
          </w:p>
        </w:tc>
        <w:tc>
          <w:tcPr>
            <w:tcW w:w="13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w:t>
            </w:r>
          </w:p>
        </w:tc>
        <w:tc>
          <w:tcPr>
            <w:tcW w:w="109" w:type="dxa"/>
            <w:tcBorders/>
            <w:vAlign w:val="center"/>
          </w:tcPr>
          <w:p>
            <w:pPr>
              <w:pStyle w:val="TableContents"/>
              <w:bidi w:val="0"/>
              <w:spacing w:before="0" w:after="0"/>
              <w:ind w:left="0" w:right="0" w:hanging="0"/>
              <w:jc w:val="left"/>
              <w:rPr/>
            </w:pPr>
            <w:r>
              <w:rPr/>
              <w:t>​</w:t>
            </w:r>
          </w:p>
        </w:tc>
        <w:tc>
          <w:tcPr>
            <w:tcW w:w="13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Liability</w:t>
            </w:r>
          </w:p>
        </w:tc>
      </w:tr>
      <w:tr>
        <w:trPr/>
        <w:tc>
          <w:tcPr>
            <w:tcW w:w="25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Armistice Capital Master Fund Ltd.</w:t>
            </w:r>
          </w:p>
        </w:tc>
        <w:tc>
          <w:tcPr>
            <w:tcW w:w="109" w:type="dxa"/>
            <w:tcBorders/>
            <w:shd w:fill="CCEEFF" w:val="clear"/>
            <w:vAlign w:val="center"/>
          </w:tcPr>
          <w:p>
            <w:pPr>
              <w:pStyle w:val="TableContents"/>
              <w:bidi w:val="0"/>
              <w:spacing w:before="0" w:after="0"/>
              <w:ind w:left="0" w:right="0" w:hanging="0"/>
              <w:jc w:val="left"/>
              <w:rPr/>
            </w:pPr>
            <w:r>
              <w:rPr/>
              <w:t>​</w:t>
            </w:r>
          </w:p>
        </w:tc>
        <w:tc>
          <w:tcPr>
            <w:tcW w:w="24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November 2024 Accompanying Warrants</w:t>
            </w:r>
          </w:p>
        </w:tc>
        <w:tc>
          <w:tcPr>
            <w:tcW w:w="109"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11/25/2024</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1.614</w:t>
            </w:r>
          </w:p>
        </w:tc>
        <w:tc>
          <w:tcPr>
            <w:tcW w:w="109" w:type="dxa"/>
            <w:tcBorders/>
            <w:shd w:fill="CCEEFF" w:val="clear"/>
            <w:vAlign w:val="center"/>
          </w:tcPr>
          <w:p>
            <w:pPr>
              <w:pStyle w:val="TableContents"/>
              <w:bidi w:val="0"/>
              <w:spacing w:before="0" w:after="0"/>
              <w:ind w:left="0" w:right="0" w:hanging="0"/>
              <w:jc w:val="left"/>
              <w:rPr/>
            </w:pPr>
            <w:r>
              <w:rPr/>
              <w:t>​</w:t>
            </w:r>
          </w:p>
        </w:tc>
        <w:tc>
          <w:tcPr>
            <w:tcW w:w="13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846</w:t>
            </w:r>
          </w:p>
        </w:tc>
        <w:tc>
          <w:tcPr>
            <w:tcW w:w="109" w:type="dxa"/>
            <w:tcBorders/>
            <w:shd w:fill="CCEEFF" w:val="clear"/>
            <w:vAlign w:val="center"/>
          </w:tcPr>
          <w:p>
            <w:pPr>
              <w:pStyle w:val="TableContents"/>
              <w:bidi w:val="0"/>
              <w:spacing w:before="0" w:after="0"/>
              <w:ind w:left="0" w:right="0" w:hanging="0"/>
              <w:jc w:val="left"/>
              <w:rPr/>
            </w:pPr>
            <w:r>
              <w:rPr/>
              <w:t>​</w:t>
            </w:r>
          </w:p>
        </w:tc>
        <w:tc>
          <w:tcPr>
            <w:tcW w:w="13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Liability</w:t>
            </w:r>
          </w:p>
        </w:tc>
      </w:tr>
      <w:tr>
        <w:trPr/>
        <w:tc>
          <w:tcPr>
            <w:tcW w:w="25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Heights Capital Management</w:t>
            </w:r>
          </w:p>
        </w:tc>
        <w:tc>
          <w:tcPr>
            <w:tcW w:w="109" w:type="dxa"/>
            <w:tcBorders/>
            <w:vAlign w:val="center"/>
          </w:tcPr>
          <w:p>
            <w:pPr>
              <w:pStyle w:val="TableContents"/>
              <w:bidi w:val="0"/>
              <w:spacing w:before="0" w:after="0"/>
              <w:ind w:left="0" w:right="0" w:hanging="0"/>
              <w:jc w:val="left"/>
              <w:rPr/>
            </w:pPr>
            <w:r>
              <w:rPr/>
              <w:t>​</w:t>
            </w:r>
          </w:p>
        </w:tc>
        <w:tc>
          <w:tcPr>
            <w:tcW w:w="24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November 2024 Accompanying Warrants</w:t>
            </w:r>
          </w:p>
        </w:tc>
        <w:tc>
          <w:tcPr>
            <w:tcW w:w="109"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11/25/2024</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w:t>
            </w:r>
          </w:p>
        </w:tc>
        <w:tc>
          <w:tcPr>
            <w:tcW w:w="109" w:type="dxa"/>
            <w:tcBorders/>
            <w:vAlign w:val="center"/>
          </w:tcPr>
          <w:p>
            <w:pPr>
              <w:pStyle w:val="TableContents"/>
              <w:bidi w:val="0"/>
              <w:spacing w:before="0" w:after="0"/>
              <w:ind w:left="0" w:right="0" w:hanging="0"/>
              <w:jc w:val="left"/>
              <w:rPr/>
            </w:pPr>
            <w:r>
              <w:rPr/>
              <w:t>​</w:t>
            </w:r>
          </w:p>
        </w:tc>
        <w:tc>
          <w:tcPr>
            <w:tcW w:w="13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109" w:type="dxa"/>
            <w:tcBorders/>
            <w:vAlign w:val="center"/>
          </w:tcPr>
          <w:p>
            <w:pPr>
              <w:pStyle w:val="TableContents"/>
              <w:bidi w:val="0"/>
              <w:spacing w:before="0" w:after="0"/>
              <w:ind w:left="0" w:right="0" w:hanging="0"/>
              <w:jc w:val="left"/>
              <w:rPr/>
            </w:pPr>
            <w:r>
              <w:rPr/>
              <w:t>​</w:t>
            </w:r>
          </w:p>
        </w:tc>
        <w:tc>
          <w:tcPr>
            <w:tcW w:w="13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Liability</w:t>
            </w:r>
          </w:p>
        </w:tc>
      </w:tr>
      <w:tr>
        <w:trPr/>
        <w:tc>
          <w:tcPr>
            <w:tcW w:w="25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Hudson Bay Capital Management</w:t>
            </w:r>
          </w:p>
        </w:tc>
        <w:tc>
          <w:tcPr>
            <w:tcW w:w="109" w:type="dxa"/>
            <w:tcBorders/>
            <w:shd w:fill="CCEEFF" w:val="clear"/>
            <w:vAlign w:val="center"/>
          </w:tcPr>
          <w:p>
            <w:pPr>
              <w:pStyle w:val="TableContents"/>
              <w:bidi w:val="0"/>
              <w:spacing w:before="0" w:after="0"/>
              <w:ind w:left="0" w:right="0" w:hanging="0"/>
              <w:jc w:val="left"/>
              <w:rPr/>
            </w:pPr>
            <w:r>
              <w:rPr/>
              <w:t>​</w:t>
            </w:r>
          </w:p>
        </w:tc>
        <w:tc>
          <w:tcPr>
            <w:tcW w:w="24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November 2024 Accompanying Warrants</w:t>
            </w:r>
          </w:p>
        </w:tc>
        <w:tc>
          <w:tcPr>
            <w:tcW w:w="109"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11/25/2024</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w:t>
            </w:r>
          </w:p>
        </w:tc>
        <w:tc>
          <w:tcPr>
            <w:tcW w:w="109" w:type="dxa"/>
            <w:tcBorders/>
            <w:shd w:fill="CCEEFF" w:val="clear"/>
            <w:vAlign w:val="center"/>
          </w:tcPr>
          <w:p>
            <w:pPr>
              <w:pStyle w:val="TableContents"/>
              <w:bidi w:val="0"/>
              <w:spacing w:before="0" w:after="0"/>
              <w:ind w:left="0" w:right="0" w:hanging="0"/>
              <w:jc w:val="left"/>
              <w:rPr/>
            </w:pPr>
            <w:r>
              <w:rPr/>
              <w:t>​</w:t>
            </w:r>
          </w:p>
        </w:tc>
        <w:tc>
          <w:tcPr>
            <w:tcW w:w="13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109" w:type="dxa"/>
            <w:tcBorders/>
            <w:shd w:fill="CCEEFF" w:val="clear"/>
            <w:vAlign w:val="center"/>
          </w:tcPr>
          <w:p>
            <w:pPr>
              <w:pStyle w:val="TableContents"/>
              <w:bidi w:val="0"/>
              <w:spacing w:before="0" w:after="0"/>
              <w:ind w:left="0" w:right="0" w:hanging="0"/>
              <w:jc w:val="left"/>
              <w:rPr/>
            </w:pPr>
            <w:r>
              <w:rPr/>
              <w:t>​</w:t>
            </w:r>
          </w:p>
        </w:tc>
        <w:tc>
          <w:tcPr>
            <w:tcW w:w="13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Liability</w:t>
            </w:r>
          </w:p>
        </w:tc>
      </w:tr>
      <w:tr>
        <w:trPr/>
        <w:tc>
          <w:tcPr>
            <w:tcW w:w="25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IntraCoastal Capital, LLC</w:t>
            </w:r>
          </w:p>
        </w:tc>
        <w:tc>
          <w:tcPr>
            <w:tcW w:w="109" w:type="dxa"/>
            <w:tcBorders/>
            <w:vAlign w:val="center"/>
          </w:tcPr>
          <w:p>
            <w:pPr>
              <w:pStyle w:val="TableContents"/>
              <w:bidi w:val="0"/>
              <w:spacing w:before="0" w:after="0"/>
              <w:ind w:left="0" w:right="0" w:hanging="0"/>
              <w:jc w:val="left"/>
              <w:rPr/>
            </w:pPr>
            <w:r>
              <w:rPr/>
              <w:t>​</w:t>
            </w:r>
          </w:p>
        </w:tc>
        <w:tc>
          <w:tcPr>
            <w:tcW w:w="24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November 2024 Accompanying Warrants</w:t>
            </w:r>
          </w:p>
        </w:tc>
        <w:tc>
          <w:tcPr>
            <w:tcW w:w="109"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11/25/2024</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w:t>
            </w:r>
          </w:p>
        </w:tc>
        <w:tc>
          <w:tcPr>
            <w:tcW w:w="109" w:type="dxa"/>
            <w:tcBorders/>
            <w:vAlign w:val="center"/>
          </w:tcPr>
          <w:p>
            <w:pPr>
              <w:pStyle w:val="TableContents"/>
              <w:bidi w:val="0"/>
              <w:spacing w:before="0" w:after="0"/>
              <w:ind w:left="0" w:right="0" w:hanging="0"/>
              <w:jc w:val="left"/>
              <w:rPr/>
            </w:pPr>
            <w:r>
              <w:rPr/>
              <w:t>​</w:t>
            </w:r>
          </w:p>
        </w:tc>
        <w:tc>
          <w:tcPr>
            <w:tcW w:w="13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109" w:type="dxa"/>
            <w:tcBorders/>
            <w:vAlign w:val="center"/>
          </w:tcPr>
          <w:p>
            <w:pPr>
              <w:pStyle w:val="TableContents"/>
              <w:bidi w:val="0"/>
              <w:spacing w:before="0" w:after="0"/>
              <w:ind w:left="0" w:right="0" w:hanging="0"/>
              <w:jc w:val="left"/>
              <w:rPr/>
            </w:pPr>
            <w:r>
              <w:rPr/>
              <w:t>​</w:t>
            </w:r>
          </w:p>
        </w:tc>
        <w:tc>
          <w:tcPr>
            <w:tcW w:w="13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Liability</w:t>
            </w:r>
          </w:p>
        </w:tc>
      </w:tr>
      <w:tr>
        <w:trPr/>
        <w:tc>
          <w:tcPr>
            <w:tcW w:w="25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Murchison Capital Partners, LP and assignees</w:t>
            </w:r>
          </w:p>
        </w:tc>
        <w:tc>
          <w:tcPr>
            <w:tcW w:w="109" w:type="dxa"/>
            <w:tcBorders/>
            <w:shd w:fill="CCEEFF" w:val="clear"/>
            <w:vAlign w:val="center"/>
          </w:tcPr>
          <w:p>
            <w:pPr>
              <w:pStyle w:val="TableContents"/>
              <w:bidi w:val="0"/>
              <w:spacing w:before="0" w:after="0"/>
              <w:ind w:left="0" w:right="0" w:hanging="0"/>
              <w:jc w:val="left"/>
              <w:rPr/>
            </w:pPr>
            <w:r>
              <w:rPr/>
              <w:t>​</w:t>
            </w:r>
          </w:p>
        </w:tc>
        <w:tc>
          <w:tcPr>
            <w:tcW w:w="24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March 2025 Accompanying Warrants</w:t>
            </w:r>
          </w:p>
        </w:tc>
        <w:tc>
          <w:tcPr>
            <w:tcW w:w="109"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3/4/2025</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4.20</w:t>
            </w:r>
          </w:p>
        </w:tc>
        <w:tc>
          <w:tcPr>
            <w:tcW w:w="109" w:type="dxa"/>
            <w:tcBorders/>
            <w:shd w:fill="CCEEFF" w:val="clear"/>
            <w:vAlign w:val="center"/>
          </w:tcPr>
          <w:p>
            <w:pPr>
              <w:pStyle w:val="TableContents"/>
              <w:bidi w:val="0"/>
              <w:spacing w:before="0" w:after="0"/>
              <w:ind w:left="0" w:right="0" w:hanging="0"/>
              <w:jc w:val="left"/>
              <w:rPr/>
            </w:pPr>
            <w:r>
              <w:rPr/>
              <w:t>​</w:t>
            </w:r>
          </w:p>
        </w:tc>
        <w:tc>
          <w:tcPr>
            <w:tcW w:w="13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1,700</w:t>
            </w:r>
          </w:p>
        </w:tc>
        <w:tc>
          <w:tcPr>
            <w:tcW w:w="109" w:type="dxa"/>
            <w:tcBorders/>
            <w:shd w:fill="CCEEFF" w:val="clear"/>
            <w:vAlign w:val="center"/>
          </w:tcPr>
          <w:p>
            <w:pPr>
              <w:pStyle w:val="TableContents"/>
              <w:bidi w:val="0"/>
              <w:spacing w:before="0" w:after="0"/>
              <w:ind w:left="0" w:right="0" w:hanging="0"/>
              <w:jc w:val="left"/>
              <w:rPr/>
            </w:pPr>
            <w:r>
              <w:rPr/>
              <w:t>​</w:t>
            </w:r>
          </w:p>
        </w:tc>
        <w:tc>
          <w:tcPr>
            <w:tcW w:w="13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Liability</w:t>
            </w:r>
          </w:p>
        </w:tc>
      </w:tr>
      <w:tr>
        <w:trPr/>
        <w:tc>
          <w:tcPr>
            <w:tcW w:w="25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Armistice Capital Master Fund Ltd.</w:t>
            </w:r>
          </w:p>
        </w:tc>
        <w:tc>
          <w:tcPr>
            <w:tcW w:w="109" w:type="dxa"/>
            <w:tcBorders/>
            <w:vAlign w:val="center"/>
          </w:tcPr>
          <w:p>
            <w:pPr>
              <w:pStyle w:val="TableContents"/>
              <w:bidi w:val="0"/>
              <w:spacing w:before="0" w:after="0"/>
              <w:ind w:left="0" w:right="0" w:hanging="0"/>
              <w:jc w:val="left"/>
              <w:rPr/>
            </w:pPr>
            <w:r>
              <w:rPr/>
              <w:t>​</w:t>
            </w:r>
          </w:p>
        </w:tc>
        <w:tc>
          <w:tcPr>
            <w:tcW w:w="24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March 2026 Accompanying Warrants</w:t>
            </w:r>
          </w:p>
        </w:tc>
        <w:tc>
          <w:tcPr>
            <w:tcW w:w="109"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3/11/2026</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w:t>
            </w:r>
          </w:p>
        </w:tc>
        <w:tc>
          <w:tcPr>
            <w:tcW w:w="109" w:type="dxa"/>
            <w:tcBorders/>
            <w:vAlign w:val="center"/>
          </w:tcPr>
          <w:p>
            <w:pPr>
              <w:pStyle w:val="TableContents"/>
              <w:bidi w:val="0"/>
              <w:spacing w:before="0" w:after="0"/>
              <w:ind w:left="0" w:right="0" w:hanging="0"/>
              <w:jc w:val="left"/>
              <w:rPr/>
            </w:pPr>
            <w:r>
              <w:rPr/>
              <w:t>​</w:t>
            </w:r>
          </w:p>
        </w:tc>
        <w:tc>
          <w:tcPr>
            <w:tcW w:w="13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4,500</w:t>
            </w:r>
          </w:p>
        </w:tc>
        <w:tc>
          <w:tcPr>
            <w:tcW w:w="109" w:type="dxa"/>
            <w:tcBorders/>
            <w:vAlign w:val="center"/>
          </w:tcPr>
          <w:p>
            <w:pPr>
              <w:pStyle w:val="TableContents"/>
              <w:bidi w:val="0"/>
              <w:spacing w:before="0" w:after="0"/>
              <w:ind w:left="0" w:right="0" w:hanging="0"/>
              <w:jc w:val="left"/>
              <w:rPr/>
            </w:pPr>
            <w:r>
              <w:rPr/>
              <w:t>​</w:t>
            </w:r>
          </w:p>
        </w:tc>
        <w:tc>
          <w:tcPr>
            <w:tcW w:w="13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Liability</w:t>
            </w:r>
          </w:p>
        </w:tc>
      </w:tr>
      <w:tr>
        <w:trPr/>
        <w:tc>
          <w:tcPr>
            <w:tcW w:w="25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Augustus Trading LLC</w:t>
            </w:r>
          </w:p>
        </w:tc>
        <w:tc>
          <w:tcPr>
            <w:tcW w:w="109" w:type="dxa"/>
            <w:tcBorders/>
            <w:shd w:fill="CCEEFF" w:val="clear"/>
            <w:vAlign w:val="center"/>
          </w:tcPr>
          <w:p>
            <w:pPr>
              <w:pStyle w:val="TableContents"/>
              <w:bidi w:val="0"/>
              <w:spacing w:before="0" w:after="0"/>
              <w:ind w:left="0" w:right="0" w:hanging="0"/>
              <w:jc w:val="left"/>
              <w:rPr/>
            </w:pPr>
            <w:r>
              <w:rPr/>
              <w:t>​</w:t>
            </w:r>
          </w:p>
        </w:tc>
        <w:tc>
          <w:tcPr>
            <w:tcW w:w="24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March 2026 Placement Agent Warrants</w:t>
            </w:r>
          </w:p>
        </w:tc>
        <w:tc>
          <w:tcPr>
            <w:tcW w:w="109"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3/11/2026</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2.0175</w:t>
            </w:r>
          </w:p>
        </w:tc>
        <w:tc>
          <w:tcPr>
            <w:tcW w:w="109" w:type="dxa"/>
            <w:tcBorders/>
            <w:shd w:fill="CCEEFF" w:val="clear"/>
            <w:vAlign w:val="center"/>
          </w:tcPr>
          <w:p>
            <w:pPr>
              <w:pStyle w:val="TableContents"/>
              <w:bidi w:val="0"/>
              <w:spacing w:before="0" w:after="0"/>
              <w:ind w:left="0" w:right="0" w:hanging="0"/>
              <w:jc w:val="left"/>
              <w:rPr/>
            </w:pPr>
            <w:r>
              <w:rPr/>
              <w:t>​</w:t>
            </w:r>
          </w:p>
        </w:tc>
        <w:tc>
          <w:tcPr>
            <w:tcW w:w="13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w:t>
            </w:r>
          </w:p>
        </w:tc>
        <w:tc>
          <w:tcPr>
            <w:tcW w:w="109" w:type="dxa"/>
            <w:tcBorders/>
            <w:shd w:fill="CCEEFF" w:val="clear"/>
            <w:vAlign w:val="center"/>
          </w:tcPr>
          <w:p>
            <w:pPr>
              <w:pStyle w:val="TableContents"/>
              <w:bidi w:val="0"/>
              <w:spacing w:before="0" w:after="0"/>
              <w:ind w:left="0" w:right="0" w:hanging="0"/>
              <w:jc w:val="left"/>
              <w:rPr/>
            </w:pPr>
            <w:r>
              <w:rPr/>
              <w:t>​</w:t>
            </w:r>
          </w:p>
        </w:tc>
        <w:tc>
          <w:tcPr>
            <w:tcW w:w="13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w:t>
            </w:r>
          </w:p>
        </w:tc>
      </w:tr>
      <w:tr>
        <w:trPr/>
        <w:tc>
          <w:tcPr>
            <w:tcW w:w="25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David Dinkin</w:t>
            </w:r>
          </w:p>
        </w:tc>
        <w:tc>
          <w:tcPr>
            <w:tcW w:w="109" w:type="dxa"/>
            <w:tcBorders/>
            <w:vAlign w:val="center"/>
          </w:tcPr>
          <w:p>
            <w:pPr>
              <w:pStyle w:val="TableContents"/>
              <w:bidi w:val="0"/>
              <w:spacing w:before="0" w:after="0"/>
              <w:ind w:left="0" w:right="0" w:hanging="0"/>
              <w:jc w:val="left"/>
              <w:rPr/>
            </w:pPr>
            <w:r>
              <w:rPr/>
              <w:t>​</w:t>
            </w:r>
          </w:p>
        </w:tc>
        <w:tc>
          <w:tcPr>
            <w:tcW w:w="24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March 2026 Placement Agent Warrants</w:t>
            </w:r>
          </w:p>
        </w:tc>
        <w:tc>
          <w:tcPr>
            <w:tcW w:w="109"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3/11/2026</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2.0175</w:t>
            </w:r>
          </w:p>
        </w:tc>
        <w:tc>
          <w:tcPr>
            <w:tcW w:w="109" w:type="dxa"/>
            <w:tcBorders/>
            <w:vAlign w:val="center"/>
          </w:tcPr>
          <w:p>
            <w:pPr>
              <w:pStyle w:val="TableContents"/>
              <w:bidi w:val="0"/>
              <w:spacing w:before="0" w:after="0"/>
              <w:ind w:left="0" w:right="0" w:hanging="0"/>
              <w:jc w:val="left"/>
              <w:rPr/>
            </w:pPr>
            <w:r>
              <w:rPr/>
              <w:t>​</w:t>
            </w:r>
          </w:p>
        </w:tc>
        <w:tc>
          <w:tcPr>
            <w:tcW w:w="13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109" w:type="dxa"/>
            <w:tcBorders/>
            <w:vAlign w:val="center"/>
          </w:tcPr>
          <w:p>
            <w:pPr>
              <w:pStyle w:val="TableContents"/>
              <w:bidi w:val="0"/>
              <w:spacing w:before="0" w:after="0"/>
              <w:ind w:left="0" w:right="0" w:hanging="0"/>
              <w:jc w:val="left"/>
              <w:rPr/>
            </w:pPr>
            <w:r>
              <w:rPr/>
              <w:t>​</w:t>
            </w:r>
          </w:p>
        </w:tc>
        <w:tc>
          <w:tcPr>
            <w:tcW w:w="13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w:t>
            </w:r>
          </w:p>
        </w:tc>
      </w:tr>
      <w:tr>
        <w:trPr/>
        <w:tc>
          <w:tcPr>
            <w:tcW w:w="25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Wilson Drive Holdings LLC</w:t>
            </w:r>
          </w:p>
        </w:tc>
        <w:tc>
          <w:tcPr>
            <w:tcW w:w="109" w:type="dxa"/>
            <w:tcBorders/>
            <w:shd w:fill="CCEEFF" w:val="clear"/>
            <w:vAlign w:val="center"/>
          </w:tcPr>
          <w:p>
            <w:pPr>
              <w:pStyle w:val="TableContents"/>
              <w:bidi w:val="0"/>
              <w:spacing w:before="0" w:after="0"/>
              <w:ind w:left="0" w:right="0" w:hanging="0"/>
              <w:jc w:val="left"/>
              <w:rPr/>
            </w:pPr>
            <w:r>
              <w:rPr/>
              <w:t>​</w:t>
            </w:r>
          </w:p>
        </w:tc>
        <w:tc>
          <w:tcPr>
            <w:tcW w:w="24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March 2026 Placement Agent Warrants</w:t>
            </w:r>
          </w:p>
        </w:tc>
        <w:tc>
          <w:tcPr>
            <w:tcW w:w="109"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3/11/2026</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2.0175</w:t>
            </w:r>
          </w:p>
        </w:tc>
        <w:tc>
          <w:tcPr>
            <w:tcW w:w="109" w:type="dxa"/>
            <w:tcBorders/>
            <w:shd w:fill="CCEEFF" w:val="clear"/>
            <w:vAlign w:val="center"/>
          </w:tcPr>
          <w:p>
            <w:pPr>
              <w:pStyle w:val="TableContents"/>
              <w:bidi w:val="0"/>
              <w:spacing w:before="0" w:after="0"/>
              <w:ind w:left="0" w:right="0" w:hanging="0"/>
              <w:jc w:val="left"/>
              <w:rPr/>
            </w:pPr>
            <w:r>
              <w:rPr/>
              <w:t>​</w:t>
            </w:r>
          </w:p>
        </w:tc>
        <w:tc>
          <w:tcPr>
            <w:tcW w:w="1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109" w:type="dxa"/>
            <w:tcBorders/>
            <w:shd w:fill="CCEEFF" w:val="clear"/>
            <w:vAlign w:val="center"/>
          </w:tcPr>
          <w:p>
            <w:pPr>
              <w:pStyle w:val="TableContents"/>
              <w:bidi w:val="0"/>
              <w:spacing w:before="0" w:after="0"/>
              <w:ind w:left="0" w:right="0" w:hanging="0"/>
              <w:jc w:val="left"/>
              <w:rPr/>
            </w:pPr>
            <w:r>
              <w:rPr/>
              <w:t>​</w:t>
            </w:r>
          </w:p>
        </w:tc>
        <w:tc>
          <w:tcPr>
            <w:tcW w:w="13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w:t>
            </w:r>
          </w:p>
        </w:tc>
      </w:tr>
      <w:tr>
        <w:trPr/>
        <w:tc>
          <w:tcPr>
            <w:tcW w:w="25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warrants issued</w:t>
            </w:r>
          </w:p>
        </w:tc>
        <w:tc>
          <w:tcPr>
            <w:tcW w:w="109" w:type="dxa"/>
            <w:tcBorders/>
            <w:vAlign w:val="center"/>
          </w:tcPr>
          <w:p>
            <w:pPr>
              <w:pStyle w:val="TableContents"/>
              <w:bidi w:val="0"/>
              <w:spacing w:before="0" w:after="0"/>
              <w:ind w:left="0" w:right="0" w:hanging="0"/>
              <w:jc w:val="left"/>
              <w:rPr/>
            </w:pPr>
            <w:r>
              <w:rPr/>
              <w:t>​</w:t>
            </w:r>
          </w:p>
        </w:tc>
        <w:tc>
          <w:tcPr>
            <w:tcW w:w="24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7,860</w:t>
            </w:r>
          </w:p>
        </w:tc>
        <w:tc>
          <w:tcPr>
            <w:tcW w:w="109" w:type="dxa"/>
            <w:tcBorders/>
            <w:vAlign w:val="center"/>
          </w:tcPr>
          <w:p>
            <w:pPr>
              <w:pStyle w:val="TableContents"/>
              <w:bidi w:val="0"/>
              <w:spacing w:before="0" w:after="0"/>
              <w:ind w:left="0" w:right="0" w:hanging="0"/>
              <w:jc w:val="left"/>
              <w:rPr/>
            </w:pPr>
            <w:r>
              <w:rPr/>
              <w:t>​</w:t>
            </w:r>
          </w:p>
        </w:tc>
        <w:tc>
          <w:tcPr>
            <w:tcW w:w="139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446"/>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fair value of the Closing Date Warrants, which was a non-recurring fair value, was determined as of the date of issuance using a Black-Scholes pricing model and the fair value of $3,245 was recorded as a component of stockholders’ equity in Additional-paid-in-capital in the Condensed Consolidated Balance Sheets, with the offset recorded as a discount on the amounts funded under the OFA Facilities. This non-recurring measurement is classified as Level 2. The inputs used were a strike price of $320.64, the Company’s stock price of $238.88, volatility of 95%, term of 7 years and risk-free rate of 2.95%.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discussed in Note 9, Debt and Credit Facilities, the Company amended and restated the Closing Date Warrants granted to the Lenders to have an exercise price of $58.3232 per share. </w:t>
      </w:r>
    </w:p>
    <w:p>
      <w:pPr>
        <w:pStyle w:val="TextBody"/>
        <w:bidi w:val="0"/>
        <w:spacing w:before="0" w:after="0"/>
        <w:ind w:left="0" w:right="0" w:firstLine="446"/>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Using a Black-Scholes pricing model, the Company determined that the Closing Date Warrants’ fair values at the original strike price of $320.64 and the amended strike price of $58.3232 were $548 and $802, respectively, as of the Amendment Effective Date. The Closing Date Warrants’ incremental increase in fair value for the repricing of $254, was recorded as a component of stockholders’ equity in Additional-paid-in-capital in the Condensed Consolidated Balance Sheets, with the offset recorded as a discount on the amounts refinanced under the Credit Agreement.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a prior amendment to the Credit Agreement, the Company issued 4 “2023 Warrants” at a strike price of $58.3232 per share. The fair value of the 2023 Warrants, which is a non-recurring fair value, was determined as of the date of issuance using a Black-Scholes pricing model and the fair value of $200 was recorded as a component of stockholders’ equity in Additional-paid-in-capital in the Condensed Consolidated Balance Sheets, with the offset recorded as a discount on the amounts funded under the Credit Agreement. This non-recurring measurement is classified as Level 2. The inputs used were a strike price of $58.3232, the Company’s stock price of $59.36, volatility of 99%, term of 5.4 years and risk-free rate of 4.14%.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a prior amendment to the Credit Agreement, the Company issued 6 “2024 Warrants” at a strike price of $49.1568 per share. The fair value of the “2024 Warrants”, which was a non-recurring fair value, was determined as of the date of issuance using a Black-Scholes pricing model and the fair value of $224 was recorded as a component of stockholders’ equity in Additional-paid-in-capital in the Condensed Consolidated Balance Sheets, with the offset recorded as a discount on the amounts funded under the OFA Facilities. This non-recurring measurement is classified as Level 2. The inputs used were a strike price of $49.1568, the Company’s stock price of $44.48, volatility of 112.2%, term of 5 years and risk-free rate of 4.25%.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addition, in connection with a prior amendment to the Credit Agreement, on the Amendment Effective Date of November 25, 2024, the Company amended and restated the Closing Date Warrants, 2023 Warrants, and 2024 Warrants granted to the Lenders to have an exercise price of $7.68 per share.</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Using a Black-Scholes pricing model, the Company determined that the Closing Date Warrants, 2023 Warrants, and 2024 Warrants’ fair values at the previously amended strike price of $58.3232 and original strike price of $49.1568 the amended strike price of $7.68 were $105 and $164, respectively, as of the Amendment Effective Date. The Closing Date Warrants, 2023 Warrants, and 2024 Warrants’ incremental increase in fair value for the repricing of $59, was recorded as a component of stockholders’ equity in Additional-paid-in-capital in the Condensed Consolidated Balance Sheets, with the offset recorded as a discount on the amounts refinanced under the Credit Agreement. </w:t>
      </w:r>
    </w:p>
    <w:p>
      <w:pPr>
        <w:pStyle w:val="TextBody"/>
        <w:bidi w:val="0"/>
        <w:spacing w:before="0" w:after="0"/>
        <w:ind w:left="0" w:right="0" w:firstLine="446"/>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fair value of the Accompanying Warrants at issuance on March 25, 2024 was determined using a Black-Scholes pricing model and was recorded as a derivative liability with the offset recorded as a component of stockholders’ equity in Additional-paid-in-capital in the Condensed Consolidated Balance Sheets. This fair value measurement is classified as Level 2. On November 25, 2024, 534 of the 539 Accompanying Warrants’ strike price were amended to $9.136. In connection with the March 2026 Offering discussed in Note 11, </w:t>
      </w:r>
      <w:r>
        <w:rPr>
          <w:rFonts w:ascii="Times New Roman;Times;serif" w:hAnsi="Times New Roman;Times;serif"/>
          <w:i/>
          <w:sz w:val="20"/>
        </w:rPr>
        <w:t>Common Stock Financing Activities</w:t>
      </w:r>
      <w:r>
        <w:rPr>
          <w:rFonts w:ascii="Times New Roman;Times;serif" w:hAnsi="Times New Roman;Times;serif"/>
          <w:sz w:val="20"/>
        </w:rPr>
        <w:t xml:space="preserve">, all 539 Accompanying Warrants’ strike price were amended to $1.614 and the term was extended to five years following the closing date of the March 2026 Offering, as part of the consideration provided to one of the investors in the offering. The increase in fair value due to the amended strike price of $224 was recorded as an increase in the carrying value of the Derivative liability, with the offset recorded a reduction to Additional paid-in-capital in the Company’s Condensed Consolidated Balance Sheets. The Company remeasured the Accompanying Warrants’ fair value at June 30, 2026 of $630, and for the three and six months ended June 30, 2026 recorded a net loss of $34 and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gain of $96, respectively, within Other (income) expense, net in the Company’s Condensed Consolidated Statements of Operations. The valuation inputs used as of June 30, 2026 were a strike price of $1.614, the Company’s stock price of $1.41, volatility of 125.0%, term of 4.7 years and risk-free rate of 4.19%.</w:t>
      </w:r>
    </w:p>
    <w:p>
      <w:pPr>
        <w:pStyle w:val="TextBody"/>
        <w:bidi w:val="0"/>
        <w:spacing w:before="0" w:after="0"/>
        <w:ind w:left="0" w:right="0" w:firstLine="446"/>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fair value of the November 2024 Accompanying Warrants at issuance on November 25, 2024 was determined using a Black-Scholes pricing model and was recorded as a derivative liability with the offset recorded as a component of stockholders’ equity in Additional-paid-in-capital in the Condensed Consolidated Balance Sheets. This fair value measurement is classified as Level 2. In connection with the March 2026 Offering discussed in Note 11, </w:t>
      </w:r>
      <w:r>
        <w:rPr>
          <w:rFonts w:ascii="Times New Roman;Times;serif" w:hAnsi="Times New Roman;Times;serif"/>
          <w:i/>
          <w:sz w:val="20"/>
        </w:rPr>
        <w:t>Common Stock Financing Activities</w:t>
      </w:r>
      <w:r>
        <w:rPr>
          <w:rFonts w:ascii="Times New Roman;Times;serif" w:hAnsi="Times New Roman;Times;serif"/>
          <w:sz w:val="20"/>
        </w:rPr>
        <w:t>, 846 of the 913 November 2024 Accompanying Warrants’ strike price were amended to $1.614 and the term was extended to five years following the closing date of the March 2026 Offering, as part of the consideration provided to one of the investors in the offering. The increase in fair value due to the amended strike price of $282 was recorded as an increase in the carrying value of the Derivative liability, with the offset recorded a reduction to Additional paid-in-capital in the Company’s Condensed Consolidated Balance Sheets. The Company remeasured the November 2024 Accompanying Warrants’ fair value at June 30, 2026 of $1,046, and for the three and six months ended June 30, 2026 recorded a net loss of $56 and a net gain of $170, respectively, within Other (income) expense, net in the Company’s Condensed Consolidated Statements of Operations. The valuation inputs used as of June 30, 2026 for the 846 amended November 2024 Accompanying Warrants were a strike price of $1.614, the Company’s stock price of $1.41, volatility of 125.0%, term of 4.7 years and risk-free rate of 4.19%. The valuation inputs used as of June 30, 2026 for the remaining 67 November 2024 Accompanying Warrants were a strike price of $7.680, the Company’s stock price of $1.41, volatility of 136.3%, term of 3.4 years and risk-free rate of 4.16%.</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fair value of the March 2026 Accompanying Warrants at issuance on March 11, 2026 was determined using a Black-Scholes pricing model and the fair value of $5,940 was recorded as a derivative liability with the offset recorded as a component of stockholders’ equity in Additional-paid-in-capital in the Condensed Consolidated Balance Sheets. This fair value measurement is classified as Level 2. The valuation inputs used were a strike price of $1.614, the Company’s stock price of $1.57, volatility of 121.8%, a term of 5 years and a risk-free rate of 3.79%. The Company remeasured the March 2026 Accompanying Warrants’ fair value at June 30, 2026 of $5,267, and for the three and six months ended June 30, 2026 recorded a net loss of $287 and a net gain of $673, respectively, within Other (income) expense, net in the Company’s Condensed Consolidated Statements of Operations. The valuation inputs used as of June 30, 2026 were a strike price of $1.614, the Company’s stock price of $1.41, volatility of 125.0%, term of 4.7 years and risk-free rate of 4.19%.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fair value of the March 2026 Placement Agent Warrants, which was a non-recurring fair value, was determined as of the date of issuance using a Black-Scholes pricing model and the fair value of $232 was recorded as a component of stockholders’ equity in Additional-paid-in-capital in the Condensed Consolidated Balance Sheets. This non-recurring fair value measurement is classified as Level 2. The valuation inputs used were a strike price of $2.0175, the Company’s stock price of $1.57, volatility of 121.8%, a term of 5 years and a risk-free rate of 3.79%. </w:t>
      </w:r>
    </w:p>
    <w:p>
      <w:pPr>
        <w:pStyle w:val="TextBody"/>
        <w:bidi w:val="0"/>
        <w:spacing w:before="0" w:after="0"/>
        <w:ind w:left="0" w:right="0" w:firstLine="360"/>
        <w:jc w:val="left"/>
        <w:rPr/>
      </w:pPr>
      <w:r>
        <w:rPr/>
        <w:t>​</w:t>
      </w:r>
    </w:p>
    <w:p>
      <w:pPr>
        <w:pStyle w:val="TextBody"/>
        <w:bidi w:val="0"/>
        <w:spacing w:before="0" w:after="200"/>
        <w:ind w:left="0" w:right="0" w:hanging="0"/>
        <w:jc w:val="left"/>
        <w:rPr>
          <w:rFonts w:ascii="Times New Roman;Times;serif" w:hAnsi="Times New Roman;Times;serif"/>
          <w:b/>
          <w:sz w:val="20"/>
        </w:rPr>
      </w:pPr>
      <w:bookmarkStart w:id="898" w:name="Tc_2EvKJmGFuES6O6uJQlObZw_7_11"/>
      <w:bookmarkStart w:id="899" w:name="Tc_xLwrizGSe0aX2aL7JNqehQ_7_8"/>
      <w:bookmarkStart w:id="900" w:name="Tc_aXT6rO2UGESxgIID3BTVEg_7_5"/>
      <w:bookmarkStart w:id="901" w:name="Tc_U_YY91sil0SuFbnxwDvz6Q_7_2"/>
      <w:bookmarkStart w:id="902" w:name="Tc_AURIG7dm30q2u4FzXzmkeg_7_0"/>
      <w:bookmarkStart w:id="903" w:name="Tc_1PzJdjFCBkGq9Fh0rcOQmA_6_0"/>
      <w:bookmarkStart w:id="904" w:name="Tc_H0uuVFybZ06Lv5iQrc_H2Q_5_11"/>
      <w:bookmarkStart w:id="905" w:name="Tc_ho3r8K_W8Eeyjw3aOvaA1w_5_8"/>
      <w:bookmarkStart w:id="906" w:name="Tc_Yh4eDb_mwk23p2a987EaTg_5_5"/>
      <w:bookmarkStart w:id="907" w:name="Tc_p0pWp91Ut0SBg-F7H16t5g_5_2"/>
      <w:bookmarkStart w:id="908" w:name="Tc_pFDup4rt00qScolrfDKryA_5_0"/>
      <w:bookmarkStart w:id="909" w:name="Tc_7fEPlqCu4ECn7Wh-Xwg0jA_3_11"/>
      <w:bookmarkStart w:id="910" w:name="Tc_JUxj_EhJD02VxG8_QE4WBA_3_8"/>
      <w:bookmarkStart w:id="911" w:name="Tc_gAYxvPDLbUad4FeFgtjb1w_3_5"/>
      <w:bookmarkStart w:id="912" w:name="Tc_weeBp8EapUifX6F06BdVGA_3_2"/>
      <w:bookmarkStart w:id="913" w:name="Tc_HbyGf18TXkWpvW0bnJ9LTA_2_8"/>
      <w:bookmarkStart w:id="914" w:name="Tc_go7o__L-ikecHtT-764y8A_2_2"/>
      <w:bookmarkStart w:id="915" w:name="Tc_ELKpZbvVe0K1z1ceF52yJw_1_8"/>
      <w:bookmarkStart w:id="916" w:name="Tc_jPThFhA7D0GeXXC5ZWp2jQ_1_2"/>
      <w:bookmarkStart w:id="917" w:name="_0551cb16_ed00_4a95_a95c_d33f29ddca61"/>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r>
        <w:rPr>
          <w:rFonts w:ascii="Times New Roman;Times;serif" w:hAnsi="Times New Roman;Times;serif"/>
          <w:b/>
          <w:sz w:val="20"/>
        </w:rPr>
        <w:t>Note 15. Net Loss Per Share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shd w:fill="FFFFFF" w:val="clear"/>
        </w:rPr>
        <w:t>Basic and diluted net loss per share are as follows</w:t>
      </w:r>
      <w:r>
        <w:rPr>
          <w:rFonts w:ascii="Times New Roman;Times;serif" w:hAnsi="Times New Roman;Times;serif"/>
          <w:sz w:val="20"/>
        </w:rPr>
        <w:t>:</w:t>
      </w:r>
    </w:p>
    <w:p>
      <w:pPr>
        <w:pStyle w:val="TextBody"/>
        <w:bidi w:val="0"/>
        <w:spacing w:before="0" w:after="0"/>
        <w:ind w:left="0" w:right="0" w:hanging="0"/>
        <w:jc w:val="left"/>
        <w:rPr/>
      </w:pPr>
      <w:r>
        <w:rPr/>
        <w:t>​</w:t>
      </w:r>
    </w:p>
    <w:tbl>
      <w:tblPr>
        <w:tblW w:w="8551" w:type="dxa"/>
        <w:jc w:val="left"/>
        <w:tblInd w:w="0" w:type="dxa"/>
        <w:tblLayout w:type="fixed"/>
        <w:tblCellMar>
          <w:top w:w="0" w:type="dxa"/>
          <w:left w:w="0" w:type="dxa"/>
          <w:bottom w:w="0" w:type="dxa"/>
          <w:right w:w="0" w:type="dxa"/>
        </w:tblCellMar>
      </w:tblPr>
      <w:tblGrid>
        <w:gridCol w:w="3331"/>
        <w:gridCol w:w="346"/>
        <w:gridCol w:w="211"/>
        <w:gridCol w:w="796"/>
        <w:gridCol w:w="346"/>
        <w:gridCol w:w="211"/>
        <w:gridCol w:w="796"/>
        <w:gridCol w:w="109"/>
        <w:gridCol w:w="211"/>
        <w:gridCol w:w="796"/>
        <w:gridCol w:w="346"/>
        <w:gridCol w:w="211"/>
        <w:gridCol w:w="841"/>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15185" cy="175260"/>
                      <wp:effectExtent l="0" t="0" r="0" b="0"/>
                      <wp:wrapNone/>
                      <wp:docPr id="199" name="Frame199"/>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05460" cy="175260"/>
                      <wp:effectExtent l="0" t="0" r="0" b="0"/>
                      <wp:wrapNone/>
                      <wp:docPr id="202" name="Frame20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05460" cy="175260"/>
                      <wp:effectExtent l="0" t="0" r="0" b="0"/>
                      <wp:wrapNone/>
                      <wp:docPr id="205" name="Frame20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6"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7"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05460" cy="175260"/>
                      <wp:effectExtent l="0" t="0" r="0" b="0"/>
                      <wp:wrapNone/>
                      <wp:docPr id="208" name="Frame20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34035" cy="175260"/>
                      <wp:effectExtent l="0" t="0" r="0" b="0"/>
                      <wp:wrapNone/>
                      <wp:docPr id="211" name="Frame21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6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24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3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(numerator)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(19,187)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(26,441)</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(denominator)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6,347</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net loss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w:t>
            </w:r>
          </w:p>
        </w:tc>
      </w:tr>
    </w:tbl>
    <w:p>
      <w:pPr>
        <w:pStyle w:val="TextBody"/>
        <w:bidi w:val="0"/>
        <w:spacing w:before="0" w:after="240"/>
        <w:ind w:left="0" w:right="0" w:firstLine="360"/>
        <w:jc w:val="left"/>
        <w:rPr>
          <w:shd w:fill="FFFFFF" w:val="clear"/>
        </w:rPr>
      </w:pPr>
      <w:r>
        <w:rPr>
          <w:shd w:fill="FFFFFF" w:val="clear"/>
        </w:rPr>
        <w:t>​</w:t>
      </w:r>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Potentially dilutive securities outstanding consists of stock options, RSUs and performance units, and BTI warrants. The Company had common stock equivalents outstanding are as follows:</w:t>
      </w:r>
    </w:p>
    <w:p>
      <w:pPr>
        <w:pStyle w:val="TextBody"/>
        <w:bidi w:val="0"/>
        <w:spacing w:before="0" w:after="240"/>
        <w:ind w:left="0" w:right="0" w:firstLine="36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918" w:name="Tc_5uKS92mlD0WqDrMeDwcDsQ_9_0"/>
      <w:bookmarkStart w:id="919" w:name="Tc_ALoXLJvV8UaA4uPXMDqxsg_8_0"/>
      <w:bookmarkStart w:id="920" w:name="Tc_RTy80jyH70OGr6O4_qElRQ_7_0"/>
      <w:bookmarkStart w:id="921" w:name="Tc_r2SI0tSGCUi0fJnbxZOL-g_6_0"/>
      <w:bookmarkStart w:id="922" w:name="Tc_1KhRULbwUkCLD4r9P5tOwg_5_0"/>
      <w:bookmarkStart w:id="923" w:name="Tc_yOmS0N45O0O20mJ_NZjB1Q_3_5"/>
      <w:bookmarkStart w:id="924" w:name="Tc_v-WmntNfgkKl0_hzjl1n_Q_3_2"/>
      <w:bookmarkStart w:id="925" w:name="Tc_QPfzV8UnHEiHIKjxGDwLfA_2_2"/>
      <w:bookmarkStart w:id="926" w:name="Tc_lRUbGDaC50WgSwt7641X3g_1_2"/>
      <w:bookmarkStart w:id="927" w:name="Tc_5uKS92mlD0WqDrMeDwcDsQ_9_0"/>
      <w:bookmarkStart w:id="928" w:name="Tc_ALoXLJvV8UaA4uPXMDqxsg_8_0"/>
      <w:bookmarkStart w:id="929" w:name="Tc_RTy80jyH70OGr6O4_qElRQ_7_0"/>
      <w:bookmarkStart w:id="930" w:name="Tc_r2SI0tSGCUi0fJnbxZOL-g_6_0"/>
      <w:bookmarkStart w:id="931" w:name="Tc_1KhRULbwUkCLD4r9P5tOwg_5_0"/>
      <w:bookmarkStart w:id="932" w:name="Tc_yOmS0N45O0O20mJ_NZjB1Q_3_5"/>
      <w:bookmarkStart w:id="933" w:name="Tc_v-WmntNfgkKl0_hzjl1n_Q_3_2"/>
      <w:bookmarkStart w:id="934" w:name="Tc_QPfzV8UnHEiHIKjxGDwLfA_2_2"/>
      <w:bookmarkStart w:id="935" w:name="Tc_lRUbGDaC50WgSwt7641X3g_1_2"/>
      <w:bookmarkEnd w:id="927"/>
      <w:bookmarkEnd w:id="928"/>
      <w:bookmarkEnd w:id="929"/>
      <w:bookmarkEnd w:id="930"/>
      <w:bookmarkEnd w:id="931"/>
      <w:bookmarkEnd w:id="932"/>
      <w:bookmarkEnd w:id="933"/>
      <w:bookmarkEnd w:id="934"/>
      <w:bookmarkEnd w:id="935"/>
    </w:p>
    <w:tbl>
      <w:tblPr>
        <w:tblW w:w="4469" w:type="dxa"/>
        <w:jc w:val="left"/>
        <w:tblInd w:w="0" w:type="dxa"/>
        <w:tblLayout w:type="fixed"/>
        <w:tblCellMar>
          <w:top w:w="0" w:type="dxa"/>
          <w:left w:w="0" w:type="dxa"/>
          <w:bottom w:w="0" w:type="dxa"/>
          <w:right w:w="0" w:type="dxa"/>
        </w:tblCellMar>
      </w:tblPr>
      <w:tblGrid>
        <w:gridCol w:w="2776"/>
        <w:gridCol w:w="109"/>
        <w:gridCol w:w="109"/>
        <w:gridCol w:w="571"/>
        <w:gridCol w:w="109"/>
        <w:gridCol w:w="109"/>
        <w:gridCol w:w="686"/>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762760" cy="175260"/>
                      <wp:effectExtent l="0" t="0" r="0" b="0"/>
                      <wp:wrapNone/>
                      <wp:docPr id="212" name="Frame212"/>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3"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4"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362585" cy="175260"/>
                      <wp:effectExtent l="0" t="0" r="0" b="0"/>
                      <wp:wrapNone/>
                      <wp:docPr id="215" name="Frame21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16"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7"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35610" cy="175260"/>
                      <wp:effectExtent l="0" t="0" r="0" b="0"/>
                      <wp:wrapNone/>
                      <wp:docPr id="218" name="Frame218"/>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8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7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7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86" w:type="dxa"/>
            <w:tcBorders/>
            <w:vAlign w:val="center"/>
          </w:tcPr>
          <w:p>
            <w:pPr>
              <w:pStyle w:val="TableContents"/>
              <w:bidi w:val="0"/>
              <w:spacing w:before="0" w:after="0"/>
              <w:ind w:left="0" w:right="0" w:hanging="0"/>
              <w:jc w:val="center"/>
              <w:rPr/>
            </w:pPr>
            <w:r>
              <w:rPr/>
              <w:t>​</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 stock units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BTI Warrants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5,479</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common stock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5,964</w:t>
            </w:r>
          </w:p>
        </w:tc>
      </w:tr>
    </w:tbl>
    <w:p>
      <w:pPr>
        <w:pStyle w:val="TextBody"/>
        <w:bidi w:val="0"/>
        <w:spacing w:before="0" w:after="0"/>
        <w:ind w:left="0" w:right="0" w:hanging="0"/>
        <w:jc w:val="left"/>
        <w:rPr/>
      </w:pPr>
      <w:r>
        <w:rPr/>
        <w:t>​</w:t>
      </w:r>
    </w:p>
    <w:p>
      <w:pPr>
        <w:pStyle w:val="TextBody"/>
        <w:bidi w:val="0"/>
        <w:spacing w:before="0" w:after="0"/>
        <w:ind w:left="0" w:right="0" w:hanging="0"/>
        <w:jc w:val="left"/>
        <w:rPr>
          <w:shd w:fill="FFFFFF" w:val="clear"/>
        </w:rPr>
      </w:pPr>
      <w:r>
        <w:rPr>
          <w:shd w:fill="FFFFFF" w:val="clear"/>
        </w:rPr>
        <w:t>​</w:t>
      </w:r>
    </w:p>
    <w:p>
      <w:pPr>
        <w:pStyle w:val="TextBody"/>
        <w:bidi w:val="0"/>
        <w:spacing w:before="0" w:after="20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Note 16. Commitments and Contingencies</w:t>
      </w:r>
    </w:p>
    <w:p>
      <w:pPr>
        <w:pStyle w:val="TextBody"/>
        <w:bidi w:val="0"/>
        <w:spacing w:before="0" w:after="20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From time to time, in the ordinary course of business, the Company may be subject to litigation and regulatory examinations as well as information gathering requests, inquiries and/or investigations. Other than the items below, the Company is not currently subject to any matters where it believes there is a reasonable possibility that a material loss may be incurred.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On July 7, 2023, plaintiff Katelyn Martin filed a class action complaint against the Company and certain executives in the United States District Court for the District of Connecticut, captioned </w:t>
      </w:r>
      <w:r>
        <w:rPr>
          <w:rFonts w:ascii="Times New Roman;Times;serif" w:hAnsi="Times New Roman;Times;serif"/>
          <w:i/>
          <w:sz w:val="20"/>
          <w:shd w:fill="FFFFFF" w:val="clear"/>
        </w:rPr>
        <w:t>Martin v. BioXcel Therapeutics, et al.</w:t>
      </w:r>
      <w:r>
        <w:rPr>
          <w:rFonts w:ascii="Times New Roman;Times;serif" w:hAnsi="Times New Roman;Times;serif"/>
          <w:sz w:val="20"/>
          <w:shd w:fill="FFFFFF" w:val="clear"/>
        </w:rPr>
        <w:t xml:space="preserve">, 3:23-cv-00915 (D. Conn). The case has since been renamed to </w:t>
      </w:r>
      <w:r>
        <w:rPr>
          <w:rFonts w:ascii="Times New Roman;Times;serif" w:hAnsi="Times New Roman;Times;serif"/>
          <w:i/>
          <w:sz w:val="20"/>
          <w:shd w:fill="FFFFFF" w:val="clear"/>
        </w:rPr>
        <w:t xml:space="preserve">Hills et al v. BioXcel Therapeutics, Inc. et </w:t>
      </w:r>
      <w:r>
        <w:rPr>
          <w:rFonts w:ascii="Times New Roman;Times;serif" w:hAnsi="Times New Roman;Times;serif"/>
          <w:sz w:val="20"/>
          <w:shd w:fill="FFFFFF" w:val="clear"/>
        </w:rPr>
        <w:t>al. On October 4, 2023, pursuant to the Private Securities Litigation Reform Act, the court appointed two co-Lead Plaintiffs. The co-Lead Plaintiffs filed an amended complaint on December 5, 2023, alleging violations of Sections 10(b) and 20A of the Securities and Exchange Act of 1934 (the “Exchange Act”) and SEC Rule 10b-5 promulgated thereunder. On July 11, 2024, the Court dismissed the amended complaint without prejudice and, on August 1, 2024, co-Lead Plaintiffs filed a second amended complaint. The second amended complaint alleges that defendants made false or misleading statements regarding the TRANQUILITY II trial and the development of BXCL501 for an expanded indication related to the treatment of certain Alzheimer’s-related agitation. The Company moved to dismiss the second amended complaint on September 6, 2024. On February 24, 2025, while the Company’s motion to dismiss remained pending, Plaintiffs moved for leave to further amend their complaint. On September 29, 2025, the Court issued an order granting Plaintiffs’ motion for leave to amend, denying Defendants’ motion to dismiss as moot, and allowing Plaintiffs to proceed on certain of their claims. The Company filed an answer to the third amended complaint on October 28, 2025.</w:t>
      </w:r>
    </w:p>
    <w:p>
      <w:pPr>
        <w:pStyle w:val="TextBody"/>
        <w:bidi w:val="0"/>
        <w:spacing w:before="200" w:after="200"/>
        <w:ind w:left="0" w:right="0" w:firstLine="360"/>
        <w:jc w:val="left"/>
        <w:rPr>
          <w:rFonts w:ascii="Times New Roman;Times;serif" w:hAnsi="Times New Roman;Times;serif"/>
          <w:sz w:val="20"/>
        </w:rPr>
      </w:pPr>
      <w:r>
        <w:rPr>
          <w:rFonts w:ascii="Times New Roman;Times;serif" w:hAnsi="Times New Roman;Times;serif"/>
          <w:sz w:val="20"/>
        </w:rPr>
        <w:t xml:space="preserve">On January 27, 2026, the parties filed a joint motion to vacate deadlines pending settlement, and on February 27, 2026, the parties filed a stipulation regarding settlement. The settlement agreement includes a cash payment of $9,750 funded by the Company’s insurance carriers. On March 2, 2026, the Court granted preliminary approval of the settlement. </w:t>
      </w:r>
      <w:r>
        <w:rPr>
          <w:rFonts w:ascii="Times New Roman;Times;serif" w:hAnsi="Times New Roman;Times;serif"/>
          <w:sz w:val="20"/>
          <w:shd w:fill="FFFFFF" w:val="clear"/>
        </w:rPr>
        <w:t>Accordingly, the Company recorded an estimated $9,750 liability within</w:t>
      </w:r>
      <w:r>
        <w:rPr>
          <w:rFonts w:ascii="Times New Roman;Times;serif" w:hAnsi="Times New Roman;Times;serif"/>
          <w:sz w:val="20"/>
        </w:rPr>
        <w:t> Other current liabilities in the Company’s Condensed Consolidated Balance Sheets</w:t>
      </w:r>
      <w:r>
        <w:rPr>
          <w:rFonts w:ascii="Times New Roman;Times;serif" w:hAnsi="Times New Roman;Times;serif"/>
          <w:sz w:val="20"/>
          <w:shd w:fill="FFFFFF" w:val="clear"/>
        </w:rPr>
        <w:t> with a corresponding insurance recovery for the 100% portion to be paid directly by certain of the Company’s insurance carriers within Other current assets in the Company’s Condensed Consolidated Balance Sheets. In March 2026, the insurance carriers funded the settlement escrow for the $9,750 cash settlement. The settlement is subject to the hearing on the motion for final approval, scheduled for September 2, 2026, and no payments will be released from escrow until such approval is granted. Accordingly, the settlement liability and related insurance recovery will remain recorded on the Company’s Condensed Consolidated Balance Sheets until final approval of the settlement is obtained.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On November 28, 2023, Plaintiffs Pratheesan Panancherry and Jeffrey Bastress filed a stockholder derivative complaint in the United States District Court for the District of Connecticut purportedly on behalf of the Company and against Vimal Mehta, Richard I. Steinhart, Peter Mueller, June Bray, Sandeep Laumas, Michael Miller, Michal Votruba, and Krishnan Nandabalan as Defendants, and the Company as Nominal Defendant under the caption </w:t>
      </w:r>
      <w:r>
        <w:rPr>
          <w:rFonts w:ascii="Times New Roman;Times;serif" w:hAnsi="Times New Roman;Times;serif"/>
          <w:i/>
          <w:sz w:val="20"/>
          <w:shd w:fill="FFFFFF" w:val="clear"/>
        </w:rPr>
        <w:t>Panancherry et al v. Mehta et al</w:t>
      </w:r>
      <w:r>
        <w:rPr>
          <w:rFonts w:ascii="Times New Roman;Times;serif" w:hAnsi="Times New Roman;Times;serif"/>
          <w:sz w:val="20"/>
          <w:shd w:fill="FFFFFF" w:val="clear"/>
        </w:rPr>
        <w:t xml:space="preserve">, 3:23-cv-1554. Following the initial action, Plaintiffs Maria Vomvolakis (3:24-cv-3) and Kelly Fowler (3:24-cv-203) each filed separate stockholder derivative complaints in the District of Connecticut raising similar claims as Panancherry and Bastress, including business torts and violations of the Securities Exchange Act of 1934. The cases have been consolidated under the caption </w:t>
      </w:r>
      <w:r>
        <w:rPr>
          <w:rFonts w:ascii="Times New Roman;Times;serif" w:hAnsi="Times New Roman;Times;serif"/>
          <w:i/>
          <w:sz w:val="20"/>
          <w:shd w:fill="FFFFFF" w:val="clear"/>
        </w:rPr>
        <w:t xml:space="preserve">In re BioXcel Therapeutics, Inc. Stockholder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shd w:fill="FFFFFF" w:val="clear"/>
        </w:rPr>
        <w:t>Derivative Litigation</w:t>
      </w:r>
      <w:r>
        <w:rPr>
          <w:rFonts w:ascii="Times New Roman;Times;serif" w:hAnsi="Times New Roman;Times;serif"/>
          <w:sz w:val="20"/>
          <w:shd w:fill="FFFFFF" w:val="clear"/>
        </w:rPr>
        <w:t xml:space="preserve">, 3:23-cv-1554 (D. Conn.). </w:t>
      </w:r>
      <w:r>
        <w:rPr>
          <w:rFonts w:ascii="Times New Roman;Times;serif" w:hAnsi="Times New Roman;Times;serif"/>
          <w:sz w:val="20"/>
        </w:rPr>
        <w:t xml:space="preserve">On October 30, 2025, the Court entered the parties’ joint stipulation staying the consolidated action until the resolution of </w:t>
      </w:r>
      <w:r>
        <w:rPr>
          <w:rFonts w:ascii="Times New Roman;Times;serif" w:hAnsi="Times New Roman;Times;serif"/>
          <w:i/>
          <w:sz w:val="20"/>
        </w:rPr>
        <w:t>Hills v. BioXcel et al</w:t>
      </w:r>
      <w:r>
        <w:rPr>
          <w:rFonts w:ascii="Times New Roman;Times;serif" w:hAnsi="Times New Roman;Times;serif"/>
          <w:sz w:val="20"/>
        </w:rPr>
        <w:t>, 3:23-cv-00915 (D. Conn.).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On January 11, 2024, Plaintiff Jeremy Smith filed a stockholder derivative complaint in the United States District Court for the District of Delaware purportedly on behalf of the Company and against Vimal Mehta, Peter Mueller, June Bray, Sandeep Laumas, Michael Miller, Michal Votruba, Richard I. Steinhart, Robert Risinger, and Krishnan Nandabalan as Defendants, and the Company as Nominal Defendant under the caption </w:t>
      </w:r>
      <w:r>
        <w:rPr>
          <w:rFonts w:ascii="Times New Roman;Times;serif" w:hAnsi="Times New Roman;Times;serif"/>
          <w:i/>
          <w:sz w:val="20"/>
          <w:shd w:fill="FFFFFF" w:val="clear"/>
        </w:rPr>
        <w:t>Smith v. Mehta et al,</w:t>
      </w:r>
      <w:r>
        <w:rPr>
          <w:rFonts w:ascii="Times New Roman;Times;serif" w:hAnsi="Times New Roman;Times;serif"/>
          <w:sz w:val="20"/>
          <w:shd w:fill="FFFFFF" w:val="clear"/>
        </w:rPr>
        <w:t xml:space="preserve"> 1:24-cv-00041. Following the initial action, Plaintiff Janice Korff filed a stockholder derivative complaint in the District of Delaware raising similar claims as Smith (1:24-cv-130), including business torts and violations of the Securities Exchange Act of 1934. The cases have been consolidated under the caption </w:t>
      </w:r>
      <w:r>
        <w:rPr>
          <w:rFonts w:ascii="Times New Roman;Times;serif" w:hAnsi="Times New Roman;Times;serif"/>
          <w:i/>
          <w:sz w:val="20"/>
          <w:shd w:fill="FFFFFF" w:val="clear"/>
        </w:rPr>
        <w:t>In re BioXcel Therapeutics, Inc. Derivative Litigation</w:t>
      </w:r>
      <w:r>
        <w:rPr>
          <w:rFonts w:ascii="Times New Roman;Times;serif" w:hAnsi="Times New Roman;Times;serif"/>
          <w:sz w:val="20"/>
          <w:shd w:fill="FFFFFF" w:val="clear"/>
        </w:rPr>
        <w:t xml:space="preserve">, 1:24-cv-00041 (D. Del.). </w:t>
      </w:r>
      <w:r>
        <w:rPr>
          <w:rFonts w:ascii="Times New Roman;Times;serif" w:hAnsi="Times New Roman;Times;serif"/>
          <w:sz w:val="20"/>
        </w:rPr>
        <w:t xml:space="preserve">On October 30, 2025, the Court entered the parties’ joint stipulation staying the consolidated action until the resolution of </w:t>
      </w:r>
      <w:r>
        <w:rPr>
          <w:rFonts w:ascii="Times New Roman;Times;serif" w:hAnsi="Times New Roman;Times;serif"/>
          <w:i/>
          <w:sz w:val="20"/>
        </w:rPr>
        <w:t>Hills v. BioXcel et al</w:t>
      </w:r>
      <w:r>
        <w:rPr>
          <w:rFonts w:ascii="Times New Roman;Times;serif" w:hAnsi="Times New Roman;Times;serif"/>
          <w:sz w:val="20"/>
        </w:rPr>
        <w:t>, 3:23-cv-00915 (D. Conn.).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May 7, 2025, Plaintiff Yaakov Portnoy filed a stockholder derivative complaint in the Court of Chancery of the State of Delaware purportedly on behalf of the Company and against Vimal Mehta, Peter Mueller, June Bray, Sandeep “Steve” Laumas, Michael P. Miller, Michal Votruba, Richard I. Steinhart, Robert Risinger, and Krishnan Nandabalan, and the Company as Nominal Defendant under the caption </w:t>
      </w:r>
      <w:r>
        <w:rPr>
          <w:rFonts w:ascii="Times New Roman;Times;serif" w:hAnsi="Times New Roman;Times;serif"/>
          <w:i/>
          <w:sz w:val="20"/>
        </w:rPr>
        <w:t>Yaakov Portnoy, derivatively on behalf of BioXcel Therapeutics, Inc. v. Vimal Mehta, et al</w:t>
      </w:r>
      <w:r>
        <w:rPr>
          <w:rFonts w:ascii="Times New Roman;Times;serif" w:hAnsi="Times New Roman;Times;serif"/>
          <w:sz w:val="20"/>
        </w:rPr>
        <w:t xml:space="preserve">, 2025-0508-BWD (Del. Ch.).  The complaint alleges similar claims to those raised in </w:t>
      </w:r>
      <w:r>
        <w:rPr>
          <w:rFonts w:ascii="Times New Roman;Times;serif" w:hAnsi="Times New Roman;Times;serif"/>
          <w:i/>
          <w:sz w:val="20"/>
        </w:rPr>
        <w:t>In re BioXcel Therapeutics, Inc. Derivative Litigation</w:t>
      </w:r>
      <w:r>
        <w:rPr>
          <w:rFonts w:ascii="Times New Roman;Times;serif" w:hAnsi="Times New Roman;Times;serif"/>
          <w:sz w:val="20"/>
        </w:rPr>
        <w:t xml:space="preserve">, 1:24-cv-00041 (D. Del.), including business torts. On January 27, 2026, the Court entered the parties’ joint stipulation staying the case until the resolution of </w:t>
      </w:r>
      <w:r>
        <w:rPr>
          <w:rFonts w:ascii="Times New Roman;Times;serif" w:hAnsi="Times New Roman;Times;serif"/>
          <w:i/>
          <w:sz w:val="20"/>
        </w:rPr>
        <w:t>Hills v. BioXcel et al</w:t>
      </w:r>
      <w:r>
        <w:rPr>
          <w:rFonts w:ascii="Times New Roman;Times;serif" w:hAnsi="Times New Roman;Times;serif"/>
          <w:sz w:val="20"/>
        </w:rPr>
        <w:t>, 3:23-cv-00915 (D. Conn.).</w:t>
      </w:r>
    </w:p>
    <w:p>
      <w:pPr>
        <w:pStyle w:val="TextBody"/>
        <w:bidi w:val="0"/>
        <w:spacing w:before="200" w:after="200"/>
        <w:ind w:left="0" w:right="0" w:firstLine="360"/>
        <w:jc w:val="left"/>
        <w:rPr>
          <w:rFonts w:ascii="Times New Roman;Times;serif" w:hAnsi="Times New Roman;Times;serif"/>
          <w:sz w:val="20"/>
        </w:rPr>
      </w:pPr>
      <w:r>
        <w:rPr>
          <w:rFonts w:ascii="Times New Roman;Times;serif" w:hAnsi="Times New Roman;Times;serif"/>
          <w:sz w:val="20"/>
        </w:rPr>
        <w:t xml:space="preserve">On March 20, 2026, Plaintiff Travis Vrana filed a stockholder derivative complaint purportedly on behalf of the Company and against Peter Mueller, June Bray, Sandeep Laumas, David Mack, Vimal Mehta, Michael Miller, Rajiv Patni, Michal Votruba, Richard I. Steinhart, and Robert Risinger as Defendants, and the Company as Nominal Defendant under the caption </w:t>
      </w:r>
      <w:r>
        <w:rPr>
          <w:rFonts w:ascii="Times New Roman;Times;serif" w:hAnsi="Times New Roman;Times;serif"/>
          <w:i/>
          <w:sz w:val="20"/>
        </w:rPr>
        <w:t>Vrana v. Mueller et al</w:t>
      </w:r>
      <w:r>
        <w:rPr>
          <w:rFonts w:ascii="Times New Roman;Times;serif" w:hAnsi="Times New Roman;Times;serif"/>
          <w:sz w:val="20"/>
        </w:rPr>
        <w:t xml:space="preserve">, 3:26-cv-00423 (D. Conn.). The complaint alleges similar claims to those raised in </w:t>
      </w:r>
      <w:r>
        <w:rPr>
          <w:rFonts w:ascii="Times New Roman;Times;serif" w:hAnsi="Times New Roman;Times;serif"/>
          <w:i/>
          <w:sz w:val="20"/>
          <w:shd w:fill="FFFFFF" w:val="clear"/>
        </w:rPr>
        <w:t>In re BioXcel Therapeutics, Inc. Stockholder Derivative Litigation</w:t>
      </w:r>
      <w:r>
        <w:rPr>
          <w:rFonts w:ascii="Times New Roman;Times;serif" w:hAnsi="Times New Roman;Times;serif"/>
          <w:sz w:val="20"/>
          <w:shd w:fill="FFFFFF" w:val="clear"/>
        </w:rPr>
        <w:t>, 3:23-cv-1554 (D. Conn.), including business torts and violations of the Securities Exchange Act of 1934</w:t>
      </w:r>
      <w:r>
        <w:rPr>
          <w:rFonts w:ascii="Times New Roman;Times;serif" w:hAnsi="Times New Roman;Times;serif"/>
          <w:sz w:val="20"/>
        </w:rPr>
        <w:t xml:space="preserve">. On May 19, 2026, the Court in </w:t>
      </w:r>
      <w:r>
        <w:rPr>
          <w:rFonts w:ascii="Times New Roman;Times;serif" w:hAnsi="Times New Roman;Times;serif"/>
          <w:i/>
          <w:sz w:val="20"/>
        </w:rPr>
        <w:t>Vrana v. Mueller et al</w:t>
      </w:r>
      <w:r>
        <w:rPr>
          <w:rFonts w:ascii="Times New Roman;Times;serif" w:hAnsi="Times New Roman;Times;serif"/>
          <w:sz w:val="20"/>
        </w:rPr>
        <w:t>, 3:26-cv-00423 (D. Conn.), entered the parties’ joint stipulation staying that case for a period of 90 days.</w:t>
      </w:r>
    </w:p>
    <w:p>
      <w:pPr>
        <w:pStyle w:val="TextBody"/>
        <w:bidi w:val="0"/>
        <w:spacing w:before="200" w:after="20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On May 15, 2026, Plaintiff Chirag Mody filed a stockholder derivative complaint purportedly on behalf of the Company and against Vimal Mehta, Peter Mueller, June Bray, Sandeep Laumas, Michael Miller, Michal Votruba, Richard I. Steinhart, Robert Risinger, and Krishnan Nandabalan as Defendants, and the Company as Nominal Defendant under the caption </w:t>
      </w:r>
      <w:r>
        <w:rPr>
          <w:rFonts w:ascii="Times New Roman;Times;serif" w:hAnsi="Times New Roman;Times;serif"/>
          <w:i/>
          <w:sz w:val="20"/>
          <w:shd w:fill="FFFFFF" w:val="clear"/>
        </w:rPr>
        <w:t>Mody v. Mehta et al</w:t>
      </w:r>
      <w:r>
        <w:rPr>
          <w:rFonts w:ascii="Times New Roman;Times;serif" w:hAnsi="Times New Roman;Times;serif"/>
          <w:sz w:val="20"/>
          <w:shd w:fill="FFFFFF" w:val="clear"/>
        </w:rPr>
        <w:t xml:space="preserve">, 3:25-cv-00762 (D. Conn.). The complaint alleges </w:t>
      </w:r>
      <w:r>
        <w:rPr>
          <w:rFonts w:ascii="Times New Roman;Times;serif" w:hAnsi="Times New Roman;Times;serif"/>
          <w:sz w:val="20"/>
        </w:rPr>
        <w:t xml:space="preserve">similar claims to those raised in </w:t>
      </w:r>
      <w:r>
        <w:rPr>
          <w:rFonts w:ascii="Times New Roman;Times;serif" w:hAnsi="Times New Roman;Times;serif"/>
          <w:i/>
          <w:sz w:val="20"/>
          <w:shd w:fill="FFFFFF" w:val="clear"/>
        </w:rPr>
        <w:t>In re BioXcel Therapeutics, Inc. Stockholder Derivative Litigation</w:t>
      </w:r>
      <w:r>
        <w:rPr>
          <w:rFonts w:ascii="Times New Roman;Times;serif" w:hAnsi="Times New Roman;Times;serif"/>
          <w:sz w:val="20"/>
          <w:shd w:fill="FFFFFF" w:val="clear"/>
        </w:rPr>
        <w:t xml:space="preserve">, 3:23-cv-1554 (D. Conn.), including business torts and violations of the Securities Exchange Act of 1934. On July 14, 2026, the Court in </w:t>
      </w:r>
      <w:r>
        <w:rPr>
          <w:rFonts w:ascii="Times New Roman;Times;serif" w:hAnsi="Times New Roman;Times;serif"/>
          <w:i/>
          <w:sz w:val="20"/>
          <w:shd w:fill="FFFFFF" w:val="clear"/>
        </w:rPr>
        <w:t>Mody v. Mehta et al</w:t>
      </w:r>
      <w:r>
        <w:rPr>
          <w:rFonts w:ascii="Times New Roman;Times;serif" w:hAnsi="Times New Roman;Times;serif"/>
          <w:sz w:val="20"/>
          <w:shd w:fill="FFFFFF" w:val="clear"/>
        </w:rPr>
        <w:t>, 3:25-cv-00762 (D. Conn.), entered the parties’ joint stipulation staying that case for a period of 90 days.</w:t>
      </w:r>
    </w:p>
    <w:p>
      <w:pPr>
        <w:pStyle w:val="TextBody"/>
        <w:bidi w:val="0"/>
        <w:spacing w:before="0" w:after="20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At this time, the Company does not believe the claims in the above-captioned matters have merit, and intends to vigorously defend against them; however, the potential costs and liabilities associated with this litigation are uncertain.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shd w:fill="FFFFFF" w:val="clear"/>
        </w:rPr>
        <w:t>In April 2022, the Company signed a commercial supply agreement that requires minimum annual payments for the first three years of the agreement that in aggregate total $10,000 for the three-year period, of which $5,000 was originally due in year ended 2024. On July 11, 2024, the Company entered into an amendment to the commercial supply agreement (the “Product Supply Agreement Amendment”) that reduces the specified minimum annual payment over the next three years starting in the year ended 2024 and, thereafter, for a specified interval, provides for minimum annual payments to the extent that the Company receives approval of a supplemental new drug application (sNDA) or a new drug application (NDA) from the FDA for enumerated indications. The Company’s renegotiated agreement reduced the minimum commitment for 2024 to $1,000 and thereafter for the term of the agreement in annual amounts ranging from $2,000 to $5,000 subject, in certain instances, to the extent that the Company receives approval of an sNDA or NDA from the FDA for enumerated indications. In accordance with the Product Supply Agreement Amendment, the minimum commitments were reduced to $1,000, $2,000 and $2,000 in the years 2024, 2025, and 2026.</w:t>
      </w:r>
      <w:r>
        <w:rPr>
          <w:rFonts w:ascii="Times New Roman;Times;serif" w:hAnsi="Times New Roman;Times;serif"/>
          <w:sz w:val="20"/>
        </w:rPr>
        <w:t xml:space="preserve"> </w:t>
      </w:r>
      <w:r>
        <w:rPr>
          <w:rFonts w:ascii="Times New Roman;Times;serif" w:hAnsi="Times New Roman;Times;serif"/>
          <w:sz w:val="20"/>
          <w:shd w:fill="FFFFFF" w:val="clear"/>
        </w:rPr>
        <w:t>In addition, the Company agreed to make a reconciliation payment of $1,200 in the third quarter of 2024 for full settlement for amounts due prior to the July 11, 2024 amendment.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shd w:fill="FFFFFF" w:val="clear"/>
        </w:rPr>
      </w:pPr>
      <w:bookmarkStart w:id="936" w:name="Tc_3pIu5WvGUkeSHczNfJpQQg_38_11"/>
      <w:bookmarkStart w:id="937" w:name="Tc_UtxW0zWd9EC7aaCoVl7F5Q_38_8"/>
      <w:bookmarkStart w:id="938" w:name="Tc_bkMCTvlYvUOJbZTPIKsMNg_38_5"/>
      <w:bookmarkStart w:id="939" w:name="Tc_kBM_YeTolUWabtAb3oEoxg_38_2"/>
      <w:bookmarkStart w:id="940" w:name="Tc_deIcl8sJZkiH-k35M2azZg_38_0"/>
      <w:bookmarkStart w:id="941" w:name="Tc_RjbMa7MhhU-8J4zs9huImg_37_0"/>
      <w:bookmarkStart w:id="942" w:name="Tc_7j9rvRrBbkGTEl0_iOLDPg_36_11"/>
      <w:bookmarkStart w:id="943" w:name="Tc_fdEM8iBazk6AVh9PsYhgAw_36_8"/>
      <w:bookmarkStart w:id="944" w:name="Tc_FlMMKf4gWkeISnQRzAsCBQ_36_5"/>
      <w:bookmarkStart w:id="945" w:name="Tc_ssLStbHFBU6a75AtqZY3Iw_36_2"/>
      <w:bookmarkStart w:id="946" w:name="Tc_YmOtlIg7tkaONEAA0dpDWA_36_0"/>
      <w:bookmarkStart w:id="947" w:name="Tc_gtIsH2-MO0GxB7-3DlebLg_35_0"/>
      <w:bookmarkStart w:id="948" w:name="Tc_7hM0y4veU0q8VjBBXx4RPQ_34_0"/>
      <w:bookmarkStart w:id="949" w:name="Tc_kdt-fkXIxUaQmaMcpIIfdg_33_0"/>
      <w:bookmarkStart w:id="950" w:name="Tc_Moj8PbZgTEW1dHyeY5kI9w_32_0"/>
      <w:bookmarkStart w:id="951" w:name="Tc_HK1ypO08ekaAv6a1Zr3nfw_31_11"/>
      <w:bookmarkStart w:id="952" w:name="Tc_cDgoLl2BMUar3n6UfUcPVw_31_8"/>
      <w:bookmarkStart w:id="953" w:name="Tc_0XL64JNihUWFq2m3ZFG-UA_31_5"/>
      <w:bookmarkStart w:id="954" w:name="Tc_UEwEkVYifUi64hagrq_T5w_31_2"/>
      <w:bookmarkStart w:id="955" w:name="Tc_0vNHC2Wej0S2c5ySeY5BxQ_31_0"/>
      <w:bookmarkStart w:id="956" w:name="Tc_QAjFJD_HxUmhO7CIlZnDhw_30_11"/>
      <w:bookmarkStart w:id="957" w:name="Tc_9md3n22K6U2J-g7eujURWA_30_8"/>
      <w:bookmarkStart w:id="958" w:name="Tc_Q2PTkgGs5EGWmo0cgKyBrQ_30_5"/>
      <w:bookmarkStart w:id="959" w:name="Tc_KgrBKlVQQ0mELblCe3ajeg_30_2"/>
      <w:bookmarkStart w:id="960" w:name="Tc_10LLZVBSJECRh4Xea_HLww_30_0"/>
      <w:bookmarkStart w:id="961" w:name="Tc_stn6L-RDeUumpW9n2VK55g_29_0"/>
      <w:bookmarkStart w:id="962" w:name="Tc_NltgEbBaEE6c12uFdfMtYw_28_0"/>
      <w:bookmarkStart w:id="963" w:name="Tc_tFPw9FuwWEe_TK-u9NEBHA_27_0"/>
      <w:bookmarkStart w:id="964" w:name="Tc_s5Xq5_TVKEOwdQmRu2VA7Q_26_0"/>
      <w:bookmarkStart w:id="965" w:name="Tc_Gz9x4LOFDEeXQbvd7qp2KQ_25_11"/>
      <w:bookmarkStart w:id="966" w:name="Tc_ggovzh1oRkqkVTTSidvLCg_25_8"/>
      <w:bookmarkStart w:id="967" w:name="Tc_REWkMf0bgkSlQE9FsRCljQ_25_0"/>
      <w:bookmarkStart w:id="968" w:name="Tc_9iY3F3BGokeHWuevdJA-Tg_24_0"/>
      <w:bookmarkStart w:id="969" w:name="Tc_UHpI4VMcIEWdGS7VtV1qAg_23_11"/>
      <w:bookmarkStart w:id="970" w:name="Tc_sZ9ihgVUYEuwMi9Q7Hm6Ww_23_8"/>
      <w:bookmarkStart w:id="971" w:name="Tc_jl4IMwi2JECxQ7BvA_FrUg_23_5"/>
      <w:bookmarkStart w:id="972" w:name="Tc_tVZYe4A1nkiGDNt3CqrKKQ_23_2"/>
      <w:bookmarkStart w:id="973" w:name="Tc_6gmWHyBpv02KEmIppLE0UQ_23_0"/>
      <w:bookmarkStart w:id="974" w:name="Tc_2wgcWcbCwEutCYGA6jUp9g_22_0"/>
      <w:bookmarkStart w:id="975" w:name="Tc_ihoXAhdylE-QK0orpP1K0g_21_0"/>
      <w:bookmarkStart w:id="976" w:name="Tc_6OrvpWrna0Og9hBalkbBjA_20_0"/>
      <w:bookmarkStart w:id="977" w:name="Tc_Se3PGh7FM0GsUYNacugutw_19_0"/>
      <w:bookmarkStart w:id="978" w:name="Tc_R7a-17tYIESHh4hoA6gzWw_18_0"/>
      <w:bookmarkStart w:id="979" w:name="Tc_Y2DWKCKAVUm1VNoz7q-VRg_17_0"/>
      <w:bookmarkStart w:id="980" w:name="Tc_JRcm-aLxH0SOzzcpDHI72g_16_0"/>
      <w:bookmarkStart w:id="981" w:name="Tc_Ry6n70qAV0ietrpzSAtqLw_15_11"/>
      <w:bookmarkStart w:id="982" w:name="Tc_LVtXccDGV0SS2Yrr9sqhhQ_15_8"/>
      <w:bookmarkStart w:id="983" w:name="Tc_ihZr0FtviUiKEbLZNDjyfg_15_5"/>
      <w:bookmarkStart w:id="984" w:name="Tc_Ez3aNbnC3Uy-se2IsOUnag_15_2"/>
      <w:bookmarkStart w:id="985" w:name="Tc_RplcurZjVUm4p4b_PSXS1w_15_0"/>
      <w:bookmarkStart w:id="986" w:name="Tc_hH7b9i82vUSnTlPxWYaBXw_14_0"/>
      <w:bookmarkStart w:id="987" w:name="Tc_v8p6rZIDw0G5XY2nuXWu5A_13_0"/>
      <w:bookmarkStart w:id="988" w:name="Tc_s3hn6Zmrp0qZeASeMYbOlQ_12_0"/>
      <w:bookmarkStart w:id="989" w:name="Tc_TtZ2T0Rf40awzyocalcx0g_11_0"/>
      <w:bookmarkStart w:id="990" w:name="Tc_qKwgcaP1_ku_9EsZSiRJtw_10_0"/>
      <w:bookmarkStart w:id="991" w:name="Tc_IFPT_hPMGUOfw_wV3sLcmw_9_11"/>
      <w:bookmarkStart w:id="992" w:name="Tc_mxs78toJR0GJr8Xno2F0sw_9_8"/>
      <w:bookmarkStart w:id="993" w:name="Tc_wpT1Ff3zx0WcI7d-LRsYOQ_9_5"/>
      <w:bookmarkStart w:id="994" w:name="Tc_GXwX2Zc8OU6jPWHa4JmFEA_9_2"/>
      <w:bookmarkStart w:id="995" w:name="Tc_SpZ6m3Q4-kecLqPOAJOsGg_9_0"/>
      <w:bookmarkStart w:id="996" w:name="Tc_5JqPtw7HRE66l4mRkHTuLA_8_0"/>
      <w:bookmarkStart w:id="997" w:name="Tc_yO8aV3nfSUqPbC6NGdUEYQ_7_11"/>
      <w:bookmarkStart w:id="998" w:name="Tc_X7YvxZ44t0u_iXz5r6YXMg_7_8"/>
      <w:bookmarkStart w:id="999" w:name="Tc_3sw1ThSJ3kamJpFwEUtLQg_7_5"/>
      <w:bookmarkStart w:id="1000" w:name="Tc_dMTXwsRMYEy04lnsFVq5ag_7_2"/>
      <w:bookmarkStart w:id="1001" w:name="Tc_UFhnKtO3AUa2CaAqLBMu9g_7_0"/>
      <w:bookmarkStart w:id="1002" w:name="Tc_x-8Dvm11rkinP2CgHcHAzw_6_0"/>
      <w:bookmarkStart w:id="1003" w:name="Tc_mJfc844RAkaMfFV1Eg0TBw_5_11"/>
      <w:bookmarkStart w:id="1004" w:name="Tc_YFd03kvE3UyI_3-X7QRWrA_5_8"/>
      <w:bookmarkStart w:id="1005" w:name="Tc_jQWburGqwEq5arCKMqTSMA_5_5"/>
      <w:bookmarkStart w:id="1006" w:name="Tc_kFDFpkFltkKK1bj5JY6tgw_5_2"/>
      <w:bookmarkStart w:id="1007" w:name="Tc_BiviYgJ0LUqS7UVDTsqdVg_5_0"/>
      <w:bookmarkStart w:id="1008" w:name="Tc_GWpXiz1gDE-HL51KWG9e1Q_3_11"/>
      <w:bookmarkStart w:id="1009" w:name="Tc_bgCFkJY-hEm2kDHzBQt9Jg_3_8"/>
      <w:bookmarkStart w:id="1010" w:name="Tc_JTIJvffO1kGsU1VFpNwTGA_3_5"/>
      <w:bookmarkStart w:id="1011" w:name="Tc_nmGhQGm6h0q5iLabkCxsSw_3_2"/>
      <w:bookmarkStart w:id="1012" w:name="Tc_bL0VdRjjs0KOlpq3vIfQZg_2_8"/>
      <w:bookmarkStart w:id="1013" w:name="Tc_IUShVSndpUW7oNwN0fu-5Q_2_2"/>
      <w:bookmarkStart w:id="1014" w:name="Tc_8VxJrKX1E0mMK_W_Mh-iMA_1_8"/>
      <w:bookmarkStart w:id="1015" w:name="Tc_SziQHnhlFEqmGMBb4YGDow_1_2"/>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r>
        <w:rPr>
          <w:rFonts w:ascii="Times New Roman;Times;serif" w:hAnsi="Times New Roman;Times;serif"/>
          <w:b/>
          <w:sz w:val="20"/>
          <w:shd w:fill="FFFFFF" w:val="clear"/>
        </w:rPr>
        <w:t>Note 17. Segment Information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views its operations and manages its business as one operating and reportable segment, utilizing artificial intelligence (“AI”) to develop transformative medicines in neuroscience and immuno-oncology. The Company is focused on utilizing cutting-edge technology and innovative research to develop high-value therapeutics aimed at transforming patients’ lives. The Company’s approach employs a unique AI platform to reduce therapeutic development costs and potentially accelerate development timelines.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Consistent with the operational structure, the Chief Executive Officer, as the chief operating decision maker (“CODM”), reviews weekly cash usage and allocates resources based on consolidated net loss that also is reported on the consolidated statements of operations. The measure of segment assets is reported on the balance sheet as total consolidated assets. The CODM utilizes consolidated net loss by comparing actual results against budgeted amounts on a quarterly basis. As part of this process, consolidated net loss is a critical performance measure used to evaluate the Company’s operating performance and guide strategic decisions and resource allocations, including additional investments in research and development and commercialization activities.</w:t>
      </w:r>
    </w:p>
    <w:p>
      <w:pPr>
        <w:pStyle w:val="TextBody"/>
        <w:bidi w:val="0"/>
        <w:spacing w:before="0" w:after="0"/>
        <w:ind w:left="0" w:right="0" w:hanging="0"/>
        <w:jc w:val="left"/>
        <w:rPr/>
      </w:pPr>
      <w:r>
        <w:rPr/>
        <w:t>​</w:t>
      </w:r>
    </w:p>
    <w:tbl>
      <w:tblPr>
        <w:tblW w:w="9313" w:type="dxa"/>
        <w:jc w:val="left"/>
        <w:tblInd w:w="0" w:type="dxa"/>
        <w:tblLayout w:type="fixed"/>
        <w:tblCellMar>
          <w:top w:w="0" w:type="dxa"/>
          <w:left w:w="0" w:type="dxa"/>
          <w:bottom w:w="0" w:type="dxa"/>
          <w:right w:w="0" w:type="dxa"/>
        </w:tblCellMar>
      </w:tblPr>
      <w:tblGrid>
        <w:gridCol w:w="3856"/>
        <w:gridCol w:w="346"/>
        <w:gridCol w:w="211"/>
        <w:gridCol w:w="796"/>
        <w:gridCol w:w="346"/>
        <w:gridCol w:w="211"/>
        <w:gridCol w:w="796"/>
        <w:gridCol w:w="346"/>
        <w:gridCol w:w="211"/>
        <w:gridCol w:w="796"/>
        <w:gridCol w:w="346"/>
        <w:gridCol w:w="211"/>
        <w:gridCol w:w="841"/>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448560" cy="175260"/>
                      <wp:effectExtent l="0" t="0" r="0" b="0"/>
                      <wp:wrapNone/>
                      <wp:docPr id="219" name="Frame219"/>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05460" cy="175260"/>
                      <wp:effectExtent l="0" t="0" r="0" b="0"/>
                      <wp:wrapNone/>
                      <wp:docPr id="222" name="Frame22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05460" cy="175260"/>
                      <wp:effectExtent l="0" t="0" r="0" b="0"/>
                      <wp:wrapNone/>
                      <wp:docPr id="225" name="Frame22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505460" cy="175260"/>
                      <wp:effectExtent l="0" t="0" r="0" b="0"/>
                      <wp:wrapNone/>
                      <wp:docPr id="228" name="Frame22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34035" cy="175260"/>
                      <wp:effectExtent l="0" t="0" r="0" b="0"/>
                      <wp:wrapNone/>
                      <wp:docPr id="231" name="Frame23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and 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3,267</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Clinical trials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8,137</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Chemical, manufacturing and controls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14,810</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and 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marketing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Travel related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commercial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and 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1,939</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1,602</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5,406</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Travel related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10,874</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26,239</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8,215</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(7,216)</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(26,441)</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and reconciling items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(26,441)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18. Subsequent Events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Tenth Amendment to Credit Agreement</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July 3, 2026, the Company entered into the Tenth Amendment to the Credit Agreement (the “Tenth Amendment”) by and among the Company, as the borrower, the Lenders and OFA as administrative agent, which included (i) payment in kind of accrued and unpaid interest through and including June 30, 2026, by capitalizing and adding such interest to the outstanding principal amount of the Loans as of such date, (ii) deferral of the payment of principal that was originally due on June 30, 2026 until July 31, 2026, at which point the Company will be obligated to make a payment of $9,017 (constituting the principal and interest that were due and payable on June 30, 2026), plus all accrued interest and fees on such amount through and including July 31, 2026 and (iii) reduction of the Credit Agreement’s minimum liquidity covenant to require minimum cash liquidity of $7,500 (instead of $12,500).</w:t>
      </w:r>
    </w:p>
    <w:p>
      <w:pPr>
        <w:pStyle w:val="TextBody"/>
        <w:shd w:fill="FFFFFF" w:val="clear"/>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pursuant to the Tenth Amendment:</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on or prior to July 31, 2026, enter into definitive agreements with respect to one or more transactions acceptable to Lenders that (a) would result in the repayment of all loan and other obligations under the Credit Agreement or (b) is an alternative capital solutions transaction on terms and conditions acceptable to the Lenders.</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agreed to permit any and all transfers or assignments of all or any portion of the loans, commitments, claims or other rights, interests or obligations of any Lender under or in respect of the Credit Agreement to any third party.  In addition, the Company agreed to waive or otherwise release any and all restrictions contained in any contract between the Company and a third party on such third party’s ability to receive such assignments or transfers.</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agreed to establish and maintain a strategic process committee of its board of directors, which committee shall be comprised solely of David Mack (and/or such other independent director acceptable to the Lenders and that is not a member of the Board as of the Tenth Amendment Effective Date), that will have the full and exclusive authority to evaluate, negotiate, oversee, coordinate and implement any sale, restructuring or other material transaction, including any equity raise, sale or business combination transaction, out-of-court restructuring, in-court restructuring, bankruptcy or insolvency filing or similar transaction and any other matters or actions as may be necessary or advisable to effectuate any of the foregoing.</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agreed to certain additional reporting and information covenants, including a requirement to hold a weekly meeting with the Lenders and the Company’s financial advisors, and a requirement to deliver to the Lenders a 13-week cash flow budget and financial report on a bi-weekly basis. The Company will not be permitted to make disbursements for any two-week period in excess of 115%</w:t>
            </w:r>
            <w:r>
              <w:rPr>
                <w:caps w:val="false"/>
                <w:smallCaps w:val="false"/>
              </w:rPr>
              <w:t xml:space="preserve"> </w:t>
            </w:r>
            <w:r>
              <w:rPr>
                <w:rFonts w:ascii="Times New Roman;Times;serif" w:hAnsi="Times New Roman;Times;serif"/>
                <w:b w:val="false"/>
                <w:i w:val="false"/>
                <w:caps w:val="false"/>
                <w:smallCaps w:val="false"/>
                <w:sz w:val="20"/>
              </w:rPr>
              <w:t>of the aggregate budgeted amount of disbursements for the applicable period.</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agreed to certain additional negative covenants applicable following the Tenth Amendment Effective Date, which, among other things, prohibit the Company from, subject to limited exceptions, (i) making any dividend, distribution or repurchase with respect to its equity interests, (ii) making any investments, (iii) disposing of or granting any license in the Company’s assets, (iv) incurring or suffering to exist any indebtedness or liens, and (v) becoming party to or bound by, or canceling, terminating, modifying or amending in any material respect, or waiving any material rights under any material contract.</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July 31, 2026, the Company is prohibited from entering into, terminating, or otherwise modifying any compensation arrangement with its directors, officers or employees, or making any non-ordinary course payments to, or materially increasing the compensation or benefits of, such persons.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to the Lenders a fee equal to 100 basis points (or 1.00%) of the principal amount of the Loans outstanding as of the effective date of the Tenth Amendment, which was paid in kind by adding such amount to the outstanding principal amount of the Loans on the effective date of the Tenth Amendment.</w:t>
            </w:r>
          </w:p>
        </w:tc>
      </w:tr>
    </w:tbl>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Eleventh Amendment to Credit Agreement</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July 31, 2026, the Company entered into the Eleventh Amendment to the Credit Agreement (the “Eleventh Amendment”), which amended the Credit Agreement. Pursuant to the Eleventh Amendment, the Lenders agreed to (i) defer the payment of principal that was originally due on June 30, 2026, which was previously deferred to July 31, 2026 pursuant to the Tenth Amendment, until August 31, 2026 at which point the Company is obligated to make a payment of $9,017 (constituting the principal and interest that were due and payable on June 30, 2026) plus all accrued interest and fees through August 31, 2026 and (ii) reduce the Credit Agreement’s minimum liquidity covenant to require minimum cash liquidity of $6,250 (instead of $7,500).</w:t>
      </w:r>
    </w:p>
    <w:p>
      <w:pPr>
        <w:pStyle w:val="TextBody"/>
        <w:shd w:fill="FFFFFF" w:val="clear"/>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pursuant to the Eleventh Amendment:</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on or prior to August 10, 2026, enter into definitive agreements with respect to one or more transactions acceptable to Lenders that (a) would result in the repayment of all loan and other obligations under the Credit Agreement or (b) is an alternative capital solutions transaction on terms and conditions acceptable to the Lenders.</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August 10, 2026 (extended from July 31, 2026, as was provided under the Tenth Amendment), the Company is prohibited from entering into, terminating, or otherwise modifying any compensation arrangement with its directors, officers or employees, or making any non-ordinary course payments to, or materially increasing the compensation or benefits of, such persons.</w:t>
            </w:r>
          </w:p>
        </w:tc>
      </w:tr>
    </w:tbl>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Twelfth Amendment to Credit Agreement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August 10, 2026, the Company entered into the Twelfth Amendment to Credit Agreement (the “Twelfth Amendment”), which amended the Credit Agreement. Pursuant to the Twelfth Amendment, the Company is required to, on or prior to August 21, 2026 (extended from August 10, 2026, as was required under the Eleventh Amendment), enter into definitive agreements with respect to one or more transactions acceptable to Lenders that (A) would result in the repayment of all loan and other obligations under the Credit Agreement or (B) is an alternative capital solutions transaction on terms and conditions acceptable to the Lenders. Pursuant to the Twelfth Amendment, the Lenders also agreed to reduce the Credit Agreement’s minimum liquidity covenant to require minimum cash liquidity of $3,000 (instead of $6,250, as under the Eleventh Amendment).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016" w:name="Item2MANAGEMENTSDISCUSSIONANDANALYSIS_22"/>
      <w:bookmarkStart w:id="1017" w:name="_c6cf725f_2a0d_4582_becc_593f15ab6e32"/>
      <w:bookmarkEnd w:id="1016"/>
      <w:bookmarkEnd w:id="1017"/>
      <w:r>
        <w:rPr>
          <w:rFonts w:ascii="Times New Roman;Times;serif" w:hAnsi="Times New Roman;Times;serif"/>
          <w:b/>
          <w:sz w:val="20"/>
        </w:rPr>
        <w:t>Item 2. Management’s Discussion and Analysis of Financial Condition and Results of Operations</w:t>
      </w:r>
    </w:p>
    <w:p>
      <w:pPr>
        <w:pStyle w:val="TextBody"/>
        <w:pBd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unaudited interim condensed consolidated financial statements and related notes appearing elsewhere in this report and the audited financial statements and related notes contained in our Annual Report on Form 10-K for the year ended December 31, 2025. In addition to historical information, this discussion and analysis contains forward-looking statements that involve risks, uncertainties and assumptions. Our actual results may differ materially from those discussed below and in the forward-looking statements. Factors that could cause or contribute to these differences include, without limitation, those discussed in this Management’s Discussion and Analysis of Financial Condition and Results of Operations, those listed under “Summary Risk Factors,” and those discussed in the section titled “Risk Factors” included in Part II, Item 1A. of this report. All dollar amounts in the below Management’s Discussion and Analysis of Financial Condition and Results of Operations are presented in U.S. dollars, and all dollar and share amounts are presented in thousands, unless otherwise noted or the context otherwise provides.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BioXcel Therapeutics, Inc. (Nasdaq: BTAI, “the Company”) is a biopharmaceutical company built on artificial intelligence (“AI”) to develop transformative medicines in neuroscience. Our wholly owned subsidiary, OnkosXcel Therapeutics, is focused on the development of medicines in immuno-oncology. We have utilized cutting-edge technology and innovative research to develop high-value therapeutics aimed at transforming patients’ lives. We developed a proprietary AI platform to reduce therapeutic development costs and potentially accelerate development timelines. Our approach leverages existing approved drugs and/or clinically evaluated product candidates together with big data and proprietary machine learning algorithms to identify new therapeutic indications. We believe this differentiated approach has proven its potential to reduce the expense and time associated with drug development in diseases with substantial unmet medical needs.</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Due to the fact that we were unable to generate sufficient cash flows from operations or obtain sufficient funding to sustain operations and debt service obligations, management and our board of directors determined that it was in the best interests of the stockholders to seek strategic options. We hired advisors to explore strategic options, including, but not limited to, restructuring or refinancing our debt, seeking additional debt or equity capital investment, a sale or licensing transaction for of all or a portion of our assets, a combination of these, or other strategic options. We currently have no commitments to engage in any specific strategic transaction and there can be no assurance that we will be able to complete additional or alternative financings, business development transactions or other strategic alternatives. If we cannot continue as a viable entity, we may be required to seek relief under the U.S. Bankruptcy Code. There can be no guarantees that if we file for bankruptcy we will emerge from bankruptcy as a going concern or that holders of our common stock will receive any recovery from any bankruptcy proceedings. Further, certain strategic alternatives will require the consent of our Lenders pursuant to the covenants in our Credit Agreement. Additionally, pursuant to the Twelfth Amendment to the Credit Agreement, we are required to, on or prior to August 21, 2026 (extended from August 10, 2026, as was required under the Eleventh Amendment), to enter into definitive agreements with respect to one or more transactions acceptable to Lenders that (A) would result in the repayment of all loan and other obligations under the Credit Agreement or (B) is an alternative capital solutions transaction on terms and conditions acceptable to the Lenders, and there is no assurance that we will be able to complete a strategic alternative before that date. </w:t>
      </w:r>
    </w:p>
    <w:p>
      <w:pPr>
        <w:pStyle w:val="TextBody"/>
        <w:shd w:fill="FFFFFF" w:val="clear"/>
        <w:bidi w:val="0"/>
        <w:spacing w:before="0" w:after="0"/>
        <w:ind w:left="0" w:right="0" w:firstLine="360"/>
        <w:jc w:val="left"/>
        <w:rPr/>
      </w:pPr>
      <w:r>
        <w:rPr/>
        <w:t>​</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Our Business</w:t>
      </w:r>
    </w:p>
    <w:p>
      <w:pPr>
        <w:pStyle w:val="TextBody"/>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Our most advanced neuroscience candidate is BXCL501. In indications other than those approved by the FDA as IGALMI</w:t>
      </w:r>
      <w:r>
        <w:rPr>
          <w:rFonts w:ascii="Times New Roman;Times;serif" w:hAnsi="Times New Roman;Times;serif"/>
          <w:sz w:val="15"/>
        </w:rPr>
        <w:t>®</w:t>
      </w:r>
      <w:r>
        <w:rPr>
          <w:rFonts w:ascii="Times New Roman;Times;serif" w:hAnsi="Times New Roman;Times;serif"/>
          <w:sz w:val="20"/>
        </w:rPr>
        <w:t>, BXCL501 is an investigational, proprietary, orally dissolving sublingual film formulation of dexmedetomidine in development for the treatment of agitation associated with psychiatric and neurological disorders. Our most advanced immuno-oncology asset, BXCL701, is an investigational oral innate immune activator from OnkosXcel Therapeutics as a potential therapy for the treatment of aggressive forms of prostate cancer, pancreatic cancer, and other solid and liquid tumors.</w:t>
      </w:r>
    </w:p>
    <w:p>
      <w:pPr>
        <w:pStyle w:val="TextBody"/>
        <w:shd w:fill="FFFFFF" w:val="clear"/>
        <w:bidi w:val="0"/>
        <w:spacing w:before="0" w:after="0"/>
        <w:ind w:left="0" w:right="0" w:firstLine="360"/>
        <w:jc w:val="left"/>
        <w:rPr/>
      </w:pPr>
      <w:r>
        <w:rPr/>
        <w:t>​</w:t>
      </w:r>
    </w:p>
    <w:p>
      <w:pPr>
        <w:pStyle w:val="TextBody"/>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On April 6, 2022, we announced that the FDA approved IGALMI</w:t>
      </w:r>
      <w:r>
        <w:rPr>
          <w:rFonts w:ascii="Times New Roman;Times;serif" w:hAnsi="Times New Roman;Times;serif"/>
          <w:sz w:val="15"/>
        </w:rPr>
        <w:t>®</w:t>
      </w:r>
      <w:r>
        <w:rPr>
          <w:rFonts w:ascii="Times New Roman;Times;serif" w:hAnsi="Times New Roman;Times;serif"/>
          <w:sz w:val="20"/>
        </w:rPr>
        <w:t xml:space="preserve"> (dexmedetomidine) sublingual film for the acute treatment of agitation associated with schizophrenia or bipolar I or II disorder in adults. IGALMI</w:t>
      </w:r>
      <w:r>
        <w:rPr>
          <w:rFonts w:ascii="Times New Roman;Times;serif" w:hAnsi="Times New Roman;Times;serif"/>
          <w:sz w:val="15"/>
        </w:rPr>
        <w:t>®</w:t>
      </w:r>
      <w:r>
        <w:rPr>
          <w:rFonts w:ascii="Times New Roman;Times;serif" w:hAnsi="Times New Roman;Times;serif"/>
          <w:sz w:val="20"/>
        </w:rPr>
        <w:t xml:space="preserve"> is approved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be self-administrated by patients under the supervision of a health care provider. On July 6, 2022, we announced that IGALMI</w:t>
      </w:r>
      <w:r>
        <w:rPr>
          <w:rFonts w:ascii="Times New Roman;Times;serif" w:hAnsi="Times New Roman;Times;serif"/>
          <w:sz w:val="15"/>
        </w:rPr>
        <w:t>®</w:t>
      </w:r>
      <w:r>
        <w:rPr>
          <w:rFonts w:ascii="Times New Roman;Times;serif" w:hAnsi="Times New Roman;Times;serif"/>
          <w:sz w:val="20"/>
        </w:rPr>
        <w:t xml:space="preserve"> was commercially available in doses of 120 and 180 micrograms (“mcg”).</w:t>
      </w:r>
    </w:p>
    <w:p>
      <w:pPr>
        <w:pStyle w:val="TextBody"/>
        <w:shd w:fill="FFFFFF" w:val="clear"/>
        <w:bidi w:val="0"/>
        <w:spacing w:before="0" w:after="0"/>
        <w:ind w:left="0" w:right="0" w:firstLine="360"/>
        <w:jc w:val="left"/>
        <w:rPr/>
      </w:pPr>
      <w:r>
        <w:rPr/>
        <w:t>​</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On August 27, 2025, we announced that the SERENITY At-Home Pivotal Phase 3 trial evaluating the safety of BXCL501, as an acute treatment for agitation associated with bipolar disorders or schizophrenia in the at-home setting, met its primary objective. This study was designed and implemented to remove the healthcare supervision requirement and to allow multiple doses after an initial single dose. The data from this study formed the basis of the sNDA submission for a label expansion of IGALMI</w:t>
      </w:r>
      <w:r>
        <w:rPr>
          <w:rFonts w:ascii="Times New Roman;Times;serif" w:hAnsi="Times New Roman;Times;serif"/>
          <w:sz w:val="15"/>
        </w:rPr>
        <w:t>®</w:t>
      </w:r>
      <w:r>
        <w:rPr>
          <w:rFonts w:ascii="Times New Roman;Times;serif" w:hAnsi="Times New Roman;Times;serif"/>
          <w:sz w:val="20"/>
        </w:rPr>
        <w:t> into the at-home setting. The sNDA was filed with the FDA on January 14, 2026. On April 1, 2026, we announced that the FDA has accepted our sNDA for approval of IGALMI</w:t>
      </w:r>
      <w:r>
        <w:rPr>
          <w:rFonts w:ascii="Times New Roman;Times;serif" w:hAnsi="Times New Roman;Times;serif"/>
          <w:sz w:val="15"/>
        </w:rPr>
        <w:t>®</w:t>
      </w:r>
      <w:r>
        <w:rPr>
          <w:rFonts w:ascii="Times New Roman;Times;serif" w:hAnsi="Times New Roman;Times;serif"/>
          <w:sz w:val="20"/>
        </w:rPr>
        <w:t xml:space="preserve"> for at-home use in the acute treatment of agitation associated with bipolar disorders or schizophrenia. The FDA has assigned a Prescription Drug User Fee Act (“PDUFA”) target action date of November 14, 2026.</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September 10, 2025, we further announced positive topline exploratory efficacy data from the SERENITY At-Home Pivotal Phase 3 safety trial, which demonstrated BXCL501 had sustained effects on agitation and consistent benefit with repeat dosing.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October 10, 2025, we announced positive results from the correlation study related to exploratory efficacy outcomes from the SERENITY At-Home trial. The results demonstrated a strong correlation between the clinician assessments and the patient or caregiver (informant) assessments. The results, along with the data from the SERENITY At-Home trial, have been included in the sNDA filed with the FDA on January 14, 2026.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TRANQUILITY program is designed to evaluate BXCL501 as a potential treatment option for agitation associated with Alzheimer’s dementia in the outpatient or at-home setting and in-care facilities. We have had several FDA meetings to discuss the development program, and the FDA has commented on the proposed protocol for our TRANQUILITY In-Care Phase 3 trial, which is designed to evaluate the efficacy and safety of a 60 mcg dose of BXCL501 for agitation associated with Alzheimer’s dementia. We have plans for initiation of the trial pending funding. </w:t>
      </w:r>
    </w:p>
    <w:p>
      <w:pPr>
        <w:pStyle w:val="TextBody"/>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described further below, we have deprioritized the development of BXCL501 for certain other proposed indications.</w:t>
      </w:r>
    </w:p>
    <w:p>
      <w:pPr>
        <w:pStyle w:val="TextBody"/>
        <w:shd w:fill="FFFFFF" w:val="clear"/>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most advanced immuno-oncology candidate, BXCL701, is an investigational oral innate immune activator from OnkosXcel Therapeutics as a potential therapy for the treatment of aggressive forms of prostate cancer, pancreatic cancer, and other solid and liquid tumors. As described further below, we have deprioritized the development of our BXCL701 programs, except as noted under “Immuno-Oncology” below. </w:t>
      </w:r>
    </w:p>
    <w:p>
      <w:pPr>
        <w:pStyle w:val="TextBody"/>
        <w:bidi w:val="0"/>
        <w:spacing w:before="0" w:after="0"/>
        <w:ind w:left="0" w:right="0" w:hanging="0"/>
        <w:jc w:val="left"/>
        <w:rPr/>
      </w:pPr>
      <w:r>
        <w:rPr/>
        <w:t>​</w:t>
      </w:r>
    </w:p>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IGALMI</w:t>
      </w:r>
      <w:r>
        <w:rPr>
          <w:rFonts w:ascii="Times New Roman;Times;serif" w:hAnsi="Times New Roman;Times;serif"/>
          <w:sz w:val="18"/>
        </w:rPr>
        <w:t>®</w:t>
      </w:r>
      <w:r>
        <w:rPr>
          <w:rFonts w:ascii="Times New Roman;Times;serif" w:hAnsi="Times New Roman;Times;serif"/>
          <w:sz w:val="20"/>
        </w:rPr>
        <w:t xml:space="preserve"> </w:t>
      </w:r>
      <w:r>
        <w:rPr>
          <w:rFonts w:ascii="Times New Roman;Times;serif" w:hAnsi="Times New Roman;Times;serif"/>
          <w:b/>
          <w:sz w:val="20"/>
        </w:rPr>
        <w:t>Commercialization Strategy</w:t>
      </w:r>
    </w:p>
    <w:p>
      <w:pPr>
        <w:pStyle w:val="TextBody"/>
        <w:bidi w:val="0"/>
        <w:spacing w:before="100" w:after="100"/>
        <w:ind w:left="0" w:right="0" w:firstLine="360"/>
        <w:jc w:val="left"/>
        <w:rPr/>
      </w:pPr>
      <w:r>
        <w:rPr/>
        <w:t>​</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are continuing to supply IGALMI</w:t>
      </w:r>
      <w:r>
        <w:rPr>
          <w:rFonts w:ascii="Times New Roman;Times;serif" w:hAnsi="Times New Roman;Times;serif"/>
          <w:sz w:val="15"/>
        </w:rPr>
        <w:t>®</w:t>
      </w:r>
      <w:r>
        <w:rPr>
          <w:rFonts w:ascii="Times New Roman;Times;serif" w:hAnsi="Times New Roman;Times;serif"/>
          <w:sz w:val="20"/>
        </w:rPr>
        <w:t xml:space="preserve"> through existing distribution channels. At the same time, while seeking potential commercial partners, we are maintaining IGALMI’s market presence with minimal commercial resources following our Clinical Reprioritization. Our commercialization efforts are designed to build the foundation to launch additional potential follow-on indications. If IGALMI</w:t>
      </w:r>
      <w:r>
        <w:rPr>
          <w:rFonts w:ascii="Times New Roman;Times;serif" w:hAnsi="Times New Roman;Times;serif"/>
          <w:sz w:val="15"/>
        </w:rPr>
        <w:t>®</w:t>
      </w:r>
      <w:r>
        <w:rPr>
          <w:rFonts w:ascii="Times New Roman;Times;serif" w:hAnsi="Times New Roman;Times;serif"/>
          <w:sz w:val="20"/>
        </w:rPr>
        <w:t xml:space="preserve"> would be approved outside the U.S., we would consider launching the product through collaborations with third parties. However, no foreign applications have been made at this time. </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On January 12, 2026, we announced the appointment of an Interim Chief Commercial Officer to support the potential launch of IGALMI</w:t>
      </w:r>
      <w:r>
        <w:rPr>
          <w:rFonts w:ascii="Times New Roman;Times;serif" w:hAnsi="Times New Roman;Times;serif"/>
          <w:sz w:val="15"/>
        </w:rPr>
        <w:t>®</w:t>
      </w:r>
      <w:r>
        <w:rPr>
          <w:rFonts w:ascii="Times New Roman;Times;serif" w:hAnsi="Times New Roman;Times;serif"/>
          <w:sz w:val="20"/>
        </w:rPr>
        <w:t xml:space="preserve"> in the at-home setting.</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conjunction with the appointment of the Interim Chief Commercial Officer, on February 12, 2026, we announced </w:t>
      </w:r>
      <w:r>
        <w:rPr>
          <w:rFonts w:ascii="Times New Roman;Times;serif" w:hAnsi="Times New Roman;Times;serif"/>
          <w:sz w:val="20"/>
          <w:shd w:fill="FFFFFF" w:val="clear"/>
        </w:rPr>
        <w:t>the completion of an updated market opportunity assessment for IGALMI</w:t>
      </w:r>
      <w:r>
        <w:rPr>
          <w:rFonts w:ascii="Times New Roman;Times;serif" w:hAnsi="Times New Roman;Times;serif"/>
          <w:sz w:val="15"/>
          <w:shd w:fill="FFFFFF" w:val="clear"/>
        </w:rPr>
        <w:t>®</w:t>
      </w:r>
      <w:r>
        <w:rPr>
          <w:rFonts w:ascii="Times New Roman;Times;serif" w:hAnsi="Times New Roman;Times;serif"/>
          <w:sz w:val="20"/>
          <w:shd w:fill="FFFFFF" w:val="clear"/>
        </w:rPr>
        <w:t> for acute agitation associated with bipolar disorders or schizophrenia in the at-home (outpatient) setting, informed by results from the SERENITY At-Home clinical study.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commercial opportunity assessment was based on recently completed market research leveraging an updated Target Product Profile based on results from the SERENITY At-Home clinical study. The assessment incorporated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interviews with 15 prescribers and 5 payers with leadership responsibility at large health plans as well as survey responses from 180 prescribers with extensive relevant experience. In addition, patient-level claims analyses were used to estimate the number of diagnosed and treated patients who may be candidates for IGALMI.</w:t>
      </w:r>
    </w:p>
    <w:p>
      <w:pPr>
        <w:pStyle w:val="TextBody"/>
        <w:shd w:fill="FFFFFF" w:val="clear"/>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Current agitation landscape insights:</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Prescribers reported a moderate to high unmet need, noting that current treatment options are not indicated for at-home use, may be sedating, are slow to take effect, and/or are controlled substances with the potential to cause dependence.</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Analyses of market research and claims data identified approximately 2.3 million treated bipolar disorder and schizophrenia patients experiencing frequent episodes of acute agitation in the at-home setting in the United States, of whom up to 1.8 million may be eligible for IGALMI treatment. This represents up to 86 million addressable annual episodes that may require treatment. This updated estimate is generally consistent with prior estimates of approximately 57-77 million addressable annual episodes,</w:t>
            </w:r>
            <w:r>
              <w:rPr>
                <w:caps w:val="false"/>
                <w:smallCaps w:val="false"/>
              </w:rPr>
              <w:t xml:space="preserve"> </w:t>
            </w:r>
            <w:r>
              <w:rPr>
                <w:rFonts w:ascii="Times New Roman;Times;serif" w:hAnsi="Times New Roman;Times;serif"/>
                <w:b w:val="false"/>
                <w:i w:val="false"/>
                <w:caps w:val="false"/>
                <w:smallCaps w:val="false"/>
                <w:sz w:val="20"/>
              </w:rPr>
              <w:t>with further refinement based on the additional insights from market research.</w:t>
            </w:r>
          </w:p>
        </w:tc>
      </w:tr>
    </w:tbl>
    <w:p>
      <w:pPr>
        <w:pStyle w:val="TextBody"/>
        <w:shd w:fill="FFFFFF" w:val="clear"/>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IGALMI opportunity in the at-home setting:</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Prescribers reported moderate to high interest in IGALMI for the treatment of acute agitation in the at-home setting, projecting use in approximately 70% of their schizophrenia and bipolar disorder patients, regardless of agitation severity.</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Prescribers anticipated that IGALMI would be used either alone or in combination with existing off-label treatments for acute agitation, and that IGALMI would most frequently replace benzodiazepines, which may cause dependence.</w:t>
            </w:r>
          </w:p>
        </w:tc>
      </w:tr>
    </w:tbl>
    <w:tbl>
      <w:tblPr>
        <w:tblW w:w="8316" w:type="dxa"/>
        <w:jc w:val="left"/>
        <w:tblInd w:w="0" w:type="dxa"/>
        <w:shd w:fill="FFFFFF" w:val="clear"/>
        <w:tblLayout w:type="fixed"/>
        <w:tblCellMar>
          <w:top w:w="28" w:type="dxa"/>
          <w:left w:w="28" w:type="dxa"/>
          <w:bottom w:w="28" w:type="dxa"/>
          <w:right w:w="28" w:type="dxa"/>
        </w:tblCellMar>
      </w:tblPr>
      <w:tblGrid>
        <w:gridCol w:w="124"/>
        <w:gridCol w:w="256"/>
        <w:gridCol w:w="793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Payers indicated expectations for broad formulary coverage with standard adjudication controls.</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reported patient and caregiver research (N=80) indicated that patients with schizophrenia and bipolar disorder would expect to use IGALMI in approximately 80% of their acute agitation episodes.</w:t>
            </w:r>
          </w:p>
        </w:tc>
      </w:tr>
    </w:tbl>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Our Neuroscience Clinical Programs and Investigator-Sponsored Trials</w:t>
      </w:r>
    </w:p>
    <w:p>
      <w:pPr>
        <w:pStyle w:val="TextBody"/>
        <w:shd w:fill="FFFFFF" w:val="clear"/>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following is a summary of the status of our major neuroscience clinical development programs and investigator-sponsored trials as of the date of this Quarterly Report. </w:t>
      </w:r>
    </w:p>
    <w:p>
      <w:pPr>
        <w:pStyle w:val="TextBody"/>
        <w:bidi w:val="0"/>
        <w:spacing w:before="0" w:after="0"/>
        <w:ind w:left="0" w:right="0" w:firstLine="360"/>
        <w:jc w:val="left"/>
        <w:rPr/>
      </w:pPr>
      <w:r>
        <w:rPr/>
        <w:t>​</w:t>
      </w:r>
    </w:p>
    <w:p>
      <w:pPr>
        <w:pStyle w:val="TextBody"/>
        <w:shd w:fill="FFFFFF" w:val="clear"/>
        <w:bidi w:val="0"/>
        <w:spacing w:before="0" w:after="0"/>
        <w:ind w:left="0" w:right="0" w:hanging="0"/>
        <w:jc w:val="center"/>
        <w:rPr/>
      </w:pPr>
      <w:r>
        <w:rPr/>
        <w:drawing>
          <wp:inline distT="0" distB="0" distL="0" distR="0">
            <wp:extent cx="6110605" cy="3064510"/>
            <wp:effectExtent l="0" t="0" r="0" b="0"/>
            <wp:docPr id="23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 descr=""/>
                    <pic:cNvPicPr>
                      <a:picLocks noChangeAspect="1" noChangeArrowheads="1"/>
                    </pic:cNvPicPr>
                  </pic:nvPicPr>
                  <pic:blipFill>
                    <a:blip r:embed="rId2"/>
                    <a:stretch>
                      <a:fillRect/>
                    </a:stretch>
                  </pic:blipFill>
                  <pic:spPr bwMode="auto">
                    <a:xfrm>
                      <a:off x="0" y="0"/>
                      <a:ext cx="6110605" cy="3064510"/>
                    </a:xfrm>
                    <a:prstGeom prst="rect">
                      <a:avLst/>
                    </a:prstGeom>
                  </pic:spPr>
                </pic:pic>
              </a:graphicData>
            </a:graphic>
          </wp:inline>
        </w:drawing>
      </w:r>
    </w:p>
    <w:p>
      <w:pPr>
        <w:pStyle w:val="TextBody"/>
        <w:bidi w:val="0"/>
        <w:spacing w:before="100" w:after="100"/>
        <w:ind w:left="0" w:right="0" w:hanging="0"/>
        <w:jc w:val="left"/>
        <w:rPr/>
      </w:pPr>
      <w:r>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About BXCL501</w:t>
      </w:r>
    </w:p>
    <w:p>
      <w:pPr>
        <w:pStyle w:val="TextBody"/>
        <w:shd w:fill="FFFFFF" w:val="clear"/>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BXCL501 is our most advanced neuroscience clinical candidate. In indications other than those approved by the FDA as IGALMI</w:t>
      </w:r>
      <w:r>
        <w:rPr>
          <w:rFonts w:ascii="Times New Roman;Times;serif" w:hAnsi="Times New Roman;Times;serif"/>
          <w:sz w:val="15"/>
        </w:rPr>
        <w:t>®</w:t>
      </w:r>
      <w:r>
        <w:rPr>
          <w:rFonts w:ascii="Times New Roman;Times;serif" w:hAnsi="Times New Roman;Times;serif"/>
          <w:sz w:val="20"/>
        </w:rPr>
        <w:t xml:space="preserve">, BXCL501 is an investigational, proprietary, orally dissolving sublingual film formulation of dexmedetomidine, a selective alpha-2 receptor agonist, targeting symptoms from stress-related behaviors such as agitation.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a selective adrenergic agonist with a sublingual or buccal route of administration, BXCL501 is designed to be easy to administer and has shown a relatively rapid onset of action in multiple clinical trials, studying patients with schizophrenia, bipolar disorders, and dementia associated with Alzheimer’s disease. We believe the results from these studies suggest that BXCL501 has the potential to generate a calming effect without producing excessive sedation. We also believe BXCL501 is highly differentiated from antipsychotics and benzodiazepines, which are currently used as first-line standard-of-care treatment for agitation despite often producing unwanted side effects such as excessive sedation or extra pyramidal motor effects. Managing patient agitation in neuropsychiatric and neurodegenerative disorders represents a significant challenge for physicians and caregivers. We believe BXCL501 has the potential to address these challenges and, if approved for the respective indications, has the potential to become the standard of care for the acute treatment of agitation associated with these disorders.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based on its mechanism of action, we believe BXCL501 has the potential to address some behavioral symptoms of several additional diseases or conditions, including opioid use disorder (“OUD”), acute stress disorder (“ASD”) and post-traumatic stress disorder (“PTSD”). BXCL501 is currently being evaluated for treatment of patients with those conditions in clinical trials sponsored by leading academic research institutions. See Government-Supported Investigator-Sponsored Trials (“ISTs”)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BXCL501 Late-Stage Clinical Programs</w:t>
      </w:r>
    </w:p>
    <w:p>
      <w:pPr>
        <w:pStyle w:val="TextBody"/>
        <w:pBdr/>
        <w:shd w:fill="FFFFFF" w:val="clear"/>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SERENITY Program: Acute Treatment of Agitation Associated with Bipolar I or II Disorder or Schizophrenia</w:t>
      </w:r>
    </w:p>
    <w:p>
      <w:pPr>
        <w:pStyle w:val="TextBody"/>
        <w:pBdr/>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Under our SERENITY program, we are focused on the continued development of BXCL501 (currently marketed and commercialized as IGALMI</w:t>
      </w:r>
      <w:r>
        <w:rPr>
          <w:rFonts w:ascii="Times New Roman;Times;serif" w:hAnsi="Times New Roman;Times;serif"/>
          <w:sz w:val="15"/>
        </w:rPr>
        <w:t>®</w:t>
      </w:r>
      <w:r>
        <w:rPr>
          <w:rFonts w:ascii="Times New Roman;Times;serif" w:hAnsi="Times New Roman;Times;serif"/>
          <w:sz w:val="20"/>
        </w:rPr>
        <w:t xml:space="preserve">) as a potential treatment option for agitation associated with bipolar I or II disorder or schizophrenia in the outpatient or at-home setting. </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completed the clinical study of BXCL501 in patients with agitation associated with bipolar disorders or schizophrenia in SERENITY III, which consisted of two parts. The first part was comparable to our pivotal SERENITY I and II studies. Using similar inclusion and exclusion criterion under a well-controlled in-patient setting, acutely agitated patients with bipolar disorders or schizophrenia were randomized to self-administer either 60 mcg of BXCL501 or placebo in a double-blind placebo-controlled trial. The primary endpoint of Part I was efficacy, as measured by the change in PEC score change from baseline at two hours post-dose. The secondary objectives of Part I were safety and tolerability.</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August 18, 2025 we announced that the Company had received positive pre-sNDA meeting responses from the FDA.</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primary purpose of the planned pre-sNDA meeting on August 20, 2025 with the FDA was to gain alignment with the FDA regarding the content and format of the Company’s planned sNDA submission for the at-home (outpatient) use of BXCL501, including the clinical, nonclinical, and chemistry and manufacturing and controls (CMC) requirements. The Company concluded that the objectives of the pre-sNDA meeting had been accomplished based on the FDA’s written responses and determined that the meeting, originally scheduled for August 20, 2025, was no longer required. The pre-sNDA preliminary meeting comments received from FDA on August 14, 2025, will serve as the official record. Acceptance of the sNDA will be subject to the FDA’s review of the complete filing.</w:t>
      </w:r>
    </w:p>
    <w:p>
      <w:pPr>
        <w:pStyle w:val="TextBody"/>
        <w:shd w:fill="FFFFFF" w:val="clear"/>
        <w:bidi w:val="0"/>
        <w:spacing w:before="0" w:after="0"/>
        <w:ind w:left="0" w:right="0" w:firstLine="360"/>
        <w:jc w:val="left"/>
        <w:rPr/>
      </w:pPr>
      <w:r>
        <w:rPr/>
        <w:t>​</w:t>
      </w:r>
    </w:p>
    <w:p>
      <w:pPr>
        <w:pStyle w:val="TextBody"/>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On August 27, 2025 we announced that the SERENITY At-Home Pivotal Phase 3 trial evaluating the safety of BXCL501, the Company’s proprietary, sublingual film formulation of dexmedetomidine, as an acute treatment for agitation associated with bipolar disorders or schizophrenia in the at-home setting, met its primary objective. The data from this successful study formed the basis of the sNDA submission for label expansion of IGALMI</w:t>
      </w:r>
      <w:r>
        <w:rPr>
          <w:rFonts w:ascii="Times New Roman;Times;serif" w:hAnsi="Times New Roman;Times;serif"/>
          <w:sz w:val="15"/>
        </w:rPr>
        <w:t>®</w:t>
      </w:r>
      <w:r>
        <w:rPr>
          <w:rFonts w:ascii="Times New Roman;Times;serif" w:hAnsi="Times New Roman;Times;serif"/>
          <w:sz w:val="20"/>
        </w:rPr>
        <w:t xml:space="preserve"> in the at-home setting.</w:t>
      </w:r>
    </w:p>
    <w:p>
      <w:pPr>
        <w:pStyle w:val="TextBody"/>
        <w:shd w:fill="FFFFFF" w:val="clear"/>
        <w:bidi w:val="0"/>
        <w:spacing w:before="0" w:after="0"/>
        <w:ind w:left="0" w:right="0" w:firstLine="360"/>
        <w:jc w:val="left"/>
        <w:rPr/>
      </w:pPr>
      <w:r>
        <w:rPr/>
        <w:t>​</w:t>
      </w:r>
    </w:p>
    <w:p>
      <w:pPr>
        <w:pStyle w:val="TextBody"/>
        <w:shd w:fill="FFFFFF" w:val="clear"/>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SERENITY At-Home Topline Summary</w:t>
      </w:r>
    </w:p>
    <w:tbl>
      <w:tblPr>
        <w:tblW w:w="3096" w:type="dxa"/>
        <w:jc w:val="left"/>
        <w:tblInd w:w="0" w:type="dxa"/>
        <w:shd w:fill="FFFFFF" w:val="clear"/>
        <w:tblLayout w:type="fixed"/>
        <w:tblCellMar>
          <w:top w:w="28" w:type="dxa"/>
          <w:left w:w="28" w:type="dxa"/>
          <w:bottom w:w="28" w:type="dxa"/>
          <w:right w:w="28" w:type="dxa"/>
        </w:tblCellMar>
      </w:tblPr>
      <w:tblGrid>
        <w:gridCol w:w="124"/>
        <w:gridCol w:w="256"/>
        <w:gridCol w:w="271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agitation episodes:</w:t>
            </w:r>
          </w:p>
        </w:tc>
      </w:tr>
    </w:tbl>
    <w:tbl>
      <w:tblPr>
        <w:tblW w:w="3351" w:type="dxa"/>
        <w:jc w:val="left"/>
        <w:tblInd w:w="0" w:type="dxa"/>
        <w:shd w:fill="FFFFFF" w:val="clear"/>
        <w:tblLayout w:type="fixed"/>
        <w:tblCellMar>
          <w:top w:w="28" w:type="dxa"/>
          <w:left w:w="28" w:type="dxa"/>
          <w:bottom w:w="28" w:type="dxa"/>
          <w:right w:w="28" w:type="dxa"/>
        </w:tblCellMar>
      </w:tblPr>
      <w:tblGrid>
        <w:gridCol w:w="124"/>
        <w:gridCol w:w="256"/>
        <w:gridCol w:w="297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246 patients randomized</w:t>
            </w:r>
          </w:p>
        </w:tc>
      </w:tr>
    </w:tbl>
    <w:tbl>
      <w:tblPr>
        <w:tblW w:w="5001" w:type="dxa"/>
        <w:jc w:val="left"/>
        <w:tblInd w:w="0" w:type="dxa"/>
        <w:shd w:fill="FFFFFF" w:val="clear"/>
        <w:tblLayout w:type="fixed"/>
        <w:tblCellMar>
          <w:top w:w="28" w:type="dxa"/>
          <w:left w:w="28" w:type="dxa"/>
          <w:bottom w:w="28" w:type="dxa"/>
          <w:right w:w="28" w:type="dxa"/>
        </w:tblCellMar>
      </w:tblPr>
      <w:tblGrid>
        <w:gridCol w:w="124"/>
        <w:gridCol w:w="256"/>
        <w:gridCol w:w="462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collected 2,628 agitation episodes in 215 patients</w:t>
            </w:r>
          </w:p>
        </w:tc>
      </w:tr>
    </w:tbl>
    <w:tbl>
      <w:tblPr>
        <w:tblW w:w="3666" w:type="dxa"/>
        <w:jc w:val="left"/>
        <w:tblInd w:w="0" w:type="dxa"/>
        <w:shd w:fill="FFFFFF" w:val="clear"/>
        <w:tblLayout w:type="fixed"/>
        <w:tblCellMar>
          <w:top w:w="28" w:type="dxa"/>
          <w:left w:w="28" w:type="dxa"/>
          <w:bottom w:w="28" w:type="dxa"/>
          <w:right w:w="28" w:type="dxa"/>
        </w:tblCellMar>
      </w:tblPr>
      <w:tblGrid>
        <w:gridCol w:w="124"/>
        <w:gridCol w:w="256"/>
        <w:gridCol w:w="328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Treated 2,437 episodes in 208 patients</w:t>
            </w:r>
          </w:p>
        </w:tc>
      </w:tr>
    </w:tbl>
    <w:tbl>
      <w:tblPr>
        <w:tblW w:w="4716" w:type="dxa"/>
        <w:jc w:val="left"/>
        <w:tblInd w:w="0" w:type="dxa"/>
        <w:shd w:fill="FFFFFF" w:val="clear"/>
        <w:tblLayout w:type="fixed"/>
        <w:tblCellMar>
          <w:top w:w="28" w:type="dxa"/>
          <w:left w:w="28" w:type="dxa"/>
          <w:bottom w:w="28" w:type="dxa"/>
          <w:right w:w="28" w:type="dxa"/>
        </w:tblCellMar>
      </w:tblPr>
      <w:tblGrid>
        <w:gridCol w:w="124"/>
        <w:gridCol w:w="256"/>
        <w:gridCol w:w="433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 patients (81%) completed the full 12-week trial</w:t>
            </w:r>
          </w:p>
        </w:tc>
      </w:tr>
    </w:tbl>
    <w:tbl>
      <w:tblPr>
        <w:tblW w:w="5616" w:type="dxa"/>
        <w:jc w:val="left"/>
        <w:tblInd w:w="0" w:type="dxa"/>
        <w:shd w:fill="FFFFFF" w:val="clear"/>
        <w:tblLayout w:type="fixed"/>
        <w:tblCellMar>
          <w:top w:w="28" w:type="dxa"/>
          <w:left w:w="28" w:type="dxa"/>
          <w:bottom w:w="28" w:type="dxa"/>
          <w:right w:w="28" w:type="dxa"/>
        </w:tblCellMar>
      </w:tblPr>
      <w:tblGrid>
        <w:gridCol w:w="124"/>
        <w:gridCol w:w="256"/>
        <w:gridCol w:w="523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of 11.7 agitation episodes recorded per treated patient</w:t>
            </w:r>
          </w:p>
        </w:tc>
      </w:tr>
    </w:tbl>
    <w:tbl>
      <w:tblPr>
        <w:tblW w:w="5451" w:type="dxa"/>
        <w:jc w:val="left"/>
        <w:tblInd w:w="0" w:type="dxa"/>
        <w:shd w:fill="FFFFFF" w:val="clear"/>
        <w:tblLayout w:type="fixed"/>
        <w:tblCellMar>
          <w:top w:w="28" w:type="dxa"/>
          <w:left w:w="28" w:type="dxa"/>
          <w:bottom w:w="28" w:type="dxa"/>
          <w:right w:w="28" w:type="dxa"/>
        </w:tblCellMar>
      </w:tblPr>
      <w:tblGrid>
        <w:gridCol w:w="124"/>
        <w:gridCol w:w="256"/>
        <w:gridCol w:w="507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patients were able to successfully self-administer the film</w:t>
            </w:r>
          </w:p>
        </w:tc>
      </w:tr>
    </w:tbl>
    <w:tbl>
      <w:tblPr>
        <w:tblW w:w="7266" w:type="dxa"/>
        <w:jc w:val="left"/>
        <w:tblInd w:w="0" w:type="dxa"/>
        <w:shd w:fill="FFFFFF" w:val="clear"/>
        <w:tblLayout w:type="fixed"/>
        <w:tblCellMar>
          <w:top w:w="28" w:type="dxa"/>
          <w:left w:w="28" w:type="dxa"/>
          <w:bottom w:w="28" w:type="dxa"/>
          <w:right w:w="28" w:type="dxa"/>
        </w:tblCellMar>
      </w:tblPr>
      <w:tblGrid>
        <w:gridCol w:w="124"/>
        <w:gridCol w:w="256"/>
        <w:gridCol w:w="688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enrolled patients was 45% bipolar disorders and 55% schizophrenia</w:t>
            </w:r>
          </w:p>
        </w:tc>
      </w:tr>
    </w:tbl>
    <w:p>
      <w:pPr>
        <w:pStyle w:val="TextBody"/>
        <w:shd w:fill="FFFFFF" w:val="clear"/>
        <w:bidi w:val="0"/>
        <w:spacing w:before="0" w:after="0"/>
        <w:ind w:left="0" w:right="0" w:firstLine="360"/>
        <w:jc w:val="left"/>
        <w:rPr/>
      </w:pPr>
      <w:r>
        <w:rPr/>
        <w:t>​</w:t>
      </w:r>
    </w:p>
    <w:p>
      <w:pPr>
        <w:pStyle w:val="TextBody"/>
        <w:pBdr/>
        <w:shd w:fill="FFFFFF" w:val="clear"/>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SERENITY AT-Home Primary Endpoint Data</w:t>
      </w:r>
    </w:p>
    <w:p>
      <w:pPr>
        <w:pStyle w:val="TextBody"/>
        <w:shd w:fill="FFFFFF" w:val="clear"/>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120 mcg dose of BXCL501 was safe and well-tolerated in patients with episodes of agitation in the outpatient setting and met the primary objective. </w:t>
      </w:r>
    </w:p>
    <w:tbl>
      <w:tblPr>
        <w:tblW w:w="5436" w:type="dxa"/>
        <w:jc w:val="left"/>
        <w:tblInd w:w="0" w:type="dxa"/>
        <w:shd w:fill="FFFFFF" w:val="clear"/>
        <w:tblLayout w:type="fixed"/>
        <w:tblCellMar>
          <w:top w:w="28" w:type="dxa"/>
          <w:left w:w="28" w:type="dxa"/>
          <w:bottom w:w="28" w:type="dxa"/>
          <w:right w:w="28" w:type="dxa"/>
        </w:tblCellMar>
      </w:tblPr>
      <w:tblGrid>
        <w:gridCol w:w="124"/>
        <w:gridCol w:w="256"/>
        <w:gridCol w:w="505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discontinuations due to tolerability in the BXCL501 arm</w:t>
            </w:r>
          </w:p>
        </w:tc>
      </w:tr>
    </w:tbl>
    <w:tbl>
      <w:tblPr>
        <w:tblW w:w="10026" w:type="dxa"/>
        <w:jc w:val="left"/>
        <w:tblInd w:w="0" w:type="dxa"/>
        <w:shd w:fill="FFFFFF" w:val="clear"/>
        <w:tblLayout w:type="fixed"/>
        <w:tblCellMar>
          <w:top w:w="28" w:type="dxa"/>
          <w:left w:w="28" w:type="dxa"/>
          <w:bottom w:w="28" w:type="dxa"/>
          <w:right w:w="28" w:type="dxa"/>
        </w:tblCellMar>
      </w:tblPr>
      <w:tblGrid>
        <w:gridCol w:w="124"/>
        <w:gridCol w:w="256"/>
        <w:gridCol w:w="964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6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Adverse event profile consistent with approved IGALMI</w:t>
            </w:r>
            <w:r>
              <w:rPr>
                <w:rFonts w:ascii="Times New Roman;Times;serif" w:hAnsi="Times New Roman;Times;serif"/>
                <w:b w:val="false"/>
                <w:i w:val="false"/>
                <w:caps w:val="false"/>
                <w:smallCaps w:val="false"/>
                <w:sz w:val="15"/>
              </w:rPr>
              <w:t>®</w:t>
            </w:r>
            <w:r>
              <w:rPr>
                <w:caps w:val="false"/>
                <w:smallCaps w:val="false"/>
              </w:rPr>
              <w:t> </w:t>
            </w:r>
            <w:r>
              <w:rPr>
                <w:rFonts w:ascii="Times New Roman;Times;serif" w:hAnsi="Times New Roman;Times;serif"/>
                <w:b w:val="false"/>
                <w:i w:val="false"/>
                <w:caps w:val="false"/>
                <w:smallCaps w:val="false"/>
                <w:sz w:val="20"/>
              </w:rPr>
              <w:t>label and multiple clinical trials in the institutional setting</w:t>
            </w:r>
          </w:p>
        </w:tc>
      </w:tr>
    </w:tbl>
    <w:tbl>
      <w:tblPr>
        <w:tblW w:w="6411" w:type="dxa"/>
        <w:jc w:val="left"/>
        <w:tblInd w:w="0" w:type="dxa"/>
        <w:shd w:fill="FFFFFF" w:val="clear"/>
        <w:tblLayout w:type="fixed"/>
        <w:tblCellMar>
          <w:top w:w="28" w:type="dxa"/>
          <w:left w:w="28" w:type="dxa"/>
          <w:bottom w:w="28" w:type="dxa"/>
          <w:right w:w="28" w:type="dxa"/>
        </w:tblCellMar>
      </w:tblPr>
      <w:tblGrid>
        <w:gridCol w:w="124"/>
        <w:gridCol w:w="256"/>
        <w:gridCol w:w="603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drug-related serious adverse events (SAEs), syncopes or falls reported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916" w:type="dxa"/>
        <w:jc w:val="left"/>
        <w:tblInd w:w="0" w:type="dxa"/>
        <w:shd w:fill="FFFFFF" w:val="clear"/>
        <w:tblLayout w:type="fixed"/>
        <w:tblCellMar>
          <w:top w:w="28" w:type="dxa"/>
          <w:left w:w="28" w:type="dxa"/>
          <w:bottom w:w="28" w:type="dxa"/>
          <w:right w:w="28" w:type="dxa"/>
        </w:tblCellMar>
      </w:tblPr>
      <w:tblGrid>
        <w:gridCol w:w="124"/>
        <w:gridCol w:w="256"/>
        <w:gridCol w:w="553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new or unexpected treatment emergent adverse events (TEAEs)</w:t>
            </w:r>
          </w:p>
        </w:tc>
      </w:tr>
    </w:tbl>
    <w:tbl>
      <w:tblPr>
        <w:tblW w:w="7161" w:type="dxa"/>
        <w:jc w:val="left"/>
        <w:tblInd w:w="0" w:type="dxa"/>
        <w:shd w:fill="FFFFFF" w:val="clear"/>
        <w:tblLayout w:type="fixed"/>
        <w:tblCellMar>
          <w:top w:w="28" w:type="dxa"/>
          <w:left w:w="28" w:type="dxa"/>
          <w:bottom w:w="28" w:type="dxa"/>
          <w:right w:w="28" w:type="dxa"/>
        </w:tblCellMar>
      </w:tblPr>
      <w:tblGrid>
        <w:gridCol w:w="124"/>
        <w:gridCol w:w="256"/>
        <w:gridCol w:w="678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severe TEAEs associated with BXCL501 treatment and most TEAEs were mild</w:t>
            </w:r>
          </w:p>
        </w:tc>
      </w:tr>
    </w:tbl>
    <w:tbl>
      <w:tblPr>
        <w:tblW w:w="5556" w:type="dxa"/>
        <w:jc w:val="left"/>
        <w:tblInd w:w="0" w:type="dxa"/>
        <w:shd w:fill="FFFFFF" w:val="clear"/>
        <w:tblLayout w:type="fixed"/>
        <w:tblCellMar>
          <w:top w:w="28" w:type="dxa"/>
          <w:left w:w="28" w:type="dxa"/>
          <w:bottom w:w="28" w:type="dxa"/>
          <w:right w:w="28" w:type="dxa"/>
        </w:tblCellMar>
      </w:tblPr>
      <w:tblGrid>
        <w:gridCol w:w="124"/>
        <w:gridCol w:w="256"/>
        <w:gridCol w:w="517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trend of more frequent AEs over time or with repeat dosing</w:t>
            </w:r>
          </w:p>
        </w:tc>
      </w:tr>
    </w:tbl>
    <w:tbl>
      <w:tblPr>
        <w:tblW w:w="6456" w:type="dxa"/>
        <w:jc w:val="left"/>
        <w:tblInd w:w="0" w:type="dxa"/>
        <w:shd w:fill="FFFFFF" w:val="clear"/>
        <w:tblLayout w:type="fixed"/>
        <w:tblCellMar>
          <w:top w:w="28" w:type="dxa"/>
          <w:left w:w="28" w:type="dxa"/>
          <w:bottom w:w="28" w:type="dxa"/>
          <w:right w:w="28" w:type="dxa"/>
        </w:tblCellMar>
      </w:tblPr>
      <w:tblGrid>
        <w:gridCol w:w="124"/>
        <w:gridCol w:w="256"/>
        <w:gridCol w:w="607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Tolerability remained consistent throughout the repeat dosing in the trial</w:t>
            </w:r>
          </w:p>
        </w:tc>
      </w:tr>
    </w:tbl>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September 10, 2025, we announced positive topline exploratory efficacy data from the SERENITY At-Home Pivotal Phase 3 safety trial, which demonstrated that BXCL501 had continued effects and consistent benefit with repeat dosing. While this trial was not powered for efficacy assessments, these findings seen in the trial further support the potential of BXCL501 for use in the outpatient setting. </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Effect Across Total Number of Agitation Episodes</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Across 2,433 treated episodes in the trial, BXCL501 demonstrated a significant mean reduction in the modified Clinical Global Impression–Severity (mCGI-S) score from baseline compared to placebo at 2 hours (p&lt;.05).</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Effect Across Severity of Agitation Episodes</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Patients experienced a complete resolution of agitation symptoms measured by mCGI-S at significantly higher rates with BXCL501 compared to placebo across severity of agitation episodes, with an overall resolution of 50% in the BXCL501 arm, compared to 33% on placebo (p &lt;.0001). Severe agitation episodes fully resolved (no agitation) in 61% of episodes in the BXCL501 arm, compared to 18% on placebo (p &lt;.0001). Moderate agitation episodes fully resolved in 43% of cases for patients in the BXCL501 arm, compared to 34% on placebo (p &lt;.0005). Mild agitation episodes fully resolved in 60% of cases for patients in the BXCL501, compared to 40% on placebo (p &lt;.0001). In sum, complete resolution of agitation was significantly higher with BXCL501 compared to placebo regardless of agitation episode severity.</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Effect Across Number of Treated Agitation Episodes</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mean reduction in agitation symptoms experienced by patients following administration of BXCL501 was maintained throughout repeated dosing in the trial. There was a mean reduction in mCGI-S score of 1.2 following the first 12 doses and a mean reduction of 1.4 following 13 or more doses of BXCL501. This underscores the potential of BXCL501 to continue to provide benefit across repeated dosing.</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Efficacy Across Duration of the Trial</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reduction in agitation symptoms experienced by patients following administration of BXCL501 was also maintained throughout the trial’s duration. Evaluating the 12-week trial period on a time-based scale, agitation episodes treated with BXCL501 during weeks 1-4, 5-8 and 9-12 all had a mean reduction in mCGI-S score of 1.3. This underscores the potential of BXCL501 to maintain a sustained benefit across longer treatment durations.</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standard method for measuring acute agitation associated with schizophrenia and bipolar disorder is the Positive and Negative Syndrome Scale – Excited Component (PEC) administered by a trained clinician, which was used in the Serenity I &amp; II Pivotal Trials. In order to evaluate BXCL501 for continued clinical effect with repeat dosing in the at-home setting using an exploratory efficacy measurement, the Company, in consultation with FDA, developed the modified CGI-S (mCGI-S) scale, which can be scored by patients and/or caregivers. The study assessed the correlation between PEC and mCGI-S in this prospective, open label, in-clinic trial in 33 patients.</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October 14, 2025, we announced that results from the 33 patient open label trial demonstrated a strong correlation between the clinician assessments and the patient or caregiver (informant) rated outcomes, providing support for using mCGI-S to assess efficacy in the outpatient setting. A statistically significant and strong correlation between the PEC and mCGI-S with a correlation of ρ=0.89; p&lt;0.0001 for patients and ρ=0.88; p&lt;0.0001 for informants was observed.</w:t>
      </w:r>
    </w:p>
    <w:p>
      <w:pPr>
        <w:pStyle w:val="TextBody"/>
        <w:shd w:fill="FFFFFF" w:val="clear"/>
        <w:bidi w:val="0"/>
        <w:spacing w:before="0" w:after="0"/>
        <w:ind w:left="0" w:right="0" w:firstLine="360"/>
        <w:jc w:val="left"/>
        <w:rPr/>
      </w:pPr>
      <w:r>
        <w:rPr/>
        <w:t>​</w:t>
      </w:r>
    </w:p>
    <w:p>
      <w:pPr>
        <w:pStyle w:val="TextBody"/>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There were no serious adverse events reported and the safety profile remains consistent with the IGALMI</w:t>
      </w:r>
      <w:r>
        <w:rPr>
          <w:rFonts w:ascii="Times New Roman;Times;serif" w:hAnsi="Times New Roman;Times;serif"/>
          <w:sz w:val="15"/>
        </w:rPr>
        <w:t>®</w:t>
      </w:r>
      <w:r>
        <w:rPr>
          <w:rFonts w:ascii="Times New Roman;Times;serif" w:hAnsi="Times New Roman;Times;serif"/>
          <w:sz w:val="20"/>
        </w:rPr>
        <w:t> label.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An sNDA was submitted on January 14, 2026 for the acute treatment of agitation in schizophrenia and bipolar disorders in the unsupervised (at-home) setting. On April 1, 2026 we announced that the U.S. FDA has accepted the supplemental New Drug Application (sNDA) for approval of IGALMI® for at-home use in the acute treatment of agitation in the home setting. The FDA has assigned a Prescription Drug User Fee Act (“PDUFA”) target action date of November 14, 2026.</w:t>
      </w:r>
    </w:p>
    <w:p>
      <w:pPr>
        <w:pStyle w:val="TextBody"/>
        <w:shd w:fill="FFFFFF" w:val="clear"/>
        <w:bidi w:val="0"/>
        <w:spacing w:before="0" w:after="0"/>
        <w:ind w:left="0" w:right="0" w:firstLine="360"/>
        <w:jc w:val="left"/>
        <w:rPr/>
      </w:pPr>
      <w:r>
        <w:rPr/>
        <w:t>​</w:t>
      </w:r>
    </w:p>
    <w:p>
      <w:pPr>
        <w:pStyle w:val="TextBody"/>
        <w:pBdr/>
        <w:shd w:fill="FFFFFF" w:val="clear"/>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TRANQUILITY Program: Acute Treatment of Agitation Associated with Dementia due to Probable Alzheimer’s Disease (“AAD”)</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Under our TRANQUILITY program, we are evaluating BXCL501 as a potential treatment option for the acute treatment of agitation associated with Alzheimer’s dementia (“AAD”). On June 29, 2023, we announced positive topline results from our TRANQUILITY II Phase 3 trial. The randomized, double-blind, placebo-controlled, parallel group trial evaluated the safety and efficacy of BXCL501 for the acute treatment of AAD in adults 65 years and older with mild to moderate dementia in assisted living facilities and residential care settings who required minimal assistance with activities of daily living. </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June 29, 2023, we also announced that we had learned that an investigator in the TRANQUILITY II study engaged in misconduct. Since that time, we have taken steps to further investigate and evaluate the conduct of the trial at the investigator’s clinical site. On October 25, 2023, we announced that an independent third-party audit of data integrity at the trial site did not identify any findings that they believed impacted the data reliability or integrity, nor did they find any evidence of additional misconduct or fraud. On March 3, 2025, we announced that the FDA concluded that the inspection of the single site in the trial was closed under 21 C.F.R.20.64(d)(3) and released the Establishment Inspection Report, designating “Voluntary Action Indicated” for the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Based on subsequent meetings with and feedback from the FDA, we plan to generate additional Phase 3 efficacy and safety data, in relevant care-facility settings and across severity of dementia, in our TRANQUILITY In-Care trial. On September 5, 2024, we submitted to the FDA the proposed protocol for the trial, a double-blind, placebo-controlled study to evaluate the efficacy and safety of a 60 mcg dose of BXCL501 for acute treatment of AAD in the care setting. On November 12, 2024, we announced that we had received FDA feedback on the proposed protocol. The Company is advancing plans for initiation of the trial upon funding and has selected a CRO to prepare for trial initiation upon funding. At a future meeting with the FDA, we plan to further discuss our trial design and the details of the requirement for long-term safety data.</w:t>
      </w:r>
    </w:p>
    <w:p>
      <w:pPr>
        <w:pStyle w:val="TextBody"/>
        <w:pBdr/>
        <w:shd w:fill="FFFFFF" w:val="clear"/>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Adjunctive treatment in Major Depressive Disorder (“MDD”)</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were previously evaluating BXCL501 as an adjunctive treatment for MDD. The initial clinical study in this program was a double-blind, placebo-controlled, multiple ascending dose (“MAD”) trial to evaluate the safety and tolerability of daily doses of BXCL501 in healthy volunteers. </w:t>
      </w:r>
    </w:p>
    <w:p>
      <w:pPr>
        <w:pStyle w:val="TextBody"/>
        <w:shd w:fill="FFFFFF" w:val="clear"/>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As part of the Clinical Reprioritization we paused our plan to develop a Phase 2 human proof-of-concept trial design to investigate BXCL501 as a potential adjunctive treatment and its potential accelerant effect in combination with first-line selective serotonin reuptake inhibitors or serotonin-norepinephrine reuptake inhibitors. </w:t>
      </w:r>
    </w:p>
    <w:p>
      <w:pPr>
        <w:pStyle w:val="TextBody"/>
        <w:pBdr/>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Pediatric Study</w:t>
      </w:r>
    </w:p>
    <w:p>
      <w:pPr>
        <w:pStyle w:val="TextBody"/>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In June 2021, we initiated a global clinical trial designed to evaluate the safety and efficacy of BXCL501 in the acute treatment of agitation associated with schizophrenia and bipolar disorders in the pediatric population, in part to fulfill pediatric study requirements agreed to with the FDA in connection with the approval of IGALMI</w:t>
      </w:r>
      <w:r>
        <w:rPr>
          <w:rFonts w:ascii="Times New Roman;Times;serif" w:hAnsi="Times New Roman;Times;serif"/>
          <w:sz w:val="15"/>
        </w:rPr>
        <w:t>®</w:t>
      </w:r>
      <w:r>
        <w:rPr>
          <w:rFonts w:ascii="Times New Roman;Times;serif" w:hAnsi="Times New Roman;Times;serif"/>
          <w:sz w:val="20"/>
        </w:rPr>
        <w:t xml:space="preserve">. The trial protocol has been reviewed by the FDA, as well as by the European Medicines Agency, to fulfill potential commitments to study the effects of BXCL501 in pediatric patients ages 13 to 17 with schizophrenia and ages 10 to 17 with bipolar disorders. Enrollment of patients with schizophrenia, schizoaffective disorder, bipolar I, and bipolar II disorder is ongoing in this multisite, double-blind, placebo-controlled parallel group trial. Approximately 63%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150 total subjects have been enrolled in the U.S. and 93 of such subjects have completed the clinical trial. In July 2023, we stopped activities in the European region as enrollment and site recruitment was unproductive. Similar to our registration trials in schizophrenia and bipolar disorder (SERENITY I and II), the primary endpoint is the change from baseline PEC total score at two hours. The U.S. portion of this program remains active following the Clinical Reprioritization.</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October 2024, we submitted a request to the FDA for an extension to complete the study; a three year extension was granted in December 2024. An updated trial protocol was submitted in March 2026 to complete enrollment requirements for pediatric patients with schizophrenia or schizoaffective disorder. </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To support pediatrics in the at-home setting, FDA has requested an at-home/ outpatient study in pediatric patients following the inpatient study. The design of this study will be discussed and agreed with FDA prior to initiating it. </w:t>
      </w:r>
    </w:p>
    <w:p>
      <w:pPr>
        <w:pStyle w:val="TextBody"/>
        <w:shd w:fill="FFFFFF" w:val="clear"/>
        <w:bidi w:val="0"/>
        <w:spacing w:before="0" w:after="0"/>
        <w:ind w:left="0" w:right="0" w:firstLine="360"/>
        <w:jc w:val="left"/>
        <w:rPr/>
      </w:pPr>
      <w:r>
        <w:rPr/>
        <w:t>​</w:t>
      </w:r>
    </w:p>
    <w:p>
      <w:pPr>
        <w:pStyle w:val="TextBody"/>
        <w:pBd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b/>
          <w:sz w:val="20"/>
        </w:rPr>
        <w:t>IGALMI</w:t>
      </w:r>
      <w:r>
        <w:rPr>
          <w:rFonts w:ascii="Times New Roman;Times;serif" w:hAnsi="Times New Roman;Times;serif"/>
          <w:b/>
          <w:sz w:val="15"/>
        </w:rPr>
        <w:t>®</w:t>
      </w:r>
      <w:r>
        <w:rPr>
          <w:rFonts w:ascii="Times New Roman;Times;serif" w:hAnsi="Times New Roman;Times;serif"/>
          <w:sz w:val="20"/>
        </w:rPr>
        <w:t xml:space="preserve"> </w:t>
      </w:r>
      <w:r>
        <w:rPr>
          <w:rFonts w:ascii="Times New Roman;Times;serif" w:hAnsi="Times New Roman;Times;serif"/>
          <w:b/>
          <w:sz w:val="20"/>
        </w:rPr>
        <w:t xml:space="preserve">Post-Marketing Requirement Study </w:t>
      </w:r>
    </w:p>
    <w:p>
      <w:pPr>
        <w:pStyle w:val="TextBody"/>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On June 25, 2024, we announced positive topline results from our post-marketing requirement study evaluating whether tolerance, tachyphylaxis, or withdrawal occur following repeat dosing of the 180 mcg (highest approved dose) of IGALMI</w:t>
      </w:r>
      <w:r>
        <w:rPr>
          <w:rFonts w:ascii="Times New Roman;Times;serif" w:hAnsi="Times New Roman;Times;serif"/>
          <w:sz w:val="15"/>
        </w:rPr>
        <w:t>®</w:t>
      </w:r>
      <w:r>
        <w:rPr>
          <w:rFonts w:ascii="Times New Roman;Times;serif" w:hAnsi="Times New Roman;Times;serif"/>
          <w:sz w:val="20"/>
        </w:rPr>
        <w:t>. This study was a single-arm, open-label study of 28 inpatient adults with frequent episodes of agitation associated with bipolar disorders or schizophrenia who self-administered 180 mcg dose of IGALMI</w:t>
      </w:r>
      <w:r>
        <w:rPr>
          <w:rFonts w:ascii="Times New Roman;Times;serif" w:hAnsi="Times New Roman;Times;serif"/>
          <w:sz w:val="15"/>
        </w:rPr>
        <w:t>®</w:t>
      </w:r>
      <w:r>
        <w:rPr>
          <w:rFonts w:ascii="Times New Roman;Times;serif" w:hAnsi="Times New Roman;Times;serif"/>
          <w:sz w:val="20"/>
        </w:rPr>
        <w:t xml:space="preserve"> as needed over seven days. A total of 83 episodes were treated. The study achieved its objective and demonstrated no evidence of tachyphylaxis, tolerance, or withdrawal, and IGALMI</w:t>
      </w:r>
      <w:r>
        <w:rPr>
          <w:rFonts w:ascii="Times New Roman;Times;serif" w:hAnsi="Times New Roman;Times;serif"/>
          <w:sz w:val="15"/>
        </w:rPr>
        <w:t>®</w:t>
      </w:r>
      <w:r>
        <w:rPr>
          <w:rFonts w:ascii="Times New Roman;Times;serif" w:hAnsi="Times New Roman;Times;serif"/>
          <w:sz w:val="20"/>
        </w:rPr>
        <w:t xml:space="preserve"> was generally well tolerated during the study.</w:t>
      </w:r>
    </w:p>
    <w:p>
      <w:pPr>
        <w:pStyle w:val="TextBody"/>
        <w:shd w:fill="FFFFFF" w:val="clear"/>
        <w:bidi w:val="0"/>
        <w:spacing w:before="0" w:after="0"/>
        <w:ind w:left="0" w:right="0" w:firstLine="36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Additional Neuroscience Opportunities</w:t>
      </w:r>
    </w:p>
    <w:p>
      <w:pPr>
        <w:pStyle w:val="TextBody"/>
        <w:pBdr/>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BXCL501 Pipeline Opportunities for Franchise Expansion</w:t>
      </w:r>
    </w:p>
    <w:p>
      <w:pPr>
        <w:pStyle w:val="TextBody"/>
        <w:shd w:fill="FFFFFF" w:val="clear"/>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Based on its potential mechanism of action, we believe BXCL501 has the potential for broad applicability across several indications where agitation is a symptom of a condition or underlying disease. Research published in the journal Frontiers in Pharmacology showed that BXCL501 caused a significant reduction in behaviors induced by stress in translatable behavioral models related to psychiatric disorders, providing further support for the drug’s mechanism of action and potential suitability for broadly addressing stress-related disorders in addition to agitation.</w:t>
      </w:r>
    </w:p>
    <w:p>
      <w:pPr>
        <w:pStyle w:val="TextBody"/>
        <w:bidi w:val="0"/>
        <w:spacing w:before="0" w:after="0"/>
        <w:ind w:left="360" w:right="0" w:hanging="0"/>
        <w:jc w:val="both"/>
        <w:rPr>
          <w:rFonts w:ascii="Times New Roman;Times;serif" w:hAnsi="Times New Roman;Times;serif"/>
          <w:b/>
          <w:sz w:val="20"/>
        </w:rPr>
      </w:pPr>
      <w:r>
        <w:rPr>
          <w:rFonts w:ascii="Times New Roman;Times;serif" w:hAnsi="Times New Roman;Times;serif"/>
          <w:b/>
          <w:sz w:val="20"/>
        </w:rPr>
        <w:t>Government-Supported Investigator-Sponsored Trials (“ISTs”)</w:t>
      </w:r>
    </w:p>
    <w:p>
      <w:pPr>
        <w:pStyle w:val="TextBody"/>
        <w:bidi w:val="0"/>
        <w:spacing w:before="120" w:after="24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research partners have been awarded grants for the development of BXCL501 in alcohol use disorder (“AUD”) with comorbid post-traumatic stress disorder (“PTSD”), opioid use disorder (“OUD”), and acute stress disorder (“ASD”). The Company has provided, regulatory and operational support and investigational product for these development opportunities, which are being funded through Cooperative Agreements with the U.S. Department of Defense Congressionally Directed Medical Research Program and National Institute on Drug Abuse (“NIDA”). Clinical and regulatory responsibilities are led by clinical researchers and regulatory staff at the Veterans Affairs Connecticut Healthcare System, Yale University Medical School, RTI International, Columbia University New York State Psychiatric Institute, and University of North Carolina at Chapel Hill. </w:t>
      </w:r>
    </w:p>
    <w:p>
      <w:pPr>
        <w:pStyle w:val="TextBody"/>
        <w:bidi w:val="0"/>
        <w:spacing w:before="0" w:after="0"/>
        <w:ind w:left="0" w:right="0" w:hanging="0"/>
        <w:jc w:val="left"/>
        <w:rPr/>
      </w:pPr>
      <w:r>
        <w:rPr/>
        <w:t>​</w:t>
      </w:r>
    </w:p>
    <w:p>
      <w:pPr>
        <w:pStyle w:val="TextBody"/>
        <w:bidi w:val="0"/>
        <w:spacing w:before="0" w:after="0"/>
        <w:ind w:left="446"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Opioid Use Disorder (“OUD”)</w:t>
      </w:r>
    </w:p>
    <w:p>
      <w:pPr>
        <w:pStyle w:val="TextBody"/>
        <w:bidi w:val="0"/>
        <w:spacing w:before="0" w:after="0"/>
        <w:ind w:left="446" w:right="0" w:hanging="0"/>
        <w:jc w:val="both"/>
        <w:rPr>
          <w:shd w:fill="FFFFFF" w:val="clear"/>
        </w:rPr>
      </w:pPr>
      <w:r>
        <w:rPr>
          <w:shd w:fill="FFFFFF" w:val="clear"/>
        </w:rPr>
        <w:t>​</w:t>
      </w:r>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As the Company previously announced, NIDA awarded a grant to Columbia University to fund clinical testing of BXCL501 as a potential treatment for mitigation of opioid withdrawal symptoms in patients diagnosed with OUD. The original 160-patient, three-site, four-arm study is a randomized, double-blind, double-dummy inpatient study comparing BXCL501 (180 mcg and 240 mcg BID), lofexidine (as a positive control), and placebo. The study’s goal was to evaluate the safety and efficacy of BXCL501 relative to lofexidine and placebo in subjects with OUD. A majority of OUD patients participating in the study were anticipated to be exposed to fentanyl adulterated or associated with xylazine. To date, four different sites have recruited, enrolled, and dosed patients diagnosed with OUD who are physically dependent on opioids, including prescription opioids. The Company supplied BXCL501 for the study, which was sponsored by Columbia University. The study was subsequently stopped at 80 patients, or approximately one-half the original total.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shd w:fill="FFFFFF" w:val="clear"/>
        </w:rPr>
      </w:pPr>
      <w:r>
        <w:rPr>
          <w:shd w:fill="FFFFFF" w:val="clear"/>
        </w:rPr>
        <w:t>​</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shd w:fill="FFFFFF" w:val="clear"/>
        </w:rPr>
        <w:t>On March 5, 2026, the Company announced positive topline results from the Columbia Phase 2 investigator-sponsored trial evaluating BXCL501 for the treatment of opioid withdrawal symptoms in adults with opioid use disorder undergoing a methadone taper. In the study, BXCL501 240 µg BID reduced opioid withdrawal symptoms compared to placebo during a seven-day methadone taper, as measured by the Short Opiate Withdrawal Scale-Gossop (SOWS-Gossop).  After receiving BXCL501 240 µg, patients experienced a greater than 30% reduction in SOWS-Gossop scores, with peak symptom improvement observed on days 3 and 4. The reduction in withdrawal symptoms with BXCL501 numerically exceeded that observed with lofexidine 0.54 mg administered four times daily. BXCL501 demonstrated a favorable tolerability profile, with rates of key adverse events (including dizziness, orthostatic hypotension, bradycardia and insomnia) comparable to or lower than those reported for lofexidine in the Lucemyra</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(lofexidine) FDA label.  </w:t>
      </w:r>
    </w:p>
    <w:p>
      <w:pPr>
        <w:pStyle w:val="TextBody"/>
        <w:bidi w:val="0"/>
        <w:spacing w:before="0" w:after="0"/>
        <w:ind w:left="0" w:right="0" w:firstLine="360"/>
        <w:jc w:val="left"/>
        <w:rPr>
          <w:shd w:fill="FFFFFF" w:val="clear"/>
        </w:rPr>
      </w:pPr>
      <w:r>
        <w:rPr>
          <w:shd w:fill="FFFFFF" w:val="clear"/>
        </w:rPr>
        <w:t> </w:t>
      </w:r>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This study was planned as a 4-arm trial: BXCL501 180 µg BID or 240 µg BID, placebo, and lofexidine 0.54 mg QID as a positive control. It enrolled participants who were predominantly exposed to fentanyl and included a high proportion of participants exposed to fentanyl adulterated or associated with xylazine (FAAX), which has been designated as an emerging threat by the White House Office of National Drug Control Policy. </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36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Alcohol Use Disorder (“AUD”) with Comorbid Post-traumatic Stress Disorder (“PTSD”)</w:t>
      </w:r>
    </w:p>
    <w:p>
      <w:pPr>
        <w:pStyle w:val="TextBody"/>
        <w:bidi w:val="0"/>
        <w:spacing w:before="0" w:after="0"/>
        <w:ind w:left="360" w:right="0" w:hanging="0"/>
        <w:jc w:val="left"/>
        <w:rPr>
          <w:shd w:fill="FFFFFF" w:val="clear"/>
        </w:rPr>
      </w:pPr>
      <w:r>
        <w:rPr>
          <w:shd w:fill="FFFFFF" w:val="clea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December 2020, the Veterans Affairs Connecticut Healthcare System and Yale University Medical School were awarded a grant by the U.S. Department of Defense’s Congressionally Directed Medical Research Program with the overall objective to evaluate BXCL501 in patients who suffer from AUD with comorbid PTSD. The Company provided BXCL501 for the inpatient Alcohol Interaction Study, which has been completed.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Yale has received approval from the Institutional Review Board (“IRB”) and allowance from the FDA to proceed with a trial to evaluate the effects of up to 80 mcg BID of BXCL501 per day for 28 days on alcohol consumption, PTSD symptoms, cognitive function, memory, sleep, and mood in patients diagnosed with mild, moderate, or severe AUD and who meet Criterion A for comorbid PTSD. The outpatient study has received funding approval from the Pharmacotherapies for Alcohol and Substance Use Disorders Alliance (funded through a Cooperative Agreement between the U.S. Department of Defense Congressionally Directed Medical Research Program and RTI International). Patient screening and enrollment has begun, with the first patient expected to be dosed in the first half of 2026. Study results may be used to inform a Phase 3 study in patients diagnosed with PTSD intended to commence with support by the Department of Defense Congressionally Directed Medical Research Program.</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Acute Stress Disorder (“ASD”)</w:t>
      </w:r>
    </w:p>
    <w:p>
      <w:pPr>
        <w:pStyle w:val="TextBody"/>
        <w:bidi w:val="0"/>
        <w:spacing w:before="0" w:after="0"/>
        <w:ind w:left="0" w:right="0" w:firstLine="360"/>
        <w:jc w:val="left"/>
        <w:rPr/>
      </w:pPr>
      <w:r>
        <w:rPr/>
        <w:t>​</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October 15, 2024, we announced a U.S. Department of War (DoW) grant to the University of North Carolina (“UNC”) to fund a study of BXCL501 for treating ASD. The award provides $2,800 to the UNC Institute for Trauma Recovery from September 15, 2024 through September 14, 2026 to evaluate the potential efficacy of BXCL501 to reduce acute stress reactions, also known as acute stress disorder (ASD), symptom severity and/or posttraumatic neuropsychiatric symptoms. The double-blind, placebo-controlled trial is expected to enroll 100 patients experiencing acute stress reactions resulting from motor vehicle collisions.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April 8, 2026, we announced the enrollment of the first patients in this DoW-funded Phase 2a clinical trial. The trial is being led by the University of North Carolina at Chapel Hill (UNC) Institute of Trauma Recovery and marks a significant milestone in the collaboration between BioXcel Therapeutics and UNC. As of July 28, 2026, the study enrolled 20 participants.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double-blind, placebo-controlled trial (NCT06943404) is designed to enroll 100 patients experiencing ASRs following motor vehicle collisions and will evaluate the potential of BXCL501 to reduce ASR symptom severity, improve neurocognitive function, and prevent the progression to chronic posttraumatic neuropsychiatric symptoms. BioXcel Therapeutics is supplying BXCL501 for the trial.</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ASR symptoms occur in the days and weeks after trauma, and include anxiety, sleep disturbance, concentration difficulty, pain, and somatic symptoms such as dizziness and lightheadedness. Chronic adverse posttraumatic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lineRule="auto" w:line="240" w:before="0" w:after="200"/>
        <w:ind w:left="0" w:right="0" w:hanging="0"/>
        <w:jc w:val="left"/>
        <w:rPr>
          <w:rFonts w:ascii="Times New Roman;Times;serif" w:hAnsi="Times New Roman;Times;serif"/>
          <w:sz w:val="18"/>
        </w:rPr>
      </w:pPr>
      <w:r>
        <w:rPr>
          <w:rFonts w:ascii="Times New Roman;Times;serif" w:hAnsi="Times New Roman;Times;serif"/>
          <w:sz w:val="20"/>
        </w:rPr>
        <w:t xml:space="preserve">neuropsychiatric symptoms occur when acute stress reactions do not resolve, and include persistent pain, posttraumatic stress, and depressive symptoms. ASRs are common among service men and women, police and other first responders, and survivors of shootings and natural disasters. ASRs affect more than 40 million Americans who seek emergency department care annually after traumatic stress exposure (e.g., motor vehicle collision) </w:t>
      </w:r>
      <w:r>
        <w:rPr>
          <w:rFonts w:ascii="Times New Roman;Times;serif" w:hAnsi="Times New Roman;Times;serif"/>
          <w:sz w:val="14"/>
        </w:rPr>
        <w:t>1,2</w:t>
      </w:r>
    </w:p>
    <w:p>
      <w:pPr>
        <w:pStyle w:val="TextBody"/>
        <w:shd w:fill="FFFFFF" w:val="clear"/>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BXCL502 Development</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identified a second neuropsychiatric drug candidate, BXCL502 − Latrepirdine (Dimebon) − through our AI-based platform. We plan to evaluate BXCL502 initially as a monotherapy and possibly in combination with BXCL501 for the chronic treatment of agitation in patients with dementia and acute stress disorder. The active pharmaceutical ingredient (“API”) underlying BXCL502 affects serotonergic signaling in the brain. Our preclinical data suggests BXCL502 has the potential to treat stress-related neuropsychiatric symptoms in dementia and other stress-related disorders. In previously published third-party clinical trial data, daily administration of the API of BXCL502 demonstrated improvement in behaviors using a well-established, clinically validated symptom scale. Formulation and further clinical development planning for BXCL502 was paused as part of the Clinical Reprioritization.</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Product Candidates Identified Leveraging our AI Platform</w:t>
      </w:r>
    </w:p>
    <w:p>
      <w:pPr>
        <w:pStyle w:val="TextBody"/>
        <w:shd w:fill="FFFFFF" w:val="clear"/>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AI platform is comprised of a series of customized and specific AI applications aimed at identifying, predicting efficacy and testing of late-stage assets with known mechanisms of action and associated pharmacology and safety data. We target neuropsychiatric and neurological rare disorders, where the compounds are either disease-modifying or symptom-mitigating. Compounds are tested in relevant models of disease and rank-ordered based on the potential to enter the clinic and ease of development. Disease areas of interest are stress related such as agitation, or neuropsychiatric symptoms associated with dementia and responsible for increased levels of healthcare burden. For example, our pipeline concepts BXCL503 and BXCL504 putatively have the potential to address apathy and aggression in dementia, respectively. These programs were also paused as part of the Clinical Reprioritization.</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Neuroscience Intellectual Property</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policy is to protect and enhance the proprietary technologies, inventions, and improvements that are commercially important to our business by filing patent applications in the U.S. and other jurisdictions related to our proprietary technology, inventions, improvements, and product candidates. We also rely on trademarks, trade secrets, and know-how relating to our proprietary technologies and product candidates, continuing innovation, and in-licensing technology and products. This reliance is expected to develop, maintain, and strengthen our proprietary position for novel therapeutics and novel formulations of existing therapeutics across multiple therapeutic areas. We also plan to rely on data exclusivity, market exclusivity, and patent term extensions when available.</w:t>
      </w:r>
    </w:p>
    <w:p>
      <w:pPr>
        <w:pStyle w:val="TextBody"/>
        <w:pBdr/>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We have multiple patent families filed to protect our Neuroscience program, including BXCL501. As of August 3, 2026, our neuroscience patent portfolio included 13 U.S. utility applications, 17 issued U.S. utility patents, 41 pending non-U.S. utility applications, 29 allowed or granted non-U.S. patents (including five in Japan), one pending U.S. design patent application, and 2 registered design patents in Japan. Fourteen U.S. utility patents, directed to our proprietary sublingual film formulation of dexmedetomidine and methods of treating agitation, are listed in the FDA’s Approved Drug Products with Therapeutic Equivalence Evaluations (commonly known as the “Orange Book”) for IGALMI</w:t>
      </w:r>
      <w:r>
        <w:rPr>
          <w:rFonts w:ascii="Times New Roman;Times;serif" w:hAnsi="Times New Roman;Times;serif"/>
          <w:sz w:val="15"/>
        </w:rPr>
        <w:t>®</w:t>
      </w:r>
      <w:r>
        <w:rPr>
          <w:rFonts w:ascii="Times New Roman;Times;serif" w:hAnsi="Times New Roman;Times;serif"/>
          <w:sz w:val="20"/>
        </w:rPr>
        <w:t xml:space="preserve"> with expiration dates between 2037 and 2043. In the formulation family, we have granted or allowed patents in China, Europe, Eurasia, Japan, Mexico, and the U.S., and pending applications in the U.S., China, and other major markets. We expect that patents issued in this family will expire no earlier than 2039. We have also filed applications in additional patent families that are relevant to BXCL501. We have one granted European patent and applications pending in the U.S. and Japan directed to methods of treating insomnia using sublingual dexmedetomidine. We expect that patents issued from these applications, will expire no earlier than 2035. We also have granted patents and pending applications filed in major markets, including the U.S., Europe, Japan, and China, directed to methods of treating agitation. We expect that patents issued from these applications, will expire between 2039 and 2043. </w:t>
      </w:r>
    </w:p>
    <w:p>
      <w:pPr>
        <w:pStyle w:val="TextBody"/>
        <w:shd w:fill="FFFFFF" w:val="clear"/>
        <w:bidi w:val="0"/>
        <w:spacing w:lineRule="auto" w:line="300"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August 2024, the Company received a Notice of Allowance from the U.S. Patent and Trademark Office (“USPTO”) for U.S. Patent Application No. 18/600,431 (the “’431 Application”). The ’431 Application claims methods of treating agitation using an oromucosal formulation of dexmedetomidine. The ‘431 Application issued as U.S. Patent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No. 12,138,247 (the ‘247 Patent) patent, issued on November 2024, and is expected to expire no earlier than January 12, 2043. The ’247 Patent is listed in the Orange Book for IGALMI</w:t>
      </w:r>
      <w:r>
        <w:rPr>
          <w:rFonts w:ascii="Times New Roman;Times;serif" w:hAnsi="Times New Roman;Times;serif"/>
          <w:sz w:val="15"/>
        </w:rPr>
        <w:t>®</w:t>
      </w:r>
      <w:r>
        <w:rPr>
          <w:rFonts w:ascii="Times New Roman;Times;serif" w:hAnsi="Times New Roman;Times;serif"/>
          <w:sz w:val="20"/>
        </w:rPr>
        <w:t xml:space="preserve">. </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term of individual patents depends upon the legal term for patents in the countries in which they are obtained. In most countries, including the U.S., the patent term is 20 years from the earliest filing date of a non-provisional patent application. Depending upon the timing, duration, and specifics of FDA approval of our product candidates, a U.S. patent that we own or license may be eligible for limited patent term extension under the Drug Price Competition and Patent Term Restoration Act of 1984 (a.k.a., the “Hatch-Waxman Act”). The act permits a patent restoration term of up to five years as compensation for patent term lost during product development and the drug approval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new drug application (“NDA”), plus the time between the submission date of an NDA and the approval of that application. Only one patent applicable to an approved drug is eligible for the extension, and the application for extension must be made prior to patent expiration.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term of a patent can also be extended by PTA established in 35 U.S.C. 154(b). The intention of the PTA is to accommodate for delays caused by the USPTO during the prosecution of a US utility or plant patent application. Under PTA, the USPTO delay is divided into three types: type A (delays after 14 months from the filing date of the application until the USPTO issues a first Office Action and delays after four months from the filing of certain actions by the applicant until the USPTO responds to such actions); type B (delays after three years from the earliest effective filing date until a patent is granted); and type C (delays due to interferences, secrecy orders, and successful appeals). The total amount of PTA is calculated by adding the types A, B, and C delays, and then subtracting any delay that is overlapped among three types or that is attributable to the applicant.</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term of a patent can also be shortened by a terminal disclaimer. A terminal disclaimer is a statement filed by a patent owner in which the owner disclaims or dedicates to the public the terminal part of the term of a patent. Often, the terminal disclaimer is filed in cases where at least one claim of a pending application would have been obvious in light of at least one claim in an earlier-filed patent, (or non-statutory obviousness-type double patenting rejection).</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patent positions of companies such as ours are generally uncertain and involve complex legal and factual questions. No consistent policy regarding the scope of claims allowable in patents in the field of method of use patents or reformulation patents has emerged in the U.S. patent laws and their interpretation outside of the U.S. are also uncertain. Changes in either the patent laws or their interpretation in the U.S. and other countries may diminish our ability to protect our technology or product candidates and enforce the patent rights that we license, and also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company owned intellectual property,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the manufacture of those products. In addition, if a pending patent application is granted, it is possible that only a subset of the claims that are currently contained in the pending patent application will be issued. Further, the coverage claimed in a patent application can be significantly reduced before the patent is issued, and its scope can be reinterpreted after issuance.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the issued patents that we in-license and those that may issue in the future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against competitors with similar technology. Furthermore, our competitors may independently develop similar technologies outside the scope of the rights granted under any issued patents that we own or exclusively in license.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 For additional information regarding intellectual property regulations and risks, see below under “Immuno-Oncology Intellectual Property” and Part II, Item 1A, “Risk Factors - Risks Related to Our Intellectual Property” elsewhere in this Quarterly Report. </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Immuno-Oncology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April 19, 2022, we announced the formation of a wholly owned subsidiary, OnkosXcel to develop potentially transformative medicines in oncology. OnkosXcel used proprietary AI capabilities to drive the capital-efficient development of innovative anti-cancer therapeutics. With the Company’s Clinical Reprioritization announcement on August 14, 2023, further work on the immuno-oncology programs was paused, except as noted below.</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BXCL701, an investigational, oral innate immune activator, demonstrated a 25% composite response rate in a Phase 2a clinical trial to treat patients with small cell neuroendocrine carcinoma (“SCNC”) phenotype metastatic castration-resistant prostate cancer (“mCRPC”). On February 12, 2024, the Company received Fast Track development designation from the FDA for the investigation of BXCL701 in combination with a checkpoint inhibitor for the treatment of patients with metastatic SCNC with progression on chemotherapy and no evidence of microsatellite instability. A potential registrational trial design in mCRPC patients with SCNC phenotype was finalized, however in light of our Clinical Reprioritization, we have not met with the FDA to discuss this, nor plan to initiate this trial at the current time.</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 xml:space="preserve">Our Immuno-Oncology Programs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Below is a summary of the status of our immuno-oncology clinical development programs as of the date of this Quarterly Report. We believe our product candidates, if successfully developed and approved, have the potential to become compelling treatment options for their respective indications. However, further work on our immuno-oncology programs has been paused, other than as noted below.</w:t>
      </w:r>
    </w:p>
    <w:p>
      <w:pPr>
        <w:pStyle w:val="TextBody"/>
        <w:bidi w:val="0"/>
        <w:spacing w:before="0" w:after="0"/>
        <w:ind w:left="0" w:right="0" w:hanging="0"/>
        <w:jc w:val="center"/>
        <w:rPr/>
      </w:pPr>
      <w:r>
        <w:rPr/>
        <w:drawing>
          <wp:inline distT="0" distB="0" distL="0" distR="0">
            <wp:extent cx="6108700" cy="2664460"/>
            <wp:effectExtent l="0" t="0" r="0" b="0"/>
            <wp:docPr id="23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 descr=""/>
                    <pic:cNvPicPr>
                      <a:picLocks noChangeAspect="1" noChangeArrowheads="1"/>
                    </pic:cNvPicPr>
                  </pic:nvPicPr>
                  <pic:blipFill>
                    <a:blip r:embed="rId3"/>
                    <a:stretch>
                      <a:fillRect/>
                    </a:stretch>
                  </pic:blipFill>
                  <pic:spPr bwMode="auto">
                    <a:xfrm>
                      <a:off x="0" y="0"/>
                      <a:ext cx="6108700" cy="2664460"/>
                    </a:xfrm>
                    <a:prstGeom prst="rect">
                      <a:avLst/>
                    </a:prstGeom>
                  </pic:spPr>
                </pic:pic>
              </a:graphicData>
            </a:graphic>
          </wp:inline>
        </w:drawing>
      </w:r>
    </w:p>
    <w:p>
      <w:pPr>
        <w:pStyle w:val="TextBody"/>
        <w:bidi w:val="0"/>
        <w:spacing w:before="100" w:after="1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BXCL701 as a Potential Treatment for Other Cancers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to its potential use in combination with CPIs to treat mCRPC, an immunologically cold tumor, we have been developing BXCL701 as a therapeutic for pancreatic cancer, and other solid tumors with greater, or “non-cold,” immunological activity that are nonetheless regarded as difficult-to-treat, and hematological malignancies. We believe the synergistic potential of BXCL701 and CPIs, when administered in combination, could increase cancer cell susceptibility to an enhanced immune response, potentially increasing the clinical benefit of CPIs, whose single-agent efficacy in treating these tumor types is generally viewed to be limited to between 13% and 30% of cancer patients and the duration of response to treatment is often short. As such, we envision the potential therapeutic benefit of BXCL701 increasing the sensitivity of cold tumors to CPI therapy, enabling the potential treatment of a range of cancers including pancreatic cancer, breast cancer, colorectal cancer, and ovarian cancer, as well as enhancing the depth of response to CPIs in other cancers. In addition, based on the preclinical observation that BXCL701 showed direct cytotoxic activity against certain leukemic cells, we have initiated clinical development targeting relapsed or refractory acute myeloid leukemia (“AML”).</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Pancreatic Cancer</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Preclinical models demonstrated synergy between DPP inhibition with BXCL701 and anti-PD-1 antibody in the pancreatic cancer tumor microenvironment. Based on these preclinical observations, Georgetown Lombardi Cancer Center initiated a Phase 2 IST to assess the safety of BXCL701 when administered in combination with pembrolizumab (safety lead-in), as well as to estimate the 18-week progression-free survival rate (primary objective of the efficacy phase) in previously treated metastatic pancreatic ductal adenocarcinoma. The trial was expected to enroll approximately 39 patients in its efficacy phase in a Simon 2-stage single-arm, open-label design (19 patients in stage 1 and 20 patients in stage 2). Patients were monitored radiographically and by tumor markers for response assessment. Tumor biopsies and blood samples were collected over the course of treatment to better understand the potential mechanism of action for the combination. The human proof of concept portion of the trial started in the first half of 2024. Twenty-one patients were enrolled. Four out of 18 evaluable patients (22%) were alive and progression-free at 18 weeks. Three had partial responses (17%), and 4 had stable disease (22%), for a disease control rate of 39%. One responder had MSI-H PDAC (Microsatellite Instability High Pancreatic Ductal Adenocarcinoma), while the other 2 had MSS PDAC (Microsatellite Stable Pancreatic Ductal Adenocarcinoma). Median PFS (Progression Free Survival) was 2.3 months (95% CI 1.58 – 5.29), and median overall survival was not reached (NR, 95% CI 4.54 - NR). No new safety signals were identified.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BXCL701 plus pembrolizumab in second-line advanced PDAC did not reach the preliminary efficacy endpoint to trigger the second stage. However, there were encouraging signs: this combination induced objective responses in 2 MSS pts, and the PFS exceeded 6 months in 3 pts (14%). Ongoing correlative studies should help to examine the characteristics of responders vs. non-responders and elucidate predictive markers of efficacy and resistance to this novel immunotherapy combination. </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Relapsed or Refractory AML</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DPP8/9 inhibition has been shown to be cytotoxic to THP-1 cells, monocytic cancer cells cultured from a patient with AML, but not other cell lines, suggesting a specific vulnerability of AML to these inhibitors which we believe can be exploited for therapeutic benefit. Based on these preclinical observations, Dana-Farber initiated a Phase 1b trial to assess the safety of BXCL701 and to determine the maximum tolerated dose (MTD) and RP2D of BXCL701 as a single agent administered on days 1-3, 8-10, 15-17 and 22-24 in a 4-week (28 days) cycle schedule. This trial started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first quarter of 2023. A total of 8 patients were treated on days 1-3, 8-10, 15-17 and 22-24 in a 4-week (28 days) cycle schedule across three cohorts as shown below:</w:t>
      </w:r>
    </w:p>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Cohort 1:</w:t>
            </w:r>
            <w:r>
              <w:rPr>
                <w:caps w:val="false"/>
                <w:smallCaps w:val="false"/>
              </w:rPr>
              <w:t xml:space="preserve"> </w:t>
            </w:r>
            <w:r>
              <w:rPr>
                <w:rFonts w:ascii="Times New Roman;Times;serif" w:hAnsi="Times New Roman;Times;serif"/>
                <w:b w:val="false"/>
                <w:i w:val="false"/>
                <w:caps w:val="false"/>
                <w:smallCaps w:val="false"/>
                <w:sz w:val="20"/>
              </w:rPr>
              <w:t xml:space="preserve">0.4 mg (BXCL701 0.2 mg BID); </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Cohort 2:</w:t>
            </w:r>
            <w:r>
              <w:rPr>
                <w:caps w:val="false"/>
                <w:smallCaps w:val="false"/>
              </w:rPr>
              <w:t xml:space="preserve"> </w:t>
            </w:r>
            <w:r>
              <w:rPr>
                <w:rFonts w:ascii="Times New Roman;Times;serif" w:hAnsi="Times New Roman;Times;serif"/>
                <w:b w:val="false"/>
                <w:i w:val="false"/>
                <w:caps w:val="false"/>
                <w:smallCaps w:val="false"/>
                <w:sz w:val="20"/>
              </w:rPr>
              <w:t xml:space="preserve">0.6 mg (BXCL701 0.3 mg BID); </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Final Cohort:</w:t>
            </w:r>
            <w:r>
              <w:rPr>
                <w:caps w:val="false"/>
                <w:smallCaps w:val="false"/>
              </w:rPr>
              <w:t xml:space="preserve"> </w:t>
            </w:r>
            <w:r>
              <w:rPr>
                <w:rFonts w:ascii="Times New Roman;Times;serif" w:hAnsi="Times New Roman;Times;serif"/>
                <w:b w:val="false"/>
                <w:i w:val="false"/>
                <w:caps w:val="false"/>
                <w:smallCaps w:val="false"/>
                <w:sz w:val="20"/>
              </w:rPr>
              <w:t xml:space="preserve">0.8 mg (BXCL701 0.4 mg BID) daily </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 DLTs were observed and the study was closed due to poor enrollment on 31 Aug 2025 with an incomplete final cohort. Pharmacokinetic analysis is underway to determine PK parameters associated with single agent dosing in AML patients using this novel dosing regimen.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Immuno-Oncology Intellectual Property</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Intellectual property is of vital importance in our field and in biotechnology generally. We seek to protect and enhance proprietary technology, inventions, and improvements that are commercially important to the development of our business by seeking, maintaining, enforcing, and defending patent and other intellectual property rights, whether developed internally or licensed from third parties. We will also seek to rely on regulatory protection afforded through inclusion in expedited development and review, data exclusivity, market exclusivity, and patent term extensions where available. </w:t>
      </w:r>
    </w:p>
    <w:p>
      <w:pPr>
        <w:pStyle w:val="TextBody"/>
        <w:shd w:fill="FFFFFF" w:val="clear"/>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of August 3, 2026, we have multiple patent families filed to protect our immuno-oncology program, including our core patent family directed to methods of using BXCL701 with immune checkpoint inhibitors, which is granted in the U.S., Japan, Australia, Canada, Russia, China, India, Taiwan, South Africa, and Mexico. Additional applications in this family are pending in major markets. Patents issued from this family are expected to expire no earlier than 2036. We have an additional patent issued in the U.S. directed to a method of selecting patients based on a biomarker and methods of treating certain cancers, with an expected expiration date no earlier than 2039. A corresponding European Patent case directed to selecting patients is issued and is expected to expire no earlier than 2038.</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Additional applications are directed to administering BXCL701 in certain dosing regimens. We expect that any patents issuing from these applications will expire no earlier than 2044.</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expect to file additional patent applications in support of current and new immuno-oncology clinical candidates as well as new platform and core technologies. For additional information regarding intellectual property regulations and risks, see above under “Neuroscience Intellectual Property” and Part II, Item 1A, “Risk Factors - Risks Related to Our Intellectual Property” elsewhere in this Quarterly Report. </w:t>
      </w:r>
    </w:p>
    <w:p>
      <w:pPr>
        <w:pStyle w:val="TextBody"/>
        <w:bidi w:val="0"/>
        <w:spacing w:before="0" w:after="0"/>
        <w:ind w:left="0" w:right="0" w:firstLine="36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Company’s condensed consolidated financial statements are prepared in accordance with U.S. Generally Accepted Accounting Principles.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Product Revenue, Net</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Revenue relates to sales of IGALMI</w:t>
      </w:r>
      <w:r>
        <w:rPr>
          <w:rFonts w:ascii="Times New Roman;Times;serif" w:hAnsi="Times New Roman;Times;serif"/>
          <w:sz w:val="15"/>
        </w:rPr>
        <w:t>®</w:t>
      </w:r>
      <w:r>
        <w:rPr>
          <w:rFonts w:ascii="Times New Roman;Times;serif" w:hAnsi="Times New Roman;Times;serif"/>
          <w:sz w:val="20"/>
        </w:rPr>
        <w:t xml:space="preserve"> and reflect limited market access since commercial launch in July 2022. The revenues are net of rebates, chargebacks, discounts, and other adjustments. During the fourth quarter of 2022, we began contracting directly with intermediaries such as GPOs.</w:t>
      </w:r>
    </w:p>
    <w:p>
      <w:pPr>
        <w:pStyle w:val="TextBody"/>
        <w:bidi w:val="0"/>
        <w:spacing w:before="0" w:after="20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Costs and Expenses</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Cost of Goods Sold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Cost of goods sold primarily relates to the costs of producing, packaging, and delivering our product to customers, as well as costs related to excess or obsolete inventory.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research and development expenses reflect costs associated with the identification of our preclinical and clinical product candidates. Expenditures primarily consist of salary, benefits and non-cash stock-based compensation for our research and development personnel, costs incurred under agreements with contract research organizations and sites that conduct our non-clinical studies and clinical trials, costs of outside consultants engaged in research and development activities, travel expenses, the cost of acquiring, developing and manufacturing preclinical and clinical trial materials and lab supplies, and depreciation and other expenses. Payments to BioXcel LLC are also included in research and development expenses. Costs associated with third parties that provide non-clinical services such as toxicology, pharmacology, research and discovery, biomarker studies and similar services are included in the professional fees category of research and development expenses.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expense research and development costs as incurred.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research and development costs by program for the three and six months ended June 30, 2026 and 2025 were as follows:</w:t>
      </w:r>
    </w:p>
    <w:tbl>
      <w:tblPr>
        <w:tblW w:w="7415" w:type="dxa"/>
        <w:jc w:val="left"/>
        <w:tblInd w:w="0" w:type="dxa"/>
        <w:tblLayout w:type="fixed"/>
        <w:tblCellMar>
          <w:top w:w="0" w:type="dxa"/>
          <w:left w:w="0" w:type="dxa"/>
          <w:bottom w:w="0" w:type="dxa"/>
          <w:right w:w="0" w:type="dxa"/>
        </w:tblCellMar>
      </w:tblPr>
      <w:tblGrid>
        <w:gridCol w:w="3526"/>
        <w:gridCol w:w="109"/>
        <w:gridCol w:w="211"/>
        <w:gridCol w:w="571"/>
        <w:gridCol w:w="109"/>
        <w:gridCol w:w="211"/>
        <w:gridCol w:w="676"/>
        <w:gridCol w:w="109"/>
        <w:gridCol w:w="211"/>
        <w:gridCol w:w="571"/>
        <w:gridCol w:w="109"/>
        <w:gridCol w:w="211"/>
        <w:gridCol w:w="791"/>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239010" cy="175260"/>
                      <wp:effectExtent l="0" t="0" r="0" b="0"/>
                      <wp:wrapNone/>
                      <wp:docPr id="234" name="Frame232"/>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5" name="Frame2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62585" cy="175260"/>
                      <wp:effectExtent l="0" t="0" r="0" b="0"/>
                      <wp:wrapNone/>
                      <wp:docPr id="237" name="Frame23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9215" cy="175260"/>
                      <wp:effectExtent l="0" t="0" r="0" b="0"/>
                      <wp:wrapNone/>
                      <wp:docPr id="238" name="Frame2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29260" cy="175260"/>
                      <wp:effectExtent l="0" t="0" r="0" b="0"/>
                      <wp:wrapNone/>
                      <wp:docPr id="240" name="Frame2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2"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362585" cy="175260"/>
                      <wp:effectExtent l="0" t="0" r="0" b="0"/>
                      <wp:wrapNone/>
                      <wp:docPr id="243" name="Frame2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02285" cy="175260"/>
                      <wp:effectExtent l="0" t="0" r="0" b="0"/>
                      <wp:wrapNone/>
                      <wp:docPr id="246" name="Frame244"/>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color w:val="0563C1"/>
              </w:rPr>
            </w:pPr>
            <w:r>
              <w:rPr>
                <w:color w:val="0563C1"/>
              </w:rPr>
              <w:t>​</w:t>
            </w:r>
          </w:p>
        </w:tc>
        <w:tc>
          <w:tcPr>
            <w:tcW w:w="177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89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18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external costs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center"/>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BXCL501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10,346</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BXCL701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research and development programs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direct external costs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10,639</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 personnel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3,401</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direct costs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14,040</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Indirect costs and overhead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14,810</w:t>
            </w:r>
          </w:p>
        </w:tc>
      </w:tr>
    </w:tbl>
    <w:p>
      <w:pPr>
        <w:pStyle w:val="TextBody"/>
        <w:bidi w:val="0"/>
        <w:spacing w:before="0" w:after="0"/>
        <w:ind w:left="0" w:right="0" w:hanging="0"/>
        <w:jc w:val="left"/>
        <w:rPr/>
      </w:pPr>
      <w:r>
        <w:rPr/>
        <w:t>​</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Selling, General and Administrative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Selling, general and administrative expenses primarily consist of salaries, benefits and non-cash stock-based compensation for our sales, executive and administrative personnel. Selling, general and administrative expenses also include legal expenses to pursue patent protection of our intellectual property and other corporate matters, professional fees for audit and tax services and insurance charges. We may also incur increased costs to comply with corporate governance, internal controls, investor relations and disclosures and similar requirements applicable to public companies.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As a result of our Clinical Reprioritization, we expect that our selling, general and administrative expenses will decline due to IGALMI</w:t>
      </w:r>
      <w:r>
        <w:rPr>
          <w:rFonts w:ascii="Times New Roman;Times;serif" w:hAnsi="Times New Roman;Times;serif"/>
          <w:sz w:val="15"/>
        </w:rPr>
        <w:t>®</w:t>
      </w:r>
      <w:r>
        <w:rPr>
          <w:rFonts w:ascii="Times New Roman;Times;serif" w:hAnsi="Times New Roman;Times;serif"/>
          <w:sz w:val="20"/>
        </w:rPr>
        <w:t>’s restructured commercialization plan and reduced personnel costs. However, we may also experience increased selling, general and administrative expenses due to higher fees for outside consultants, attorneys, and accountants.</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Restructuring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both 2023 and 2024 the Company took multiple steps to reduce its headcount curtail expenses and focus on its clinical development efforts, collectively referred to as its Clinical Reprioritization.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an on-going part of the Clinical Reprioritization, on April 8, 2025, the Board unanimously approved (i) the payment of a retention bonus to all non-executive employees in the total aggregate amount of $1,522, to be paid in two equal installments and (ii) the issuance of 66 RSUs which fully vest on the one-year anniversary of the grant date. The first installment of the retention bonus was paid on April 30, 2025 and the second installment was paid on September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30, 2025. Each such installment payment was subject to the applicable employee’s continued employment through December 31,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September 16, 2025, the Company dissolved its operations in the Czech Republic and paid $194 in closure related expenses during the third quarter of 2025.</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Other Expense (Income)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Other (income) expense primarily consists of interest costs associated with the Credit Agreement the Company entered into in April 2022, changes in fair value of derivative financial instruments, and interest income earned on cash and cash equivalents that were comprised primarily of money market funds.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 description of recently issued accounting pronouncements is set forth in Note 3 to the condensed consolidated financial statements included elsewhere in this Quarterly Report.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bidi w:val="0"/>
        <w:spacing w:before="0" w:after="20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Three Months Ended June 30, 2026 and 2025</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Product Revenue, Net</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Commercial sales of IGALMI</w:t>
      </w:r>
      <w:r>
        <w:rPr>
          <w:rFonts w:ascii="Times New Roman;Times;serif" w:hAnsi="Times New Roman;Times;serif"/>
          <w:sz w:val="15"/>
        </w:rPr>
        <w:t>®</w:t>
      </w:r>
      <w:r>
        <w:rPr>
          <w:rFonts w:ascii="Times New Roman;Times;serif" w:hAnsi="Times New Roman;Times;serif"/>
          <w:sz w:val="20"/>
        </w:rPr>
        <w:t xml:space="preserve"> launched in July 2022. As part of the Company’s Clinical Reprioritization, the IGALMI</w:t>
      </w:r>
      <w:r>
        <w:rPr>
          <w:rFonts w:ascii="Times New Roman;Times;serif" w:hAnsi="Times New Roman;Times;serif"/>
          <w:sz w:val="15"/>
        </w:rPr>
        <w:t>®</w:t>
      </w:r>
      <w:r>
        <w:rPr>
          <w:rFonts w:ascii="Times New Roman;Times;serif" w:hAnsi="Times New Roman;Times;serif"/>
          <w:sz w:val="20"/>
        </w:rPr>
        <w:t xml:space="preserve"> commercial team shifted focus to a hospital/contracting strategy with a Corporate Account Director (“CAD”) team. The goal of the realigned CAD team is to work with large hospital/Integrated Delivery Network (“IDN”) and drive sales utilizing a top-down approach, allowing the Company to continue to make inroads into the institutional market in a more cost-efficient manner. IGALMI</w:t>
      </w:r>
      <w:r>
        <w:rPr>
          <w:rFonts w:ascii="Times New Roman;Times;serif" w:hAnsi="Times New Roman;Times;serif"/>
          <w:sz w:val="15"/>
        </w:rPr>
        <w:t>®</w:t>
      </w:r>
      <w:r>
        <w:rPr>
          <w:rFonts w:ascii="Times New Roman;Times;serif" w:hAnsi="Times New Roman;Times;serif"/>
          <w:sz w:val="20"/>
        </w:rPr>
        <w:t xml:space="preserve"> product revenue, net was $182 and $120 in the three months ended June 30, 2026 and 2025, respectively. The increase in sales was primarily the result of increased gross volume due to deeper GPO discounts that went into effect in the second quarter of 2025, as well as revenue generated from new contracts that commenced during the same period. </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Cost of Goods Sold</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goods sold for the three months ended June 30, 2026 and 2025, were $22 and $107, respectively. The decrease in Cost of goods sold for the three months ended June 30, 2026 is the result of lower charges for reserves for excess or obsolete inventory compared to the same period in 2025. Charges for reserves for excess or obsolete inventory were $0 and $95 in the three months ended June 30, 2026 and 2025, respectively. </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Research and Development Expense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Research and development expenses for the three months ended June 30, 2026 and 2025 were as follows:</w:t>
      </w:r>
    </w:p>
    <w:tbl>
      <w:tblPr>
        <w:tblW w:w="8506" w:type="dxa"/>
        <w:jc w:val="left"/>
        <w:tblInd w:w="0" w:type="dxa"/>
        <w:tblLayout w:type="fixed"/>
        <w:tblCellMar>
          <w:top w:w="0" w:type="dxa"/>
          <w:left w:w="0" w:type="dxa"/>
          <w:bottom w:w="0" w:type="dxa"/>
          <w:right w:w="0" w:type="dxa"/>
        </w:tblCellMar>
      </w:tblPr>
      <w:tblGrid>
        <w:gridCol w:w="3601"/>
        <w:gridCol w:w="346"/>
        <w:gridCol w:w="211"/>
        <w:gridCol w:w="571"/>
        <w:gridCol w:w="346"/>
        <w:gridCol w:w="211"/>
        <w:gridCol w:w="676"/>
        <w:gridCol w:w="346"/>
        <w:gridCol w:w="211"/>
        <w:gridCol w:w="691"/>
        <w:gridCol w:w="109"/>
        <w:gridCol w:w="195"/>
        <w:gridCol w:w="676"/>
        <w:gridCol w:w="31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286635" cy="175260"/>
                      <wp:effectExtent l="0" t="0" r="0" b="0"/>
                      <wp:wrapNone/>
                      <wp:docPr id="247" name="Frame245"/>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62585" cy="175260"/>
                      <wp:effectExtent l="0" t="0" r="0" b="0"/>
                      <wp:wrapNone/>
                      <wp:docPr id="250" name="Frame24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29260" cy="175260"/>
                      <wp:effectExtent l="0" t="0" r="0" b="0"/>
                      <wp:wrapNone/>
                      <wp:docPr id="253" name="Frame2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38785" cy="175260"/>
                      <wp:effectExtent l="0" t="0" r="0" b="0"/>
                      <wp:wrapNone/>
                      <wp:docPr id="256" name="Frame25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9215" cy="175260"/>
                      <wp:effectExtent l="0" t="0" r="0" b="0"/>
                      <wp:wrapNone/>
                      <wp:docPr id="257" name="Frame2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23825" cy="175260"/>
                      <wp:effectExtent l="0" t="0" r="0" b="0"/>
                      <wp:wrapNone/>
                      <wp:docPr id="258" name="Frame256"/>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29260" cy="175260"/>
                      <wp:effectExtent l="0" t="0" r="0" b="0"/>
                      <wp:wrapNone/>
                      <wp:docPr id="259" name="Frame2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0660" cy="175260"/>
                      <wp:effectExtent l="0" t="0" r="0" b="0"/>
                      <wp:wrapNone/>
                      <wp:docPr id="260" name="Frame25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5"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w: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5"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w: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vAlign w:val="center"/>
          </w:tcPr>
          <w:p>
            <w:pPr>
              <w:pStyle w:val="TableContents"/>
              <w:bidi w:val="0"/>
              <w:spacing w:before="0" w:after="1"/>
              <w:ind w:left="0" w:right="0" w:hanging="0"/>
              <w:jc w:val="center"/>
              <w:rPr/>
            </w:pPr>
            <w:r>
              <w:rPr/>
              <w:t>​</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w: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5"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 and related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c>
          <w:tcPr>
            <w:tcW w:w="109"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w:t>
            </w:r>
          </w:p>
        </w:tc>
        <w:tc>
          <w:tcPr>
            <w:tcW w:w="109"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w:t>
            </w:r>
          </w:p>
        </w:tc>
        <w:tc>
          <w:tcPr>
            <w:tcW w:w="109"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Clinical trials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(5,785)</w:t>
            </w:r>
          </w:p>
        </w:tc>
        <w:tc>
          <w:tcPr>
            <w:tcW w:w="109"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Chemical, manufacturing and controls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109"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109"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(7,092)</w:t>
            </w:r>
          </w:p>
        </w:tc>
        <w:tc>
          <w:tcPr>
            <w:tcW w:w="109"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overall decrease of $7,092 for the three months ended June 30, 2026 relative to the same period in 2025 was primarily attributable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Decreased clinical trials expense due to the completion of (i) the SERENITY At-Home pivotal Phase 3 safety trial in 2025 and (ii) the accompanying correlation study that compared caretaker agitation severity measurements to trained rater measurements in 2025. There were no studies initiated during the three months ended June 30, 2026. </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personnel and related costs as a result of lower headcount.</w:t>
            </w:r>
          </w:p>
        </w:tc>
      </w:tr>
    </w:tbl>
    <w:tbl>
      <w:tblPr>
        <w:tblW w:w="6741" w:type="dxa"/>
        <w:jc w:val="left"/>
        <w:tblInd w:w="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non-cash stock compensation costs as a result of lower headcount.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professional fees due to lower pharmacology costs, research and discovery costs, toxicology, and consulting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Increased chemistry, manufacturing and controls (“CMC”) costs primarily due to developmental activities to support the scale-up of the product for our outpatient indication. </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other expenses in conjunction with reduced clinical trial activity.</w:t>
            </w:r>
          </w:p>
        </w:tc>
      </w:tr>
    </w:tbl>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Following IGALMI</w:t>
      </w:r>
      <w:r>
        <w:rPr>
          <w:rFonts w:ascii="Times New Roman;Times;serif" w:hAnsi="Times New Roman;Times;serif"/>
          <w:sz w:val="15"/>
        </w:rPr>
        <w:t>®</w:t>
      </w:r>
      <w:r>
        <w:rPr>
          <w:rFonts w:ascii="Times New Roman;Times;serif" w:hAnsi="Times New Roman;Times;serif"/>
          <w:sz w:val="20"/>
        </w:rPr>
        <w:t>’s approval by the FDA, we capitalize costs related to commercial production of IGALMI</w:t>
      </w:r>
      <w:r>
        <w:rPr>
          <w:rFonts w:ascii="Times New Roman;Times;serif" w:hAnsi="Times New Roman;Times;serif"/>
          <w:sz w:val="15"/>
        </w:rPr>
        <w:t>®</w:t>
      </w:r>
      <w:r>
        <w:rPr>
          <w:rFonts w:ascii="Times New Roman;Times;serif" w:hAnsi="Times New Roman;Times;serif"/>
          <w:sz w:val="20"/>
        </w:rPr>
        <w:t xml:space="preserve"> as inventory and expense those CMC costs related to clinical trials.</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Selling, general and administrative expenses for the three months ended June 30, 2026 and 2025 were as follows: </w:t>
      </w:r>
    </w:p>
    <w:tbl>
      <w:tblPr>
        <w:tblW w:w="8903" w:type="dxa"/>
        <w:jc w:val="left"/>
        <w:tblInd w:w="0" w:type="dxa"/>
        <w:tblLayout w:type="fixed"/>
        <w:tblCellMar>
          <w:top w:w="0" w:type="dxa"/>
          <w:left w:w="0" w:type="dxa"/>
          <w:bottom w:w="0" w:type="dxa"/>
          <w:right w:w="0" w:type="dxa"/>
        </w:tblCellMar>
      </w:tblPr>
      <w:tblGrid>
        <w:gridCol w:w="4186"/>
        <w:gridCol w:w="346"/>
        <w:gridCol w:w="211"/>
        <w:gridCol w:w="571"/>
        <w:gridCol w:w="346"/>
        <w:gridCol w:w="211"/>
        <w:gridCol w:w="571"/>
        <w:gridCol w:w="346"/>
        <w:gridCol w:w="211"/>
        <w:gridCol w:w="571"/>
        <w:gridCol w:w="146"/>
        <w:gridCol w:w="195"/>
        <w:gridCol w:w="676"/>
        <w:gridCol w:w="316"/>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658110" cy="175260"/>
                      <wp:effectExtent l="0" t="0" r="0" b="0"/>
                      <wp:wrapNone/>
                      <wp:docPr id="261" name="Frame259"/>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62585" cy="175260"/>
                      <wp:effectExtent l="0" t="0" r="0" b="0"/>
                      <wp:wrapNone/>
                      <wp:docPr id="264" name="Frame26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62585" cy="175260"/>
                      <wp:effectExtent l="0" t="0" r="0" b="0"/>
                      <wp:wrapNone/>
                      <wp:docPr id="267" name="Frame26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62585" cy="175260"/>
                      <wp:effectExtent l="0" t="0" r="0" b="0"/>
                      <wp:wrapNone/>
                      <wp:docPr id="270" name="Frame26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92710" cy="175260"/>
                      <wp:effectExtent l="0" t="0" r="0" b="0"/>
                      <wp:wrapNone/>
                      <wp:docPr id="271" name="Frame26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23825" cy="175260"/>
                      <wp:effectExtent l="0" t="0" r="0" b="0"/>
                      <wp:wrapNone/>
                      <wp:docPr id="272" name="Frame270"/>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29260" cy="175260"/>
                      <wp:effectExtent l="0" t="0" r="0" b="0"/>
                      <wp:wrapNone/>
                      <wp:docPr id="273" name="Frame27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0660" cy="175260"/>
                      <wp:effectExtent l="0" t="0" r="0" b="0"/>
                      <wp:wrapNone/>
                      <wp:docPr id="274" name="Frame27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 </w:t>
            </w:r>
          </w:p>
        </w:tc>
        <w:tc>
          <w:tcPr>
            <w:tcW w:w="195"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 </w:t>
            </w:r>
          </w:p>
        </w:tc>
        <w:tc>
          <w:tcPr>
            <w:tcW w:w="195"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46" w:type="dxa"/>
            <w:tcBorders/>
            <w:vAlign w:val="center"/>
          </w:tcPr>
          <w:p>
            <w:pPr>
              <w:pStyle w:val="TableContents"/>
              <w:bidi w:val="0"/>
              <w:spacing w:before="0" w:after="1"/>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195"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 and related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14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w:t>
            </w:r>
          </w:p>
        </w:tc>
        <w:tc>
          <w:tcPr>
            <w:tcW w:w="14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2,158</w:t>
            </w:r>
          </w:p>
        </w:tc>
        <w:tc>
          <w:tcPr>
            <w:tcW w:w="14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marketing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14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14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14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w:t>
            </w:r>
          </w:p>
        </w:tc>
        <w:tc>
          <w:tcPr>
            <w:tcW w:w="14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overall increase of $1,580 for the three months ended June 30, 2026, relative to the same period in 2025 was primarily attributable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Increased professional fees, primarily related to higher legal costs and consulting fees for the three months ended June 30, 2026 compared to 2025.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personnel and related costs as a result of three executive’s salaries being restored to 2024 amounts after their salaries had been reduced for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non-cash stock compensation costs as a result of lower headcount and the Company’s lower stock price when awards were issued in 2025.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Other Expense (Income)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Interest expense increased to $4,257 for the three months ended June 30, 2026 from $4,222 in the same period in 2025 primarily due to higher debt balances under the Credit Agreement. The expense was partially offset by lower interest income earned on lower levels of cash and cash equivalents that were held primarily in short-term money market funds. Interest income decreased to $131 for the three months ended June 30, 2026 compared to $230 for three months ended June 30, 2025, due to lower average cash balances during the year. Other (income) expense, net is primarily associated with changes in fair value of derivative financial instruments for the period, which relate to instruments associated with the Credit Agreement and the Company’s registered direct equity offerings.</w:t>
      </w:r>
    </w:p>
    <w:p>
      <w:pPr>
        <w:pStyle w:val="TextBody"/>
        <w:bidi w:val="0"/>
        <w:spacing w:before="0" w:after="20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Six Months Ended June 30, 2026 and 2025</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Product Revenue, Net</w:t>
      </w:r>
    </w:p>
    <w:p>
      <w:pPr>
        <w:pStyle w:val="TextBody"/>
        <w:bidi w:val="0"/>
        <w:spacing w:lineRule="auto" w:line="240" w:before="0" w:after="240"/>
        <w:ind w:left="0" w:right="0" w:firstLine="360"/>
        <w:jc w:val="left"/>
        <w:rPr>
          <w:rFonts w:ascii="Times New Roman;Times;serif" w:hAnsi="Times New Roman;Times;serif"/>
          <w:sz w:val="20"/>
        </w:rPr>
      </w:pPr>
      <w:r>
        <w:rPr>
          <w:rFonts w:ascii="Times New Roman;Times;serif" w:hAnsi="Times New Roman;Times;serif"/>
          <w:sz w:val="20"/>
        </w:rPr>
        <w:t>IGALMI</w:t>
      </w:r>
      <w:r>
        <w:rPr>
          <w:rFonts w:ascii="Times New Roman;Times;serif" w:hAnsi="Times New Roman;Times;serif"/>
          <w:sz w:val="15"/>
        </w:rPr>
        <w:t xml:space="preserve">® </w:t>
      </w:r>
      <w:r>
        <w:rPr>
          <w:rFonts w:ascii="Times New Roman;Times;serif" w:hAnsi="Times New Roman;Times;serif"/>
          <w:sz w:val="20"/>
        </w:rPr>
        <w:t>product revenue, net was $388 and $288 in the six months ended June 30, 2026 and 2025, respectively. The increase in sales was primarily due to an increase in GPO discounts that went into effect in the second quarter of 2025, as well as revenue generated from new contracts that commenced during the same period.</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Cost of Goods Sold</w:t>
      </w:r>
    </w:p>
    <w:p>
      <w:pPr>
        <w:pStyle w:val="TextBody"/>
        <w:bidi w:val="0"/>
        <w:spacing w:lineRule="auto" w:line="240" w:before="0" w:after="240"/>
        <w:ind w:left="0" w:right="0" w:firstLine="360"/>
        <w:jc w:val="left"/>
        <w:rPr>
          <w:rFonts w:ascii="Times New Roman;Times;serif" w:hAnsi="Times New Roman;Times;serif"/>
          <w:sz w:val="20"/>
        </w:rPr>
      </w:pPr>
      <w:r>
        <w:rPr>
          <w:rFonts w:ascii="Times New Roman;Times;serif" w:hAnsi="Times New Roman;Times;serif"/>
          <w:sz w:val="20"/>
        </w:rPr>
        <w:t>Cost of goods sold for the six months ended June 30, 2026 and 2025, were $305 and $121, respectively. Cost of goods sold is primarily related to the costs to produce, package and deliver IGALMI</w:t>
      </w:r>
      <w:r>
        <w:rPr>
          <w:rFonts w:ascii="Times New Roman;Times;serif" w:hAnsi="Times New Roman;Times;serif"/>
          <w:sz w:val="15"/>
        </w:rPr>
        <w:t>®</w:t>
      </w:r>
      <w:r>
        <w:rPr>
          <w:rFonts w:ascii="Times New Roman;Times;serif" w:hAnsi="Times New Roman;Times;serif"/>
          <w:sz w:val="20"/>
        </w:rPr>
        <w:t xml:space="preserve"> to customers, as well as costs related to excess or obsolete inventory. The increase in Cost of goods sold for the six months ended June 30, 2025 was primarily the result of the increase in inventory write-downs of $170 compared to the prior year. </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Research and Development Expense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Research and development expenses for the six months ended June 30, 2026 and 2025 were as follows:</w:t>
      </w:r>
    </w:p>
    <w:tbl>
      <w:tblPr>
        <w:tblW w:w="8543" w:type="dxa"/>
        <w:jc w:val="left"/>
        <w:tblInd w:w="0" w:type="dxa"/>
        <w:tblLayout w:type="fixed"/>
        <w:tblCellMar>
          <w:top w:w="0" w:type="dxa"/>
          <w:left w:w="0" w:type="dxa"/>
          <w:bottom w:w="0" w:type="dxa"/>
          <w:right w:w="0" w:type="dxa"/>
        </w:tblCellMar>
      </w:tblPr>
      <w:tblGrid>
        <w:gridCol w:w="3601"/>
        <w:gridCol w:w="346"/>
        <w:gridCol w:w="211"/>
        <w:gridCol w:w="571"/>
        <w:gridCol w:w="346"/>
        <w:gridCol w:w="211"/>
        <w:gridCol w:w="676"/>
        <w:gridCol w:w="346"/>
        <w:gridCol w:w="211"/>
        <w:gridCol w:w="691"/>
        <w:gridCol w:w="146"/>
        <w:gridCol w:w="195"/>
        <w:gridCol w:w="676"/>
        <w:gridCol w:w="31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286635" cy="175260"/>
                      <wp:effectExtent l="0" t="0" r="0" b="0"/>
                      <wp:wrapNone/>
                      <wp:docPr id="275" name="Frame273"/>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62585" cy="175260"/>
                      <wp:effectExtent l="0" t="0" r="0" b="0"/>
                      <wp:wrapNone/>
                      <wp:docPr id="278" name="Frame27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429260" cy="175260"/>
                      <wp:effectExtent l="0" t="0" r="0" b="0"/>
                      <wp:wrapNone/>
                      <wp:docPr id="281" name="Frame27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38785" cy="175260"/>
                      <wp:effectExtent l="0" t="0" r="0" b="0"/>
                      <wp:wrapNone/>
                      <wp:docPr id="284" name="Frame28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92710" cy="175260"/>
                      <wp:effectExtent l="0" t="0" r="0" b="0"/>
                      <wp:wrapNone/>
                      <wp:docPr id="285" name="Frame28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23825" cy="175260"/>
                      <wp:effectExtent l="0" t="0" r="0" b="0"/>
                      <wp:wrapNone/>
                      <wp:docPr id="286" name="Frame284"/>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29260" cy="175260"/>
                      <wp:effectExtent l="0" t="0" r="0" b="0"/>
                      <wp:wrapNone/>
                      <wp:docPr id="287" name="Frame2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0660" cy="175260"/>
                      <wp:effectExtent l="0" t="0" r="0" b="0"/>
                      <wp:wrapNone/>
                      <wp:docPr id="288" name="Frame28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 </w:t>
            </w:r>
          </w:p>
        </w:tc>
        <w:tc>
          <w:tcPr>
            <w:tcW w:w="195"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 </w:t>
            </w:r>
          </w:p>
        </w:tc>
        <w:tc>
          <w:tcPr>
            <w:tcW w:w="195"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46" w:type="dxa"/>
            <w:tcBorders/>
            <w:vAlign w:val="center"/>
          </w:tcPr>
          <w:p>
            <w:pPr>
              <w:pStyle w:val="TableContents"/>
              <w:bidi w:val="0"/>
              <w:spacing w:before="0" w:after="1"/>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195"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 and related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w:t>
            </w:r>
          </w:p>
        </w:tc>
        <w:tc>
          <w:tcPr>
            <w:tcW w:w="14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14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w:t>
            </w:r>
          </w:p>
        </w:tc>
        <w:tc>
          <w:tcPr>
            <w:tcW w:w="14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Clinical trials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(7,420)</w:t>
            </w:r>
          </w:p>
        </w:tc>
        <w:tc>
          <w:tcPr>
            <w:tcW w:w="14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Chemical, manufacturing and controls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14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14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(8,691)</w:t>
            </w:r>
          </w:p>
        </w:tc>
        <w:tc>
          <w:tcPr>
            <w:tcW w:w="14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overall decrease of $8,691 for the six months ended June 30, 2026 relative to the same period in 2025 was primarily attributable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Decreased clinical trials expense due to the completion of (i) the SERENITY At-Home pivotal Phase 3 safety trial in 2025 and (ii) the accompanying correlation study that compared caretaker agitation severity measurements to trained rater measurements in 2025. There were no studies initiated during the six months ended June 30, 2026. </w:t>
            </w:r>
          </w:p>
        </w:tc>
      </w:tr>
    </w:tbl>
    <w:tbl>
      <w:tblPr>
        <w:tblW w:w="8271" w:type="dxa"/>
        <w:jc w:val="left"/>
        <w:tblInd w:w="0" w:type="dxa"/>
        <w:tblLayout w:type="fixed"/>
        <w:tblCellMar>
          <w:top w:w="28" w:type="dxa"/>
          <w:left w:w="28" w:type="dxa"/>
          <w:bottom w:w="28" w:type="dxa"/>
          <w:right w:w="28" w:type="dxa"/>
        </w:tblCellMar>
      </w:tblPr>
      <w:tblGrid>
        <w:gridCol w:w="124"/>
        <w:gridCol w:w="25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personnel and related costs as a result of lower headcount in 2026 compared to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professional fees due to lower pharmacology costs, research and discovery costs, toxicology, and consulting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Increased chemistry, manufacturing and controls (“CMC”) costs primarily due to developmental activities to support the scale-up of the product for our outpatient indication.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other expenses in conjunction with reduced clinical trial activity.</w:t>
            </w:r>
          </w:p>
        </w:tc>
      </w:tr>
    </w:tbl>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Following IGALMI</w:t>
      </w:r>
      <w:r>
        <w:rPr>
          <w:rFonts w:ascii="Times New Roman;Times;serif" w:hAnsi="Times New Roman;Times;serif"/>
          <w:sz w:val="15"/>
        </w:rPr>
        <w:t>®</w:t>
      </w:r>
      <w:r>
        <w:rPr>
          <w:rFonts w:ascii="Times New Roman;Times;serif" w:hAnsi="Times New Roman;Times;serif"/>
          <w:sz w:val="20"/>
        </w:rPr>
        <w:t>’s approval by the FDA, we capitalize costs related to commercial production of IGALMI</w:t>
      </w:r>
      <w:r>
        <w:rPr>
          <w:rFonts w:ascii="Times New Roman;Times;serif" w:hAnsi="Times New Roman;Times;serif"/>
          <w:sz w:val="15"/>
        </w:rPr>
        <w:t>®</w:t>
      </w:r>
      <w:r>
        <w:rPr>
          <w:rFonts w:ascii="Times New Roman;Times;serif" w:hAnsi="Times New Roman;Times;serif"/>
          <w:sz w:val="20"/>
        </w:rPr>
        <w:t xml:space="preserve"> as inventory and expense those CMC costs related to clinical trials.</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Selling, general and administrative expenses for the six months ended June 30, 2026 and 2025 were as follows: </w:t>
      </w:r>
    </w:p>
    <w:tbl>
      <w:tblPr>
        <w:tblW w:w="9113" w:type="dxa"/>
        <w:jc w:val="left"/>
        <w:tblInd w:w="0" w:type="dxa"/>
        <w:tblLayout w:type="fixed"/>
        <w:tblCellMar>
          <w:top w:w="0" w:type="dxa"/>
          <w:left w:w="0" w:type="dxa"/>
          <w:bottom w:w="0" w:type="dxa"/>
          <w:right w:w="0" w:type="dxa"/>
        </w:tblCellMar>
      </w:tblPr>
      <w:tblGrid>
        <w:gridCol w:w="4186"/>
        <w:gridCol w:w="346"/>
        <w:gridCol w:w="211"/>
        <w:gridCol w:w="676"/>
        <w:gridCol w:w="346"/>
        <w:gridCol w:w="211"/>
        <w:gridCol w:w="676"/>
        <w:gridCol w:w="346"/>
        <w:gridCol w:w="211"/>
        <w:gridCol w:w="571"/>
        <w:gridCol w:w="146"/>
        <w:gridCol w:w="195"/>
        <w:gridCol w:w="676"/>
        <w:gridCol w:w="316"/>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658110" cy="175260"/>
                      <wp:effectExtent l="0" t="0" r="0" b="0"/>
                      <wp:wrapNone/>
                      <wp:docPr id="289" name="Frame287"/>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1"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29260" cy="175260"/>
                      <wp:effectExtent l="0" t="0" r="0" b="0"/>
                      <wp:wrapNone/>
                      <wp:docPr id="292" name="Frame29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3"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3985" cy="175260"/>
                      <wp:effectExtent l="0" t="0" r="0" b="0"/>
                      <wp:wrapNone/>
                      <wp:docPr id="294" name="Frame2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29260" cy="175260"/>
                      <wp:effectExtent l="0" t="0" r="0" b="0"/>
                      <wp:wrapNone/>
                      <wp:docPr id="295" name="Frame29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96"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97"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62585" cy="175260"/>
                      <wp:effectExtent l="0" t="0" r="0" b="0"/>
                      <wp:wrapNone/>
                      <wp:docPr id="298" name="Frame2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92710" cy="175260"/>
                      <wp:effectExtent l="0" t="0" r="0" b="0"/>
                      <wp:wrapNone/>
                      <wp:docPr id="299" name="Frame29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23825" cy="175260"/>
                      <wp:effectExtent l="0" t="0" r="0" b="0"/>
                      <wp:wrapNone/>
                      <wp:docPr id="300" name="Frame298"/>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29260" cy="175260"/>
                      <wp:effectExtent l="0" t="0" r="0" b="0"/>
                      <wp:wrapNone/>
                      <wp:docPr id="301" name="Frame2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0660" cy="175260"/>
                      <wp:effectExtent l="0" t="0" r="0" b="0"/>
                      <wp:wrapNone/>
                      <wp:docPr id="302" name="Frame30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 </w:t>
            </w:r>
          </w:p>
        </w:tc>
        <w:tc>
          <w:tcPr>
            <w:tcW w:w="195"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 </w:t>
            </w:r>
          </w:p>
        </w:tc>
        <w:tc>
          <w:tcPr>
            <w:tcW w:w="195"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46" w:type="dxa"/>
            <w:tcBorders/>
            <w:vAlign w:val="center"/>
          </w:tcPr>
          <w:p>
            <w:pPr>
              <w:pStyle w:val="TableContents"/>
              <w:bidi w:val="0"/>
              <w:spacing w:before="0" w:after="1"/>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195"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 and related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14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w:t>
            </w:r>
          </w:p>
        </w:tc>
        <w:tc>
          <w:tcPr>
            <w:tcW w:w="14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3,822</w:t>
            </w:r>
          </w:p>
        </w:tc>
        <w:tc>
          <w:tcPr>
            <w:tcW w:w="14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marketing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14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14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14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3,072</w:t>
            </w:r>
          </w:p>
        </w:tc>
        <w:tc>
          <w:tcPr>
            <w:tcW w:w="14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overall increase of $3,072 for the six months ended June 30, 2026, relative to the same period in 2025 was primarily attributable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Increased professional fees, primarily related to higher legal costs and consulting fees for the six months ended June 30, 2026 compared to 2025.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personnel and related costs as a result of three executive’s salaries being restored to 2024 amounts after their salaries had been reduced for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non-cash stock compensation costs as a result of lower headcount and the Company’s lower stock price when awards were issued in 2025.</w:t>
            </w:r>
          </w:p>
        </w:tc>
      </w:tr>
    </w:tbl>
    <w:tbl>
      <w:tblPr>
        <w:tblW w:w="4311" w:type="dxa"/>
        <w:jc w:val="left"/>
        <w:tblInd w:w="0" w:type="dxa"/>
        <w:tblLayout w:type="fixed"/>
        <w:tblCellMar>
          <w:top w:w="28" w:type="dxa"/>
          <w:left w:w="28" w:type="dxa"/>
          <w:bottom w:w="28" w:type="dxa"/>
          <w:right w:w="28" w:type="dxa"/>
        </w:tblCellMar>
      </w:tblPr>
      <w:tblGrid>
        <w:gridCol w:w="124"/>
        <w:gridCol w:w="25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commercial and marketing expense.</w:t>
            </w:r>
          </w:p>
        </w:tc>
      </w:tr>
    </w:tbl>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Other Expense (Income)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Interest expense increased to $8,455 for the six months ended June 30, 2026 from $8,215 in the same period in 2025 primarily due to higher debt balances under the Credit Agreement. The expense was partially offset by lower interest income earned on lower levels of cash and cash equivalents that were held primarily in short-term money market funds. Interest income decreased to $342 for the six months ended June 30, 2026 compared to $509 for six months ended June 30, 2025, due to lower average cash balances during the year. Other (income) expense, net is primarily associated with changes in fair value of derivative financial instruments for the period, which relate to instruments associated with the Credit Agreement and the Company’s registered direct equity offerings.</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Inflation generally affects us by increasing our cost of labor and clinical trial costs. We do not believe that inflation has had a material effect on our results of operations during the periods presented. For a discussion of inflationary risks to our future revenues under the Inflation Reduction Act, see “</w:t>
      </w:r>
      <w:r>
        <w:rPr>
          <w:rFonts w:ascii="Times New Roman;Times;serif" w:hAnsi="Times New Roman;Times;serif"/>
          <w:i/>
          <w:sz w:val="20"/>
        </w:rPr>
        <w:t>Health care reform measures could hinder or prevent our product candidates’ commercial success.</w:t>
      </w:r>
      <w:r>
        <w:rPr>
          <w:rFonts w:ascii="Times New Roman;Times;serif" w:hAnsi="Times New Roman;Times;serif"/>
          <w:sz w:val="20"/>
        </w:rPr>
        <w:t>” in Part II, Item 1A, “Risk Factors” elsewhere in this Quarterly Report.</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we had cash, cash equivalents and restricted cash of $13,801, negative working capital of $108,449 and stockholders’ deficit of $115,460. Net cash used in operating activities was $17,907 and $24,618 for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six months ended June 30, 2026 and 2025, respectively. We incurred losses of approximately $27,404 and $26,441 for the six months ended June 30, 2026 and 2025, respectively. We will need to generate significant product revenues to achieve profitability. Our history of significant losses, negative cash flows from operations, potential near-term increased covenant-driven amortization payments or full repayment obligations under our Credit Agreement, the regulatory event of default triggers under the Credit Agreement, other funding requirement covenants under the Credit Agreement, limited liquidity resources currently on hand, and dependence on our ability to obtain additional financing to fund our operations after the current resources are exhausted, about which there can be no certainty, have resulted in management’s assessment that there is substantial doubt about our ability to continue as a going concern for a period of at least 12 months from the issuance date of the financial statements included in this Quarterly Report.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Management and the Company’s board of directors, with the assistance of advisors, have been actively pursuing a sale, merger, or other strategic transaction and additional financing alternatives, but to date these efforts have not resulted in a signed definitive agreement or committed source of additional capital.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To date, we have continued research and development activities while managing our cash position. However, we require additional funding to continue as a going concern, and we have been unsuccessful to date in securing sufficient additional funding, notwithstanding an active process to identify and complete a sale, merger, financing or other strategic transaction. If we do not complete a strategic transaction, or do not receive sufficient financing from other sources of equity or debt financings, we may be required to file for protection under the U.S. Bankruptcy Code. Even if we are successful in raising additional capital, we will require substantial additional financing to service our debt facilities and achieve our goals and a failure to obtain this necessary capital when needed could force us to delay, limit, reduce or terminate our product development or commercialization efforts. In connection with our efforts to pursue strategic alternatives, the Company is engaged in contingency planning in the event a strategic transaction acceptable to the Lenders is not completed on or prior to August 21, 2026, as required pursuant to the Twelfth Amendment to the Credit Agreement described below. The Company has not made any determination to commence a bankruptcy proceeding, and there can be no assurance as to which, if any, of these alternatives will be pursued or completed. Further, certain strategic alternatives will require the consent of our Lenders pursuant to the covenants in our Credit Agreement. See “Risks Related to Financial Position and Need for Additional Capital — </w:t>
      </w:r>
      <w:r>
        <w:rPr>
          <w:rFonts w:ascii="Times New Roman;Times;serif" w:hAnsi="Times New Roman;Times;serif"/>
          <w:i/>
          <w:sz w:val="20"/>
        </w:rPr>
        <w:t>We will need substantial additional funding, and if we are unable to raise capital when needed, we could be forced to delay, reduce or eliminate our product development programs or commercialization efforts or otherwise seek strategic alternatives.</w:t>
      </w:r>
      <w:r>
        <w:rPr>
          <w:rFonts w:ascii="Times New Roman;Times;serif" w:hAnsi="Times New Roman;Times;serif"/>
          <w:sz w:val="20"/>
        </w:rPr>
        <w:t xml:space="preserve">” in Part II. Item 1A., “Risk Factors” elsewhere in this Quarterly Report. </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Sources of Liquidity</w:t>
      </w:r>
    </w:p>
    <w:p>
      <w:pPr>
        <w:pStyle w:val="TextBody"/>
        <w:bidi w:val="0"/>
        <w:spacing w:lineRule="auto" w:line="240" w:before="0" w:after="240"/>
        <w:ind w:left="0" w:right="0" w:firstLine="360"/>
        <w:jc w:val="left"/>
        <w:rPr>
          <w:rFonts w:ascii="Times New Roman;Times;serif" w:hAnsi="Times New Roman;Times;serif"/>
          <w:sz w:val="20"/>
        </w:rPr>
      </w:pPr>
      <w:r>
        <w:rPr>
          <w:rFonts w:ascii="Times New Roman;Times;serif" w:hAnsi="Times New Roman;Times;serif"/>
          <w:sz w:val="20"/>
        </w:rPr>
        <w:t>We have primarily focused our efforts on raising capital and building the products in our pipeline, and, although we generate revenue from sales of IGALMI</w:t>
      </w:r>
      <w:r>
        <w:rPr>
          <w:rFonts w:ascii="Times New Roman;Times;serif" w:hAnsi="Times New Roman;Times;serif"/>
          <w:sz w:val="15"/>
        </w:rPr>
        <w:t>®</w:t>
      </w:r>
      <w:r>
        <w:rPr>
          <w:rFonts w:ascii="Times New Roman;Times;serif" w:hAnsi="Times New Roman;Times;serif"/>
          <w:sz w:val="20"/>
        </w:rPr>
        <w:t>, we do not expect to generate positive cash flows from operations in the near term. Since our inception, our operations have been financed primarily from proceeds from the sale of equity securities, including our initial public offering, private placements of our common stock, registered offerings of our common stock, an Equity Distribution Agreement with Canaccord Genuity LLC (“Canaccord”), and borrowings under our Credit Agreement (as described below). We have not yet established an ongoing source of revenue sufficient to cover our operating costs and will need to do so in future periods.</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Financing Agreements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maintains a senior secured credit facility (the “Credit Agreement”), as amended, with lenders (the “Lenders”) managed by Oaktree Fund Administration LLC (“OFA”), as administrative agent. The Lenders are comprised of affiliates of Oaktree Capital Management, L.P. The facility provides for term loans that are secured by substantially all of the assets of the Company and its guarantor subsidiaries, subject to customary exceptions.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June 30, 2026, borrowings under the Credit Agreement consisted of funded term loans, inclusive of previously capitalized interest and net of required principal repayments made to date. The loans are not revolving and no additional tranches remain available, as all undrawn commitments have expired.</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term loans bear interest at a fixed annual rate of 13.0%. Interest is payable quarterly in cash. The Company previously had the ability to elect PIK interest through June 30, 2025, which resulted in additional amounts being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as principal. Pursuant to the Tenth Amendment, the Company subsequently regained the ability to elect PIK interest only for the second quarter of 2026 and elected such treatment for interest accrued from April 1, 2026 through June 30, 2026, with the related amounts capitalized to principal. The blended effective interest rate as of June 30, 2026 was approximately 16.6%.</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addition to interest, the Credit Agreement includes customary fees, including prepayment premiums and amendment-related fees. There are no remaining commitment fees as all undrawn commitments have expired. An exit fee of 0.50% of the principal amount repaid is payable upon maturity or prepayment of the loans. The loans under the Credit Agreement do not amortize and mature on April 19, 2027. The Company may, at its option, no earlier than September 21, 2026 and no later than October 21, 2026, request an extension of the maturity date to April 19, 2028, provided that the Company satisfies certain conditions including receipt of certain regulatory and financial milestones.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Company’s obligations under the Credit Agreement are guaranteed by BTI’s existing and subsequently acquired or organized subsidiaries, subject to certain exceptions. BTI’s obligations under the Credit Agreement and the related guarantees thereunder are secured, subject to customary permitted liens and other agreed upon exceptions, by (i) a pledge of all of the equity interests of all of the Company’s existing and any future direct subsidiaries, and (ii) a perfected security interest in all of its and the guarantors’ tangible and intangible assets (except that the guarantees provided by the BXCL701 Subsidiaries are unsecured).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Credit Agreement includes customary events of default, including payment defaults, covenant breaches, cross-defaults, bankruptcy-related events, and certain regulatory-related events. Upon an event of default, the lenders may accelerate the obligations and exercise remedies against the collateral.</w:t>
      </w:r>
    </w:p>
    <w:p>
      <w:pPr>
        <w:pStyle w:val="TextBody"/>
        <w:bidi w:val="0"/>
        <w:spacing w:before="0" w:after="0"/>
        <w:ind w:left="0" w:right="0" w:firstLine="720"/>
        <w:jc w:val="both"/>
        <w:rPr>
          <w:color w:val="202020"/>
        </w:rPr>
      </w:pPr>
      <w:r>
        <w:rPr>
          <w:color w:val="202020"/>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Credit Agreement contains, among other things, a covenant requiring that our audited annual financial statements included in our Annual Report be delivered without a “going concern” or like qualification or exception. </w:t>
      </w:r>
    </w:p>
    <w:p>
      <w:pPr>
        <w:pStyle w:val="TextBody"/>
        <w:bidi w:val="0"/>
        <w:spacing w:before="0" w:after="0"/>
        <w:ind w:left="0" w:right="0" w:firstLine="360"/>
        <w:jc w:val="both"/>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Ninth Amendment to Credit Agreement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March 27, 2026, we entered into the Ninth Amendment to Credit Agreement and Guaranty (the “Ninth Amendment”). Pursuant to the Ninth Amendment, the Lenders agreed to (i) waive the Credit Agreement’s covenant that the report and opinion the Company will receive from its independent registered public accounting firm with respect to the financial statements for the year ending December 31, 2025 will not contain a “going concern” or similar qualification, and (ii) reduce the Credit Agreement’s minimum liquidity covenant to require minimum cash liquidity of $12,500 from and after March 31, 2026 (instead of $15,000).</w:t>
      </w:r>
    </w:p>
    <w:p>
      <w:pPr>
        <w:pStyle w:val="TextBody"/>
        <w:bidi w:val="0"/>
        <w:spacing w:before="0" w:after="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Ninth Amendment’s effectiveness was subject to various customary conditions precedent, as well as conditions subsequent requiring the Company to:</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or before March 31, 2026, make a one-time prepayment of the principal amount of $2,500, together with accrued and unpaid interest thereon; </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2026, grant new warrants to the Lenders to purchase 1,354 shares of common stock of the Company, at an exercise price of $0.01 per share (the “April 2026 Warrants”); and</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receipt by the Company of any gross cash proceeds from (i) the issuance of the Company’s common stock, warrants and/or pre-funded warrants, (ii) non-refundable cash consideration from partnering transactions entered into after the effective date of the fifth amendment to the Credit Agreement, (iii) the issuance of the Company’s subordinated debt and/or (iv) sales by the Company of its assets, in each case ((i) through (iv)), in transactions permitted under the Credit Agreement, make a prepayment of the loans under the Credit Agreement in an aggregate principal amount equal to 50% of such gross cash proceeds, together with accrued interest thereon and any fees or premia (including prepayment premium) payable in connection therewith; provided, that the foregoing requirement will not apply (A) with respect to the first $2,500 in the aggregate of proceeds raised from Capital Raise Activities (as defined in the Credit Agreement) and (B) once the aggregate principal amount of the Loans prepaid pursuant to one or more Capital Raise Prepayments equals $2,500.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Tenth Amendment to Credit Agreement</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July 3, 2026, the Company entered into the Tenth Amendment to the Credit Agreement (the “Tenth Amendment”) by and among the Company, as the borrower, the Lenders and OFA as administrative agent, which included (i) payment in kind of accrued and unpaid interest through and including June 30, 2026, by capitalizing and adding such interest to the outstanding principal amount of the Loans as of such date, (ii) defer the payment of principal that was originally due on June 30, 2026 until July 31, 2026, at which point the Company will be obligated to make a payment of $9,017 (constituting the principal and interest that were due and payable on June 30, 2026), plus all accrued interest and fees on such amount through and including July 31, 2026 and (iii) reduce the Credit Agreement’s minimum liquidity covenant to require minimum cash liquidity of $7,500 (instead of $12,500).</w:t>
      </w:r>
    </w:p>
    <w:p>
      <w:pPr>
        <w:pStyle w:val="TextBody"/>
        <w:shd w:fill="FFFFFF" w:val="clear"/>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pursuant to the Tenth Amendment:</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on or prior to July 31, 2026, enter into definitive agreements with respect to one or more transactions acceptable to Lenders that (a) would result in the repayment of all loan and other obligations under the Credit Agreement or (b) is an alternative capital solutions transaction on terms and conditions acceptable to the Lenders.</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agreed to permit any and all transfers or assignments of all or any portion of the loans, commitments, claims or other rights, interests or obligations of any Lender under or in respect of the Credit Agreement to any third party.  In addition, the Company agreed to waive or otherwise release any and all restrictions contained in any contract between the Company and a third party on such third party’s ability to receive such assignments or transfers.</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agreed to establish and maintain a strategic process committee of its board of directors, which committee shall be comprised solely of David Mack (and/or such other independent director acceptable to the Lenders and that is not a member of the Board as of the Tenth Amendment Effective Date), that will have the full and exclusive authority to evaluate, negotiate, oversee, coordinate and implement any sale, restructuring or other material transaction, including any equity raise, sale or business combination transaction, out-of-court restructuring, in-court restructuring, bankruptcy or insolvency filing or similar transaction and any other matters or actions as may be necessary or advisable to effectuate any of the foregoing.</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agreed to certain additional reporting and information covenants, including a requirement to hold a weekly meeting with the Lenders and the Company’s financial advisors, and a requirement to deliver to the Lenders a 13-week cash flow budget and financial report on a bi-weekly basis. The Company will not be permitted to make disbursements for any two-week period in excess of 115% of the aggregate budgeted amount of disbursements for the applicable period.</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agreed to certain additional negative covenants applicable following the Tenth Amendment Effective Date, which, among other things, prohibit the Company from, subject to limited exceptions, (i) making any dividend, distribution or repurchase with respect to its equity interests, (ii) making any investments, (iii) disposing of or granting any license in the Company’s assets, (iv) incurring or suffering to exist any indebtedness or liens, and (v) becoming party to or bound by, or canceling, terminating, modifying or amending in any material respect, or waiving any material rights under any material contract.</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July 31, 2026, the Company is prohibited from entering into, terminating, or otherwise modifying any compensation arrangement with its directors, officers or employees, or making any non-ordinary course payments to, or materially increasing the compensation or benefits of, such persons.</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paid to the Lenders a fee equal to 100 basis points (or 1.00%) of the principal amount of the Loans outstanding as of the effective date of the Tenth Amendment, which was paid in kind by adding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249" w:type="dxa"/>
        <w:jc w:val="left"/>
        <w:tblInd w:w="0" w:type="dxa"/>
        <w:shd w:fill="FFFFFF" w:val="clear"/>
        <w:tblLayout w:type="fixed"/>
        <w:tblCellMar>
          <w:top w:w="28" w:type="dxa"/>
          <w:left w:w="28" w:type="dxa"/>
          <w:bottom w:w="28" w:type="dxa"/>
          <w:right w:w="28" w:type="dxa"/>
        </w:tblCellMar>
      </w:tblPr>
      <w:tblGrid>
        <w:gridCol w:w="124"/>
        <w:gridCol w:w="109"/>
        <w:gridCol w:w="901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amount to the outstanding principal amount of the Loans on the effective date of the Tenth Amendment.</w:t>
            </w:r>
          </w:p>
        </w:tc>
      </w:tr>
    </w:tbl>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Eleventh Amendment to Credit Agreement</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July 31, 2026, the Company entered into the Eleventh Amendment to the Credit Agreement (the “Eleventh Amendment”), which amended the Credit Agreement. Pursuant to the Eleventh Amendment, the Lenders agreed to (i) defer the payment of principal that was originally due on June 30, 2026, which was previously deferred to July 31, 2026 pursuant to the Tenth Amendment, until August 31, 2026 at which point the Company is obligated to make a payment of $9,017 (constituting the principal and interest that were due and payable on June 30, 2026) plus all accrued interest and fees through August 31, 2026 and (ii) reduce the Credit Agreement’s minimum liquidity covenant to require minimum cash liquidity of $6,250 (instead of $7,500).</w:t>
      </w:r>
    </w:p>
    <w:p>
      <w:pPr>
        <w:pStyle w:val="TextBody"/>
        <w:shd w:fill="FFFFFF" w:val="clear"/>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pursuant to the Eleventh Amendment:</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on or prior to August 10, 2026, enter into definitive agreements with respect to one or more transactions acceptable to Lenders that (a) would result in the repayment of all loan and other obligations under the Credit Agreement or (b) is an alternative capital solutions transaction on terms and conditions acceptable to the Lenders.</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August 10, 2026 (extended from July 31, 2026, as was provided under the Tenth Amendment), the Company is prohibited from entering into, terminating, or otherwise modifying any compensation arrangement with its directors, officers or employees, or making any non-ordinary course payments to, or materially increasing the compensation or benefits of, such persons.</w:t>
            </w:r>
          </w:p>
        </w:tc>
      </w:tr>
    </w:tbl>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Twelfth Amendment to Credit Agreement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August 10, 2026, the Company entered into the Twelfth Amendment to Credit Agreement (the “Twelfth Amendment”), which amended the Credit Agreement.  Pursuant to the Twelfth Amendment, the Company is required to, on or prior to August 21, 2026 (extended from August 10, 2026, as was required under the Eleventh Amendment), enter into definitive agreements with respect to one or more transactions acceptable to Lenders that (A) would result in the repayment of all loan and other obligations under the Credit Agreement or (B) is an alternative capital solutions transaction on terms and conditions acceptable to the Lenders.  Pursuant to the Twelfth Amendment, the Lenders also agreed to reduce the Credit Agreement’s minimum liquidity covenant to require minimum cash liquidity of $3,000 (instead of $6,250, as under the Eleventh Amendment).</w:t>
      </w:r>
    </w:p>
    <w:p>
      <w:pPr>
        <w:pStyle w:val="TextBody"/>
        <w:bidi w:val="0"/>
        <w:spacing w:before="0" w:after="0"/>
        <w:ind w:left="0" w:right="0" w:firstLine="360"/>
        <w:jc w:val="both"/>
        <w:rPr>
          <w:color w:val="202020"/>
        </w:rPr>
      </w:pPr>
      <w:r>
        <w:rPr>
          <w:color w:val="202020"/>
        </w:rPr>
        <w:t>​</w:t>
      </w:r>
    </w:p>
    <w:p>
      <w:pPr>
        <w:pStyle w:val="TextBody"/>
        <w:bidi w:val="0"/>
        <w:spacing w:before="0" w:after="0"/>
        <w:ind w:left="0" w:right="0" w:firstLine="360"/>
        <w:jc w:val="both"/>
        <w:rPr>
          <w:rFonts w:ascii="Times New Roman;Times;serif" w:hAnsi="Times New Roman;Times;serif"/>
          <w:color w:val="202020"/>
          <w:sz w:val="20"/>
        </w:rPr>
      </w:pPr>
      <w:r>
        <w:rPr>
          <w:rFonts w:ascii="Times New Roman;Times;serif" w:hAnsi="Times New Roman;Times;serif"/>
          <w:color w:val="202020"/>
          <w:sz w:val="20"/>
        </w:rPr>
        <w:t>As of June 30, 2026, we had aggregate principal indebtedness of $107,152 outstanding under the Credit Agreement.</w:t>
      </w:r>
    </w:p>
    <w:p>
      <w:pPr>
        <w:pStyle w:val="TextBody"/>
        <w:bidi w:val="0"/>
        <w:spacing w:before="0" w:after="0"/>
        <w:ind w:left="0" w:right="0" w:firstLine="360"/>
        <w:jc w:val="both"/>
        <w:rPr>
          <w:color w:val="202020"/>
        </w:rPr>
      </w:pPr>
      <w:r>
        <w:rPr>
          <w:color w:val="202020"/>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June 30, 2026, the Company was in compliance with all financial and restrictive covenants under the Credit Agreement.</w:t>
      </w:r>
    </w:p>
    <w:p>
      <w:pPr>
        <w:pStyle w:val="TextBody"/>
        <w:bidi w:val="0"/>
        <w:spacing w:before="0" w:after="0"/>
        <w:ind w:left="0" w:right="0" w:firstLine="360"/>
        <w:jc w:val="both"/>
        <w:rPr>
          <w:color w:val="202020"/>
        </w:rPr>
      </w:pPr>
      <w:r>
        <w:rPr>
          <w:color w:val="202020"/>
        </w:rPr>
        <w:t>​</w:t>
      </w:r>
    </w:p>
    <w:p>
      <w:pPr>
        <w:pStyle w:val="TextBody"/>
        <w:shd w:fill="FFFFFF" w:val="clear"/>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 xml:space="preserve">March 2025 Registered Direct Offering </w:t>
      </w:r>
    </w:p>
    <w:p>
      <w:pPr>
        <w:pStyle w:val="TextBody"/>
        <w:shd w:fill="FFFFFF" w:val="clear"/>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March 3, 2025, we entered into a purchase agreement (the “March 2025 Offering”) pursuant to which we agreed to issue and sell an aggregate of (i) 188 shares of common stock at an offering price of $3.50 per Share, (ii) Pre-Funded Warrants to purchase up to 3,812 shares of common stock, at an offering price of $3.499 per share underlying the Pre-Funded Warrants, which equals the offering price per share less the $0.001 exercise price per share of the Pre-Funded Warrants, and (iii) an aggregate of 4,000 accompanying warrants (the “March 2025 Accompanying Warrants”) to purchase up to 4,000 shares of common stock at an offering price of $4.20 per accompanying warrant. The Pre-Funded Warrants have an exercise price per share of common stock equal to $0.001 per share. All 3,812 Pre-Funded Warrants were exercised and the same number of common stock were issued in exchange for $4 of proceeds during the year ended December 31, 2025. There were no warrant exercises for the three and six months ended March 31, 2026. For the year ended December 31, 2025, 2,300 of the March 2025 Accompanying Warrants were exercised and the same number of common stock were issued in exchange for $9,660 of proceeds. </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ATM Program - Canaccord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April 2025, we entered into an Equity Distribution Agreement with Canaccord to sell shares of our common stock, with aggregate gross sales proceeds of up to $8,135, from time to time, through an “at the market” equity offering program under which Canaccord will act as sales agent.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August 2025, we increased the maximum amount of shares that are eligible to be sold pursuant to the Equity Distribution Agreement to allow for the offer and sale of up to $3,500 of our common stock. </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August 2025, we again increased the maximum amount of shares that are eligible to be sold pursuant to the Equity Distribution Agreement to allow for the offer and sale of up to $80,000 shares of common stock. For the three months ended June 30, 2026, we sold 2,706 shares for gross proceeds of $3,109 and received proceeds of $3,047, net of issuance costs of $62. For the six months ended June 30, 2026, the Company sold 2,951 shares for gross proceeds of $3,607 and received proceeds of $3,535, net of issuance costs of $72.</w:t>
      </w:r>
    </w:p>
    <w:p>
      <w:pPr>
        <w:pStyle w:val="TextBody"/>
        <w:shd w:fill="FFFFFF" w:val="clear"/>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 xml:space="preserve">March 2026 Registered Direct Offering </w:t>
      </w:r>
    </w:p>
    <w:p>
      <w:pPr>
        <w:pStyle w:val="TextBody"/>
        <w:shd w:fill="FFFFFF" w:val="clear"/>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March 10, 2026, we entered into a purchase agreement (the “March 2026 Offering”) pursuant to which we agreed to issue and sell an aggregate of (i) 2,480 shares of common stock at an offering price of $1.739 per Share, (ii) Pre-Funded Warrants to purchase up to 2,020 shares of common stock, at an offering price of $1.738 per share underlying the Pre-Funded Warrants, which equals the offering price per share less the $0.001 exercise price per share of the Pre-Funded Warrants, and (iii) an aggregate of 4,500 accompanying warrants (the “March 2026 Accompanying Warrants”) to purchase up to 4,500 shares of common stock at an offering price of $1.614 per accompanying warrant. The Pre-Funded Warrants have an exercise price per share of common stock equal to $0.001 per share. During the three months ended March 31, 2026, all 2,020 Pre-Funded Warrants were exercised and the same number of common stock were issued in exchange for $2 of proceeds. There were no warrant exercises for the three and six months ended June 30, 2026.</w:t>
      </w:r>
    </w:p>
    <w:p>
      <w:pPr>
        <w:pStyle w:val="TextBody"/>
        <w:bidi w:val="0"/>
        <w:spacing w:before="0" w:after="240"/>
        <w:ind w:left="360" w:right="0" w:hanging="0"/>
        <w:jc w:val="left"/>
        <w:rPr>
          <w:caps w:val="false"/>
          <w:smallCaps w:val="false"/>
        </w:rPr>
      </w:pPr>
      <w:r>
        <w:rPr>
          <w:caps w:val="false"/>
          <w:smallCaps w:val="false"/>
        </w:rPr>
        <w:t>​</w:t>
      </w:r>
    </w:p>
    <w:p>
      <w:pPr>
        <w:pStyle w:val="TextBody"/>
        <w:bidi w:val="0"/>
        <w:spacing w:before="0" w:after="20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tbl>
      <w:tblPr>
        <w:tblW w:w="5122" w:type="dxa"/>
        <w:jc w:val="left"/>
        <w:tblInd w:w="0" w:type="dxa"/>
        <w:tblLayout w:type="fixed"/>
        <w:tblCellMar>
          <w:top w:w="0" w:type="dxa"/>
          <w:left w:w="0" w:type="dxa"/>
          <w:bottom w:w="0" w:type="dxa"/>
          <w:right w:w="0" w:type="dxa"/>
        </w:tblCellMar>
      </w:tblPr>
      <w:tblGrid>
        <w:gridCol w:w="2371"/>
        <w:gridCol w:w="346"/>
        <w:gridCol w:w="211"/>
        <w:gridCol w:w="796"/>
        <w:gridCol w:w="346"/>
        <w:gridCol w:w="211"/>
        <w:gridCol w:w="841"/>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505585" cy="175260"/>
                      <wp:effectExtent l="0" t="0" r="0" b="0"/>
                      <wp:wrapNone/>
                      <wp:docPr id="303" name="Frame301"/>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05460" cy="175260"/>
                      <wp:effectExtent l="0" t="0" r="0" b="0"/>
                      <wp:wrapNone/>
                      <wp:docPr id="306" name="Frame30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34035" cy="175260"/>
                      <wp:effectExtent l="0" t="0" r="0" b="0"/>
                      <wp:wrapNone/>
                      <wp:docPr id="309" name="Frame30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3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(used in) provided by: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(24,618)</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13,339</w:t>
            </w:r>
          </w:p>
        </w:tc>
      </w:tr>
    </w:tbl>
    <w:p>
      <w:pPr>
        <w:pStyle w:val="TextBody"/>
        <w:bidi w:val="0"/>
        <w:spacing w:before="0" w:after="0"/>
        <w:ind w:left="0" w:right="0" w:hanging="0"/>
        <w:jc w:val="left"/>
        <w:rPr/>
      </w:pPr>
      <w:r>
        <w:rPr/>
        <w:t>​</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Net cash used in operating activities for the six months ended June 30, 2026 was $17,907 and was primarily attributable to our net loss of $27,404 and a $1,125 non-cash gain from the change in fair value of our derivative liabilities, offset by a </w:t>
      </w:r>
      <w:r>
        <w:rPr>
          <w:rFonts w:ascii="Times New Roman;Times;serif" w:hAnsi="Times New Roman;Times;serif"/>
          <w:sz w:val="20"/>
          <w:shd w:fill="FFFFFF" w:val="clear"/>
        </w:rPr>
        <w:t xml:space="preserve">$4,048 increase in accounts payable, accrued expenses, due to related parties, and other current liabilities, $3,409 in payable in kind interest on our credit agreement, </w:t>
      </w:r>
      <w:r>
        <w:rPr>
          <w:rFonts w:ascii="Times New Roman;Times;serif" w:hAnsi="Times New Roman;Times;serif"/>
          <w:sz w:val="20"/>
        </w:rPr>
        <w:t xml:space="preserve">$1,276 in accretion of debt discount and amortization of financing costs, and $793 in non-cash stock-based compensation, </w:t>
      </w:r>
      <w:r>
        <w:rPr>
          <w:rFonts w:ascii="Times New Roman;Times;serif" w:hAnsi="Times New Roman;Times;serif"/>
          <w:sz w:val="20"/>
          <w:shd w:fill="FFFFFF" w:val="clear"/>
        </w:rPr>
        <w:t xml:space="preserve">and </w:t>
      </w:r>
      <w:r>
        <w:rPr>
          <w:rFonts w:ascii="Times New Roman;Times;serif" w:hAnsi="Times New Roman;Times;serif"/>
          <w:sz w:val="20"/>
        </w:rPr>
        <w:t>a $639 decrease in prepaid expenses and other current assets.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Net cash used in operating activities for the six months ended June 30, 2025 was $24,618 and was primarily attributable to our net loss of $26,441, a $7,222 increase in the change in the fair value of our derivative liability, in part offset by $5,433 in payable in kind interest on our credit agreement, $1,736 in non-cash stock-based compensation, $743 in accretion of debt discount and amortization of financing costs, and a $673 decrease in prepaid expenses, other current assets and other assets.</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Net cash used in investing activities for the six months ended June 30, 2026 and 2025 was $0 and $0,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Net cash provided by financing activities for the six months ended June 30, 2026, was $2,951 and was primarily attributable to net proceeds of $6,879 received from the March 2026 registered direct offering and net proceeds from the sale of common stock under the Equity Distribution Agreement with Canaccord of $3,535, offset by $8,412 in long-term debt principal repayments.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Net cash provided by financing activities for the six months ended June 30, 2025, was $13,339 and was primarily attributable to net proceeds of $12,957 received from the March 2025 registered direct offering and net proceeds from the sale of common stock under the Equity Distribution Agreement with Canaccord of $135.</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Operating Capital and Capital Expenditure Requirements</w:t>
      </w:r>
    </w:p>
    <w:p>
      <w:pPr>
        <w:pStyle w:val="TextBody"/>
        <w:bidi w:val="0"/>
        <w:spacing w:lineRule="auto" w:line="240" w:before="0" w:after="200"/>
        <w:ind w:left="0" w:right="0" w:firstLine="360"/>
        <w:jc w:val="left"/>
        <w:rPr>
          <w:rFonts w:ascii="Times New Roman;Times;serif" w:hAnsi="Times New Roman;Times;serif"/>
          <w:b/>
          <w:sz w:val="20"/>
        </w:rPr>
      </w:pPr>
      <w:r>
        <w:rPr>
          <w:rFonts w:ascii="Times New Roman;Times;serif" w:hAnsi="Times New Roman;Times;serif"/>
          <w:b w:val="false"/>
          <w:sz w:val="20"/>
        </w:rPr>
        <w:t>We expect to continue to incur significant and increasing operating losses at least for the next several years as we commercialize IGALMI</w:t>
      </w:r>
      <w:r>
        <w:rPr>
          <w:rFonts w:ascii="Times New Roman;Times;serif" w:hAnsi="Times New Roman;Times;serif"/>
          <w:b w:val="false"/>
          <w:sz w:val="15"/>
        </w:rPr>
        <w:t>®</w:t>
      </w:r>
      <w:r>
        <w:rPr>
          <w:rFonts w:ascii="Times New Roman;Times;serif" w:hAnsi="Times New Roman;Times;serif"/>
          <w:b/>
          <w:sz w:val="20"/>
        </w:rPr>
        <w:t xml:space="preserve"> </w:t>
      </w:r>
      <w:r>
        <w:rPr>
          <w:rFonts w:ascii="Times New Roman;Times;serif" w:hAnsi="Times New Roman;Times;serif"/>
          <w:b w:val="false"/>
          <w:sz w:val="20"/>
        </w:rPr>
        <w:t>and as we expand our clinical trials of and seek marketing approval focused on BXCL501 while pursuing development of additional product candidates for BXCL502, BXCL701 and BXCL702. We expect to continue to incur net losses in the near term. Our net losses may fluctuate significantly from quarter-to-quarter and year-to-year, depending on the timing of our planned clinical trials and our expenditures on other research and development activities.</w:t>
      </w:r>
    </w:p>
    <w:p>
      <w:pPr>
        <w:pStyle w:val="TextBody"/>
        <w:bidi w:val="0"/>
        <w:spacing w:before="0" w:after="200"/>
        <w:ind w:left="0" w:right="0" w:firstLine="360"/>
        <w:jc w:val="left"/>
        <w:rPr>
          <w:rFonts w:ascii="Times New Roman;Times;serif" w:hAnsi="Times New Roman;Times;serif"/>
          <w:b w:val="false"/>
          <w:sz w:val="20"/>
        </w:rPr>
      </w:pPr>
      <w:r>
        <w:rPr>
          <w:rFonts w:ascii="Times New Roman;Times;serif" w:hAnsi="Times New Roman;Times;serif"/>
          <w:b w:val="false"/>
          <w:sz w:val="20"/>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and continue our clinical development of our product candidates;</w:t>
            </w:r>
          </w:p>
        </w:tc>
      </w:tr>
    </w:tbl>
    <w:tbl>
      <w:tblPr>
        <w:tblW w:w="6606" w:type="dxa"/>
        <w:jc w:val="left"/>
        <w:tblInd w:w="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additional research and development with our product candidates;</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to identify, acquire, license, develop and commercialize product candidates;</w:t>
            </w:r>
          </w:p>
        </w:tc>
      </w:tr>
    </w:tbl>
    <w:tbl>
      <w:tblPr>
        <w:tblW w:w="8646" w:type="dxa"/>
        <w:jc w:val="left"/>
        <w:tblInd w:w="0" w:type="dxa"/>
        <w:tblLayout w:type="fixed"/>
        <w:tblCellMar>
          <w:top w:w="28" w:type="dxa"/>
          <w:left w:w="28" w:type="dxa"/>
          <w:bottom w:w="28" w:type="dxa"/>
          <w:right w:w="28" w:type="dxa"/>
        </w:tblCellMar>
      </w:tblPr>
      <w:tblGrid>
        <w:gridCol w:w="124"/>
        <w:gridCol w:w="256"/>
        <w:gridCol w:w="8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 acquired technologies into a comprehensive regulatory and product development strategy;</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and protect our intellectual property portfolio;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scientific, clinical, quality control and administrative personnel and utilize professional services, including consultants, lawyers, and accountants;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operational, financial and management information systems and personnel, including personnel to support our drug development and commercial efforts;</w:t>
            </w:r>
          </w:p>
        </w:tc>
      </w:tr>
    </w:tbl>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regulatory approvals for any product candidates that successfully complete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fully develop a sales, marketing and distribution infrastructure and scale up external manufacturing capabilities to commercialize IGALMI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and any product candidates for which we may obtain regulatory approval; and</w:t>
            </w:r>
          </w:p>
        </w:tc>
      </w:tr>
    </w:tbl>
    <w:tbl>
      <w:tblPr>
        <w:tblW w:w="3861" w:type="dxa"/>
        <w:jc w:val="left"/>
        <w:tblInd w:w="0" w:type="dxa"/>
        <w:tblLayout w:type="fixed"/>
        <w:tblCellMar>
          <w:top w:w="28" w:type="dxa"/>
          <w:left w:w="28" w:type="dxa"/>
          <w:bottom w:w="28" w:type="dxa"/>
          <w:right w:w="28" w:type="dxa"/>
        </w:tblCellMar>
      </w:tblPr>
      <w:tblGrid>
        <w:gridCol w:w="124"/>
        <w:gridCol w:w="256"/>
        <w:gridCol w:w="3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operate as a public company.</w:t>
            </w:r>
          </w:p>
        </w:tc>
      </w:tr>
    </w:tbl>
    <w:p>
      <w:pPr>
        <w:pStyle w:val="TextBody"/>
        <w:bidi w:val="0"/>
        <w:spacing w:before="0" w:after="240"/>
        <w:ind w:left="36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believe that our existing cash, cash equivalents and restricted cash as of June 30, 2026 will not be sufficient to enable us to fund operating expenses and capital expenditure requirements for at least the next 12 months from the date of the issuance of the condensed consolidated financial statements included in this Quarterly Report, including funding our ongoing research and development and commercialization efforts. In particular, we believe that our cash, cash equivalents and restricted cash of $13,801 as of June 30, 2026 is not sufficient to fund our operations and meet our liquidity requirements through the end of August 2026.</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expect that we will need to obtain substantial additional funding to fund our ongoing operations.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Under the terms of the Ninth Amendment, following receipt of aggregated gross proceeds from (a) the issuance of the Company’s common stock, warrants and/or pre-funded warrants, (b) non-refundable cash consideration from partnering transactions, (c) the issuance of the Company’s subordinated debt and/or (d) sales by the Company of its assets, in each case ((a) through (d)), in transactions permitted under the Credit Agreement (“Capital Raise Activities”), make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prepayment of the loans under the Credit Agreement in an aggregate principal amount equal to 50% of such gross cash proceeds, together with accrued interest thereon and any fees or premia (including prepayment premium) payable in connection therewith; provided that such prepayment requirement shall not be applicable (A) with respect to the first $2,500 gross proceeds received from Capital Raise Activities and (B) once the aggregate principal amount of the prepaid pursuant to one or more of such prepayments equals $2,500.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which could adversely impact our ability to conduct our business. Our failure to raise capital as and when needed would have a negative impact on our financial condition and our ability to pursue our business strategy. If we are unable to raise capital when needed or on attractive terms, we could be forced to significantly delay, scale back or discontinue the development or commercialization of our product candidates, seek collaborators at an earlier stage than otherwise would be desirable or on terms that are less favorable than might otherwise be available, and relinquish or license, potentially on unfavorable terms, our rights to our product candidates that we otherwise would seek to develop or commercialize ourselves. To date, we have continued research and development activities while managing our cash position. However, we can provide no assurance that will be successful in obtaining additional necessary resources and, if we are unable to fund our operations, including our clinical trials, we may need to focus on advancing fewer of our product candidates or otherwise consider strategic alternatives.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Due to the fact that we were unable to generate sufficient cash flows from operations or obtain sufficient funding to sustain operations and debt service obligations, management and our board of directors determined that it was in the best interests of the stockholders to seek strategic options. We hired advisors to explore strategic options, including, but not limited to, restructuring or refinancing our debt, seeking additional debt or equity capital investment, a sale or licensing transaction for of all or a portion of our assets, a combination of these, or other strategic transactions. We currently have no commitments to engage in any specific strategic transaction and there can be no assurance that we will be able to complete additional or alternative financings, business development transactions or other strategic alternatives. If we cannot continue as a viable entity, we may be required to seek relief under the U.S. Bankruptcy Code. There can be no guarantees that if we file for bankruptcy we will emerge from bankruptcy as a going concern or that holders of our common stock will receive any recovery from any bankruptcy proceedings.</w:t>
      </w:r>
    </w:p>
    <w:p>
      <w:pPr>
        <w:pStyle w:val="TextBody"/>
        <w:bidi w:val="0"/>
        <w:spacing w:before="0" w:after="0"/>
        <w:ind w:left="0" w:right="0" w:firstLine="36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July 2024, the Company signed an amendment to its commercial supply agreement that requires minimum annual payments for the first five years of the agreement ending in 2026 that in aggregate total $10,000. The Company has met the minimum requirements for the first 4 years ending in 2025. The remaining minimum commitments for year 2026 is $2,000.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February 2022, we signed a distribution agreement with a third-party to distribute product related to BXCL501 in the U.S. The distributor will be paid defined fees for its services under the agreement, which can be terminated by either party for cause. The distribution agreement can also be terminated by us without cause, subject to payment of agreed upon termination fees.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BTI leases office space for its corporate headquarters at 555 Long Wharf Drive, New Haven, Connecticut (the “HQ Lease”) under an operating lease that was set to expire in February 2026. The Company did not exercise the option to renew the HQ Lease for an additional five-year term. Prior to the expiration of the HQ Lease, on February 17, 2026, we agreed to amend the lease agreement to extend the lease on a month-to-month basis with a fixed monthly base rent payment of $33. For additional details, see Note 13, </w:t>
      </w:r>
      <w:r>
        <w:rPr>
          <w:rFonts w:ascii="Times New Roman;Times;serif" w:hAnsi="Times New Roman;Times;serif"/>
          <w:i/>
          <w:sz w:val="20"/>
        </w:rPr>
        <w:t>Leases</w:t>
      </w:r>
      <w:r>
        <w:rPr>
          <w:rFonts w:ascii="Times New Roman;Times;serif" w:hAnsi="Times New Roman;Times;serif"/>
          <w:sz w:val="20"/>
        </w:rPr>
        <w:t xml:space="preserve"> in the Notes to Condensed Consolidated Financial Statements included in this Quarterly Report for additional information relating to the Company’s leases.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addition, we are obligated to make quarterly interest payments under our Credit Agreement. For additional details, see Note 9, </w:t>
      </w:r>
      <w:r>
        <w:rPr>
          <w:rFonts w:ascii="Times New Roman;Times;serif" w:hAnsi="Times New Roman;Times;serif"/>
          <w:i/>
          <w:sz w:val="20"/>
        </w:rPr>
        <w:t>Debt and Credit Facilities</w:t>
      </w:r>
      <w:r>
        <w:rPr>
          <w:rFonts w:ascii="Times New Roman;Times;serif" w:hAnsi="Times New Roman;Times;serif"/>
          <w:sz w:val="20"/>
        </w:rPr>
        <w:t xml:space="preserve"> in the Notes to Condensed Consolidated Financial Statements included in this Quarterly Report for additional information relating to the Company’s debt payment obligations.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Our critical accounting policies and estimates are described in “Management’s Discussion and Analysis of Financial Condition and Results of Operations-Critical Accounting Policies and Estimates” in our Annual Report on Form 10-K for the fiscal year ended December 31, 2025. We have reviewed and determined that those critical accounting policies and estimates remain our critical accounting policies and estimates as of and for the six months ended June 30, 2026. No material changes were made to our existing critical accounting policies and estimates during the period presented. Refer to Note 3, </w:t>
      </w:r>
      <w:r>
        <w:rPr>
          <w:rFonts w:ascii="Times New Roman;Times;serif" w:hAnsi="Times New Roman;Times;serif"/>
          <w:i/>
          <w:sz w:val="20"/>
        </w:rPr>
        <w:t>Summary of Significant Accounting Policies</w:t>
      </w:r>
      <w:r>
        <w:rPr>
          <w:rFonts w:ascii="Times New Roman;Times;serif" w:hAnsi="Times New Roman;Times;serif"/>
          <w:sz w:val="20"/>
        </w:rPr>
        <w:t xml:space="preserve"> in the Notes to Condensed Consolidated Financial Statements elsewhere in this Form 10-Q.</w:t>
      </w:r>
    </w:p>
    <w:p>
      <w:pPr>
        <w:pStyle w:val="TextBody"/>
        <w:bidi w:val="0"/>
        <w:spacing w:before="0" w:after="200"/>
        <w:ind w:left="0" w:right="0" w:hanging="0"/>
        <w:jc w:val="left"/>
        <w:rPr>
          <w:rFonts w:ascii="Times New Roman;Times;serif" w:hAnsi="Times New Roman;Times;serif"/>
          <w:b/>
          <w:sz w:val="20"/>
        </w:rPr>
      </w:pPr>
      <w:bookmarkStart w:id="1018" w:name="Item3QuantitativeandQualitativeDisclosur"/>
      <w:bookmarkStart w:id="1019" w:name="_9955aa2f_a74d_45e6_bd80_b793aaa21bc1"/>
      <w:bookmarkEnd w:id="1018"/>
      <w:bookmarkEnd w:id="1019"/>
      <w:r>
        <w:rPr>
          <w:rFonts w:ascii="Times New Roman;Times;serif" w:hAnsi="Times New Roman;Times;serif"/>
          <w:b/>
          <w:sz w:val="20"/>
        </w:rPr>
        <w:t>Item 3. Quantitative and Qualitative Disclosures about Market Risk</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left"/>
        <w:rPr>
          <w:rFonts w:ascii="Times New Roman;Times;serif" w:hAnsi="Times New Roman;Times;serif"/>
          <w:b/>
          <w:sz w:val="20"/>
        </w:rPr>
      </w:pPr>
      <w:bookmarkStart w:id="1020" w:name="Item4ControlsandProcedures_79336"/>
      <w:bookmarkStart w:id="1021" w:name="_226cb5f6_9ffa_424b_b50d_63cad6a66966"/>
      <w:bookmarkEnd w:id="1020"/>
      <w:bookmarkEnd w:id="1021"/>
      <w:r>
        <w:rPr>
          <w:rFonts w:ascii="Times New Roman;Times;serif" w:hAnsi="Times New Roman;Times;serif"/>
          <w:b/>
          <w:sz w:val="20"/>
        </w:rPr>
        <w:t>Item 4. Controls and Procedures</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(our principal executive officer and principal financial officer, respectively), evaluated the effectiveness of our disclosure controls and procedures as of June 30, 2026.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Based on the evaluation of our disclosure controls and procedures as of June 30, 2026, our Chief Executive Officer and Chief Financial Officer concluded that, as of such date, our disclosure controls and procedures were effective at the reasonable assurance level.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during the three months ended June 30, 2026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022" w:name="_c9945bd7_bbf5_40c7_af48_cadd14b60be1"/>
      <w:bookmarkEnd w:id="1022"/>
      <w:r>
        <w:rPr>
          <w:rFonts w:ascii="Times New Roman;Times;serif" w:hAnsi="Times New Roman;Times;serif"/>
          <w:b/>
          <w:sz w:val="20"/>
        </w:rPr>
        <w:t>PART II. OTHER INFORMATION</w:t>
      </w:r>
    </w:p>
    <w:p>
      <w:pPr>
        <w:pStyle w:val="TextBody"/>
        <w:bidi w:val="0"/>
        <w:spacing w:before="0" w:after="200"/>
        <w:ind w:left="0" w:right="0" w:hanging="0"/>
        <w:jc w:val="left"/>
        <w:rPr>
          <w:rFonts w:ascii="Times New Roman;Times;serif" w:hAnsi="Times New Roman;Times;serif"/>
          <w:sz w:val="20"/>
        </w:rPr>
      </w:pPr>
      <w:bookmarkStart w:id="1023" w:name="Item1LegalProceedings_771938"/>
      <w:bookmarkEnd w:id="1023"/>
      <w:r>
        <w:rPr>
          <w:rFonts w:ascii="Times New Roman;Times;serif" w:hAnsi="Times New Roman;Times;serif"/>
          <w:b/>
          <w:i w:val="false"/>
          <w:caps w:val="false"/>
          <w:smallCaps w:val="false"/>
          <w:sz w:val="20"/>
        </w:rPr>
        <w:t xml:space="preserve">Item 1. </w:t>
      </w:r>
      <w:r>
        <w:rPr>
          <w:rFonts w:ascii="Times New Roman;Times;serif" w:hAnsi="Times New Roman;Times;serif"/>
          <w:b/>
          <w:sz w:val="20"/>
        </w:rPr>
        <w:t>Legal Proceedings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From time to time, we may be subject to litigation and claims arising in the ordinary course of business, which could have a material adverse effect on our business, operating results, cash flows or financial condition. Please refer to Note 16, </w:t>
      </w:r>
      <w:r>
        <w:rPr>
          <w:rFonts w:ascii="Times New Roman;Times;serif" w:hAnsi="Times New Roman;Times;serif"/>
          <w:i/>
          <w:sz w:val="20"/>
        </w:rPr>
        <w:t>Commitments and Contingencies</w:t>
      </w:r>
      <w:r>
        <w:rPr>
          <w:rFonts w:ascii="Times New Roman;Times;serif" w:hAnsi="Times New Roman;Times;serif"/>
          <w:sz w:val="20"/>
        </w:rPr>
        <w:t xml:space="preserve"> of our unaudited condensed consolidated financial statements in Part I, Item 1 of this Quarterly Report for information regarding material legal proceedings.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in February 2024, we became aware that the SEC had initiated a formal investigation involving the Company and certain of its directors and officers. This formal investigation relates to the Company’s public disclosures, including about product sales and the receipt of a Form 483 by an investigator at one of the Company’s clinical trial sites in the TRANQUILITY II study, and trading in the securities of the Company. We are cooperating fully with the investigation including producing documents, and current and former officers and employees of the Company have testified before the SEC. We cannot predict or determine whether any proceeding may be instituted by the SEC in connection with its investigation or the outcome of any proceeding that may be instituted, or the effects any such proceeding could have on the Company’s business or financing efforts.</w:t>
      </w:r>
    </w:p>
    <w:p>
      <w:pPr>
        <w:pStyle w:val="TextBody"/>
        <w:bidi w:val="0"/>
        <w:spacing w:before="0" w:after="200"/>
        <w:ind w:left="0" w:right="0" w:hanging="0"/>
        <w:jc w:val="left"/>
        <w:rPr>
          <w:rFonts w:ascii="Times New Roman;Times;serif" w:hAnsi="Times New Roman;Times;serif"/>
          <w:b/>
          <w:sz w:val="20"/>
        </w:rPr>
      </w:pPr>
      <w:bookmarkStart w:id="1024" w:name="Item1ARiskFactors_143189"/>
      <w:bookmarkEnd w:id="1024"/>
      <w:r>
        <w:rPr>
          <w:rFonts w:ascii="Times New Roman;Times;serif" w:hAnsi="Times New Roman;Times;serif"/>
          <w:b/>
          <w:sz w:val="20"/>
        </w:rPr>
        <w:t>Item 1A. Risk Factors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You should carefully consider the risks described below, as well as general economic and business risks and the other information in this Quarterly Report and our Annual Report on Form 10-K for the fiscal year ended December 31, 2025.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Financial Position and Need for Additional Capital</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are substantially restricted in our corporate activities by our existing debt facilities and are considering all strategic alternatives. If we do not properly service and/or restructure our debt facilities or achieve an alternative strategic transaction, substantial doubt exists about our ability to continue as a going concern.</w:t>
      </w:r>
    </w:p>
    <w:p>
      <w:pPr>
        <w:pStyle w:val="TextBody"/>
        <w:pBd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Our consolidated financial statements are prepared using the generally accepted accounting principles applicable to a going concern, which contemplates the realization of assets and liquidation of liabilities in the normal course of business. However, as shown in our consolidated financial statements for the year ended December 31, 2025, included in our Annual Report on Form 10-K for the year ended December 31, 2025, and the condensed consolidated financial statements included in this Quarterly Report, we have sustained substantial recurring losses from operations. In addition, we have used, rather than provided, cash in our continuing operations. As of June 30, 2026, we did not have sufficient cash and cash equivalents to fund operations and liquidity requirements through the end of August 2026. The above conditions raise substantial doubt about our ability to continue as a going concern within one year after the date that our financial statements are issued. Our consolidated financial statements do not include any adjustments relating to the recoverability and classification of recorded asset amounts and classification of liabilities that might be necessary should we be unable to continue in existence. Uncertainty concerning our ability to continue as a going concern, among other factors, may hinder our ability to obtain future financing or execute a strategic transaction. Continued operations and our ability to continue as a going concern are dependent, among other factors, on our ability to develop and commercialize IGALMI</w:t>
      </w:r>
      <w:r>
        <w:rPr>
          <w:rFonts w:ascii="Times New Roman;Times;serif" w:hAnsi="Times New Roman;Times;serif"/>
          <w:sz w:val="15"/>
        </w:rPr>
        <w:t>®</w:t>
      </w:r>
      <w:r>
        <w:rPr>
          <w:rFonts w:ascii="Times New Roman;Times;serif" w:hAnsi="Times New Roman;Times;serif"/>
          <w:sz w:val="20"/>
        </w:rPr>
        <w:t xml:space="preserve"> and to obtain additional required funding in the near term and thereafter. </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Due to the fact that we were unable to generate sufficient cash flows from operations or obtain sufficient funding to sustain operations and debt service obligations, management and our board of directors determined that it was in the best interests of the stockholders to seek a strategic options. We hired advisors to explore strategic options, including, but not limited to, restructuring or refinancing our debt, seeking additional debt or equity capital investment, a sale or licensing transaction for of all or a portion of our assets, a combination of these, or other strategic transactions. We currently have no commitments to engage in any specific strategic transaction and there can be no assurance that we will be able to complete additional or alternative financings, business development transactions or other strategic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alternatives. If we cannot continue as a viable entity, we may be required to seek relief under the U.S. Bankruptcy Code. There can be no guarantees that if we file for bankruptcy we will emerge from bankruptcy as a going concern or that holders of our common stock will receive any recovery from any bankruptcy proceedings.</w:t>
      </w:r>
    </w:p>
    <w:p>
      <w:pPr>
        <w:pStyle w:val="TextBody"/>
        <w:shd w:fill="FFFFFF" w:val="clear"/>
        <w:bidi w:val="0"/>
        <w:spacing w:before="0" w:after="0"/>
        <w:ind w:left="0" w:right="0" w:firstLine="36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If we do not complete a strategic transaction, or do not receive sufficient financing from other sources of equity or debt financings, we may be required to seek relief under the U.S. Bankruptcy Code. Even if we are successful in raising additional capital, we will require substantial additional financing to service our debt facilities and achieve our goals and a failure to obtain this necessary capital when needed could force us to delay, limit, reduce or terminate our product development or commercialization efforts.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If we do not complete a strategic transaction or receive sufficient financing from an equity or debt financing, we may be required to file for protection under the U.S. Bankruptcy Code. </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Even if we are successful in resolving our immediately liquidity needs, we believe that we will continue to expend substantial resources for the foreseeable future as we continue the development and commercialization of IGALMI</w:t>
      </w:r>
      <w:r>
        <w:rPr>
          <w:rFonts w:ascii="Times New Roman;Times;serif" w:hAnsi="Times New Roman;Times;serif"/>
          <w:sz w:val="15"/>
        </w:rPr>
        <w:t>®</w:t>
      </w:r>
      <w:r>
        <w:rPr>
          <w:rFonts w:ascii="Times New Roman;Times;serif" w:hAnsi="Times New Roman;Times;serif"/>
          <w:sz w:val="20"/>
        </w:rPr>
        <w:t>, develop additional product candidates, if any, and launch clinical trials for such product candidates and pursue commercialization of product candidates, if approved. In addition, other unanticipated costs may arise. Because the outcome of our planned and anticipated clinical trials are highly uncertain, we cannot reasonably estimate the actual amounts necessary to successfully complete the development and commercialization of product candidates. Our costs will increase if we suffer any delays in our planned clinical trials for our current product candidates. We will need to raise additional funds to address our goals. Additional funds may not be available when we need them on terms that are acceptable to us, or at all.</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have identified conditions and events that raise substantial doubt regarding our ability to continue as a going concern.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we had $13.8 million in cash, cash equivalents and restricted cash. Based on our existing cash, cash equivalents and lack of current availability under our funding facilities, we do not believe we have sufficient cash on hand to support current operations and service our debt obligations for at least one year from the date of issuance of the audited consolidated financial statements appearing in this in this Quarterly Report. This condition raises substantial doubt about our ability to continue as a going concern for at least one year from the date that our financial statements for the three and six months ended June 30, 2026 are issued. In order to mitigate liquidity issues, we have undertaken the Clinical Reprioritization and other restructuring actions, and may, among other things, seek to raise capital through the issuance of common stock, or by restructuring, refinancing, and/or amending the terms of the Credit Agreement (including with respect to regulatory related events of default that do not contain a cure period) or pursue other strategic alternatives. However, such transactions may not be successful and we may not be able to raise additional equity and/or financing necessary to meet our obligations.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Twelfth Amendment to our Credit Agreement (as defined below) contains, among other things, a covenant requiring that, on or prior to August 21, 2026 (extended from August 10, 2026, as was required under the Eleventh Amendment), we enter into definitive agreements with respect to one or more transactions acceptable to Lenders that (A) would result in the repayment of all loan and other obligations under the Credit Agreement or (B) is an alternative capital solutions transaction on terms and conditions acceptable to the Lenders. We currently have no commitments to engage in any specific strategic transaction and there can be no assurance that we will be able to complete additional or alternative financings, business development transactions or other strategic alternatives to satisfy the requirements under the Twelfth Amendment’s covenant.</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have a limited operating history and have not generated substantial product revenues to date, which may make it difficult to evaluate the success of our business and to assess our future viability.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were incorporated in March 2017 and our operations to date have been largely focused on staffing our Company, raising capital, advancing the development of our product candidates, including conducting clinical and preclinical studies and establishing our commercial organization. We have only one product approved for commercial sale, and have limited experience in obtaining marketing approvals, manufacturing products on a commercial scale, and conducting sales and marketing activities necessary for successful commercialization. Consequently, predictions about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future success or viability may not be as accurate as they could be if we had a longer operating history or a history of successfully commercializing products.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expect our financial condition and operating results to continue to fluctuate from quarter to quarter and year to year due to a variety of factors, many of which are beyond our control. We are focused primarily on research and development while continuing to support IGALMI</w:t>
      </w:r>
      <w:r>
        <w:rPr>
          <w:rFonts w:ascii="Times New Roman;Times;serif" w:hAnsi="Times New Roman;Times;serif"/>
          <w:sz w:val="15"/>
        </w:rPr>
        <w:t>®</w:t>
      </w:r>
      <w:r>
        <w:rPr>
          <w:rFonts w:ascii="Times New Roman;Times;serif" w:hAnsi="Times New Roman;Times;serif"/>
          <w:sz w:val="20"/>
        </w:rPr>
        <w:t xml:space="preserve"> commercial activities. We may encounter unforeseen expenses, difficulties, complications and delays, and may not be successful in such a transition.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have incurred significant operating losses since inception and anticipate that we will continue to incur substantial operating losses for the foreseeable future and may never achieve or maintain profitability.</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Since our inception, we have incurred significant operating losses. Our net loss was $27.4 million and $26.4 million for the six months ended June 30, 2026 and 2025, respectively. As of June 30, 2026, we had a stockholders’ deficit of approximately $115.5 million. We expect to continue to incur significant expenses and increasing operating losses for the foreseeable future. We have only one product candidate approved for marketing in the U.S., none in any other jurisdiction, and may never receive approval beyond the one product approved to date. It could be several years, if ever, before we have a commercialized product that generates significant revenues through sales of IGALMI</w:t>
      </w:r>
      <w:r>
        <w:rPr>
          <w:rFonts w:ascii="Times New Roman;Times;serif" w:hAnsi="Times New Roman;Times;serif"/>
          <w:sz w:val="15"/>
        </w:rPr>
        <w:t>®</w:t>
      </w:r>
      <w:r>
        <w:rPr>
          <w:rFonts w:ascii="Times New Roman;Times;serif" w:hAnsi="Times New Roman;Times;serif"/>
          <w:sz w:val="20"/>
        </w:rPr>
        <w:t xml:space="preserve"> or our product candidates, if approved. As a result, we are uncertain when or if we will achieve profitability and, if so, whether we will be able to sustain it. The net losses we incur may fluctuate significantly from quarter to quarter and year to year. We anticipate that our expenses may increase in the long term as we:</w:t>
      </w:r>
    </w:p>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the development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preclinical studies and clinical trials for our current product candidates and any future product candidates that we may pursue;</w:t>
            </w:r>
          </w:p>
        </w:tc>
      </w:tr>
    </w:tbl>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develop, maintain, expand and protect our intellectual property portfolio;</w:t>
            </w:r>
          </w:p>
        </w:tc>
      </w:tr>
    </w:tbl>
    <w:tbl>
      <w:tblPr>
        <w:tblW w:w="9816" w:type="dxa"/>
        <w:jc w:val="left"/>
        <w:tblInd w:w="0" w:type="dxa"/>
        <w:tblLayout w:type="fixed"/>
        <w:tblCellMar>
          <w:top w:w="28" w:type="dxa"/>
          <w:left w:w="28" w:type="dxa"/>
          <w:bottom w:w="28" w:type="dxa"/>
          <w:right w:w="28" w:type="dxa"/>
        </w:tblCellMar>
      </w:tblPr>
      <w:tblGrid>
        <w:gridCol w:w="124"/>
        <w:gridCol w:w="256"/>
        <w:gridCol w:w="9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pursue regulatory approvals for our current and future product candidates that successfully complete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develop an appropriate sales, marketing, and distribution infrastructure to commercialize IGALMI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and any other product candidates for which we may obtain marketing approval;</w:t>
            </w:r>
          </w:p>
        </w:tc>
      </w:tr>
    </w:tbl>
    <w:tbl>
      <w:tblPr>
        <w:tblW w:w="8376" w:type="dxa"/>
        <w:jc w:val="left"/>
        <w:tblInd w:w="0" w:type="dxa"/>
        <w:tblLayout w:type="fixed"/>
        <w:tblCellMar>
          <w:top w:w="28" w:type="dxa"/>
          <w:left w:w="28" w:type="dxa"/>
          <w:bottom w:w="28" w:type="dxa"/>
          <w:right w:w="28" w:type="dxa"/>
        </w:tblCellMar>
      </w:tblPr>
      <w:tblGrid>
        <w:gridCol w:w="124"/>
        <w:gridCol w:w="25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hire additional clinical, commercial, regulatory, scientific and finance personnel; and</w:t>
            </w:r>
          </w:p>
        </w:tc>
      </w:tr>
    </w:tbl>
    <w:tbl>
      <w:tblPr>
        <w:tblW w:w="7671" w:type="dxa"/>
        <w:jc w:val="left"/>
        <w:tblInd w:w="0" w:type="dxa"/>
        <w:tblLayout w:type="fixed"/>
        <w:tblCellMar>
          <w:top w:w="28" w:type="dxa"/>
          <w:left w:w="28" w:type="dxa"/>
          <w:bottom w:w="28" w:type="dxa"/>
          <w:right w:w="28" w:type="dxa"/>
        </w:tblCellMar>
      </w:tblPr>
      <w:tblGrid>
        <w:gridCol w:w="124"/>
        <w:gridCol w:w="256"/>
        <w:gridCol w:w="7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legal, accounting and other expenses in operating as a public company.</w:t>
            </w:r>
          </w:p>
        </w:tc>
      </w:tr>
    </w:tbl>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To become and remain profitable, we must develop and commercialize more products or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IGALMI</w:t>
      </w:r>
      <w:r>
        <w:rPr>
          <w:rFonts w:ascii="Times New Roman;Times;serif" w:hAnsi="Times New Roman;Times;serif"/>
          <w:sz w:val="15"/>
        </w:rPr>
        <w:t>®</w:t>
      </w:r>
      <w:r>
        <w:rPr>
          <w:rFonts w:ascii="Times New Roman;Times;serif" w:hAnsi="Times New Roman;Times;serif"/>
          <w:sz w:val="20"/>
        </w:rPr>
        <w:t xml:space="preserve"> and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Although we have obtained U.S. FDA approval for IGALMI</w:t>
      </w:r>
      <w:r>
        <w:rPr>
          <w:rFonts w:ascii="Times New Roman;Times;serif" w:hAnsi="Times New Roman;Times;serif"/>
          <w:sz w:val="15"/>
        </w:rPr>
        <w:t>®</w:t>
      </w:r>
      <w:r>
        <w:rPr>
          <w:rFonts w:ascii="Times New Roman;Times;serif" w:hAnsi="Times New Roman;Times;serif"/>
          <w:sz w:val="20"/>
        </w:rPr>
        <w:t>, because of the numerous risks and uncertainties associated with product development, we are unable to accurately predict the timing or amount of expenses or when, or if, we will obtain marketing approval to commercialize any additional product candidates. If we are required by the FDA, or other regulatory authorities such as the European Medicines Agency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 For example, developments with respect to our TRANQUILITY program evaluating BXCL501 in patients with dementia due to probable Alzheimer’s disease may increase the likelihood that we experience such costs or delays, as discussed in the risk factor below entitled: “</w:t>
      </w:r>
      <w:r>
        <w:rPr>
          <w:rFonts w:ascii="Times New Roman;Times;serif" w:hAnsi="Times New Roman;Times;serif"/>
          <w:i/>
          <w:sz w:val="20"/>
        </w:rPr>
        <w:t xml:space="preserve">Developments relating to our TRANQUILITY II Phase 3 trial may impact the timing of our development plans for, and prospects for seeking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obtaining regulatory approval of, BXCL501 for the acute treatment of agitation (non-daily) associated with dementia in patients with probable Alzheimer’s disease</w:t>
      </w:r>
      <w:r>
        <w:rPr>
          <w:rFonts w:ascii="Times New Roman;Times;serif" w:hAnsi="Times New Roman;Times;serif"/>
          <w:sz w:val="20"/>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Even if we do achieve profitability, we may not be able to sustain or increase profitability on a quarterly or annual basis.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We will need substantial additional funding, and if we are unable to raise capital when needed, we could be forced to delay, reduce or eliminate our product development programs or commercialization efforts or otherwise seek strategic alternatives.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will require additional future funding to support current and anticipated future expenses. We currently anticipate continuing to develop and conduct clinical trials with respect to our current and any future product candidates; seek to identify and develop additional product candidates; acquire or in-license other product candidates or technologies; seek regulatory approvals for our product candidates that successfully complete clinical trials, if any; establish sales, marketing, distribution and other commercial infrastructure to support the commercialization of products for which we may obtain marketing approval; require the manufacture of larger quantities of product candidates for clinical development and, potentially, commercialization; maintain, expand and protect our intellectual property portfolio; hire and retain limited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have been and may continue to be required to expend significant funds to continue to commercialize IGALMI</w:t>
      </w:r>
      <w:r>
        <w:rPr>
          <w:rFonts w:ascii="Times New Roman;Times;serif" w:hAnsi="Times New Roman;Times;serif"/>
          <w:sz w:val="15"/>
        </w:rPr>
        <w:t>®</w:t>
      </w:r>
      <w:r>
        <w:rPr>
          <w:rFonts w:ascii="Times New Roman;Times;serif" w:hAnsi="Times New Roman;Times;serif"/>
          <w:sz w:val="20"/>
        </w:rPr>
        <w:t xml:space="preserve"> in the U.S. and advance the development of BXCL501, BXCL701, BXCL502 and our other product candidates. In addition, while we may seek one or more collaborators for future development of our current product candidates or any future product candidates that we may develop for one or more indications, we may not be able to enter into a collaboration for any of our product candidates for such indications on suitable terms, on a timely basis or at all. In any event,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We may also seek third-party investments in or other strategic options for our subsidiary, OnkosXcel. Further financing may not be available to us on acceptable terms, or at all. In addition, we are reliant on the financial institutions with which we hold our cash and cash equivalents. If such institutions were to close, we may not be able to recover all of our cash or cash equivalents held at such institutions. Moreover, market volatility, credit crises, adverse macroeconomic conditions, such as high interest or inflation rates, or other factors, as well as Company-specific factors such as the progress of our development pipeline, adverse clinical events or results, regulatory investigations, or ongoing or potential legal proceedings, could also adversely impact our ability to access capital as and when needed. Our failure to raise capital as and when needed would have a negative impact on our financial condition and our ability to pursue our business strategy.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Management believes that the Company’s cash, cash equivalents and restricted cash of $13.8 million as of June 30, 2026, will allow the Company to fund its operations and meet its liquidity requirements through the end of August 2026. There can be no assurance that we will be able to extend our cash runway.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Furthermore, 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consume capital significantly faster than we currently anticipate, and we may need to seek additional funds sooner than planned. Our future funding requirements, both short-term and long-term, will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timing, costs, and results of clinical trials of our product candidates, including any delays that have occurred or may occur due to the recent developments with the TRANQUILITY program;</w:t>
            </w:r>
          </w:p>
        </w:tc>
      </w:tr>
    </w:tbl>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enter into and the terms and timing of any collaborations, licensing agreements or other arrangements;</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seeking regulatory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the costs of commercialization activities for IGALMI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and for any of our product candidates that receive marketing approval, to the extent such costs are not the responsibility of any future collaborators, including the costs and timing of establishing product sales, marketing, distribution and manufacturing capabilities;</w:t>
            </w:r>
          </w:p>
        </w:tc>
      </w:tr>
    </w:tbl>
    <w:tbl>
      <w:tblPr>
        <w:tblW w:w="8631" w:type="dxa"/>
        <w:jc w:val="left"/>
        <w:tblInd w:w="0" w:type="dxa"/>
        <w:tblLayout w:type="fixed"/>
        <w:tblCellMar>
          <w:top w:w="28" w:type="dxa"/>
          <w:left w:w="28" w:type="dxa"/>
          <w:bottom w:w="28" w:type="dxa"/>
          <w:right w:w="28" w:type="dxa"/>
        </w:tblCellMar>
      </w:tblPr>
      <w:tblGrid>
        <w:gridCol w:w="124"/>
        <w:gridCol w:w="256"/>
        <w:gridCol w:w="8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51"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revenue received from commercial sales of IGALMI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and our current and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and protecting our intellectual property rights and defending against intellectual property related claims;</w:t>
            </w:r>
          </w:p>
        </w:tc>
      </w:tr>
    </w:tbl>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future product candidates that we pursue and their development requirements;</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regulatory policies or laws that may affect our operations;</w:t>
            </w:r>
          </w:p>
        </w:tc>
      </w:tr>
    </w:tbl>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physician acceptance or medical society recommendations that may affect commercial efforts;</w:t>
            </w:r>
          </w:p>
        </w:tc>
      </w:tr>
    </w:tbl>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acquiring potential new product candidates or technology;</w:t>
            </w:r>
          </w:p>
        </w:tc>
      </w:tr>
    </w:tbl>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w:t>
            </w:r>
          </w:p>
        </w:tc>
      </w:tr>
    </w:tbl>
    <w:tbl>
      <w:tblPr>
        <w:tblW w:w="4131" w:type="dxa"/>
        <w:jc w:val="left"/>
        <w:tblInd w:w="0" w:type="dxa"/>
        <w:tblLayout w:type="fixed"/>
        <w:tblCellMar>
          <w:top w:w="28" w:type="dxa"/>
          <w:left w:w="28" w:type="dxa"/>
          <w:bottom w:w="28" w:type="dxa"/>
          <w:right w:w="28" w:type="dxa"/>
        </w:tblCellMar>
      </w:tblPr>
      <w:tblGrid>
        <w:gridCol w:w="124"/>
        <w:gridCol w:w="256"/>
        <w:gridCol w:w="3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our operations continue;</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legal proceedings and investigations; and</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any adverse market conditions or other macroeconomic factors.</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we continue our research and development activities, we will require additional resources to continue as a going concern. We can provide no assurance that we will successfully obtain additional resources to improve our financial condition. If we are unable to obtain necessary additional capital, we could be compelled to pursue alternative options, including, without limitation, implementing further workforce reductions, reducing or ceasing product development programs and advancement of our clinical trials and product candidates, selling our assets or seeking other strategic alternatives. Our board of directors is evaluating a range of strategic options to maximize shareholder value and advance the commercial and development plans for IGALMI, which may include, but are not limited to, a sale of the Company, a merger or other business combination, a collaboration, joint venture, royalty or license agreement of all or a portion of our assets, a recapitalization or other financing transaction, or continued execution of our standalone operating plan. We have not made a decision to pursue any specific transaction or strategic option, no set timetable has been established for the completion of this process, and there can be no assurance that the process will result in any transaction or other particular outcome. The process itself may be costly and time-consuming, may divert the attention of our management and the board of directors, may create uncertainty for our employees, collaborators and counterparties, and may cause volatility in the trading price of our common stock. Further, if we seek relief under the U.S. Bankruptcy Code, there can be no guarantees that we will emerge from bankruptcy as a going concern or that holders of our common stock will receive any recovery from any bankruptcy proceedings.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the Credit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we had aggregate principal indebtedness of $107.2 million outstanding under our Credit Agreement and Guaranty (as amended, the “Credit Agreement”) by and among the Company, as the borrower, certain subsidiaries of the Company from time to time party thereto as subsidiary guarantors, the lenders party thereto (the “Lenders”), and Oaktree Fund Administration LLC (“OFA”) as administrative agent.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Restrictive covenants in the Credit Agreement place limits on our ability to conduct our business. 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In addition, certain events, including receipt of a warning letter from the FDA, may constitute an event of default. We must also comply with certain covenants under the Credit Agreement, including a financial covenant that requires we maintain certain minimum cash liquidity amounts. In addition, certain events, including certain regulatory events and any “going concern” or similar qualification in a report of the Company’s independent registered public accountants relating to the Company’s annual financial statements (except for the years ended December 31, 2023, 2024 and 2025, which have been waived by the Lenders), constitute an event of default under the Credit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Credit Agreement also includes other covenants relating to certain change of control events can also trigger an event of default under the Credit Agreement, including control by any entity or group of entities, other than BioXcel LLC and its affiliates, that acquires 35% or more of our voting capital stock. The Credit Agreement also contains a minimum liquidity covenant that, as of September 30, 2025, requires us to maintain at all times at least $15.0 million of unrestricted cash and cash equivalents, which was reduced to $12.5 million of unrestricted cash and cash equivalents in the Ninth Amendment. Additionally, pursuant to the Fifth Amendment to our Credit Agreement, we are required to make quarterly amortization payments equal to 5.0% of the principal amount outstanding under the Credit Agreement, together with applicable prepayment fees, beginning on March 31, 2026. These covenants may limit our flexibility in operating our business and our ability to take actions that might be advantageous to us and our shareholders. </w:t>
      </w:r>
    </w:p>
    <w:p>
      <w:pPr>
        <w:pStyle w:val="TextBody"/>
        <w:bidi w:val="0"/>
        <w:spacing w:lineRule="auto" w:line="240" w:before="0" w:after="240"/>
        <w:ind w:left="0" w:right="0" w:firstLine="360"/>
        <w:jc w:val="left"/>
        <w:rPr>
          <w:rFonts w:ascii="Times New Roman;Times;serif" w:hAnsi="Times New Roman;Times;serif"/>
          <w:sz w:val="20"/>
        </w:rPr>
      </w:pPr>
      <w:r>
        <w:rPr>
          <w:rFonts w:ascii="Times New Roman;Times;serif" w:hAnsi="Times New Roman;Times;serif"/>
          <w:sz w:val="20"/>
        </w:rPr>
        <w:t>Our ability to make scheduled payments or payments to maintain compliance with covenants or to restructure or refinance these and other outstanding debt obligations depends on our financial and operating performance, including growth in revenue from IGALMI</w:t>
      </w:r>
      <w:r>
        <w:rPr>
          <w:rFonts w:ascii="Times New Roman;Times;serif" w:hAnsi="Times New Roman;Times;serif"/>
          <w:sz w:val="15"/>
        </w:rPr>
        <w:t>®</w:t>
      </w:r>
      <w:r>
        <w:rPr>
          <w:rFonts w:ascii="Times New Roman;Times;serif" w:hAnsi="Times New Roman;Times;serif"/>
          <w:sz w:val="20"/>
        </w:rPr>
        <w:t xml:space="preserve"> and BXCL501, which will be affected by prevailing economic, industry and competitive conditions and by financial, business and other factors beyond our control. A failure to pay our debt, fixed costs and other obligations or a breach of our contractual obligations or other event of default could result in a variety of adverse consequences, including the acceleration of our obligations or the exercise of remedies by our creditors and lessors or otherwise exercise the rights of a secured creditor. In such a situation, it is unlikely that we would be able to cure our breach, fulfill our obligations, make required payments or otherwise cover our fixed costs, which would have a material adverse effect on our business, results of operations and financial condition.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historically we have relied on debt and equity financings as our primary sources of liquidity. If our future cash flows and capital resources are insufficient to fund our debt service obligations, we may be forced to reduce or delay expenditures, sell assets, seek additional capital or seek to restructure or refinance our indebtedness. Additionally, under the terms of the Ninth Amendment, following receipt of aggregated gross proceeds from Capital Raise Activities, we have agreed to make a prepayment of the loans under the Credit Agreement in an aggregate principal amount equal to 50% of such gross cash proceeds, together with accrued interest thereon and any fees or premia (including prepayment premium) payable in connection therewith; provided that such prepayment requirement shall not be applicable (A) with respect to the first $2.5 million gross proceeds received from Capital Raise Activities and (B) once the aggregate principal amount of the prepaid pursuant to one or more of such prepayments equals $2.5 million. As a result, only a portion of the gross proceeds of Capital Raise Activities will be available to fund our operations, which may force us to raise additional capital sooner and on less favorable terms and may make it more difficult to maintain compliance with our minimum liquidity covenant. Any refinancing or restructuring of our indebtedness could be at higher interest rates and may require us to comply with more onerous covenants. These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alternative measures may not be successful and may not permit us to meet our scheduled or any accelerated debt service obligations. In the absence of such cash flows and resources, we could face substantial liquidity problems and might be required to sell material assets or pursue other strategic alternatives to attempt to meet our debt service obligations.</w:t>
      </w:r>
    </w:p>
    <w:p>
      <w:pPr>
        <w:pStyle w:val="TextBody"/>
        <w:bidi w:val="0"/>
        <w:spacing w:before="0" w:after="24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Clinical Reprioritization and other workforce reductions may not achieve our intended outcome.</w:t>
      </w:r>
    </w:p>
    <w:p>
      <w:pPr>
        <w:pStyle w:val="TextBody"/>
        <w:bidi w:val="0"/>
        <w:spacing w:before="0" w:after="0"/>
        <w:ind w:left="0" w:right="0" w:hanging="0"/>
        <w:jc w:val="left"/>
        <w:rPr/>
      </w:pPr>
      <w:r>
        <w:rPr/>
        <w:t>​</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In August 2023, we announced a broad-based strategic clinical reprioritization (the “Clinical Reprioritization”) and have taken further restructuring actions since then. As part of these efforts, we have taken actions to reduce certain operational and workforce expenses that are no longer deemed core to our ongoing operations in order to extend our cash runway and drive innovation and growth in high potential clinical development and value creating opportunities. These actions include a shift in commercial strategy for IGALMI</w:t>
      </w:r>
      <w:r>
        <w:rPr>
          <w:rFonts w:ascii="Times New Roman;Times;serif" w:hAnsi="Times New Roman;Times;serif"/>
          <w:sz w:val="15"/>
        </w:rPr>
        <w:t>®</w:t>
      </w:r>
      <w:r>
        <w:rPr>
          <w:rFonts w:ascii="Times New Roman;Times;serif" w:hAnsi="Times New Roman;Times;serif"/>
          <w:sz w:val="20"/>
        </w:rPr>
        <w:t xml:space="preserve"> in the institutional setting, a reduction of in-hospital commercialization expenses, a suspension of programs no longer determined to be core to ongoing operations, and a prioritization on at-home treatment setting opportunities for BXCL501. As part of this strategy, we reduced our workforce in 2023 by approximately 60%.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May and September 2024, we initiated further workforce reductions, and we may undertake further similar cost-saving initiatives, which may include additional restructuring or workforce reductions. These types of cost-reduction activities can be complex and result in unintended consequences and costs, including decreased employee morale, loss of institutional knowledge and expertise and adversely impact our business. We completed these additional restructuring actions to further reduce the workforce by 50%, ending the year ended December 31, 2024 with 37 full-time employees.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reduction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may be unsuccessful in distributing the duties and obligations of departed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The workforce reduction could also harm our reputation, making our ability to recruit skilled personnel difficult. If we are unable to realize the anticipated benefits from the reduction in force, or if we experience significant adverse consequences from the reduction in force, our business, financial condition, and results of operations may be materially adversely affected.</w:t>
      </w:r>
    </w:p>
    <w:p>
      <w:pPr>
        <w:pStyle w:val="TextBody"/>
        <w:bidi w:val="0"/>
        <w:spacing w:before="0" w:after="0"/>
        <w:ind w:left="0" w:right="0" w:firstLine="360"/>
        <w:jc w:val="left"/>
        <w:rPr/>
      </w:pPr>
      <w:r>
        <w:rPr/>
        <w:t>​</w:t>
      </w:r>
    </w:p>
    <w:p>
      <w:pPr>
        <w:pStyle w:val="TextBody"/>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In addition, we may not realize the benefits of or there may be unanticipated costs associated with our Clinical Reprioritization. As a result of the Clinical Reprioritization, including our strategic refocus, we may not generate material revenues from IGALMI</w:t>
      </w:r>
      <w:r>
        <w:rPr>
          <w:rFonts w:ascii="Times New Roman;Times;serif" w:hAnsi="Times New Roman;Times;serif"/>
          <w:sz w:val="15"/>
        </w:rPr>
        <w:t>®</w:t>
      </w:r>
      <w:r>
        <w:rPr>
          <w:rFonts w:ascii="Times New Roman;Times;serif" w:hAnsi="Times New Roman;Times;serif"/>
          <w:sz w:val="20"/>
        </w:rPr>
        <w:t xml:space="preserve"> in the near term because our commercial force will be significantly reduced. If we are unable to commercialize IGALMI</w:t>
      </w:r>
      <w:r>
        <w:rPr>
          <w:rFonts w:ascii="Times New Roman;Times;serif" w:hAnsi="Times New Roman;Times;serif"/>
          <w:sz w:val="15"/>
        </w:rPr>
        <w:t>®</w:t>
      </w:r>
      <w:r>
        <w:rPr>
          <w:rFonts w:ascii="Times New Roman;Times;serif" w:hAnsi="Times New Roman;Times;serif"/>
          <w:sz w:val="20"/>
        </w:rPr>
        <w:t xml:space="preserve"> in a different setting or unable to develop, receive marketing approval for and successfully commercialize BXCL501, BXCL701 and any of our other product candidates on our own or with any future collaborator, or experience delays because of any of these factors or otherwise, our business could be materially and substantially harmed.</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because we have limited financial and managerial resources, under our Clinical Reprioritization, we intend to focus on specific product candidates, indications and development programs. We may also conduct several clinical trials for our product candidates in parallel over the next several years, which may make our decision as to which product candidates to focus on more difficult. As a result, we may forgo or delay pursuit of opportunities with other product candidates or other indications that could have had greater commercial potential or likelihood of success.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 If we are not successful in increasing our efficiency as a result of this Clinical Reprioritization, our efforts to develop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commercialize our product candidates may be delayed or halted and our business could be materially adversely impacted.</w:t>
      </w:r>
    </w:p>
    <w:p>
      <w:pPr>
        <w:pStyle w:val="TextBody"/>
        <w:bidi w:val="0"/>
        <w:spacing w:before="0" w:after="0"/>
        <w:ind w:left="0" w:right="0" w:firstLine="36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the Discovery and Development of Product Candidates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have limited experience in drug discovery and drug development.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Prior to the acquisition of our product and product candidates, we were not involved in and had no control over their preclinical and clinical development. In addition, we are relying upon the parties we acquired our product candidates from to have conducted research and development in accordance with the applicable protocol, legal, regulatory and scientific standards, accurately reported the results of all clinical trials conducted prior to our acquisition of the applicable product candidate, and correctly collected and interpreted the data from these studies and trials. To the extent any of these activities did not occur, our expected development time and costs could increase, which could adversely affect our prospects for marketing approval of, and receiving any future revenue from, these product candidates.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Following our discovery of principal investigator misconduct at one of the clinical sites in our TRANQUILITY II Phase 3 clinical trial, we initiated an investigation into the issues associated with the trial. This principal investigator had previously been subject to a December 2022 FDA inspection of her clinical site in connection with the TRANQUILITY II clinical trial. At the conclusion of this inspection, the FDA issued an FDA Form-483 identifying three inspectional observations. These observations related to the principal investigator’s failure to adhere to the informed consent form approved by the Institutional Review Board for a limited number of subjects whose records the FDA reviewed, maintain adequate case histories for certain patients whose records the FDA reviewed, and adhere to the investigational plan in certain instances. For example, the FDA cited the principal investigator’s delay in informing the sponsor’s medical monitor or pharmacovigilance safety vendor of an SAE, for one of the subjects, which report was made to our vendor outside of the 24 hour time period prescribed by the clinical trial protocol. The principal investigator for this clinical site responded to the FDA observations within the time period requested. The FDA concluded that the inspection of a single site in its TRANQUILITY II Phase 3 trial is closed under 21 C.F.R.20.64(d)(3) and released the Establishment Inspection Report. The FDA has designated “Voluntary Action Indicated” for the site, which means objectionable conditions or practices were found without significant public health risks, but the agency is not prepared to take or recommend any administrative or regulatory action.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May 2023, it came to our attention that this same principal investigator in the TRANQUILITY II clinical trial may have fabricated email correspondence around the time of the FDA inspection, purporting to demonstrate that the investigator timely submitted to our pharmacovigilance safety vendor a report of an SAE from a different subject than the one cited in the FDA Form-483, and purporting to show that the vendor had confirmed receipt. Upon receipt of this information, we promptly initiated an investigation and received confirmation that the principal investigator fabricated the email correspondence related to the timing of the reporting of this SAE to our pharmacovigilance vendor to make it appear as though this SAE had been timely reported as required by the clinical trial protocol. This principal investigator has not participated in any other clinical trial sponsored or conducted by us. Both we and the principal investigator’s employer have reported this incident to the FDA.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Since that time, we have taken steps to further investigate and evaluate the conduct of the TRANQUILITY II trial at this clinical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The primary efficacy endpoint in TRANQUILITY II was the change in PEC score, which is a measurement of agitation severity captured by trained raters during an agitation episode. While change in PEC score has been used to support the approval of IGALMI</w:t>
      </w:r>
      <w:r>
        <w:rPr>
          <w:rFonts w:ascii="Times New Roman;Times;serif" w:hAnsi="Times New Roman;Times;serif"/>
          <w:sz w:val="15"/>
        </w:rPr>
        <w:t>®</w:t>
      </w:r>
      <w:r>
        <w:rPr>
          <w:rFonts w:ascii="Times New Roman;Times;serif" w:hAnsi="Times New Roman;Times;serif"/>
          <w:sz w:val="20"/>
        </w:rPr>
        <w:t xml:space="preserve"> for the acute treatment of agitation associated with schizophrenia or bipolar I or II disorder in adults, it has not been used as a primary endpoint to support the approval of a drug candidate for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treatment of agitation associated with Alzheimer’s Disease. Prior to initiating our TRANQUILITY II trial, we believe we reached alignment with FDA regarding the use of PEC scores as a primary endpoint to assess individual agitation episodes in dementia patients. In the normal course, we have been in communication with the FDA regarding the data and information needed to further support the consistency of the measurement of PEC ratings, and we believe that we have generated sufficient data to demonstrate such consistency. Following submission of certain data on PEC score from a separate study of raters assessing video vignettes, the FDA expressed certain concerns with respect to the reliability of PEC scores in that study. The FDA has requested that we provide additional information to support the consistency of the measurement of PEC ratings to assess the treatment of agitation associated with Alzheimer’s Disease. While we believe that we have generated sufficient data to demonstrate such consistency, and we plan to submit these data and analyses to the FDA, if the FDA disagrees, it may require that we provide more information to demonstrate reliability in the measurement of PEC scores and/or may require that we generate additional data to support the reliability of PEC score measurements in our TRANQUILITY II trial. There can be no assurances that any information or data we provide to FDA will sufficiently demonstrate the consistency and reliability of the PEC-score data from our TRANQUILITY II trial, or that our PEC-score data will not represent a potential review issue in connection with any application we may submit to FDA.</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we are continuing to seek feedback from the FDA with respect to our TRANQUILITY program. For example, on February 20, 2024, we held a Type B/Breakthrough Therapy designation meeting with the FDA. The original purpose of this meeting was to obtain feedback on the design of a proposed at-home study that did not include caregiver-collected efficacy endpoints, based on our belief that obtaining caregiver assessments of efficacy would be challenging. We believe there are no validated caregiver endpoints for assessing efficacy in Alzheimer’s disease patients in the at-home setting. As a result, we focused on requesting feedback from the FDA regarding our proposal for an at-home clinical study with safety as the primary objective, and to better understand what additional data would be required to submit an sNDA to support labeling for BXCL501 to include the acute treatment of agitation associated with dementia in probable Alzheimer’s disease or, in the alternative, in this population in the care setting only. In its preliminary responses, the FDA reiterated its prior comments that we generate additional efficacy data, including repeat-dose efficacy data, to support an sNDA submission, as the FDA indicated that our proposed efficacy database, which currently includes the 70 patients who have been treated with 60 mcg of BXCL501 in TRANQUILITY I and TRANQUILITY II, would not contain substantial evidence of effectiveness absent additional data. The FDA advised that we generate the necessary efficacy data in care facilities prior to conducting any trials in the at-home setting. In addition, the FDA indicated the need to generate long-term safety data to support an sNDA submission, including from probable Alzheimer’s disease patients exposed to BXCL501, for up to one year. We have received the final meeting minutes from the FDA, which we believe are consistent with the FDA’s preliminary responses and the subsequent meeting discussion. Based on the FDA’s feedback, we are currently planning to generate additional Phase 3 efficacy and safety data, in a variety of relevant care-facility settings and across severity of dementia, including through, among other things, conducting our planned TRANQULITY In-Care Phase 3 trial. In addition, we plan to discuss the details of the requirement for long-term safety data at a future meeting with the FDA. Also, although we announced in November 2023 that we were planning to conduct a Phase 3 trial in the at-home setting, with safety as the primary objective (TRANQUILITY At Home), given the priority to expand the database to generate additional efficacy and safety data in care facilities, we are re-evaluating the timing for initiating TRANQUILITY At Home. Conducting any new clinical trial can take significant time, funding and resources, and there are no assurances we could raise sufficient capital or have the liquidity and resources to conduct further clinical trials in our TRANQUILITY program, including our planned TRANQUILITY In-Care Trial. Any new clinical trials conducted in our target patient populations may have different safety or efficacy results from the topline data the Company previously announced for the TRANQUILITY II clinical trial. Further, any government investigation, disqualification, or debarment of, or proceeding or action against the principal investigator, or any government investigation, proceeding or action against us, could further delay development and approval of BXCL501 for this indication, and otherwise have a material adverse effect on us, our financial condition (including triggering a potential event of default under our Credit Agreement), results of operations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have limited clinical data supporting potential safety or efficacy of BXCL501 for use in the at-home setting in the acute treatment of agitation in patients with dementia due to probable Alzheimer’s disease and patients with schizophrenia and bipolar patients.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August 2023, we announced our intention to pursue the Clinical Reprioritization, including among other things, a shift in focus to primarily develop BXCL501 for use in expanded settings, including the at-home setting and care facilities, for the acute treatment of agitation in patients with dementia due to probable Alzheimer’s disease and the acute treatment of agitation in schizophrenia and bipolar patients in the at-home setting. Although we have conducted several clinical trials that evaluated BXCL501 in the institutional setting, and we have conducted the SERENITY At-Home Phase 3 trial evaluating the safety of BXCL501 for the acute treatment of agitation associated with bipolar disorders or schizophrenia in the at-home setting, we have not conducted a clinical trial evaluating the at-home use of BXCL501 in the acute treatment of agitation in patients with dementia due to probable Alzheimer’s disease.</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Although we intend to seek additional feedback from the FDA regarding the potential of our ongoing or completed clinical trials to support submission of one or more sNDAs and to support a label for use in the home setting for in patients with dementia due to probable Alzheimer’s disease, it is possible that the FDA may not consider our available data adequate to support such submissions. On January 14, 2026, we submitted a supplemental New Drug Application (sNDA) to the FDA for IGALMI</w:t>
      </w:r>
      <w:r>
        <w:rPr>
          <w:rFonts w:ascii="Times New Roman;Times;serif" w:hAnsi="Times New Roman;Times;serif"/>
          <w:sz w:val="15"/>
        </w:rPr>
        <w:t>®</w:t>
      </w:r>
      <w:r>
        <w:rPr>
          <w:rFonts w:ascii="Times New Roman;Times;serif" w:hAnsi="Times New Roman;Times;serif"/>
          <w:sz w:val="20"/>
        </w:rPr>
        <w:t xml:space="preserve"> for the acute treatment of agitation associated with schizophrenia and bipolar disorders in the at-home setting. This sNDA seeks to expand IGALMI</w:t>
      </w:r>
      <w:r>
        <w:rPr>
          <w:rFonts w:ascii="Times New Roman;Times;serif" w:hAnsi="Times New Roman;Times;serif"/>
          <w:sz w:val="15"/>
        </w:rPr>
        <w:t>®</w:t>
      </w:r>
      <w:r>
        <w:rPr>
          <w:rFonts w:ascii="Times New Roman;Times;serif" w:hAnsi="Times New Roman;Times;serif"/>
          <w:sz w:val="20"/>
        </w:rPr>
        <w:t>’s label to include the broader at-home patient population where there are no FDA-approved options currently available. Although we announced on August 18, 2025 that we had received positive pre-sNDA meeting responses from the FDA and believe that the planned sNDA regulatory package will be sufficient to support the sNDA submission, there are no assurance that the FDA will accept the submission and it is possible that the FDA may not consider our available data adequate to support the submission. Further, even if the FDA accepts the sNDA submission, there is no assurance that the FDA will approve our sNDA and authorize an expanded IGALMI</w:t>
      </w:r>
      <w:r>
        <w:rPr>
          <w:rFonts w:ascii="Times New Roman;Times;serif" w:hAnsi="Times New Roman;Times;serif"/>
          <w:sz w:val="15"/>
        </w:rPr>
        <w:t>®</w:t>
      </w:r>
      <w:r>
        <w:rPr>
          <w:rFonts w:ascii="Times New Roman;Times;serif" w:hAnsi="Times New Roman;Times;serif"/>
          <w:sz w:val="20"/>
        </w:rPr>
        <w:t>’s label to include the broader at-home patient population.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For example, on October 11, 2023, we received feedback from the FDA that TRANQUILITY I and TRANQUILITY II alone are not sufficient to support an sNDA submission for the use of BXCL501 to treat acute agitation (non-daily) in patients with dementia due to probable Alzheimer’s disease in either the at-home setting or care facilities, and the FDA indicated that we should, among other things, conduct a further clinical trial to evaluate safety and collect efficacy data of BXCL501 before we are able to submit an sNDA seeking approval of BXCL501 for use in such populations.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For a description of recent developments relating to our TRANQUILITY program, please see the prior risk factor, “</w:t>
      </w:r>
      <w:r>
        <w:rPr>
          <w:rFonts w:ascii="Times New Roman;Times;serif" w:hAnsi="Times New Roman;Times;serif"/>
          <w:i/>
          <w:sz w:val="20"/>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Times;serif" w:hAnsi="Times New Roman;Times;serif"/>
          <w:sz w:val="20"/>
        </w:rPr>
        <w:t>” We cannot provide assurance that we will be able to seek or obtain approval of BXCL501 for treatment of agitation in patients with dementia due to probable Alzheimer’s disease in the at-home setting based on this updated development plan.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Although we continue to seek feedback from the FDA with respect to our TRANQUILITY program, the FDA may not agree that any trial designs we propose are sufficient to establish both the safety and efficacy of BXCL501 for the acute treatment of agitation associated with dementia due to probable Alzheimer’s disease in either a care setting or an at-home setting. For example, to assess safety, the FDA has indicated that we need to expose more patients to BXCL501 for a longer period of time and that an efficacy trial of a shorter duration, combined with the patients in its previous trials, would not support submissions of an sNDA. Further, to assess efficacy in the home setting, the FDA may determine that we cannot rely on our previous studies of BXCL501 for this proposed indication since those studies were conducted in assisted living facilities and they are not comparable to the at-home setting. The FDA may also require us to seek approval for BXCL501 for use in care facilities prior to seeking any approval for at-home use in the targeted AD patient population. In particular, we are planning to generate additional Phase 3 safety and efficacy data in a variety of relevant care-facility settings, but even if our planned clinical efforts are successful and even if we are able to obtain approval of BXCL501 for use in patients with dementia due to probable Alzheimer's disease, we cannot provide assurance that we will be able to seek or obtain approval of BXCL501 for the treatment of agitation in patients with dementia due to probable Alzheimer’s disease in the at-home setting based on this data and we will be required to generate additional data to evaluate the at-home use of BXCL501 in our targeted Alzheimer's dementia population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before we are able to seek approval for such at-home use in this population, if ever. In addition, the FDA may determine that we cannot rely on the data from our prior TRANQUILITY II Phase 3 trial to support an sNDA as a result of potential data integrity issues at the trial site, as the FDA may not agree with our belief that data reliability and integrity remain intact. See Part II, Item 1A, “Risk Factors—Risks Related to the Discovery and Development of Product Candidates—</w:t>
      </w:r>
      <w:r>
        <w:rPr>
          <w:rFonts w:ascii="Times New Roman;Times;serif" w:hAnsi="Times New Roman;Times;serif"/>
          <w:i/>
          <w:sz w:val="20"/>
        </w:rPr>
        <w:t>Developments relating to its TRANQUILITY II Phase 3 trial may impact the timing of its development plans for, and prospects for seeking or obtaining regulatory approval of, BXCL501 for the acute treatment of agitation (non-daily) associated with dementia in patients with probable Alzheimer’s disease</w:t>
      </w:r>
      <w:r>
        <w:rPr>
          <w:rFonts w:ascii="Times New Roman;Times;serif" w:hAnsi="Times New Roman;Times;serif"/>
          <w:sz w:val="20"/>
        </w:rPr>
        <w:t>” for additional information. If the FDA does not accept the data from our prior TRANQUILITY II Phase 3 trial, we could be required to conduct additional clinical trials beyond those we currently contemplate, which would increase our costs and delay potential submission of an sNDA for BXCL501 which in turn would adversely affect our financial position and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Accordingly, if the FDA reaches these conclusions or otherwise finds that our proposed clinical studies would not adequately evaluate the safety and efficacy of BXCL501 for the acute treatment of agitation associated with dementia due to probable Alzheimer’s disease in an at-home setting and/or care setting, we may need to evaluate more patients for a longer period of time to demonstrate the safety and efficacy of BXCL501.</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With respect to our SERENITY program, we also held a Type C Meeting with the FDA on March 6, 2024 to obtain further feedback on our proposed changes to the design of SERENITY III Part 2, including with respect to the trial endpoints, and to discuss the content and format of a potential sNDA submission to expand the label of IGALMI</w:t>
      </w:r>
      <w:r>
        <w:rPr>
          <w:rFonts w:ascii="Times New Roman;Times;serif" w:hAnsi="Times New Roman;Times;serif"/>
          <w:sz w:val="15"/>
        </w:rPr>
        <w:t>®</w:t>
      </w:r>
      <w:r>
        <w:rPr>
          <w:rFonts w:ascii="Times New Roman;Times;serif" w:hAnsi="Times New Roman;Times;serif"/>
          <w:sz w:val="20"/>
        </w:rPr>
        <w:t xml:space="preserve"> 120 micrograms to the acute treatment of agitation associated with schizophrenia and bipolar disorders in the outpatient setting. IGALMI</w:t>
      </w:r>
      <w:r>
        <w:rPr>
          <w:rFonts w:ascii="Times New Roman;Times;serif" w:hAnsi="Times New Roman;Times;serif"/>
          <w:sz w:val="15"/>
        </w:rPr>
        <w:t>®</w:t>
      </w:r>
      <w:r>
        <w:rPr>
          <w:rFonts w:ascii="Times New Roman;Times;serif" w:hAnsi="Times New Roman;Times;serif"/>
          <w:sz w:val="20"/>
        </w:rPr>
        <w:t xml:space="preserve"> is already approved at the 120 mcg dose based on efficacy data that we previously generated in treating a single episode of agitation. Consistent with the data generated to date, the label for IGALMI</w:t>
      </w:r>
      <w:r>
        <w:rPr>
          <w:rFonts w:ascii="Times New Roman;Times;serif" w:hAnsi="Times New Roman;Times;serif"/>
          <w:sz w:val="15"/>
        </w:rPr>
        <w:t>®</w:t>
      </w:r>
      <w:r>
        <w:rPr>
          <w:rFonts w:ascii="Times New Roman;Times;serif" w:hAnsi="Times New Roman;Times;serif"/>
          <w:sz w:val="20"/>
        </w:rPr>
        <w:t xml:space="preserve"> currently includes a limitation on use (“LOU”), noting the lack of efficacy or safety data beyond 24 hours following the first dose. During our March 6, 2024 Type C meeting with the FDA, we discussed, among other things, whether evaluating the at-home use of BXCL501 120 mcg, with safety as the primary objective and efficacy measures as exploratory endpoints, if successful, could support the submission of an sNDA seeking expansion of the current label for IGALMI</w:t>
      </w:r>
      <w:r>
        <w:rPr>
          <w:rFonts w:ascii="Times New Roman;Times;serif" w:hAnsi="Times New Roman;Times;serif"/>
          <w:sz w:val="15"/>
        </w:rPr>
        <w:t>®</w:t>
      </w:r>
      <w:r>
        <w:rPr>
          <w:rFonts w:ascii="Times New Roman;Times;serif" w:hAnsi="Times New Roman;Times;serif"/>
          <w:sz w:val="20"/>
        </w:rPr>
        <w:t xml:space="preserve"> 120 mcg to allow at-home use and labeling without the current LOU. Based on current FDA feedback, we amended the Part 2 of the SERENITY III protocol to evaluate the safety and efficacy of the 120 mg dose in the at-home setting, and now refer to this revised trial as the SERENITY At-Home trial. On August 27, 2025, we announced that the SERENITY At-Home trial evaluating the safety of BXCL501, met its primary endpoint. Additionally, on October 14, 2025, we announced positive results from the correlation study related to exploratory efficacy outcomes from the SERENITY At-Home trial. The results from the correlation study along with that data from this successful study formed the basis of the supplemental New Drug Application (sNDA) submission for label expansion of IGALMI</w:t>
      </w:r>
      <w:r>
        <w:rPr>
          <w:rFonts w:ascii="Times New Roman;Times;serif" w:hAnsi="Times New Roman;Times;serif"/>
          <w:sz w:val="15"/>
        </w:rPr>
        <w:t>®</w:t>
      </w:r>
      <w:r>
        <w:rPr>
          <w:rFonts w:ascii="Times New Roman;Times;serif" w:hAnsi="Times New Roman;Times;serif"/>
          <w:sz w:val="20"/>
        </w:rPr>
        <w:t xml:space="preserve"> in the at-home setting, which was submitted to the FDA on January 14, 2026.</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While we believe that the data from the SERENITY At-home trial supports our planned submission and that we have observed a sufficient number of agitation episodes during the study period to seek labeling without the current LOU and for approval in the at-home setting, there is no guarantee that the FDA will approve our submission and agree to expand of the current label for IGALMI</w:t>
      </w:r>
      <w:r>
        <w:rPr>
          <w:rFonts w:ascii="Times New Roman;Times;serif" w:hAnsi="Times New Roman;Times;serif"/>
          <w:sz w:val="15"/>
        </w:rPr>
        <w:t>®</w:t>
      </w:r>
      <w:r>
        <w:rPr>
          <w:rFonts w:ascii="Times New Roman;Times;serif" w:hAnsi="Times New Roman;Times;serif"/>
          <w:sz w:val="20"/>
        </w:rPr>
        <w:t xml:space="preserve"> 120 mcg to allow at-home use and labeling without the current LOU.</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Any modifications to our proposed trial designs, whether by us or by the FDA would delay our initiation of such proposed trials, increase the costs of any trial that we do conduct and delay any potential submission of an sNDAs for BXCL501. Requirements to conduct additional clinical trials evaluating BXCL501 in support of our sNDAs submission and any future sNDAs seeking approvals for BXCL501 for our targeted patient populations in at-home settings would increase our costs, and in either case, such modifications or requirements could have a material adverse effect on our prospects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00"/>
        <w:ind w:left="0" w:right="0" w:hanging="0"/>
        <w:jc w:val="left"/>
        <w:rPr>
          <w:rFonts w:ascii="Times New Roman;Times;serif" w:hAnsi="Times New Roman;Times;serif"/>
          <w:b/>
          <w:i/>
          <w:sz w:val="20"/>
        </w:rPr>
      </w:pPr>
      <w:r>
        <w:rPr>
          <w:rFonts w:ascii="Times New Roman;Times;serif" w:hAnsi="Times New Roman;Times;serif"/>
          <w:b/>
          <w:i/>
          <w:sz w:val="20"/>
        </w:rPr>
        <w:t>In the near term, we are dependent on the success of IGALMI</w:t>
      </w:r>
      <w:r>
        <w:rPr>
          <w:rFonts w:ascii="Times New Roman;Times;serif" w:hAnsi="Times New Roman;Times;serif"/>
          <w:b/>
          <w:i/>
          <w:sz w:val="15"/>
        </w:rPr>
        <w:t>®</w:t>
      </w:r>
      <w:r>
        <w:rPr>
          <w:rFonts w:ascii="Times New Roman;Times;serif" w:hAnsi="Times New Roman;Times;serif"/>
          <w:b/>
          <w:i/>
          <w:sz w:val="20"/>
        </w:rPr>
        <w:t>, and the development of four of our product candidates, BXCL501, BXCL502, BXCL701 and BXCL702. If we are unable to complete the clinical development of or obtain marketing approval for our product candidates or successfully commercialize IGALMI</w:t>
      </w:r>
      <w:r>
        <w:rPr>
          <w:rFonts w:ascii="Times New Roman;Times;serif" w:hAnsi="Times New Roman;Times;serif"/>
          <w:b/>
          <w:i/>
          <w:sz w:val="15"/>
        </w:rPr>
        <w:t>®</w:t>
      </w:r>
      <w:r>
        <w:rPr>
          <w:rFonts w:ascii="Times New Roman;Times;serif" w:hAnsi="Times New Roman;Times;serif"/>
          <w:b/>
          <w:i/>
          <w:sz w:val="20"/>
        </w:rPr>
        <w:t xml:space="preserve"> and our other product candidates, either alone or with a collaborator, or if we experience significant delays in doing so, our business could be substantially harmed.</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currently have only one product that has received regulatory approval and may never be able to develop additional marketable product candidates. We are continuing to invest a significant portion of our efforts and financial resources in the commercialization of IGALMI</w:t>
      </w:r>
      <w:r>
        <w:rPr>
          <w:rFonts w:ascii="Times New Roman;Times;serif" w:hAnsi="Times New Roman;Times;serif"/>
          <w:sz w:val="15"/>
        </w:rPr>
        <w:t>®</w:t>
      </w:r>
      <w:r>
        <w:rPr>
          <w:rFonts w:ascii="Times New Roman;Times;serif" w:hAnsi="Times New Roman;Times;serif"/>
          <w:sz w:val="20"/>
        </w:rPr>
        <w:t xml:space="preserve"> and development of our four product candidates, BXCL501, BXCL502, BXCL701 and BXCL702, as well as other product candidates. In connection with the Clinical Reprioritization, we have significantly reduced the resources devoted to commercialization of IGALMI</w:t>
      </w:r>
      <w:r>
        <w:rPr>
          <w:rFonts w:ascii="Times New Roman;Times;serif" w:hAnsi="Times New Roman;Times;serif"/>
          <w:sz w:val="15"/>
        </w:rPr>
        <w:t>®</w:t>
      </w:r>
      <w:r>
        <w:rPr>
          <w:rFonts w:ascii="Times New Roman;Times;serif" w:hAnsi="Times New Roman;Times;serif"/>
          <w:sz w:val="20"/>
        </w:rPr>
        <w:t xml:space="preserve"> and it is possible that will have adverse consequences on the revenue that we are able to generate from IGALMI</w:t>
      </w:r>
      <w:r>
        <w:rPr>
          <w:rFonts w:ascii="Times New Roman;Times;serif" w:hAnsi="Times New Roman;Times;serif"/>
          <w:sz w:val="15"/>
        </w:rPr>
        <w:t>®</w:t>
      </w:r>
      <w:r>
        <w:rPr>
          <w:rFonts w:ascii="Times New Roman;Times;serif" w:hAnsi="Times New Roman;Times;serif"/>
          <w:sz w:val="20"/>
        </w:rPr>
        <w:t xml:space="preserve"> in the near term. As part of the Company’s Clinical Reprioritization, the IGALMI</w:t>
      </w:r>
      <w:r>
        <w:rPr>
          <w:rFonts w:ascii="Times New Roman;Times;serif" w:hAnsi="Times New Roman;Times;serif"/>
          <w:sz w:val="15"/>
        </w:rPr>
        <w:t>®</w:t>
      </w:r>
      <w:r>
        <w:rPr>
          <w:rFonts w:ascii="Times New Roman;Times;serif" w:hAnsi="Times New Roman;Times;serif"/>
          <w:sz w:val="20"/>
        </w:rPr>
        <w:t xml:space="preserve"> commercial team shifted focus to a hospital/Integrated Delivery Network (“IDN”) contracting strategy with a Corporate Account Director (CAD) team. The goal of the realigned CAD team is to work with large IDNs and drive sales utilizing a top-down approach. Over time, the revised commercial effort is expected to allow the Company to continue to make inroads into the institutional market in a more cost-efficient manner. In January 2026, Mark Pavao joined the Company as Interim Chief Commercial Officer to support the potential launch of IGALMI</w:t>
      </w:r>
      <w:r>
        <w:rPr>
          <w:rFonts w:ascii="Times New Roman;Times;serif" w:hAnsi="Times New Roman;Times;serif"/>
          <w:sz w:val="15"/>
        </w:rPr>
        <w:t>®</w:t>
      </w:r>
      <w:r>
        <w:rPr>
          <w:rFonts w:ascii="Times New Roman;Times;serif" w:hAnsi="Times New Roman;Times;serif"/>
          <w:sz w:val="20"/>
        </w:rPr>
        <w:t xml:space="preserve"> in the at-home setting, pending FDA approval of our sNDA submission. While this appointment strengthens our commercial readiness, we continue to have limited experience in marketing and selling drug products and may need to further expand our commercial team to successfully launch IGALMI for the at-home indication if approved.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However, we have limited experience in drug development and commercialization, and our prospects are substantially dependent on our ability, or that of any future collaborator, to develop, obtain marketing approval for and successfully commercialize product candidates in one or more additional disease indications.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The success of IGALMI</w:t>
      </w:r>
      <w:r>
        <w:rPr>
          <w:rFonts w:ascii="Times New Roman;Times;serif" w:hAnsi="Times New Roman;Times;serif"/>
          <w:sz w:val="15"/>
        </w:rPr>
        <w:t>®</w:t>
      </w:r>
      <w:r>
        <w:rPr>
          <w:rFonts w:ascii="Times New Roman;Times;serif" w:hAnsi="Times New Roman;Times;serif"/>
          <w:sz w:val="20"/>
        </w:rPr>
        <w:t>, and of BXCL501, BXCL701, BXCL502 and our other product candidates will depend on several factors,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an investigational new drug application (“IND”) by the FDA or acceptance of comparable applications by foreign regulatory authorities allowing us to conduct clinical trials of our product candidates in the U.S. or in foreign jurisdictions;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initiation, progress, timing, costs and results of clinical trials of our product candidates and potential product candidates, including any delays caused by the developments relating to the TRANQUILITY program, and any additional trials we may need to conduct prior to seeking approvals for BXCL501 in at-home and/or care facilities;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demonstration of safety and efficacy of our product candidates to the satisfaction of the FDA, or any comparable foreign regulatory authority, and sufficient for marketing approval;</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performance of our current and future collaborators;</w:t>
            </w:r>
          </w:p>
        </w:tc>
      </w:tr>
    </w:tbl>
    <w:tbl>
      <w:tblPr>
        <w:tblW w:w="9786" w:type="dxa"/>
        <w:jc w:val="left"/>
        <w:tblInd w:w="0" w:type="dxa"/>
        <w:tblLayout w:type="fixed"/>
        <w:tblCellMar>
          <w:top w:w="28" w:type="dxa"/>
          <w:left w:w="28" w:type="dxa"/>
          <w:bottom w:w="28" w:type="dxa"/>
          <w:right w:w="28" w:type="dxa"/>
        </w:tblCellMar>
      </w:tblPr>
      <w:tblGrid>
        <w:gridCol w:w="124"/>
        <w:gridCol w:w="256"/>
        <w:gridCol w:w="9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any required post-marketing clinical trials or other commitments to applicable regulatory authorities;</w:t>
            </w:r>
          </w:p>
        </w:tc>
      </w:tr>
    </w:tbl>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of supply arrangements with third-party raw materials suppliers and manufacturers;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of arrangements with third-party manufacturers to obtain finished drug product that is appropriately packaged for sale;</w:t>
            </w:r>
          </w:p>
        </w:tc>
      </w:tr>
    </w:tbl>
    <w:tbl>
      <w:tblPr>
        <w:tblW w:w="9966" w:type="dxa"/>
        <w:jc w:val="left"/>
        <w:tblInd w:w="0" w:type="dxa"/>
        <w:tblLayout w:type="fixed"/>
        <w:tblCellMar>
          <w:top w:w="28" w:type="dxa"/>
          <w:left w:w="28" w:type="dxa"/>
          <w:bottom w:w="28" w:type="dxa"/>
          <w:right w:w="28" w:type="dxa"/>
        </w:tblCellMar>
      </w:tblPr>
      <w:tblGrid>
        <w:gridCol w:w="124"/>
        <w:gridCol w:w="256"/>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adequate ongoing availability of raw materials and drug product for clinical development and any commercial sales;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trade secret protection and regulatory exclusivity, both in the U.S. and internationally;</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protection of our rights in our intellectual property portfolio;</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launch of commercial sales following any marketing approval;</w:t>
            </w:r>
          </w:p>
        </w:tc>
      </w:tr>
    </w:tbl>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continued acceptable safety profile following any marketing approval;</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acceptance by patients, the medical community and third-party payors; and</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with other therapies.</w:t>
            </w:r>
          </w:p>
        </w:tc>
      </w:tr>
    </w:tbl>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commercialize IGALMI</w:t>
      </w:r>
      <w:r>
        <w:rPr>
          <w:rFonts w:ascii="Times New Roman;Times;serif" w:hAnsi="Times New Roman;Times;serif"/>
          <w:sz w:val="15"/>
        </w:rPr>
        <w:t>®</w:t>
      </w:r>
      <w:r>
        <w:rPr>
          <w:rFonts w:ascii="Times New Roman;Times;serif" w:hAnsi="Times New Roman;Times;serif"/>
          <w:sz w:val="20"/>
        </w:rPr>
        <w:t xml:space="preserve"> or develop, receive marketing approval for and successfully commercialize BXCL501, BXCL701 and our other product candidates, on our own or with any future collaborator, or experience delays because of any of these factors or otherwise, our business could be substantially harmed.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From time to time, we may publicly disclose top-line or preliminary data from our clinical trials, which is based on a preliminary analysis of then-available data. The results and related findings and conclusions based on such preliminary data are subject to change, and have in the past changed,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The regulatory approval processes of the FDA and comparable foreign authorities are lengthy, time-consuming, expensive and inherently unpredictable, and if we are ultimately unable to obtain regulatory approval for our product candidates, our business will be substantially harmed.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are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a product candidate’s clinical development and may vary among jurisdictions. We obtained regulatory approval for our first product candidate for the acute treatment of agitation associated with schizophrenia or bipolar I or II disorder, which is in the early stages of commercialization. It is possible that none of our other product candidates, or any product candidates we may seek to develop in the future, will ever obtain regulatory approval.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current product candidates, or any that may be developed in the future, could fail to receive regulatory approval for many reasons,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the design or implementation of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to the satisfaction of the FDA, or comparable foreign regulatory authorities, that a product candidate is safe and effective for its proposed indication;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clinical trials may not meet the level of statistical significance required by the FDA, or comparable foreign regulatory authorities, for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our interpretation of data from preclinical studies or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collected from clinical trials of our product candidates may not be sufficient to support the submission of an NDA or other submission or to obtain regulatory approval in the U.S. or elsewhere;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that our changes to branded reference drugs meet the criteria for the 505(b)(2) regulatory pathway or comparable foreign regulatory pathways;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fail to approve the manufacturing processes or facilities of third-party manufacturers with which we contract for clinical and commercial supplies;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policies or regulations of the FDA, or comparable foreign regulatory authorities, may significantly change in a manner rendering our clinical data insufficient for approval.</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have limited experience in completing clinical trials of product candidates. Consequently, we may not have the necessary capabilities, including adequate staffing, to successfully manage the execution and completion of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even if we were to obtain approval, regulatory authorities may approve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have only submitted one NDA to the FDA and have not submitted any similar marketing applications to comparable foreign authorities, for any product candidate. On January 14, 2026 we submitted a sNDA for label expansion of IGALMI</w:t>
      </w:r>
      <w:r>
        <w:rPr>
          <w:rFonts w:ascii="Times New Roman;Times;serif" w:hAnsi="Times New Roman;Times;serif"/>
          <w:sz w:val="15"/>
        </w:rPr>
        <w:t>®</w:t>
      </w:r>
      <w:r>
        <w:rPr>
          <w:rFonts w:ascii="Times New Roman;Times;serif" w:hAnsi="Times New Roman;Times;serif"/>
          <w:sz w:val="20"/>
        </w:rPr>
        <w:t> in the at-home setting based on the data from the successful SERENITY At-Home trial, we cannot be certain that our submission will be approved, or that our other product candidates currently in development, or any than may be developed in the future, will be successful in clinical trials or receive regulatory approval. During the sNDA review cycle, the FDA requested we modify the child-resistant feature of the primary package of IGALMI</w:t>
      </w:r>
      <w:r>
        <w:rPr>
          <w:rFonts w:ascii="Times New Roman;Times;serif" w:hAnsi="Times New Roman;Times;serif"/>
          <w:sz w:val="15"/>
        </w:rPr>
        <w:t>®</w:t>
      </w:r>
      <w:r>
        <w:rPr>
          <w:rFonts w:ascii="Times New Roman;Times;serif" w:hAnsi="Times New Roman;Times;serif"/>
          <w:sz w:val="20"/>
        </w:rPr>
        <w:t> for use in the at-home setting. We plan to submit a new proposed package design to the FDA in response to their feedback. We have no assurance that the FDA will accept our proposed package design in a timely manner or at all. Any delays in the FDA’s review, feedback or approval of our proposed package design could have a negative impact on the likelihood of receiving approval for our sNDA on the PDUFA target action date of November 14, 2026.</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Further, our product candidates currently in development, or any that may be developed in the future, may not receive regulatory approval even if we believe they are successful in clinical trials. If we do not receive regulatory approvals for additional product candidates, we may not be able to continue our operations. For any regulatory approvals to market one or more of our product candidates, our revenues will be dependent, in part, upon the size of the markets in the territories for which we gain regulatory approval and have commercial rights. If the markets for patients that we are targeting for IGALMI</w:t>
      </w:r>
      <w:r>
        <w:rPr>
          <w:rFonts w:ascii="Times New Roman;Times;serif" w:hAnsi="Times New Roman;Times;serif"/>
          <w:sz w:val="15"/>
        </w:rPr>
        <w:t>®</w:t>
      </w:r>
      <w:r>
        <w:rPr>
          <w:rFonts w:ascii="Times New Roman;Times;serif" w:hAnsi="Times New Roman;Times;serif"/>
          <w:sz w:val="20"/>
        </w:rPr>
        <w:t xml:space="preserve"> or our other product candidates are not as significant as we estimate, we may not generate significant revenues from sales of IGALMI</w:t>
      </w:r>
      <w:r>
        <w:rPr>
          <w:rFonts w:ascii="Times New Roman;Times;serif" w:hAnsi="Times New Roman;Times;serif"/>
          <w:sz w:val="15"/>
        </w:rPr>
        <w:t>®</w:t>
      </w:r>
      <w:r>
        <w:rPr>
          <w:rFonts w:ascii="Times New Roman;Times;serif" w:hAnsi="Times New Roman;Times;serif"/>
          <w:sz w:val="20"/>
        </w:rPr>
        <w:t xml:space="preserve"> or such other product candidates, if approved.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plan to seek regulatory approval to commercialize our product candidates in the U.S., the European Union (“EU”)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The CTR transition period ended on January 31, 2025, and all clinical trials (and related applications) are now fully subject to the provisions of the CTR.</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we are slow or unable to adapt to changes in existing requirements or the adoption of new requirements or policies governing clinical trials, our development plans may be impacted.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Clinical trials are expensive, time-consuming, difficult to design, difficult to conduct, and involve an uncertain outcome.</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in accordance with applicable law and regulations. Failure can occur at any time during the clinical trial process. We have completed the SERENITY At-Home trial evaluating the safety of BXCL501 and, on January 14, 2026, submitted an sNDA for label expansion of IGALMI</w:t>
      </w:r>
      <w:r>
        <w:rPr>
          <w:rFonts w:ascii="Times New Roman;Times;serif" w:hAnsi="Times New Roman;Times;serif"/>
          <w:sz w:val="15"/>
        </w:rPr>
        <w:t>®</w:t>
      </w:r>
      <w:r>
        <w:rPr>
          <w:rFonts w:ascii="Times New Roman;Times;serif" w:hAnsi="Times New Roman;Times;serif"/>
          <w:sz w:val="20"/>
        </w:rPr>
        <w:t> in the at-home setting based on the data from the successful SERENITY At-Home trial and are planning for certain clinical trials relating to BXCL501, BXCL701, BXCL502 and our other product candidates, there can be no assurance that the FDA, or other comparable foreign regulatory authorities, will accept our submission or proposed trial designs as sufficient to establish the safety and/or efficacy of our product candidates.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disagreeing as to the design or implementation of our 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regulatory allowances or authorizations to commence a trial or consensus with regulatory authorities on trial designs;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reaching agreement on acceptable terms with prospective contract research organizations (“CROs”) and clinical trial sites, the terms of which can be subject to extensive negotiation and may vary significantly among different CROs and trial 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institutional review board approval at each site, or independent ethics committee approval at any sites outside the U.S.;</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the needs and timing of third-party collaborators;</w:t>
            </w:r>
          </w:p>
        </w:tc>
      </w:tr>
    </w:tbl>
    <w:tbl>
      <w:tblPr>
        <w:tblW w:w="3306" w:type="dxa"/>
        <w:jc w:val="left"/>
        <w:tblInd w:w="0" w:type="dxa"/>
        <w:tblLayout w:type="fixed"/>
        <w:tblCellMar>
          <w:top w:w="28" w:type="dxa"/>
          <w:left w:w="28" w:type="dxa"/>
          <w:bottom w:w="28" w:type="dxa"/>
          <w:right w:w="28" w:type="dxa"/>
        </w:tblCellMar>
      </w:tblPr>
      <w:tblGrid>
        <w:gridCol w:w="124"/>
        <w:gridCol w:w="256"/>
        <w:gridCol w:w="2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clinical trial protocols;</w:t>
            </w:r>
          </w:p>
        </w:tc>
      </w:tr>
    </w:tbl>
    <w:tbl>
      <w:tblPr>
        <w:tblW w:w="8271" w:type="dxa"/>
        <w:jc w:val="left"/>
        <w:tblInd w:w="0" w:type="dxa"/>
        <w:tblLayout w:type="fixed"/>
        <w:tblCellMar>
          <w:top w:w="28" w:type="dxa"/>
          <w:left w:w="28" w:type="dxa"/>
          <w:bottom w:w="28" w:type="dxa"/>
          <w:right w:w="28" w:type="dxa"/>
        </w:tblCellMar>
      </w:tblPr>
      <w:tblGrid>
        <w:gridCol w:w="124"/>
        <w:gridCol w:w="25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recruiting suitable patients to participate in a trial in a timely manner and in sufficient numbers;</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sites deviating from trial protocol or dropping out of a trial;</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patient safety concerns that arise during the course of a trial;</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patients complete a trial or return for post-treatment follow-up;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imposition of a clinical hold by regulatory authorities, including as a result of unforeseen safety issues or side effects or failure of trial sites to adhere to regulatory requirements;</w:t>
            </w:r>
          </w:p>
        </w:tc>
      </w:tr>
    </w:tbl>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SAEs in trials of the same class of agents conducted by other companies or institutions;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subjects choosing an alternative treatment for the indications for which we are developing our product candidates, or participating in competing trials;</w:t>
            </w:r>
          </w:p>
        </w:tc>
      </w:tr>
    </w:tbl>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adding a sufficient number of clinical trial sites;</w:t>
            </w:r>
          </w:p>
        </w:tc>
      </w:tr>
    </w:tbl>
    <w:tbl>
      <w:tblPr>
        <w:tblW w:w="7206" w:type="dxa"/>
        <w:jc w:val="left"/>
        <w:tblInd w:w="0" w:type="dxa"/>
        <w:tblLayout w:type="fixed"/>
        <w:tblCellMar>
          <w:top w:w="28" w:type="dxa"/>
          <w:left w:w="28" w:type="dxa"/>
          <w:bottom w:w="28" w:type="dxa"/>
          <w:right w:w="28" w:type="dxa"/>
        </w:tblCellMar>
      </w:tblPr>
      <w:tblGrid>
        <w:gridCol w:w="124"/>
        <w:gridCol w:w="256"/>
        <w:gridCol w:w="6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sufficient quantities of a product candidate for use in clinical trials;</w:t>
            </w:r>
          </w:p>
        </w:tc>
      </w:tr>
    </w:tbl>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adequate funding to initiate or continue clinical trials;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selection of clinical end points that require prolonged periods of clinical observation or analysis of the resulting data;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facility manufacturing our product candidates or any of their components being ordered by the FDA, or comparable foreign regulatory authorities, to temporarily or permanently shut down due to violations of current good manufacturing practice (“cGMP”) regulations or other applicable requirements, or infections or cross-contaminations of product candidates in the manufacturing process;</w:t>
            </w:r>
          </w:p>
        </w:tc>
      </w:tr>
    </w:tbl>
    <w:tbl>
      <w:tblPr>
        <w:tblW w:w="6651" w:type="dxa"/>
        <w:jc w:val="left"/>
        <w:tblInd w:w="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to our manufacturing process that may be necessary or desired;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clinical investigators losing the licenses or permits necessary to perform our clinical trials, not performing our clinical trials on our anticipated schedule or consistent with the clinical trial protocol, GCPs or other regulatory requirements;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contractors not performing data collection or analysis in a timely or accurate manner; third-party contractors not complying with training and trial protocol; or third-party contractors becoming debarred or suspended or otherwise penalized by the FDA, such as in the case of the recent events relating to the TRANQUILITY II clinical trial,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could encounter delays if a clinical trial is suspended or terminated by us, by the IRBs of the institutions in which such trials are being conducted, by the Data Safety Monitoring Board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 which increases the risk that such CROs or trial sites may fail to perform in accordance with regulatory requirements, clinical trial protocols or with the agreements governing their services to us. For example, investigator misconduct affecting our TRANQUILITY II trial, which evaluated BXCL501 in patients with probable Alzheimer’s disease, may have a material adverse impact on our development program for BXCL501 in these patients, as described more fully in the risk factor above entitled: “</w:t>
      </w:r>
      <w:r>
        <w:rPr>
          <w:rFonts w:ascii="Times New Roman;Times;serif" w:hAnsi="Times New Roman;Times;serif"/>
          <w:i/>
          <w:sz w:val="20"/>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Times;serif" w:hAnsi="Times New Roman;Times;serif"/>
          <w:sz w:val="20"/>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due to differences in health care services or cultural customs, managing additional administrative burdens associated with foreign regulatory schemes, as well as political and economic risks relevant to such foreign countries. For example, current geopolitical conflicts in Eastern Europe and the Middle East may adversely impact our ability to conduct trials in those regions and elsewhere.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depend on enrollment and evaluation of patients in our clinical trials to continue development of our product candidates. If we are unable to enroll patients in our clinical trials, our research and development efforts could be adversely affected.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timely completion of clinical trials in accordance with their protocols depends, among other things, on our ability to enroll and evaluate a sufficient number of patients who remain in the study until its conclusion. We may experience difficulties in patient enrollment or evaluation in our clinical trials for a variety of reasons. Patient enrollment and evaluation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our ability to recruit clinical trial investigators with the appropriate competencies and experience, our ability to obtain and maintain patient consents, the risk that patients enrolled in clinical trials will drop out of the trials before evaluation or completion, the frequency of acute agitation symptoms in enrolled patients, the opportunity for evaluation of patients enrolled in our trials, and competing clinical trials and clinicians’ and patients’ perceptions as to the potential advantages of the drug being studied in relation to other available therapies, including any new drugs that may be approved for the indications we are investigating. Many pharmaceutical companies are conducting clinical trials in patients with the disease indications that our product candidates are designed to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BXCL502, BXCL701, BXCL702 and our other product candidates in patients, in many cases, is ongoing and it is possible that there may be side effects associated with their use. Results of our trials could reveal a high and unacceptable severity and prevalence of these or other side effects. For example, in our Phase 2 clinical trial of BXCL701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we observe drug-related AEs or other unacceptable safety concerns in clinical trials,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observed in our clinical trials and upon commercialization of any of our product candidates that may receive regulatory approval. Inadequate training in recognizing or managing the potential side effects of our product candidates could result in patient injury or death. Any of these occurrences may harm our business, financial condition and prospects significantly.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Additionally, if we or others later identify undesirable side effects caused by IGALMI</w:t>
      </w:r>
      <w:r>
        <w:rPr>
          <w:rFonts w:ascii="Times New Roman;Times;serif" w:hAnsi="Times New Roman;Times;serif"/>
          <w:sz w:val="15"/>
        </w:rPr>
        <w:t>®</w:t>
      </w:r>
      <w:r>
        <w:rPr>
          <w:rFonts w:ascii="Times New Roman;Times;serif" w:hAnsi="Times New Roman;Times;serif"/>
          <w:sz w:val="20"/>
        </w:rPr>
        <w:t xml:space="preserve"> or any other product candidate that receives marketing approval, a number of potentially significant negative consequences could result, including:</w:t>
      </w:r>
    </w:p>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approvals of such products;</w:t>
            </w:r>
          </w:p>
        </w:tc>
      </w:tr>
    </w:tbl>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recall a product or change the way such a product is administered to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restrictions may be imposed on the marketing or distribution of the particular product or the manufacturing processes for the product or any component thereof;</w:t>
            </w:r>
          </w:p>
        </w:tc>
      </w:tr>
    </w:tbl>
    <w:tbl>
      <w:tblPr>
        <w:tblW w:w="10176" w:type="dxa"/>
        <w:jc w:val="left"/>
        <w:tblInd w:w="0" w:type="dxa"/>
        <w:tblLayout w:type="fixed"/>
        <w:tblCellMar>
          <w:top w:w="28" w:type="dxa"/>
          <w:left w:w="28" w:type="dxa"/>
          <w:bottom w:w="28" w:type="dxa"/>
          <w:right w:w="28" w:type="dxa"/>
        </w:tblCellMar>
      </w:tblPr>
      <w:tblGrid>
        <w:gridCol w:w="124"/>
        <w:gridCol w:w="256"/>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additional warnings on the label, such as a “black box” warning or contraindication;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implement Risk Evaluation and Mitigation Strategies (“REMS”) or create a medication guide outlining the risks of such side effects for distribution to patients, or similar risk management measures;</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harm caused to patients;</w:t>
            </w:r>
          </w:p>
        </w:tc>
      </w:tr>
    </w:tbl>
    <w:tbl>
      <w:tblPr>
        <w:tblW w:w="4311" w:type="dxa"/>
        <w:jc w:val="left"/>
        <w:tblInd w:w="0" w:type="dxa"/>
        <w:tblLayout w:type="fixed"/>
        <w:tblCellMar>
          <w:top w:w="28" w:type="dxa"/>
          <w:left w:w="28" w:type="dxa"/>
          <w:bottom w:w="28" w:type="dxa"/>
          <w:right w:w="28" w:type="dxa"/>
        </w:tblCellMar>
      </w:tblPr>
      <w:tblGrid>
        <w:gridCol w:w="124"/>
        <w:gridCol w:w="25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may become less competitive; and</w:t>
            </w:r>
          </w:p>
        </w:tc>
      </w:tr>
    </w:tbl>
    <w:tbl>
      <w:tblPr>
        <w:tblW w:w="2616" w:type="dxa"/>
        <w:jc w:val="left"/>
        <w:tblInd w:w="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Any of these events could prevent us from achieving or maintaining market acceptance of the particular product or product candidate, if approved, and could significantly harm our business, results of operations and prospects.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The discovery and development of product candidates based on EvolverAI, BioXcel LLC’s proprietary pharmaceutical discovery and development engine, as well as our own AI platform is novel and unproven, and we do not know whether we will be able to develop any products of commercial value.</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Our drug discovery and development efforts depend on our own AI platform and BioXcel LLC’s EvolverAI, a proprietary pharmaceutical discovery and development engine,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our AI platform and BioXcel LLC’s EvolverAI to create medicines for defined patient populations may potentially enable drug research and clinical development that is more efficient than conventional drug research and development, our approach is novel. Although we obtained FDA approval for IGALMI</w:t>
      </w:r>
      <w:r>
        <w:rPr>
          <w:rFonts w:ascii="Times New Roman;Times;serif" w:hAnsi="Times New Roman;Times;serif"/>
          <w:sz w:val="15"/>
        </w:rPr>
        <w:t>®</w:t>
      </w:r>
      <w:r>
        <w:rPr>
          <w:rFonts w:ascii="Times New Roman;Times;serif" w:hAnsi="Times New Roman;Times;serif"/>
          <w:sz w:val="20"/>
        </w:rPr>
        <w:t>, because our approach is novel, the cost and time needed to develop our product candidates is difficult to predict, and our efforts may not result in the discovery and development of commercially viable medicines. We may also be incorrect about the effects of our product and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Artificial intelligence presents risks and challenges that can impact our business including by posing security risks to our confidential information, proprietary information, and personal data.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Additionally, our use of AI and machine learning may be subject to laws and evolving regulations regarding the use of AI or machine learning, controlling for data bias, and anti-discrimination, and we may not always be able to anticipate how to respond to these laws or regulations. Further, there is an increase in litigation in a number of jurisdictions, including the United States, relating to the use of AI, particularly generative AI.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The Company’s AI platform and BioXcel LLC’s EvolverAI may fail to help us discover and develop additional potential product candidates.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Any drug discovery that we conduct using the Company’s AI platform and BioXcel LLC’s EvolverAI may not be successful in identifying compounds that have commercial value or therapeutic utility. The Company’s AI platform and BioXcel LLC’s EvolverAI may initially show promise in identifying potential product candidates, yet fail to yield viable additional product candidates for clinical development or potential commercialization for a number of reasons,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compounds found through the Company’s AI platform and BioXcel LLC’s EvolverAI may not demonstrate efficacy, safety or tolerability;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product candidates may, on further study, be shown to have harmful side effects or other characteristics that indicate that they are unlikely to receive marketing approval and achieve market acceptance;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develop alternative therapies that render our potential product candidates non-competitive or less attractive; or</w:t>
            </w:r>
          </w:p>
        </w:tc>
      </w:tr>
    </w:tbl>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potential product candidate may not be capable of being produced at an acceptable cost.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future success in novel drug discovery and drug development projects depends on our ability to continue to develop and implement our proprietary AI algorithms and models, and to maintain the confidentiality of this technology. In addition to the current pause in further developing our AI platform, changes to existing regulations, their interpretation or implementation, or new regulations could impede our use of this technology or require that we disclose our proprietary technology to our competitors, which could impair our competitive position and result in an adverse effect on our business, results of operations and financial condition.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obtained Fast Track designation for certain of our product candidates,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a product candidate is intended for the treatment of a serious condition and nonclinical or clinical data demonstrate the potential to address unmet medical need for this condition, a product sponsor may apply for FDA Fast Track designation. The sponsor of a Fast Track product candidate has opportunities for more frequent interactions with the applicable FDA review team during product development and, once an NDA is submitted, the product candidate may be eligible for priority review if the relevant criteria are met.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obtained Fast Track designation for BXCL501 for the acute treatment of mild-to-moderate agitation associated with schizophrenia, bipolar disorder, and dementia, and we further obtained Fast Track designation for BXCL701, in combination with a checkpoint inhibitor, for the treatment of patients with metastatic SCNC with progression on chemotherapy and no evidence of microsatellite instability, and we may seek additional Fast Track designation for BXCL501 or BXCL701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obtained Breakthrough Therapy Designation for BXCL501 for the acute treatment of agitation associated with dementia, and we may seek additional Breakthrough Therapy designations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also receive the benefits associated with Fast Track designation, including the potential for rolling review of an NDA.</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or decide that the period for FDA review or approval will not be shortened.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intend to seek FDA approval through the 505(b)(2) regulatory pathway for certain of our product candidates. The Hatch-Waxman Act added Section 505(b)(2) to the Federal Food, Drug and Cosmetic Act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sz w:val="20"/>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r>
        <w:rPr>
          <w:rFonts w:ascii="Times New Roman;Times;serif" w:hAnsi="Times New Roman;Times;serif"/>
          <w:sz w:val="20"/>
        </w:rPr>
        <w:t xml:space="preserv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may decide to collaborate with patient diagnostic companies during our clinical trial enrollment process for BXCL701 to help identify patients with tumor gene alterations that we believe may be most likely to respond to treatment with BXCL701. The process of obtaining or creating such diagnostic is time consuming and costly.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 In January 2024, the FDA announced that it intends to initiate the process to reclassify most in vitro diagnostic tests (“IVDs”) that are currently Class III into Class II, including companion diagnostic IVDs. If such reclassification efforts occur, any companion diagnostics that are the subject of the down-classification may no longer require premarket approval, but rather may be marketed pursuant to the generally less burdensome 510(k) clearance process. However, there is no assurance that any companion diagnostic required for our pharmaceutical development programs will benefit from the reclassification, or that the reclassification, even if it does occur, will result in a shorter timeline to development or marketing of the companion diagnostic.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the FDA, or a comparable foreign regulatory authority, requires approval (or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 delay or prevent approval or continued marketing of our related product candidates.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Approval, clearance or certification of companion diagnostics may be subject to further legislative or regulatory reforms notably in the EU. On May 25, 2017, the new In Vitro Medical Devices Regulation No. 2017/746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became effective in May 2022. However, on October 14, 2021, the European Commission proposed a “progressive” roll-out of the IVDR to prevent disruption in the supply of in vitro diagnostic medical devices. The European Parliament and Council adopted the proposed regulation on December 15, 2021. The IVDR has applied since May 26, 2022, but there is a tiered system extending the grace period for many devices (depending on their risk classification) before they have to be fully compliant with the regulation.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regulation of companion diagnostics in the EU is subject to further requirements since the IVDR became applicable as it introduced a new classification system for companion diagnostics.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(“MA”) application for the medicinal product has been submitted through the centralized procedure. For other substances, the notified body can seek the opinion from a national competent authority or the EMA.</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These modifications may make it more difficult and costly for us to obtain regulatory clearances, approvals or certifications for our companion diagnostics or to manufacture, market or distribute our products after clearance, approval or certification is obtained.</w:t>
      </w:r>
    </w:p>
    <w:p>
      <w:pPr>
        <w:pStyle w:val="TextBody"/>
        <w:bidi w:val="0"/>
        <w:spacing w:lineRule="auto" w:line="240" w:before="0" w:after="200"/>
        <w:ind w:left="0" w:right="0" w:hanging="0"/>
        <w:jc w:val="left"/>
        <w:rPr>
          <w:rFonts w:ascii="Times New Roman;Times;serif" w:hAnsi="Times New Roman;Times;serif"/>
          <w:b/>
          <w:i/>
          <w:sz w:val="20"/>
        </w:rPr>
      </w:pPr>
      <w:r>
        <w:rPr>
          <w:rFonts w:ascii="Times New Roman;Times;serif" w:hAnsi="Times New Roman;Times;serif"/>
          <w:b/>
          <w:i/>
          <w:sz w:val="20"/>
        </w:rPr>
        <w:t>Although the FDA has approved IGALMI</w:t>
      </w:r>
      <w:r>
        <w:rPr>
          <w:rFonts w:ascii="Times New Roman;Times;serif" w:hAnsi="Times New Roman;Times;serif"/>
          <w:b/>
          <w:i/>
          <w:sz w:val="15"/>
        </w:rPr>
        <w:t>®</w:t>
      </w:r>
      <w:r>
        <w:rPr>
          <w:rFonts w:ascii="Times New Roman;Times;serif" w:hAnsi="Times New Roman;Times;serif"/>
          <w:b/>
          <w:i/>
          <w:sz w:val="20"/>
        </w:rPr>
        <w:t xml:space="preserve"> for the acute treatment of agitation associated with schizophrenia or bipolar I or II disorder, we will still face extensive and ongoing regulatory requirements and obligations for IGALMI</w:t>
      </w:r>
      <w:r>
        <w:rPr>
          <w:rFonts w:ascii="Times New Roman;Times;serif" w:hAnsi="Times New Roman;Times;serif"/>
          <w:b/>
          <w:i/>
          <w:sz w:val="15"/>
        </w:rPr>
        <w:t>®</w:t>
      </w:r>
      <w:r>
        <w:rPr>
          <w:rFonts w:ascii="Times New Roman;Times;serif" w:hAnsi="Times New Roman;Times;serif"/>
          <w:b/>
          <w:i/>
          <w:sz w:val="20"/>
        </w:rPr>
        <w:t xml:space="preserve"> and for any product candidates for which we obtain approval.</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Any regulatory approvals that we may receive for IGALMI</w:t>
      </w:r>
      <w:r>
        <w:rPr>
          <w:rFonts w:ascii="Times New Roman;Times;serif" w:hAnsi="Times New Roman;Times;serif"/>
          <w:sz w:val="15"/>
        </w:rPr>
        <w:t>®</w:t>
      </w:r>
      <w:r>
        <w:rPr>
          <w:rFonts w:ascii="Times New Roman;Times;serif" w:hAnsi="Times New Roman;Times;serif"/>
          <w:sz w:val="20"/>
        </w:rPr>
        <w:t xml:space="preserve"> or any of our product candidates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FDA-approved label for IGALMI</w:t>
      </w:r>
      <w:r>
        <w:rPr>
          <w:rFonts w:ascii="Times New Roman;Times;serif" w:hAnsi="Times New Roman;Times;serif"/>
          <w:sz w:val="15"/>
        </w:rPr>
        <w:t>®</w:t>
      </w:r>
      <w:r>
        <w:rPr>
          <w:rFonts w:ascii="Times New Roman;Times;serif" w:hAnsi="Times New Roman;Times;serif"/>
          <w:sz w:val="20"/>
        </w:rPr>
        <w:t xml:space="preserve"> includes certain warnings and precautions regarding hypotension, orthostatic hypotension, bradycardia, somnolence, and QT interval prolongation. The FDA may also require a REMS to approve a product candidate, which could entail requirements for a medication guide, physician training and communication plans or additional elements to ensure safe use, such as restricted distribution methods, patient registries and other risk minimization tools.</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In addition, the manufacturing processes, labeling, packaging, distribution, AE reporting, storage, advertising, promotion, import, export and recordkeeping for IGALMI</w:t>
      </w:r>
      <w:r>
        <w:rPr>
          <w:rFonts w:ascii="Times New Roman;Times;serif" w:hAnsi="Times New Roman;Times;serif"/>
          <w:sz w:val="15"/>
        </w:rPr>
        <w:t>®</w:t>
      </w:r>
      <w:r>
        <w:rPr>
          <w:rFonts w:ascii="Times New Roman;Times;serif" w:hAnsi="Times New Roman;Times;serif"/>
          <w:sz w:val="20"/>
        </w:rPr>
        <w:t xml:space="preserve"> are and will remain subject to extensive and ongoing regulatory requirements. These requirements include submissions of safety and other post-marketing information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reports, registration, and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AEs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discovery of previously unknown AEs or other problems with our products, manufacturers or manufacturing processes or failure to comply with regulatory requirements, may yield various results, including:</w:t>
      </w:r>
    </w:p>
    <w:tbl>
      <w:tblPr>
        <w:tblW w:w="4146" w:type="dxa"/>
        <w:jc w:val="left"/>
        <w:tblInd w:w="0" w:type="dxa"/>
        <w:tblLayout w:type="fixed"/>
        <w:tblCellMar>
          <w:top w:w="28" w:type="dxa"/>
          <w:left w:w="28" w:type="dxa"/>
          <w:bottom w:w="28" w:type="dxa"/>
          <w:right w:w="28" w:type="dxa"/>
        </w:tblCellMar>
      </w:tblPr>
      <w:tblGrid>
        <w:gridCol w:w="124"/>
        <w:gridCol w:w="256"/>
        <w:gridCol w:w="3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manufacturing such products;</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labeling or marketing of products;</w:t>
            </w:r>
          </w:p>
        </w:tc>
      </w:tr>
    </w:tbl>
    <w:tbl>
      <w:tblPr>
        <w:tblW w:w="5226" w:type="dxa"/>
        <w:jc w:val="left"/>
        <w:tblInd w:w="0" w:type="dxa"/>
        <w:tblLayout w:type="fixed"/>
        <w:tblCellMar>
          <w:top w:w="28" w:type="dxa"/>
          <w:left w:w="28" w:type="dxa"/>
          <w:bottom w:w="28" w:type="dxa"/>
          <w:right w:w="28" w:type="dxa"/>
        </w:tblCellMar>
      </w:tblPr>
      <w:tblGrid>
        <w:gridCol w:w="124"/>
        <w:gridCol w:w="256"/>
        <w:gridCol w:w="4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product manufacturing, distribution or use;</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requirements to conduct post-marketing studies or clinical trials;</w:t>
            </w:r>
          </w:p>
        </w:tc>
      </w:tr>
    </w:tbl>
    <w:tbl>
      <w:tblPr>
        <w:tblW w:w="3231" w:type="dxa"/>
        <w:jc w:val="left"/>
        <w:tblInd w:w="0" w:type="dxa"/>
        <w:tblLayout w:type="fixed"/>
        <w:tblCellMar>
          <w:top w:w="28" w:type="dxa"/>
          <w:left w:w="28" w:type="dxa"/>
          <w:bottom w:w="28" w:type="dxa"/>
          <w:right w:w="28" w:type="dxa"/>
        </w:tblCellMar>
      </w:tblPr>
      <w:tblGrid>
        <w:gridCol w:w="124"/>
        <w:gridCol w:w="256"/>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warning letters or untitled letters;</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the products from the market;</w:t>
            </w:r>
          </w:p>
        </w:tc>
      </w:tr>
    </w:tbl>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approve pending applications or supplements to approved applications that we submit;</w:t>
            </w:r>
          </w:p>
        </w:tc>
      </w:tr>
    </w:tbl>
    <w:tbl>
      <w:tblPr>
        <w:tblW w:w="2001" w:type="dxa"/>
        <w:jc w:val="left"/>
        <w:tblInd w:w="0" w:type="dxa"/>
        <w:tblLayout w:type="fixed"/>
        <w:tblCellMar>
          <w:top w:w="28" w:type="dxa"/>
          <w:left w:w="28" w:type="dxa"/>
          <w:bottom w:w="28" w:type="dxa"/>
          <w:right w:w="28" w:type="dxa"/>
        </w:tblCellMar>
      </w:tblPr>
      <w:tblGrid>
        <w:gridCol w:w="124"/>
        <w:gridCol w:w="256"/>
        <w:gridCol w:w="1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recall of products;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restitution or disgorgement of profits or revenues;</w:t>
            </w:r>
          </w:p>
        </w:tc>
      </w:tr>
    </w:tbl>
    <w:tbl>
      <w:tblPr>
        <w:tblW w:w="4566" w:type="dxa"/>
        <w:jc w:val="left"/>
        <w:tblInd w:w="0" w:type="dxa"/>
        <w:tblLayout w:type="fixed"/>
        <w:tblCellMar>
          <w:top w:w="28" w:type="dxa"/>
          <w:left w:w="28" w:type="dxa"/>
          <w:bottom w:w="28" w:type="dxa"/>
          <w:right w:w="28" w:type="dxa"/>
        </w:tblCellMar>
      </w:tblPr>
      <w:tblGrid>
        <w:gridCol w:w="124"/>
        <w:gridCol w:w="256"/>
        <w:gridCol w:w="4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or withdrawal of marketing approvals;</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permit the import or export of our products;</w:t>
            </w:r>
          </w:p>
        </w:tc>
      </w:tr>
    </w:tbl>
    <w:tbl>
      <w:tblPr>
        <w:tblW w:w="2046" w:type="dxa"/>
        <w:jc w:val="left"/>
        <w:tblInd w:w="0" w:type="dxa"/>
        <w:tblLayout w:type="fixed"/>
        <w:tblCellMar>
          <w:top w:w="28" w:type="dxa"/>
          <w:left w:w="28" w:type="dxa"/>
          <w:bottom w:w="28" w:type="dxa"/>
          <w:right w:w="28" w:type="dxa"/>
        </w:tblCellMar>
      </w:tblPr>
      <w:tblGrid>
        <w:gridCol w:w="124"/>
        <w:gridCol w:w="256"/>
        <w:gridCol w:w="1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seizure; or</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Further, the policies of the FDA and other regulatory authorities may change, and additional government regulations may be enacted that could impose extensive and ongoing regulatory requirements and obligations on any product candidate for which we obtain marketing approval. We also cannot predict the likelihood, nature or extent of government regulation that may arise from future legislation or administrative or executive action, either in the U.S. or abroad.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The FDA and other regulatory agencies actively enforce the laws and regulations prohibiting the promotion of off-label uses.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The FDA and other regulatory authorities strictly regulate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or any other regulatory authority may grant is limited to those specific diseases and indications for which a product is deemed to be safe and effective. For example, the FDA-approved label for IGALMI</w:t>
      </w:r>
      <w:r>
        <w:rPr>
          <w:rFonts w:ascii="Times New Roman;Times;serif" w:hAnsi="Times New Roman;Times;serif"/>
          <w:sz w:val="15"/>
        </w:rPr>
        <w:t>®</w:t>
      </w:r>
      <w:r>
        <w:rPr>
          <w:rFonts w:ascii="Times New Roman;Times;serif" w:hAnsi="Times New Roman;Times;serif"/>
          <w:sz w:val="20"/>
        </w:rPr>
        <w:t xml:space="preserve"> is currently limited to the acute treatment of agitation associated with schizophrenia or bipolar I or II disorder in adults to be self-administrated by patients under the supervision of a health care provider.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While physicians in the U.S. may choose, and are generally permitted, to prescribe drugs for uses that are not described in the product’s labeling and for uses that differ from those tested in clinical trials and approved by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00"/>
        <w:ind w:left="0" w:right="0" w:hanging="0"/>
        <w:jc w:val="left"/>
        <w:rPr>
          <w:rFonts w:ascii="Times New Roman;Times;serif" w:hAnsi="Times New Roman;Times;serif"/>
          <w:sz w:val="20"/>
        </w:rPr>
      </w:pPr>
      <w:r>
        <w:rPr>
          <w:rFonts w:ascii="Times New Roman;Times;serif" w:hAnsi="Times New Roman;Times;serif"/>
          <w:sz w:val="20"/>
        </w:rPr>
        <w:t>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other formulations of Dex, the active ingredient in IGALMI</w:t>
      </w:r>
      <w:r>
        <w:rPr>
          <w:rFonts w:ascii="Times New Roman;Times;serif" w:hAnsi="Times New Roman;Times;serif"/>
          <w:sz w:val="15"/>
        </w:rPr>
        <w:t>®</w:t>
      </w:r>
      <w:r>
        <w:rPr>
          <w:rFonts w:ascii="Times New Roman;Times;serif" w:hAnsi="Times New Roman;Times;serif"/>
          <w:sz w:val="20"/>
        </w:rPr>
        <w:t>, have been approved for uses beyond those authorized in IGALMI</w:t>
      </w:r>
      <w:r>
        <w:rPr>
          <w:rFonts w:ascii="Times New Roman;Times;serif" w:hAnsi="Times New Roman;Times;serif"/>
          <w:sz w:val="15"/>
        </w:rPr>
        <w:t>®</w:t>
      </w:r>
      <w:r>
        <w:rPr>
          <w:rFonts w:ascii="Times New Roman;Times;serif" w:hAnsi="Times New Roman;Times;serif"/>
          <w:sz w:val="20"/>
        </w:rPr>
        <w:t xml:space="preserve"> approved labeling, such as for use in sedation of surgical patients, and we are continuing to develop BXCL501 for potential use in patients with dementia, MDD, Alzheimer’s disease and other indications. We do not market or promote IGALMI</w:t>
      </w:r>
      <w:r>
        <w:rPr>
          <w:rFonts w:ascii="Times New Roman;Times;serif" w:hAnsi="Times New Roman;Times;serif"/>
          <w:sz w:val="15"/>
        </w:rPr>
        <w:t>®</w:t>
      </w:r>
      <w:r>
        <w:rPr>
          <w:rFonts w:ascii="Times New Roman;Times;serif" w:hAnsi="Times New Roman;Times;serif"/>
          <w:sz w:val="20"/>
        </w:rPr>
        <w:t xml:space="preserve"> for these uses.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Regulatory authorities in the U.S. generally do not regulate the behavior of physicians in their choice of treatments. Regulatory authorities do, however, restrict communications by pharmaceutical companies on off-label use. If we are found to have promoted our products for any off-label uses, the U.S. federal government (and other foreign governments) could levy civil, criminal and/or administrative penalties, and seek fines against us. The FDA, or other regulatory authorities, could also require that we enter into a consent decree or a corporate integrity agreement, or seek a permanent injunction against us under which specified promotional conduct is monitored, changed or curtailed. If we cannot successfully manage the promotion of IGALMI</w:t>
      </w:r>
      <w:r>
        <w:rPr>
          <w:rFonts w:ascii="Times New Roman;Times;serif" w:hAnsi="Times New Roman;Times;serif"/>
          <w:sz w:val="15"/>
        </w:rPr>
        <w:t>®</w:t>
      </w:r>
      <w:r>
        <w:rPr>
          <w:rFonts w:ascii="Times New Roman;Times;serif" w:hAnsi="Times New Roman;Times;serif"/>
          <w:sz w:val="20"/>
        </w:rPr>
        <w:t xml:space="preserve"> or our product candidates, if approved, we could become subject to significant liability, which would materially adversely affect our business and financial condition.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Disruptions at the FDA and other government agencies caused by funding shortages or staffing reductions could prevent new or modified products from being developed, approved or commercialized in a timely manner or at all, which could negatively impact our business.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of some of these aforementioned issues.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April 2025, the Trump administration conducted unprecedented layoffs at several U.S. health agencies, including the FDA, the Department of Health and Human Services, the Centers for Disease Control and Prevention and the National Institutes of Health, which is expected to impact the FDA’s ability to review and approve new medicines and conduct necessary inspections. In addition, government funding of the FDA, SEC, and other government agencies on which our operations may rely, including those that fund research and development activities is subject to the political process, which is inherently fluid and unpredictable. For example, in the fourth quarter of 2025, the U.S. government was on shutdown for a meaningful period of time and has previously shut down several times, and certain regulatory agencies, such as the FDA, had to furlough critical employees and stop critical activities.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To the extent the FDA’s normal operations are disrupted or delayed for a prolonged period of time, for example due to government shutdowns, travel restrictions, public health or geopolitical issues, staffing shortages, layoffs or lack of funding, the FDA may not be able to complete the necessary inspections or provide feedback in a timely manner during our clinical development or review period. If any such delays or disruptions were to occur, it could significantly impact the ability of the FDA or other regulatory authorities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conduct certain of or portions of our clinical trials for our product candidates outside of the U.S. and the FDA may not accept data from such trials, in which case our development plans will be delayed, which could materially harm our business.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may choose to conduct one or more of our clinical trials or a portion of our clinical trials for our product candidates outside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clinical trial was not otherwise subject to an IND, the FDA will not accept the data as support for an application for marketing approval unless the study was 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could result in current or future product candidates that we may develop not receiving approval for commercialization in the applicable jurisdiction.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Changes in U.S. trade policy and the impact of tariffs may have a material adverse effect on our business, results of operations and financial condition.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business, results of operations and financial condition may be adversely affected by uncertainty and changes in U.S. trade policies, including tariffs, quotas, trade agreements or other trade restrictions imposed by the U.S. or other governments. For example, in April 2025, the U.S. government announced a 10% tariff on product imports from almost all countries and individualized higher tariffs on certain other countries. On October 10, 2025, the U.S. Government announced a 100% tariff on all product imports from China, bringing the total China tariff rate to 130% tariff effective November 1, 2025. While several tariff announcements have been followed by announcements of limited exemptions and temporary pauses, in February 2026, the U.S. Supreme Court issued a ruling striking down certain tariffs previously imposed under the International Emergency Economic Powers Act (“IEEPA”). Following the Supreme Court’s decision, the U.S. presidential administration announced its intention to invoke other laws to collect tariffs and announced new tariffs on imports from all countries, in addition to any existing non-IEEPA tariffs. These actions have caused substantial uncertainty and volatility in financial markets and may result in retaliatory measures on U.S. goods. On April 2, 2026, the U.S. presidential administration issued a proclamation under Section 232 of the Trade Expansion Act of 1962 imposing a 100% ad valorem duty on the import of patented pharmaceutical products listed in the FDA's Orange Book or Purple Book, as well as their associated active pharmaceutical ingredients. These tariffs are subject to specified exclusions for generic pharmaceuticals, biosimilars, and orphan drugs. A reduced 20% rate is available for companies with onshoring plans approved by the Secretary of Commerce, though this rate is scheduled to increase to 100% over a four-year period. The tariffs become effective on July 31, 2026, for certain large companies and on September 29, 2026, for all other companies. Because IGALMI® is listed in the Orange Book and is not currently a generic, biosimilar, or orphan drug, we may be subject to these duties to the extent any portion of IGALMI® or its active pharmaceutical ingredient is sourced from outside the United States. While the ultimate impact is uncertain, these tariffs could materially increase our manufacturing costs, which we may be unable to pass on to customers. Furthermore, because Section 232 tariffs were not within the scope of the U.S. Supreme Court’s Learning Resources Inc. v. Trump 610 U.S. (02/20/2026) decision striking down certain IEEPA-based duties, they may be more resilient to legal challenge.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business requires access to materials to manufacture our products, some of which we source from suppliers located outside the United States. Any imposition of or increase in tariffs or other restrictions on imports of materials on which our products rely, as well as corresponding price increases for such materials available domestically, if any, could increase our costs. We would likely be unable to pass all or any such cost increases on to our customers and such cost increases could materially and adversely affect our business, results of operations and financial condition, including our gross margin.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Tariffs or other trade restrictions may lead to continuing uncertainty and volatility in U.S. and global financial and economic conditions and commodity markets, declining consumer confidence, significant inflation and diminished expectations for the economy. Such conditions could have a material adverse impact on our business, results of operations and financial position. Also, disruptions and volatility in the financial markets may lead to adverse changes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the availability, terms and cost of capital. Such adverse changes could increase our costs of capital and limit our access to external financing sources</w:t>
      </w:r>
      <w:r>
        <w:rPr>
          <w:rFonts w:ascii="Times New Roman;Times;serif" w:hAnsi="Times New Roman;Times;serif"/>
          <w:b/>
          <w:i/>
          <w:sz w:val="20"/>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be subject to extensive regulations outside the U.S. and may not obtain marketing approvals for products in Europe and other jurisdictions.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In addition to regulations in the U.S., should we or our collaborators pursue marketing approvals for IGALMI</w:t>
      </w:r>
      <w:r>
        <w:rPr>
          <w:rFonts w:ascii="Times New Roman;Times;serif" w:hAnsi="Times New Roman;Times;serif"/>
          <w:sz w:val="15"/>
        </w:rPr>
        <w:t>®</w:t>
      </w:r>
      <w:r>
        <w:rPr>
          <w:rFonts w:ascii="Times New Roman;Times;serif" w:hAnsi="Times New Roman;Times;serif"/>
          <w:sz w:val="20"/>
        </w:rPr>
        <w:t>, and for BXCL501, BXCL502, BXCL701, BXCL702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expect to pursue marketing approvals for IGALMI</w:t>
      </w:r>
      <w:r>
        <w:rPr>
          <w:rFonts w:ascii="Times New Roman;Times;serif" w:hAnsi="Times New Roman;Times;serif"/>
          <w:sz w:val="15"/>
        </w:rPr>
        <w:t>®</w:t>
      </w:r>
      <w:r>
        <w:rPr>
          <w:rFonts w:ascii="Times New Roman;Times;serif" w:hAnsi="Times New Roman;Times;serif"/>
          <w:sz w:val="20"/>
        </w:rPr>
        <w:t>, and may pursue marketing approvals for BXCL501, BXCL502, BXCL701, BXCL702 and our other product candidates in Europe and other jurisdictions outside the U.S. with collaborative partners. The time and process required to obtain regulatory approvals and reimbursement in Europe and other jurisdictions may be different from those in the U.S. Also, regulatory approval in one jurisdiction does not ensure approvals in any other jurisdiction; however, negative regulatory decisions in any jurisdiction may have a negative impact on the regulatory process in other jurisdictions.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Following a national referendum and enactment of legislation by the government of the United Kingdom (“UK”), the UK formally withdrew from the EU on January 31, 2020 and ratified a trade and cooperation agreement governing its future relationship (commonly referred to as “Brexit”). The agreement, which was applied provisionally from January 1, 2021 and entered into force on May 1, 2021, addresses trade, economic arrangements, law enforcement, judicial cooperation and a governance framework including procedures for dispute resolution, among other things. Because the agreement merely sets forth a framework in many respects and requires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Since January 1, 2021, the UK operates under a distinct regulatory regime to the EU. EU pharmaceutical laws only apply in respect of the UK to Northern Ireland (as set out in the Protocol on Ireland/Northern Ireland). EU laws which have been transposed into UK law through secondary legislation continue to be applicable as “retained EU law”. While the UK has indicated a general intention that new laws regarding the development, manufacture and commercialization of medicinal products in the UK will align closely with EU law, there are limited detailed proposals for future regulation of medicinal products. The trade and cooperation agreement includes specific provisions concerning medicinal products, which include the mutual recognition of cGMP, inspections of manufacturing facilities for medicinal products and cGMP documents issued (such mutual recognition can be rejected by either party in certain circumstances) but does not foresee wholesale mutual recognition of UK and EU pharmaceutical regulations. For example, it is not clear to what extent the UK will adopt legislation aligned with, or similar to, the EU CTR which became applicable on January 31, 2022 and which significantly reforms the assessment and supervision processes for clinical trials throughout the EU. On January 17, 2022, the UK Medicines and Healthcare products Regulatory Agency (“MHRA”) launched an eight-week consultation on reframing the UK legislation for clinical trials which aimed to streamline clinical trials approvals, enable innovation, enhance clinical trials transparency, enable greater risk proportionality, and promote patient and public involvement in clinical trials. The MHRA responded to the consultation on March 21, 2023 and confirmed that it would bring forward changes to the legislation. The final legal texts introduced by the UK Government will ultimately determine the extent to which the UK clinical trials framework aligns with or diverges from the EU CTR. A decision by the UK not to closely align its regulations with the new approach that will be adopted in the EU may have an effect on the cost of conducting clinical trials in the UK as opposed to other countries.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Therefore, there remains political and economic uncertainty regarding to what extent the regulation of medicinal products will differ between the UK and the EU in the future. Any divergences will increase the cost and complexity of running our business, including with respect to the conduct of clinical trials. Brexit also materially impacted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regulatory regime with respect to the approval of our product candidates. Great Britain is no longer covered by the EU’s procedures for the grant of MAs (Northern Ireland is covered by the centralized authorization procedure and can be covered under the decentralized or mutual recognition procedures). As of January 1, 2021, all existing centralized MAs were automatically converted into UK MAs effective in Great Britain and issued with a UK MA number on January 1, 2021 (unless MA holders opted out of this scheme). A separate MA is now required to market drugs in Great Britain. It is currently unclear whether the regulator in the UK, the MHRA, is sufficiently prepared to handle the increased volume of MA applications that it is likely to receive. Any delay in obtaining, or an inability to obtain, any regulatory approvals, as a result of Brexit or otherwise, would prevent us from commercializing our product candidates in Great Britain and restrict our ability to generate revenue and achieve and sustain profitability. If any of these outcomes occur, we may be forced to restrict or delay efforts to seek regulatory approval in Great Britain for our product candidates, which could significantly and materially harm our business. Any of these factors could have a significant adverse effect on our business, financial condition, results of operations and prospects.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we are found in violation of federal, state or foreign health care “fraud and abuse” laws, we may be required to pay significant fines and penalties, including, without limitation, debarment, suspension or exclusion from participation in federal, state or similar health care programs, which may adversely affect our business, financial condition and 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the U.S., we are subject to various federal and state health care “fraud and abuse” laws, including anti- kickback laws, false claims laws and other laws intended to reduce fraud and abuse in federal and state health care programs, which could affect us, and our ability to successfully commercialize our products in the U.S. We may have to comply with similar laws and regulations outside the U.S. These laws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 Insurance Portability and Accountability Act of 1996 (“HIPAA”) prohibits persons or entities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Similar to the federal Anti- Kickback Statute, a person or entity does not need to have actual knowledge of these statutes or specific intent to violate them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civil monetary penalties laws, which impose civil fines for,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consumer protection and unfair competition laws, which broadly regulate marketplace activities and activities that potentially harm consumers;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physician sunshine requirements under the Patient Protection and Affordable Care Act, (“ACA”), which requires certain manufacturers of drugs, devices, biologics, and medical supplies to report annually to the Centers for Medicare &amp; Medicaid Services (“CMS”) information related to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and ownership and investment interests held by physicians and their immediate family members;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 care providers and other potential referral sources; and state laws that require drug manufacturers to report information related to payments and other transfers of value to physicians and other health care providers or marketing expenditures and pricing information;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European and other foreign law equivalents of each of the laws, including reporting requirements detailing interactions with and payments to health care providers.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or foreign health care programs, additional reporting obligations and oversight if we become subject to a corporate integrity agreement or other agreement to resolve allegations of non-compliance with these laws, any of which could adversely affect our ability to market our products and adversely impact our financial results.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be unable to maintain sufficient clinical trial liability insurance.</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exceeds the limits of our insurance coverage. We have supplemented our clinical trial coverage with product liability coverage in connection with the commercial launch of IGALMI</w:t>
      </w:r>
      <w:r>
        <w:rPr>
          <w:rFonts w:ascii="Times New Roman;Times;serif" w:hAnsi="Times New Roman;Times;serif"/>
          <w:sz w:val="15"/>
        </w:rPr>
        <w:t>®</w:t>
      </w:r>
      <w:r>
        <w:rPr>
          <w:rFonts w:ascii="Times New Roman;Times;serif" w:hAnsi="Times New Roman;Times;serif"/>
          <w:sz w:val="20"/>
        </w:rPr>
        <w:t xml:space="preserve"> and expect that we would similarly supplement our coverage for any of our other product candidates that may receive regulatory approval, but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Commercialization of Our Product Candidates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our products do not gain market acceptance or if we fail to accurately forecast demand or manage our inventories, our business will suffer because we might not be able to fund future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 number of factors may affect the market acceptance of our products or any other products or product candidates we develop or acquire, including, among others:</w:t>
      </w:r>
    </w:p>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products relative to other products for the same or similar treatments;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perception by patients, physicians and other members of the health care community of the effectiveness, utility and safety of our products for their indicated applications and treatments;</w:t>
            </w:r>
          </w:p>
        </w:tc>
      </w:tr>
    </w:tbl>
    <w:tbl>
      <w:tblPr>
        <w:tblW w:w="4941" w:type="dxa"/>
        <w:jc w:val="left"/>
        <w:tblInd w:w="0" w:type="dxa"/>
        <w:tblLayout w:type="fixed"/>
        <w:tblCellMar>
          <w:top w:w="28" w:type="dxa"/>
          <w:left w:w="28" w:type="dxa"/>
          <w:bottom w:w="28" w:type="dxa"/>
          <w:right w:w="28" w:type="dxa"/>
        </w:tblCellMar>
      </w:tblPr>
      <w:tblGrid>
        <w:gridCol w:w="124"/>
        <w:gridCol w:w="256"/>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fund our sales and marketing efforts;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our sales and marketing efforts, including our strategic refocus to hospital/IDNs as part of the Clinical Reprioritization.</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plan to continue to commercialize IGALMI</w:t>
      </w:r>
      <w:r>
        <w:rPr>
          <w:rFonts w:ascii="Times New Roman;Times;serif" w:hAnsi="Times New Roman;Times;serif"/>
          <w:sz w:val="15"/>
        </w:rPr>
        <w:t>®</w:t>
      </w:r>
      <w:r>
        <w:rPr>
          <w:rFonts w:ascii="Times New Roman;Times;serif" w:hAnsi="Times New Roman;Times;serif"/>
          <w:sz w:val="20"/>
        </w:rPr>
        <w:t xml:space="preserve"> sublingual film for the acute treatment of agitation associated with schizophrenia or bipolar I or II disorder, to be self-administered by patients under the supervision of a healthcare provider, which is our only approved product to date. However, in connection with the Clinical Reprioritization, we significantly reduced the resources devoted to commercialization of IGALMI </w:t>
      </w:r>
      <w:r>
        <w:rPr>
          <w:rFonts w:ascii="Times New Roman;Times;serif" w:hAnsi="Times New Roman;Times;serif"/>
          <w:sz w:val="15"/>
        </w:rPr>
        <w:t>®</w:t>
      </w:r>
      <w:r>
        <w:rPr>
          <w:rFonts w:ascii="Times New Roman;Times;serif" w:hAnsi="Times New Roman;Times;serif"/>
          <w:sz w:val="20"/>
        </w:rPr>
        <w:t xml:space="preserve"> and it is possible that will have adverse consequences on the revenue that we are able to generate from IGALMI</w:t>
      </w:r>
      <w:r>
        <w:rPr>
          <w:rFonts w:ascii="Times New Roman;Times;serif" w:hAnsi="Times New Roman;Times;serif"/>
          <w:sz w:val="15"/>
        </w:rPr>
        <w:t>®</w:t>
      </w:r>
      <w:r>
        <w:rPr>
          <w:rFonts w:ascii="Times New Roman;Times;serif" w:hAnsi="Times New Roman;Times;serif"/>
          <w:sz w:val="20"/>
        </w:rPr>
        <w:t>. Revenues for IGALMI</w:t>
      </w:r>
      <w:r>
        <w:rPr>
          <w:rFonts w:ascii="Times New Roman;Times;serif" w:hAnsi="Times New Roman;Times;serif"/>
          <w:sz w:val="15"/>
        </w:rPr>
        <w:t>®</w:t>
      </w:r>
      <w:r>
        <w:rPr>
          <w:rFonts w:ascii="Times New Roman;Times;serif" w:hAnsi="Times New Roman;Times;serif"/>
          <w:sz w:val="20"/>
        </w:rPr>
        <w:t xml:space="preserve"> for the three and six months ended June 30, 2026 were $0.2 million and $0.4 million, respectively. If our commercial products do not gain market acceptance, we may not be able to fund future operations, including developing, testing and obtaining regulatory approval for an sNDA for other BXCL501 indications, including in the at-home setting for the acute treatment of agitation (non-daily) associated with dementia due to probable Alzheimer’s disease, or for other product candidates that it may develop. Our results of operations could be materially harmed if we are unable to successfully commercialize IGALMI</w:t>
      </w:r>
      <w:r>
        <w:rPr>
          <w:rFonts w:ascii="Times New Roman;Times;serif" w:hAnsi="Times New Roman;Times;serif"/>
          <w:sz w:val="15"/>
        </w:rPr>
        <w:t>®</w:t>
      </w:r>
      <w:r>
        <w:rPr>
          <w:rFonts w:ascii="Times New Roman;Times;serif" w:hAnsi="Times New Roman;Times;serif"/>
          <w:sz w:val="20"/>
        </w:rPr>
        <w:t xml:space="preserve"> for any currently or additionally approved indications or any future product candidates that we may have approved.</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Our results of operations could be materially harmed if we are unable to accurately forecast customer demand for IGALMI</w:t>
      </w:r>
      <w:r>
        <w:rPr>
          <w:rFonts w:ascii="Times New Roman;Times;serif" w:hAnsi="Times New Roman;Times;serif"/>
          <w:sz w:val="15"/>
        </w:rPr>
        <w:t>®</w:t>
      </w:r>
      <w:r>
        <w:rPr>
          <w:rFonts w:ascii="Times New Roman;Times;serif" w:hAnsi="Times New Roman;Times;serif"/>
          <w:sz w:val="20"/>
        </w:rPr>
        <w:t xml:space="preserve"> and manage our inventory. To ensure adequate inventory supply, we must forecast inventory needs and place orders with our suppliers based on our estimates of future demand for IGALMI</w:t>
      </w:r>
      <w:r>
        <w:rPr>
          <w:rFonts w:ascii="Times New Roman;Times;serif" w:hAnsi="Times New Roman;Times;serif"/>
          <w:sz w:val="15"/>
        </w:rPr>
        <w:t>®</w:t>
      </w:r>
      <w:r>
        <w:rPr>
          <w:rFonts w:ascii="Times New Roman;Times;serif" w:hAnsi="Times New Roman;Times;serif"/>
          <w:sz w:val="20"/>
        </w:rPr>
        <w:t>. Our ability to accurately forecast demand for IGALMI</w:t>
      </w:r>
      <w:r>
        <w:rPr>
          <w:rFonts w:ascii="Times New Roman;Times;serif" w:hAnsi="Times New Roman;Times;serif"/>
          <w:sz w:val="15"/>
        </w:rPr>
        <w:t>®</w:t>
      </w:r>
      <w:r>
        <w:rPr>
          <w:rFonts w:ascii="Times New Roman;Times;serif" w:hAnsi="Times New Roman;Times;serif"/>
          <w:sz w:val="20"/>
        </w:rPr>
        <w:t xml:space="preserve"> could be negatively affected by many factors, including our failure to accurately manage our expansion strategy, product introductions by competitors, an increase or decrease in customer demand for IGALMI</w:t>
      </w:r>
      <w:r>
        <w:rPr>
          <w:rFonts w:ascii="Times New Roman;Times;serif" w:hAnsi="Times New Roman;Times;serif"/>
          <w:sz w:val="15"/>
        </w:rPr>
        <w:t>®</w:t>
      </w:r>
      <w:r>
        <w:rPr>
          <w:rFonts w:ascii="Times New Roman;Times;serif" w:hAnsi="Times New Roman;Times;serif"/>
          <w:sz w:val="20"/>
        </w:rPr>
        <w:t xml:space="preserve"> or for products of our competitors, our failure to accurately forecast customer acceptance of new products,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IGALMI</w:t>
      </w:r>
      <w:r>
        <w:rPr>
          <w:rFonts w:ascii="Times New Roman;Times;serif" w:hAnsi="Times New Roman;Times;serif"/>
          <w:sz w:val="15"/>
        </w:rPr>
        <w:t>®</w:t>
      </w:r>
      <w:r>
        <w:rPr>
          <w:rFonts w:ascii="Times New Roman;Times;serif" w:hAnsi="Times New Roman;Times;serif"/>
          <w:sz w:val="20"/>
        </w:rPr>
        <w:t>, our third-party contract manufacturer may not be able to deliver products to meet our requirements, and this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or our third-party manufacturers may not be able to allocate sufficient capacity in order to meet our increased requirements, which could have an adverse effect on our ability to meet customer demand for IGALMI</w:t>
      </w:r>
      <w:r>
        <w:rPr>
          <w:rFonts w:ascii="Times New Roman;Times;serif" w:hAnsi="Times New Roman;Times;serif"/>
          <w:sz w:val="15"/>
        </w:rPr>
        <w:t>®</w:t>
      </w:r>
      <w:r>
        <w:rPr>
          <w:rFonts w:ascii="Times New Roman;Times;serif" w:hAnsi="Times New Roman;Times;serif"/>
          <w:sz w:val="20"/>
        </w:rPr>
        <w:t xml:space="preserve"> and our 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seek to maintain sufficient levels of inventory to protect ourselves from supply interruptions. As a result, we are subject to the risk that a portion of our inventory will become obsolete or expire, which could have a material adverse effect on our earnings and cash flows due to the resulting costs associated with the inventory impairment charges and costs required to replace such inventory.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estimated number of episodes of agitation and our corresponding estimated total addressable market are subject to inherent challenges and uncertainties. If we have overestimated the number of episodes or the size of our total addressable market for our current and potential future products or product candidates, or if any approval that we obtain is based on a narrower definition of the patient population, our revenue and ability to achieve profitability may be harmed.</w:t>
      </w:r>
    </w:p>
    <w:p>
      <w:pPr>
        <w:pStyle w:val="TextBody"/>
        <w:bidi w:val="0"/>
        <w:spacing w:before="280" w:after="200"/>
        <w:ind w:left="0" w:right="0" w:firstLine="360"/>
        <w:jc w:val="left"/>
        <w:rPr>
          <w:rFonts w:ascii="Times New Roman;Times;serif" w:hAnsi="Times New Roman;Times;serif"/>
          <w:sz w:val="20"/>
        </w:rPr>
      </w:pPr>
      <w:r>
        <w:rPr>
          <w:rFonts w:ascii="Times New Roman;Times;serif" w:hAnsi="Times New Roman;Times;serif"/>
          <w:sz w:val="20"/>
        </w:rPr>
        <w:t>We have based our potential market opportunity on a number of internal and third-party estimates and resources, including, without limitation, management’s estimates and research, as well as industry and general publications and research, surveys and studies conducted by third parties, which may be incorrect.  Our estimated potential market opportunity is based on estimates of episodes of agitation across our indications, and these estimated episodes of agitation are also based on internal and third-party estimates and market resources using data self-reported by patients. The conditions supporting our assumptions or estimates and the market data supporting these assumptions and estimates may change at any time or otherwise be inaccurate, thereby reducing the predictive accuracy of these underlying factors. Our total addressable market will ultimately depend upon, among other things, the number of actual treatable episodes, the diagnosis criteria included in the final label for each of our product candidates, if approved for sale for these indications, acceptance by the medical community and patient access, drug pricing and reimbursement. The number of patients and treatable episodes in the United States and other major markets and elsewhere may turn out to be materially lower than expected, the number of treatable episodes may be significantly fewer than total episodes experienced, patients may not be otherwise amenable to treatment with our product candidates or new patients may become increasingly difficult to identify or gain access to, all of which would harm our results of operations and our business. For example, our estimates of the monthly average episodes for patients diagnosed with bipolar disorder and patients diagnosed with schizophrenia and, therefore, our estimated total addressable market are based on third-party market surveys which differ from an observational study in the EU of inhaled loxapine for the treatment of agitation in patients with schizophrenia or bipolar disorder conducted which found that only 40% of enrolled patients reported agitation episodes in the six-month study period. If third-party or internally generated data prove to be inaccurate or we make errors in our assumptions based on that data, our total addressable market may be meaningfully smaller than we have estimated, our future growth opportunities and sales growth may be impaired, any of which could have a material adverse effect on our business, financial condition and results of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obtained Orphan Drug Designation for BXCL701 for the treatment of pancreatic cancer, melanoma, acute myeloid leukemia and soft tissue sarcoma and we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Regulatory authorities in some jurisdictions, including the U.S. and EU,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U.S., or a patient population greater than 200,000 individuals in the U.S. where there is no reasonable expectation that the cost of developing the drug will be recovered from sales in the U.S. In the EU, orphan drug designation is granted by the European Commission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or condition for which it has such designation, the product is entitled to orphan drug exclusivity. Orphan drug exclusivity in the U.S. provides that the FDA may not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approve any other applications, including a full NDA, to market the same drug for the same disease or condition for seven years. In limited circumstances, the applicable exclusivity period is 10 years in the EU. The EU exclusivity period can be reduced to six years if, at the end of the fifth year, it is established that a drug no longer meets the criteria for orphan drug designation or if the drug is sufficiently profitable so that market exclusivity is no longer justified.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January 2021, the FDA granted Orphan Drug Designation to BXCL701 for the treatment of soft tissue sarcoma. In September 2019, the FDA granted Orphan Drug Designation to BXCL701 for the treatment of acute myeloid leukemia. Prior to 2019, the FDA granted Orphan Drug Designation to BXCL701 for the treatment of pancreatic cancer and melanoma. We may seek Orphan Drug Designations for BXCL701 in other diseases or conditions or for other product candidates. There can be no assurances that we will be able to obtain such designations.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 designated indication due to the uncertainties associated with developing pharmaceutical products, and it is possible that another company also holding orphan drug designation for the same product candidate will receive marketing approval for the same disease or condition before we do. If that were to happen, our applications for that disease or condition may not be approved until the competing company’s period of exclusivity expires. In addition, exclusive marketing rights in the U.S. and abroad may be limited if we seek approval for an indication broader than the orphan-designated disease or condition or may be lost if the FDA or foreign regulatory authorities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ingredients may be approved for the same disease or condition. Even after an orphan drug is approved, the FDA or foreign regulatory authorities can subsequently approve the same drug with the same active ingredient for the same condition if the FDA or foreign regulatory authorities conclude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or regulatory review time of a drug, nor gives the drug any advantage in the regulatory review or approval process and does not prevent competitors from obtaining approval of the same product candidate as ours for indications other than those in which we have been granted orphan drug designation.</w:t>
      </w:r>
    </w:p>
    <w:p>
      <w:pPr>
        <w:pStyle w:val="TextBody"/>
        <w:bidi w:val="0"/>
        <w:spacing w:lineRule="auto" w:line="240" w:before="0" w:after="200"/>
        <w:ind w:left="0" w:right="0" w:hanging="0"/>
        <w:jc w:val="left"/>
        <w:rPr>
          <w:rFonts w:ascii="Times New Roman;Times;serif" w:hAnsi="Times New Roman;Times;serif"/>
          <w:b/>
          <w:i/>
          <w:sz w:val="20"/>
        </w:rPr>
      </w:pPr>
      <w:r>
        <w:rPr>
          <w:rFonts w:ascii="Times New Roman;Times;serif" w:hAnsi="Times New Roman;Times;serif"/>
          <w:b/>
          <w:i/>
          <w:sz w:val="20"/>
        </w:rPr>
        <w:t>If we are unable to develop satisfactory sales and marketing capabilities, we may not succeed in commercializing IGALMI</w:t>
      </w:r>
      <w:r>
        <w:rPr>
          <w:rFonts w:ascii="Times New Roman;Times;serif" w:hAnsi="Times New Roman;Times;serif"/>
          <w:b/>
          <w:i/>
          <w:sz w:val="15"/>
        </w:rPr>
        <w:t>®</w:t>
      </w:r>
      <w:r>
        <w:rPr>
          <w:rFonts w:ascii="Times New Roman;Times;serif" w:hAnsi="Times New Roman;Times;serif"/>
          <w:b/>
          <w:i/>
          <w:sz w:val="20"/>
        </w:rPr>
        <w:t xml:space="preserve"> or any product candidate for which we may obtain regulatory approval.</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We have limited experience in marketing and selling drug products. We have not entered into arrangements for the sale and marketing of IGALMI</w:t>
      </w:r>
      <w:r>
        <w:rPr>
          <w:rFonts w:ascii="Times New Roman;Times;serif" w:hAnsi="Times New Roman;Times;serif"/>
          <w:sz w:val="15"/>
        </w:rPr>
        <w:t>®</w:t>
      </w:r>
      <w:r>
        <w:rPr>
          <w:rFonts w:ascii="Times New Roman;Times;serif" w:hAnsi="Times New Roman;Times;serif"/>
          <w:sz w:val="20"/>
        </w:rPr>
        <w:t>, BXCL501, BXCL502, BXCL701, BXCL702 or any other product candidate. Typically, pharmaceutical companies would employ groups of sales representatives and associated sales and marketing staff numbering in the hundreds to thousands of individuals to call on the large number of physicians and hospitals. Following our Clinical Reprioritization, we may need to rebuild a commercial sales and marketing team if we seek to modify our commercial strategy for IGALMI</w:t>
      </w:r>
      <w:r>
        <w:rPr>
          <w:rFonts w:ascii="Times New Roman;Times;serif" w:hAnsi="Times New Roman;Times;serif"/>
          <w:sz w:val="15"/>
        </w:rPr>
        <w:t>®</w:t>
      </w:r>
      <w:r>
        <w:rPr>
          <w:rFonts w:ascii="Times New Roman;Times;serif" w:hAnsi="Times New Roman;Times;serif"/>
          <w:sz w:val="20"/>
        </w:rPr>
        <w:t xml:space="preserve"> or initiate commercial sales for any product candidate in the future, which will likely require significant cost. We may seek to collaborate with a third-party to market our drugs or may seek to market and sell our drugs by ourselves. If we seek to collaborate with a third-party, we cannot be sure that a collaborative agreement can be reached on terms acceptable to us. We may also need to hire additional personnel skilled in marketing and sales for our direct marketing and selling efforts. We cannot be sure that we will be able to acquire, or establish third-party relationships to provide, any or all of these marketing and sales capabilities. The maintenance and expansion of our direct sales force or establishment of a contract sales force, or a combination thereof, as applicable, to market our products is expensive and time-consuming and could delay any product launch. In addition, reputational harm from the Clinical Reprioritization may adversely impact our efforts to hire personnel skilled in marketing and sales. Further, we can give no assurances that we will be able to maintain a direct and/or contract sales force for any period of time or that our sales efforts will be sufficient to grow our revenues or that our sales efforts will ever lead to profits. A direct sales force has in the past subjected and may in the future subject us to higher fixed costs than those of companies that market competing products through independent third parties, due to the costs that we bear associated with employee benefits, training, and managing sales personnel. As a result, we could be at a competitive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disadvantage. Additionally, these fixed costs may slow our ability to reduce costs if needed, which could have a material adverse effect on our business, financial condition, and results of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operate in a highly competitive and rapidly changing industry.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U.S., the EU and other jurisdictions.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availability of our competitors’ products could limit the demand and the price we are able to charge for products and product candidates, if any, that we commercialize. The inability to compete with existing or subsequently introduced drugs would harm our business, financial condition and results of operations.</w:t>
      </w:r>
    </w:p>
    <w:p>
      <w:pPr>
        <w:pStyle w:val="TextBody"/>
        <w:bidi w:val="0"/>
        <w:spacing w:lineRule="auto" w:line="240" w:before="0" w:after="200"/>
        <w:ind w:left="0" w:right="0" w:hanging="0"/>
        <w:jc w:val="left"/>
        <w:rPr>
          <w:rFonts w:ascii="Times New Roman;Times;serif" w:hAnsi="Times New Roman;Times;serif"/>
          <w:b/>
          <w:i/>
          <w:sz w:val="20"/>
        </w:rPr>
      </w:pPr>
      <w:r>
        <w:rPr>
          <w:rFonts w:ascii="Times New Roman;Times;serif" w:hAnsi="Times New Roman;Times;serif"/>
          <w:b/>
          <w:i/>
          <w:sz w:val="20"/>
        </w:rPr>
        <w:t>Although we obtained FDA approval for IGALMI</w:t>
      </w:r>
      <w:r>
        <w:rPr>
          <w:rFonts w:ascii="Times New Roman;Times;serif" w:hAnsi="Times New Roman;Times;serif"/>
          <w:b/>
          <w:i/>
          <w:sz w:val="15"/>
        </w:rPr>
        <w:t>®</w:t>
      </w:r>
      <w:r>
        <w:rPr>
          <w:rFonts w:ascii="Times New Roman;Times;serif" w:hAnsi="Times New Roman;Times;serif"/>
          <w:b/>
          <w:i/>
          <w:sz w:val="20"/>
        </w:rPr>
        <w:t>, our products and product candidates may not be accepted by physicians or the medical community in general, and there may be insufficient insurance coverage and reimbursement.</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There can be no assurance that IGALMI</w:t>
      </w:r>
      <w:r>
        <w:rPr>
          <w:rFonts w:ascii="Times New Roman;Times;serif" w:hAnsi="Times New Roman;Times;serif"/>
          <w:sz w:val="15"/>
        </w:rPr>
        <w:t>®</w:t>
      </w:r>
      <w:r>
        <w:rPr>
          <w:rFonts w:ascii="Times New Roman;Times;serif" w:hAnsi="Times New Roman;Times;serif"/>
          <w:sz w:val="20"/>
        </w:rPr>
        <w:t>, or BXCL501, BXCL502, BXCL701, BXCL702 and our other product candidates or any other product candidate successfully developed by us, independently or with partners, if approved, will be accepted by physicians, hospitals and other health care facilities. IGALMI</w:t>
      </w:r>
      <w:r>
        <w:rPr>
          <w:rFonts w:ascii="Times New Roman;Times;serif" w:hAnsi="Times New Roman;Times;serif"/>
          <w:sz w:val="15"/>
        </w:rPr>
        <w:t>®</w:t>
      </w:r>
      <w:r>
        <w:rPr>
          <w:rFonts w:ascii="Times New Roman;Times;serif" w:hAnsi="Times New Roman;Times;serif"/>
          <w:sz w:val="20"/>
        </w:rPr>
        <w:t xml:space="preserve"> competes, and BXCL501, BXCL502, BXCL701, BXCL702 and any future product candidates we develop will compete, with a number of products manufactured and marketed by major pharmaceutical and biotechnology companies. The degree of market acceptance of IGALMI</w:t>
      </w:r>
      <w:r>
        <w:rPr>
          <w:rFonts w:ascii="Times New Roman;Times;serif" w:hAnsi="Times New Roman;Times;serif"/>
          <w:sz w:val="15"/>
        </w:rPr>
        <w:t>®</w:t>
      </w:r>
      <w:r>
        <w:rPr>
          <w:rFonts w:ascii="Times New Roman;Times;serif" w:hAnsi="Times New Roman;Times;serif"/>
          <w:sz w:val="20"/>
        </w:rPr>
        <w:t xml:space="preserve"> and any drugs we develop depends on a number of factors, including:</w:t>
      </w:r>
    </w:p>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demonstration of the clinical efficacy and safety of our products and product candidates;</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of market approval and commercial launch of our products and product candidates;</w:t>
            </w:r>
          </w:p>
        </w:tc>
      </w:tr>
    </w:tbl>
    <w:tbl>
      <w:tblPr>
        <w:tblW w:w="7491" w:type="dxa"/>
        <w:jc w:val="left"/>
        <w:tblInd w:w="0" w:type="dxa"/>
        <w:tblLayout w:type="fixed"/>
        <w:tblCellMar>
          <w:top w:w="28" w:type="dxa"/>
          <w:left w:w="28" w:type="dxa"/>
          <w:bottom w:w="28" w:type="dxa"/>
          <w:right w:w="28" w:type="dxa"/>
        </w:tblCellMar>
      </w:tblPr>
      <w:tblGrid>
        <w:gridCol w:w="124"/>
        <w:gridCol w:w="256"/>
        <w:gridCol w:w="7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indication(s) for which our products and product candidates are approved;</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label and package insert requirements;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advantages and disadvantages of our products and product candidates compared to existing therapies;</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interest in and growth of the market for anti-cancer or anti-agitation drugs;</w:t>
            </w:r>
          </w:p>
        </w:tc>
      </w:tr>
    </w:tbl>
    <w:tbl>
      <w:tblPr>
        <w:tblW w:w="4866" w:type="dxa"/>
        <w:jc w:val="left"/>
        <w:tblInd w:w="0" w:type="dxa"/>
        <w:tblLayout w:type="fixed"/>
        <w:tblCellMar>
          <w:top w:w="28" w:type="dxa"/>
          <w:left w:w="28" w:type="dxa"/>
          <w:bottom w:w="28" w:type="dxa"/>
          <w:right w:w="28" w:type="dxa"/>
        </w:tblCellMar>
      </w:tblPr>
      <w:tblGrid>
        <w:gridCol w:w="124"/>
        <w:gridCol w:w="256"/>
        <w:gridCol w:w="4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strength of sales, marketing, and distribution support;</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pricing in absolute terms and relative to alternative treatments;</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changes in health care laws, regulations, and medical policies;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coverage and reimbursement in select jurisdictions, and future changes to coverage and reimbursement policies of government and third-party payors.</w:t>
            </w:r>
          </w:p>
        </w:tc>
      </w:tr>
    </w:tbl>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Significant uncertainty exists as to the coverage and reimbursement status of IGALMI</w:t>
      </w:r>
      <w:r>
        <w:rPr>
          <w:rFonts w:ascii="Times New Roman;Times;serif" w:hAnsi="Times New Roman;Times;serif"/>
          <w:sz w:val="15"/>
        </w:rPr>
        <w:t>®</w:t>
      </w:r>
      <w:r>
        <w:rPr>
          <w:rFonts w:ascii="Times New Roman;Times;serif" w:hAnsi="Times New Roman;Times;serif"/>
          <w:sz w:val="20"/>
        </w:rPr>
        <w:t xml:space="preserve"> or any product candidate for which we obtain regulatory approval. In the U.S. and other countries, sales of IGALMI</w:t>
      </w:r>
      <w:r>
        <w:rPr>
          <w:rFonts w:ascii="Times New Roman;Times;serif" w:hAnsi="Times New Roman;Times;serif"/>
          <w:sz w:val="15"/>
        </w:rPr>
        <w:t>®</w:t>
      </w:r>
      <w:r>
        <w:rPr>
          <w:rFonts w:ascii="Times New Roman;Times;serif" w:hAnsi="Times New Roman;Times;serif"/>
          <w:sz w:val="20"/>
        </w:rPr>
        <w:t xml:space="preserve"> and any other products for which we receive regulatory approval for commercial sale will depend in part on the availability of coverage and reimbursement from third-party payors. Third-party payors include government health administrative authorities, such as Medicaid and Medicare, managed care providers, private health insurers and other organizations.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Third-party payors are increasingly challenging the prices charged for medical products and services. It will be time consuming and expensive for us to go through the process of seeking coverage and reimbursement from Medicare and private payors. IGALMI</w:t>
      </w:r>
      <w:r>
        <w:rPr>
          <w:rFonts w:ascii="Times New Roman;Times;serif" w:hAnsi="Times New Roman;Times;serif"/>
          <w:sz w:val="15"/>
        </w:rPr>
        <w:t>®</w:t>
      </w:r>
      <w:r>
        <w:rPr>
          <w:rFonts w:ascii="Times New Roman;Times;serif" w:hAnsi="Times New Roman;Times;serif"/>
          <w:sz w:val="20"/>
        </w:rPr>
        <w:t xml:space="preserve"> and any other products for which we receive regulatory approval may not be considered cost-effective, and coverage and reimbursement may not be available or sufficient to allow us to sell our proposed products on a profitable basis. Further federal, state and foreign government proposals and health care reforms are likely which could limit the prices that can be charged for IGALMI</w:t>
      </w:r>
      <w:r>
        <w:rPr>
          <w:rFonts w:ascii="Times New Roman;Times;serif" w:hAnsi="Times New Roman;Times;serif"/>
          <w:sz w:val="15"/>
        </w:rPr>
        <w:t xml:space="preserve">® </w:t>
      </w:r>
      <w:r>
        <w:rPr>
          <w:rFonts w:ascii="Times New Roman;Times;serif" w:hAnsi="Times New Roman;Times;serif"/>
          <w:sz w:val="20"/>
        </w:rPr>
        <w:t>and the product candidates that we develop and may further limit our commercial opportunities. Our results of operations could be materially adversely affected by proposed health care reforms, by the Inflation Reduction Act and other drug pricing legislation in the U.S., by the possible effect of such current or future legislation on amounts that private insurers will pay and by other health care reforms that may be enacted or adopted in the future.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Health care reform measures could hinder or prevent our product candidates’ commercial success.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The U.S. government and other governments have shown significant interest in pursuing health care reform. Any government-adopted reform measures could adversely impact the pricing of health care products and services in the U.S. or internationally and the amount of reimbursement available from governmental agencies or other third-party payors for IGALMI</w:t>
      </w:r>
      <w:r>
        <w:rPr>
          <w:rFonts w:ascii="Times New Roman;Times;serif" w:hAnsi="Times New Roman;Times;serif"/>
          <w:sz w:val="15"/>
        </w:rPr>
        <w:t>®</w:t>
      </w:r>
      <w:r>
        <w:rPr>
          <w:rFonts w:ascii="Times New Roman;Times;serif" w:hAnsi="Times New Roman;Times;serif"/>
          <w:sz w:val="20"/>
        </w:rPr>
        <w:t xml:space="preserve"> and the product candidates that we develop.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New laws, regulations and judicial decisions, or new interpretations of existing laws, regulations and decisions, that relate to health 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U.S., new health care legislation or fiscal challenges faced by government health administration authorities. Specifically, in both the U.S. and some foreign jurisdictions, there have been a number of legislative and regulatory proposals to change the health care system in ways that could affect our ability to sell our products profitably.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example, in the U.S., the ACA, which was enacted in 2010, has substantially changed the way health care is financed by both government health plans and private insurers, and significantly impacts the pharmaceutical industry. For example, the ACA imposed a non-deductible excise tax on pharmaceutical manufacturers or importers that sell branded prescription drugs to government programs. In addition, as part of the ACA’s provisions closing a funding gap that existed in the Medicare Part D prescription drug program, manufacturers are required to provide a discount on branded prescription drugs for drugs provided to certain beneficiaries who fall within the “donut hole.” Similarly,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ACA increased the level of Medicaid rebates payable by manufacturers of brand-name drugs from 15.1% to 23.1% of the average manufacturer price and required collection of rebates for drugs paid by Medicaid managed care organizations. The ACA also included changes to the Public Health Service’s 340B drug pricing program (the “340B program”) including expansion of the list of eligible covered entities that may purchase drugs under the program.</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July 4, 2025, President Trump signed into law the One Big Beautiful Bill Act (“OBBBA”) which enacts significant changes to Medicaid and rescinds or does not continue major elements of the ACA. The legislation is projected to significantly reduce federal healthcare spending over the next decade due to a likely increase in the number of uninsured individuals. The OBBBA also restores the ability for companies to immediately deduct domestic research and experimentation (R&amp;E) costs, a provision that was previously phased out. This change provides significant tax relief and increases cash flow for biotech and life sciences companies, especially small and early-stage companies. The OBBBA also mandates that able-bodied Medicaid recipients aged 19-64 must work, volunteer, or attend school for at least 80 hours per month, or risk losing coverage. This is expected to reduce costs, but potentially also coverage for millions of people. The Company is still evaluating the impact of OBBBA.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other legislative changes have been proposed and adopted in the U.S. since the ACA was enacted. These changes include the Budget Control Act of 2011, which resulted in aggregate reductions of Medicare payments to providers, which went into effect on April 1, 2013, and, due to subsequent legislative amendments to the statute, will remain in effect through 2032, unless additional Congressional action is taken. Furthermore, the American Taxpayer Relief Act of 2012, further reduced Medicare payments to several types of providers, including hospitals, and increased the statute of limitations period for the government to recover overpayments to providers from three to five years. More recently, on March 11, 2021, President Biden signed the American Rescue Plan Act of 2021 into law, which eliminates the statutory Medicaid drug rebate cap, beginning January 1, 2024. The rebate was previously capped at 100% of a drug's average manufacturer price.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As of January 17, 2025, HHS announced it will begin price negotiations for a list of fifteen additional drugs. HHS has issued and will continue to issue guidance implementing the IRA, although the Medicare drug price negotiation program is currently subject to legal challenges. While the impact of the IRA on the pharmaceutical industry and our business cannot yet be fully determined, it is likely to be significant.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 on January 20, 2025, President Trump reversed some of President Biden’s executive orders including rescinding Executive Order 14087 entitled “Lowering Prescription Drug Costs for Americans.” President Trump may issue new executive orders designed to impact drug pricing, and/or rescind or modify the previous administration’s efforts to address drug costs. A number of these and other proposed measures may require authorization through additional legislation to become effective. Congress and the Trump administration have indicated that they will continue to seek new legislative measures to control drug costs. Additionally, OBBBA amends the IRA to be more favorable for orphan drug developers by allowing a drug with multiple orphan designations to remain exempt from price negotiation, potentially preserving profitability for rare disease therapies.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Trump administration is pursuing a two-fold strategy to reduce drug costs in the United States. On the one hand, President Trump has threatened to impose significant tariffs on pharmaceutical manufacturers that do not adopt pricing policies such as most favored nation pricing, which would tie the price for drugs in the United States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Individual states in the U.S.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 Furthermore, there has been increased interest by third-party payors and governmental authorities in reference pricing systems and publication of discounts and list prices.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It is likely that federal and state legislatures within the U.S. and foreign governments will continue to consider changes to existing health care legislation. We cannot predict the reform initiatives that may be adopted in the future or whether initiatives that have been adopted will be repealed or modified. The continuing efforts of governments, insurance companies, managed care organizations and other payors of health care services to contain or reduce costs of health care may adversely affect the demand for IGALMI</w:t>
      </w:r>
      <w:r>
        <w:rPr>
          <w:rFonts w:ascii="Times New Roman;Times;serif" w:hAnsi="Times New Roman;Times;serif"/>
          <w:sz w:val="15"/>
        </w:rPr>
        <w:t>®</w:t>
      </w:r>
      <w:r>
        <w:rPr>
          <w:rFonts w:ascii="Times New Roman;Times;serif" w:hAnsi="Times New Roman;Times;serif"/>
          <w:sz w:val="20"/>
        </w:rPr>
        <w:t xml:space="preserve"> and any other drug products for which we may obtain 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U.S. and EU, reimbursement and healthcare payment systems vary significantly by country, and many countries have instituted price ceilings on specific products and therapies.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clinical (e.g., economic, social, ethical) aspects of health technology, and making decisions on pricing and reimbursement.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we fail to comply with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pStyle w:val="TextBody"/>
        <w:bidi w:val="0"/>
        <w:spacing w:before="0" w:after="0"/>
        <w:ind w:left="0" w:right="0" w:hanging="0"/>
        <w:jc w:val="left"/>
        <w:rPr/>
      </w:pPr>
      <w:r>
        <w:rPr/>
        <w:t>​</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As a condition of having federal funds being made available for covered outpatient drugs under Medicaid and Medicare Part B, a manufacturer must enroll in the MDRP. Under this program, we must pay a rebate to state Medicaid programs for each unit of our covered outpatient drug dispensed to a Medicaid beneficiary and paid for by a state Medicaid program. Medicaid drug rebates are based on pricing data that we must report on a monthly and quarterly basis to CMS. For the MDRP, this data includes the average manufacturer price (“AMP”) for each drug and, in the case of an innovator product, like IGALMI</w:t>
      </w:r>
      <w:r>
        <w:rPr>
          <w:rFonts w:ascii="Times New Roman;Times;serif" w:hAnsi="Times New Roman;Times;serif"/>
          <w:sz w:val="15"/>
        </w:rPr>
        <w:t>®</w:t>
      </w:r>
      <w:r>
        <w:rPr>
          <w:rFonts w:ascii="Times New Roman;Times;serif" w:hAnsi="Times New Roman;Times;serif"/>
          <w:sz w:val="20"/>
        </w:rPr>
        <w:t xml:space="preserve">, the best price. If we become aware that our MDRP price reporting submission for a prior period was incorrect or has changed as a result of recalculation of the pricing data, we must resubmit the corrected data for up to three years after the data originally was due. Further, under the IRA, AMP figures we report will also be used to calculate a rebate on Medicare Part D utilization, triggered by price increases that outpace inflation.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outpatient drugs under Medicaid or, if applicable, Medicare Part B. Failure to make necessary disclosures and/or to identify overpayments additionally could result in allegations against us under the Federal False Claims Act and other laws and regulations.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Federal law requires that a manufacturer that participates in the MDRP also participate in the 340B program in order for federal funds to be available for the manufacturer’s drugs under Medicaid and Medicare Part B, and we participate in the 340B program. The 340B program is administered by the Health Resources and Services Administration (“HRSA”) and requires us to charge statutorily defined covered entities no more than the 340B “ceiling price” for our covered outpatient drugs used in an outpatient setting. These 340B program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 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In addition, legislation may be introduced that, if passed, would further expand the 340B program, such as adding further covered entities or requiring participating manufacturers to agree to provide 340B program discounted pricing on drugs used in an inpatient setting.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order to be eligible to have drug products paid for with federal funds under Medicaid and Medicare Part B and purchased by certain federal agencies and grantees, we also must participate in the U.S. Department of Veterans Affairs (“VA”) Federal Supply Schedule (“FSS”) pricing program. Under the VA/FSS program, we must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must also pay rebates on products purchased by military personnel and dependents through the TRICARE retail pharmacy program. If we fail to provide timely information or are found to have knowingly submitted false information, we may be subject to civil monetary penalties.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Individual states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Pricing and rebate calculations are complex, vary among products and programs, and are often subject to interpretation by manufacturers,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may be required to offer products under the 340B program. Civil monetary penalties can be applied if we are found to have knowingly submitted any false price or product information to the government, if we fail to submit required price data on a timely basis, or if we are found to have charged 340B program covered entities more than the statutorily mandated ceiling price. In the event that CMS were to terminate our Medicaid rebate agreement, pursuant to which we participate in the MDRP, no federal payments would be available under Medicaid or Medicare for our covered outpatient drugs. We cannot assure you that price data submissions we make will not be found to be incomplete or incorrect.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Our Relationship with BioXcel LLC</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Approval of commercial terms between us and BioXcel LLC does not preclude the possibility of stockholder litigation, including but not limited to derivative litigation nominally against BioXcel LLC and against its directors and officers and also against us and our directors and officers.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commercial terms of the Separation and Shared Services Agreement (as amended and/or restated and in effect as of the date hereof, the “Services Agreement”), and the Amended and Restated Asset Contribution Agreement (as amended and/or restated and in effect as of the date hereof, the “Contribution Agreement”), that we entered into with BioXcel LLC have not been negotiated by persons consisting solely of disinterested directors.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 assurance can be given that any equity or debt holder of BioXcel LLC or the Company will not claim in a lawsuit that such terms in fact are not in the best interests of BioXcel LLC or the Company and its applicable equity holders, that the directors and officers of BioXcel LLC or the Company breached their fiduciary duties in connection with such agreements and that any disclosures by the Company to its stockholders regarding these agreements and the relationship between BioXcel LLC and us did not satisfy applicable requirements. In any such instance, we and our directors and officers may also be named as defendants and we would have to defend ourselves and our directors and officers. While we would seek indemnification from BioXcel LLC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continue to depend on BioXcel LLC to provide us with certain services for our business.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rely, in part, on BioXcel LLC and access to its EvolverAI, to complement our in-house, uniquely integrated AI-to-drug-development capability. EvolverAI is a research and development engine created and owned by BioXcel LLC, to identify, research and develop potential product candidates in neuroscience and immuno-oncology.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negotiated the Services Agreement with BioXcel LLC pursuant to which BioXcel LLC agreed to perform certain intellectual property prosecution and management and research and development activities for us utilizing its EvolverAI.</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at the time of our initial public offering (“IPO”), BioXcel LLC granted us (i) a first right to negotiate exclusive rights to any additional product candidates in the fields of neuroscience and immuno-oncology that BioXcel LLC may identify on its own and not in connection with BioXcel LLC’s provision of services to us under the Services Agreement and (ii) an exclusivity agreement in the neuroscience and immuno-oncology fields whereby BioXcel LLC agreed not develop drugs, or engage in preclinical discovery for the purpose of developing drugs, in the neuroscience and immuno-oncology fields for or on behalf of a third party, utilizing EvolverAI or otherwise. This first right to negotiate and exclusivity period expired on March 12, 2023, and there is no assurance that we will extend the terms of the agreement. We are continuing to assess our ongoing business needs.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September 19, 2023, the Company, Krishnan Nandabalan, Ph.D., InveniAI LLC (“Inveni”) and Invea Therapeutics, Inc. (“Invea”) and the other parties thereto entered into a non-compete agreement pursuant to which Dr. Nandabalan, Inveni and Invea agreed not to compete with the Company and its controlled affiliates in the fields of neuroscience and immuno-oncology for a period of five years from September 19, 2023 and not to solicit employees of the Company or its controlled affiliates for a period of two years from September 19, 2023. Inveni and Invea are subsidiaries of BioXcel LLC.</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our rights under the Services Agreement were to become limited or if we are otherwise precluded from conducting research and development using EvolverAI, or if BioXcel LLC, Inveni or Invea do not fulfill their obligations under the agreements, such development could materially adversely affect our future operating results, financial condition, and prospects. Furthermore, certain individuals conducting services on our behalf are not our employees, and we cannot control whether they devote sufficient time, skill and resources to our ongoing development programs. We also cannot ensure that BioXcel LLC retains sufficient resources or personnel or otherwise to conduct its operations. BioXcel LLC may also have relationships with other commercial entities, including our competitors, for whom they may also be conducting research and development activities, which could impede their ability to devote appropriate time to our research and development programs. BioXcel LLC is not currently restricted from using EvolverAI to perform drug discovery services for our direct competitors, and if we do not extend the exclusivity period in the neuroscience and immuno-oncology fields, this could harm our competitive position and adversely affect our future operating results and financial condition.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The management of and beneficial ownership in BioXcel LLC may create, or may create the appearance of, conflicts of interest.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Chief Executive Officer and member of our board of directors, Vimal Mehta, Ph.D., is the Chief Executive Officer, President, Treasurer and Secretary and a member of the board of managers of BioXcel LLC and Chief Executive Officer, President, Treasurer and Secretary and the sole member of the board of directors of BioXcel Holdings, Inc. Additionally, as of June 30, 2026, Dr. Mehta, through his beneficial ownership of BioXcel LLC, beneficially owned approximately 1.5% of the Company. The management and ownership of BioXcel LLC by Dr. Mehta may create the appearance of conflicts of interest when Dr. Mehta is faced with decisions that could have different implications for BioXcel LLC than the decisions have for us, including decisions that relate to our Services Agreement and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 and expose us to litigation risk.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Any disputes that arise between us and BioXcel LLC with respect to our past and ongoing relationships could harm our business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Disputes may arise between BioXcel LLC and us in a number of areas relating to our past and ongoing relationships,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technology and business matters, including failure to make required technology transfers and failure to comply with contractual provisions applicable to BioXcel LLC and us;</w:t>
            </w:r>
          </w:p>
        </w:tc>
      </w:tr>
    </w:tbl>
    <w:tbl>
      <w:tblPr>
        <w:tblW w:w="10026" w:type="dxa"/>
        <w:jc w:val="left"/>
        <w:tblInd w:w="0" w:type="dxa"/>
        <w:tblLayout w:type="fixed"/>
        <w:tblCellMar>
          <w:top w:w="28" w:type="dxa"/>
          <w:left w:w="28" w:type="dxa"/>
          <w:bottom w:w="28" w:type="dxa"/>
          <w:right w:w="28" w:type="dxa"/>
        </w:tblCellMar>
      </w:tblPr>
      <w:tblGrid>
        <w:gridCol w:w="124"/>
        <w:gridCol w:w="256"/>
        <w:gridCol w:w="9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tax, employee benefit, indemnification and other matters arising from the separation of BTI from BioXcel LLC;</w:t>
            </w:r>
          </w:p>
        </w:tc>
      </w:tr>
    </w:tbl>
    <w:tbl>
      <w:tblPr>
        <w:tblW w:w="3471" w:type="dxa"/>
        <w:jc w:val="left"/>
        <w:tblInd w:w="0" w:type="dxa"/>
        <w:tblLayout w:type="fixed"/>
        <w:tblCellMar>
          <w:top w:w="28" w:type="dxa"/>
          <w:left w:w="28" w:type="dxa"/>
          <w:bottom w:w="28" w:type="dxa"/>
          <w:right w:w="28" w:type="dxa"/>
        </w:tblCellMar>
      </w:tblPr>
      <w:tblGrid>
        <w:gridCol w:w="124"/>
        <w:gridCol w:w="256"/>
        <w:gridCol w:w="3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and supply obligations;</w:t>
            </w:r>
          </w:p>
        </w:tc>
      </w:tr>
    </w:tbl>
    <w:tbl>
      <w:tblPr>
        <w:tblW w:w="3351" w:type="dxa"/>
        <w:jc w:val="left"/>
        <w:tblInd w:w="0" w:type="dxa"/>
        <w:tblLayout w:type="fixed"/>
        <w:tblCellMar>
          <w:top w:w="28" w:type="dxa"/>
          <w:left w:w="28" w:type="dxa"/>
          <w:bottom w:w="28" w:type="dxa"/>
          <w:right w:w="28" w:type="dxa"/>
        </w:tblCellMar>
      </w:tblPr>
      <w:tblGrid>
        <w:gridCol w:w="124"/>
        <w:gridCol w:w="256"/>
        <w:gridCol w:w="2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retention and recruiting;</w:t>
            </w:r>
          </w:p>
        </w:tc>
      </w:tr>
    </w:tbl>
    <w:tbl>
      <w:tblPr>
        <w:tblW w:w="3516" w:type="dxa"/>
        <w:jc w:val="left"/>
        <w:tblInd w:w="0" w:type="dxa"/>
        <w:tblLayout w:type="fixed"/>
        <w:tblCellMar>
          <w:top w:w="28" w:type="dxa"/>
          <w:left w:w="28" w:type="dxa"/>
          <w:bottom w:w="28" w:type="dxa"/>
          <w:right w:w="28" w:type="dxa"/>
        </w:tblCellMar>
      </w:tblPr>
      <w:tblGrid>
        <w:gridCol w:w="124"/>
        <w:gridCol w:w="256"/>
        <w:gridCol w:w="3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combinations involving us;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or distributions by BioXcel LLC of all or any portion of its ownership interest in us;</w:t>
            </w:r>
          </w:p>
        </w:tc>
      </w:tr>
    </w:tbl>
    <w:tbl>
      <w:tblPr>
        <w:tblW w:w="7446" w:type="dxa"/>
        <w:jc w:val="left"/>
        <w:tblInd w:w="0" w:type="dxa"/>
        <w:tblLayout w:type="fixed"/>
        <w:tblCellMar>
          <w:top w:w="28" w:type="dxa"/>
          <w:left w:w="28" w:type="dxa"/>
          <w:bottom w:w="28" w:type="dxa"/>
          <w:right w:w="28" w:type="dxa"/>
        </w:tblCellMar>
      </w:tblPr>
      <w:tblGrid>
        <w:gridCol w:w="124"/>
        <w:gridCol w:w="256"/>
        <w:gridCol w:w="7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quality and pricing of services BioXcel LLC has agreed to provide us; and</w:t>
            </w:r>
          </w:p>
        </w:tc>
      </w:tr>
    </w:tbl>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opportunities that may be attractive to both BioXcel LLC and us.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entered into the Services Agreement with BioXcel LLC related to the separation of our business operations from those of BioXcel LLC that contains certain limitations on BioXcel LLC’s ability to control various aspects of our business and operations, notwithstanding BioXcel LLC’s substantial ownership position. This agreement may be amended upon agreement between us and BioXcel LLC.</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BioXcel LLC may experience challenges with the acquisition, development, enhancement, or deployment of technology necessary for EvolverAI. We may face similar challenges with other AI platforms that we may utilize, including our own in-house proprietary platform.</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BioXcel LLC operates in businesses that require sophisticated computer systems and software for data collection, data processing, cloud-based platforms, analytics, statistical projections and forecasting, mobile computing, social media analytics and other applications and technologies. BioXcel LLC seeks to address its technology risks by increasing its reliance on the use of innovations by cross-industry technology leaders and adapt these for their pharmaceutical, biotechnology,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their clients in forms that are easy to use while simultaneously providing clear answers to complex questions. We also utilize our own in-house AI platform.</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There can be no guarantee that we or BioXcel LLC will be able to develop, acquire or integrate new technologies, that these new technologies will meet our and BioXcel LLC’s needs or achieve our expected goals, or that we will be able to do so as quickly or cost-effectively as our competitors. Significant technological change could render BioXcel LLC’s EvolverAI or other AI platforms that we may utilize obsolete. BioXcel LLC’s and our continued success will depend on the ability to adapt to changing technologies, manage and process ever-increasing amounts of data and information and improve the performance, features and reliability of these services in response to changing client and industry demands. If EvolverAI or other AI and machine learning models that we use are incorrectly designed, do not operate properly, the data we use to train them is incomplete, inadequate or biased in some way, or if we do not have sufficient rights to use the data on which our AI and machine learning models rely, the performance of our products, services and businesses, as well as our reputation, could suffer or we could incur liability through the violation of laws, third-party privacy rights or contracts to which we are a party. BioXcel LLC or we may experience difficulties that could delay or prevent the successful design, development, testing, and introduction of advanced versions of EvolverAI,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Our Reliance on Third Parties</w:t>
      </w:r>
    </w:p>
    <w:p>
      <w:pPr>
        <w:pStyle w:val="TextBody"/>
        <w:bidi w:val="0"/>
        <w:spacing w:lineRule="auto" w:line="240" w:before="0" w:after="200"/>
        <w:ind w:left="0" w:right="0" w:hanging="0"/>
        <w:jc w:val="left"/>
        <w:rPr>
          <w:rFonts w:ascii="Times New Roman;Times;serif" w:hAnsi="Times New Roman;Times;serif"/>
          <w:b/>
          <w:i/>
          <w:sz w:val="20"/>
        </w:rPr>
      </w:pPr>
      <w:r>
        <w:rPr>
          <w:rFonts w:ascii="Times New Roman;Times;serif" w:hAnsi="Times New Roman;Times;serif"/>
          <w:b/>
          <w:i/>
          <w:sz w:val="20"/>
        </w:rPr>
        <w:t>We are substantially dependent on third parties for the manufacture of our clinical supplies of our product candidates, and our commercial supplies of IGALMI</w:t>
      </w:r>
      <w:r>
        <w:rPr>
          <w:rFonts w:ascii="Times New Roman;Times;serif" w:hAnsi="Times New Roman;Times;serif"/>
          <w:b/>
          <w:i/>
          <w:sz w:val="15"/>
        </w:rPr>
        <w:t>®</w:t>
      </w:r>
      <w:r>
        <w:rPr>
          <w:rFonts w:ascii="Times New Roman;Times;serif" w:hAnsi="Times New Roman;Times;serif"/>
          <w:b/>
          <w:i/>
          <w:sz w:val="20"/>
        </w:rPr>
        <w:t>, and we intend to rely on third parties to produce commercial supplies of any other approved product candidate. Therefore, our development of our products could be stopped or delayed, and our commercialization of any future product could be stopped, delayed or made less profitable if third-party manufacturers fail to obtain approval of the FDA or comparable regulatory authorities or fail to provide us with drug product in sufficient quantities or at acceptable prices.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entered into a commercial supply agreement with ARx, LLC (“ARx”) pursuant to which ARx has agreed to exclusively manufacture and supply us with all of our worldwide demand of film formulation of Dex to be used for the commercial supply of IGALMI</w:t>
      </w:r>
      <w:r>
        <w:rPr>
          <w:rFonts w:ascii="Times New Roman;Times;serif" w:hAnsi="Times New Roman;Times;serif"/>
          <w:sz w:val="15"/>
        </w:rPr>
        <w:t>®</w:t>
      </w:r>
      <w:r>
        <w:rPr>
          <w:rFonts w:ascii="Times New Roman;Times;serif" w:hAnsi="Times New Roman;Times;serif"/>
          <w:sz w:val="20"/>
        </w:rPr>
        <w:t xml:space="preserve"> and for ongoing clinical trials of our product candidate BXCL501, subject to certain alternative supply provisions. If ARx is unable or ceases to produce our supply of Dex in sufficient quantities as and when needed or if the ARx agreement becomes too costly, our business would be harmed because there can be no assurance that we will be able to identify or enter into agreements with alternative suppliers on a timely basis on acceptable terms, if at all. An interruption in our ability to sell our products to customers could occur if we encounter delays or difficulties in securing Dex, or if the quantity or quality supplied does not meet our specifications, or if we cannot then obtain an acceptable substitute. If any of these events occur, our business and operating results could be harmed. Our specified minimum annual payment could adversely affect our cash flows in the future, such as in times when we have sufficient inventory and would otherwise be able to use our cash for other purposes.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or similar foreign requirements. Drug manufacturing facilities are subject to inspection before the FDA or foreign regulatory authorities will issue an approval to market a new drug product, and ARx, the Patheon pharma services division of Thermo Fisher Scientific Inc., and any other manufacturers that we may use must adhere to the cGMP or similar foreign regulations prescribed by the FDA or foreign regulatory authorities.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such, these third-party manufacturers will be required to comply with cGMPs, and other applicable laws and regulations. We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 Currently, a manufacturing facility of our sole supplier of an active pharmaceutical ingredient used in the production of Dex is subject to an “official action indicated” (OAI) by the FDA related to cGMP requirements.  The OAI is not specifically related to the active pharmaceutical ingredient used in the production of Dex, but nonetheless the OAI could result in a delay or rejection by the FDA in connection with our Prescription Drug User Fee Act (“PDUFA”) target action date of November 14, 2026.</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ARx, the Patheon pharma services division of Thermo Fisher Scientific Inc., and/or our other third-party manufacturers may be adversely affected by developments outside of our control, and these developments may delay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we, ARx, the Patheon pharma services division of Thermo Fisher Scientific Inc., or our other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or third-party manufacturers on whom we rely, including ARx, may be unable to successfully scale-up manufacturing of our product and product candidates in sufficient quality and quantity, which would delay or prevent us from developing our product candidates and commercializing any approved products.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order to conduct clinical trials of our product candidates and commercialize any approved product candidates, we, or our manufacturers, including ARx, and the Patheon pharma services division of Thermo Fisher Scientific Inc., will need to manufacture them in large quantities. We, or our manufacturers, may be unable to successfully increase the manufacturing capacity for any of our approved products or product candidates in a timely or cost-effective manner, or at all. In addition, quality issues may arise during scale-up activities. If we, or any of our manufacturers, are unable to successfully scale up the manufacture of our approved products or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approved products, or to do so on commercially reasonable terms, we may not be able to develop and commercialize our approved products or product candidates successfully.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failure to find third-party collaborators to assist or share in the costs of product development could materially harm our business, financial condition, and 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strategy for the development and commercialization of our proprietary products and product candidates may include the formation of collaborative arrangements with third parties. Collaborators have significant discretion in determining the efforts and resources they apply and may not perform their obligations as expected. Potential third-party collaborators include biopharmaceutical, pharmaceutical and biotechnology companies, academic institutions and other entities. Third-party collaborators may assist us in:</w:t>
      </w:r>
    </w:p>
    <w:tbl>
      <w:tblPr>
        <w:tblW w:w="6741" w:type="dxa"/>
        <w:jc w:val="left"/>
        <w:tblInd w:w="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funding research, preclinical development, clinical trials and manufacturing;</w:t>
            </w:r>
          </w:p>
        </w:tc>
      </w:tr>
    </w:tbl>
    <w:tbl>
      <w:tblPr>
        <w:tblW w:w="4476" w:type="dxa"/>
        <w:jc w:val="left"/>
        <w:tblInd w:w="0" w:type="dxa"/>
        <w:tblLayout w:type="fixed"/>
        <w:tblCellMar>
          <w:top w:w="28" w:type="dxa"/>
          <w:left w:w="28" w:type="dxa"/>
          <w:bottom w:w="28" w:type="dxa"/>
          <w:right w:w="28" w:type="dxa"/>
        </w:tblCellMar>
      </w:tblPr>
      <w:tblGrid>
        <w:gridCol w:w="124"/>
        <w:gridCol w:w="256"/>
        <w:gridCol w:w="4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seeking and obtaining regulatory approvals; and</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successfully commercializing IGALMI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or product candidates.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we are not able to establish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collaborations could materially harm our business, financial condition and results of operations.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have relied upon and plan to continue to rely upon third-party medical institutions, clinical investigators, contract laboratories and other third-party CROs to monitor and manage data for our ongoing preclinical and clinical programs. We rely on these parties for execution of our preclinical and clinical trials,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 enforced by the FDA, the competent authorities of the European Economic Area (“EEA”) countries and comparable foreign regulatory authorities for all of our products in clinical development.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Regulatory authorities enforce these GCPs through periodic inspections of trial sponsors, principal investigators and trial sites. If regulatory authorities determine that we or any of our CROs failed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and similar foreign regulations. Any failure, whether by us or our CROs, to comply with these regulations may require us to repeat clinical trials, which would delay the regulatory approval process.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if any of our relationships with our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For example, investigator misconduct during our TRANQUILITY II trial evaluating BXCL501 in patients with probable Alzheimer’s disease could require us to conduct additional clinical trials before we are able to seek or obtain approval for BXCL501 for use in this patient population, as described more fully in the risk factor above entitled: “</w:t>
      </w:r>
      <w:r>
        <w:rPr>
          <w:rFonts w:ascii="Times New Roman;Times;serif" w:hAnsi="Times New Roman;Times;serif"/>
          <w:i/>
          <w:sz w:val="20"/>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Times;serif" w:hAnsi="Times New Roman;Times;serif"/>
          <w:sz w:val="20"/>
        </w:rPr>
        <w:t>.” As a result, our results of operations and the commercial prospects for our product candidates would be harmed, our costs could increase and our ability to generate revenues could be delayed.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GCP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Unfavorable global political or economic events and conditions could adversely affect our business, financial condition or 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business could be adversely affected by unstable economic and political conditions within the United States and foreign jurisdictions, including as a result of an economic downturn and geopolitical events, such as changes in U.S. federal policy that affect the geopolitical landscape. In addition,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In addition, events such as pandemics, epidemics, or outbreaks of an infectious disease may materially and adversely impact our business if we or any of the third parties with whom we engage were to experience shutdowns or other business disruptions. Furthermore, geopolitical conflicts and war, such as the current military conflict between Russia and Ukraine and the war between Israel and Hamas, and other conflicts in the Middle East, could disrupt or otherwise adversely impact our operations and those of third parties upon which we rely. Related sanctions, export controls or other actions have and may in the future be initiated by nations including the U.S., the EU or Russia (e.g., potential cyberattacks, disruption of energy flows, etc.), which could adversely affect our business and/or our supply chain, our CROs, CMOs and other third parties with which we conduct business. Any of the foregoing could harm our business and we cannot anticipate all of the ways in which the current economic climate and financial market conditions could adversely impact our business.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Additionally, trade policies and geopolitical disputes and other international conflicts can result in tariffs, sanctions and other measures that restrict international trade, and can materially adversely affect our business, particularly if these measures affect regions where raw materials are sourced. For example, tensions between the United States and China have led to a series of tariffs being imposed by the United States on imports from China, as well as other business restrictions. Countries may also adopt other measures, such as controls on imports or exports of goods, technology or data, that could adversely impact our operations and supply chain. As these tensions continue to rise, more targeted approaches on certain products, industries or companies could significantly impact our development and commercialization efforts. The U.S. government has recently imposed tariffs on certain foreign goods, and some foreign governments have threatened or instituted retaliatory tariffs on certain U.S. goods and have indicated a willingness to impose additional tariffs on U.S. products, which could increase the cost of goods needed to commercialize our products and continue development of our product candidates. Further, such actions by the U.S. could result in other retaliatory actions by those countries which could impact our ability to profitably commercialize our products in those jurisdictions. As a result, our business, operations, and financial condition could be materially harmed.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 severe or prolonged economic downturn, or additional global financial or political crises, could result in a variety of risks to our business, including delayed clinical studies or preclinical studies, delayed approval of our product candidates, delayed ability to obtain patents and other intellectual property protection, weakened demand for our product candidates, if approved, or our ability to raise additional capital when needed on acceptable terms, if at all.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A weak or declining economy also could strain our suppliers, possibly resulting in supply disruption.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the general economic downturn.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future success may depend on our ability to attract and retain qualified personnel, including consultants.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are dependent on the principal members of our management and scientific teams. Our success and the execution of our operating strategy, to the extent we continue operations, depend largely on the continued service of our employees. In addition to our employees, we have access to certain of BioXcel LLC’s employees and resources through the various agreements we have with BioXcel LLC. We have expanded our management team to include an operational ramp-up of additional technical staff required to achieve our business objectives. We will need to retain such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employees, and may need to continue to expand our managerial, commercial, operational, technical, and scientific, financial, and other resources to manage our operations and clinical trials, continue our research and development activities, and any approved product candidates. Our management and scientific personnel, systems and facilities currently in place may not be adequate to support our future growth.</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may utilize the services of third-party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recruit and retain qualified personnel, we may be unable to successfully implement the tasks necessary to further develop and commercialize our product candidate and, accordingly, may not achieve our research, development and commercialization goals.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depend on our senior management team, and the loss of one or more of our executive officers or key employees or an inability to attract and retain highly skilled employees could adversely affect our business.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success depends largely upon the continued services of our key executive officers, including Vimal Mehta, our Chief Executive Officer, President and a member of our Board, as well as the other principal members of our management, scientific, clinical teams and commercial readiness teams. We do not maintain “key person” insurance for any of these executive officers or any of our other key employees. We also rely on our leadership team in the areas of research and development, marketing, services and selling,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To continue to execute our business strategy, we also must attract and retain highly skilled personnel. We might not be successful in maintaining our unique culture and continuing to attract and retain qualified personnel. We have, from time to time, had difficulty hiring and retaining highly skilled personnel with appropriate qualifications, including as a result of the Clinical Reprioritization and related consequences for our reputation. We may experience such difficulties in the future, and any further restructuring or related reduction in force could exacerbate such difficulties. The pool of qualified personnel with experience working within the biopharmaceutical and biotechnology market is limited overall. In addition, many of the companies with which we compete for experienced personnel have greater resources than we have.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Furthermore, prior workforce reductions and any future similar cost-saving initiatives may make it difficult for us to maintain valuable aspects of our culture, retain institutional knowledge and expertise, to prevent a negative effect on employee morale or attrition beyond our planned reduction in headcount, and to attract competent personnel who are willing to embrace our culture in the future.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If we do not succeed in retaining and motivating existing employees or attracting well-qualified employees in the future, our business, financial condition and results of operations could be materially and adversely affected.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in making employment decisions, particularly in the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the fair value of stock options and other equity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acquire other companies or technologies, which could divert our management’s attention, result in dilution to our stockholders and otherwise disrupt our operations and adversely affect our operating results.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integrate or benefit from acquired technologies or services in a profitable manner;</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costs or liabilities associated with the acquisition;</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integrating the accounting systems, operations and personnel of the acquired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and additional expenses associated with supporting legacy products and hosting infrastructure of the acquired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converting the customers of the acquired business onto our platform and contract terms, including disparities in the revenue, licensing, support or professional services model of the acquired company;</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management’s attention from other business concerns;</w:t>
            </w:r>
          </w:p>
        </w:tc>
      </w:tr>
    </w:tbl>
    <w:tbl>
      <w:tblPr>
        <w:tblW w:w="10176" w:type="dxa"/>
        <w:jc w:val="left"/>
        <w:tblInd w:w="0" w:type="dxa"/>
        <w:tblLayout w:type="fixed"/>
        <w:tblCellMar>
          <w:top w:w="28" w:type="dxa"/>
          <w:left w:w="28" w:type="dxa"/>
          <w:bottom w:w="28" w:type="dxa"/>
          <w:right w:w="28" w:type="dxa"/>
        </w:tblCellMar>
      </w:tblPr>
      <w:tblGrid>
        <w:gridCol w:w="124"/>
        <w:gridCol w:w="256"/>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effects to our existing business relationships with business partners and customers as a result of the acquisition;</w:t>
            </w:r>
          </w:p>
        </w:tc>
      </w:tr>
    </w:tbl>
    <w:tbl>
      <w:tblPr>
        <w:tblW w:w="3456" w:type="dxa"/>
        <w:jc w:val="left"/>
        <w:tblInd w:w="0" w:type="dxa"/>
        <w:tblLayout w:type="fixed"/>
        <w:tblCellMar>
          <w:top w:w="28" w:type="dxa"/>
          <w:left w:w="28" w:type="dxa"/>
          <w:bottom w:w="28" w:type="dxa"/>
          <w:right w:w="28" w:type="dxa"/>
        </w:tblCellMar>
      </w:tblPr>
      <w:tblGrid>
        <w:gridCol w:w="124"/>
        <w:gridCol w:w="256"/>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loss of key employees;</w:t>
            </w:r>
          </w:p>
        </w:tc>
      </w:tr>
    </w:tbl>
    <w:tbl>
      <w:tblPr>
        <w:tblW w:w="5856" w:type="dxa"/>
        <w:jc w:val="left"/>
        <w:tblInd w:w="0" w:type="dxa"/>
        <w:tblLayout w:type="fixed"/>
        <w:tblCellMar>
          <w:top w:w="28" w:type="dxa"/>
          <w:left w:w="28" w:type="dxa"/>
          <w:bottom w:w="28" w:type="dxa"/>
          <w:right w:w="28" w:type="dxa"/>
        </w:tblCellMar>
      </w:tblPr>
      <w:tblGrid>
        <w:gridCol w:w="124"/>
        <w:gridCol w:w="256"/>
        <w:gridCol w:w="5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resources that are needed in other parts of our business; and</w:t>
            </w:r>
          </w:p>
        </w:tc>
      </w:tr>
    </w:tbl>
    <w:tbl>
      <w:tblPr>
        <w:tblW w:w="6966" w:type="dxa"/>
        <w:jc w:val="left"/>
        <w:tblInd w:w="0" w:type="dxa"/>
        <w:tblLayout w:type="fixed"/>
        <w:tblCellMar>
          <w:top w:w="28" w:type="dxa"/>
          <w:left w:w="28" w:type="dxa"/>
          <w:bottom w:w="28" w:type="dxa"/>
          <w:right w:w="28" w:type="dxa"/>
        </w:tblCellMar>
      </w:tblPr>
      <w:tblGrid>
        <w:gridCol w:w="124"/>
        <w:gridCol w:w="256"/>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substantial portions of our available cash to consummate the acquisition.</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employees may engage in misconduct or other improper activities, including noncompliance with regulatory standards and requirements and insider trading.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 care fraud and abuse laws and regulations, or to report financial information or data accurately or disclose unauthorized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during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Business interruptions could adversely affect future operations, revenues, and financial conditions, and may increase our costs and expenses.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 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Likewise, we will rely on third parties, including ARx, to manufacture IGALMI</w:t>
      </w:r>
      <w:r>
        <w:rPr>
          <w:rFonts w:ascii="Times New Roman;Times;serif" w:hAnsi="Times New Roman;Times;serif"/>
          <w:sz w:val="15"/>
        </w:rPr>
        <w:t>®</w:t>
      </w:r>
      <w:r>
        <w:rPr>
          <w:rFonts w:ascii="Times New Roman;Times;serif" w:hAnsi="Times New Roman;Times;serif"/>
          <w:sz w:val="20"/>
        </w:rPr>
        <w:t xml:space="preserve"> and our product candidates and to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Data breaches or cyber-attacks could disrupt our business operations, information technology systems, and financial results, or result in the loss or exposure of confidential or sensitive Company information.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collect and maintain information in digital form that is necessary to conduct our business, and we are increasingly dependent on information technology systems and infrastructure to operate our business, including our mobile and web-based applications, our e-commerce platform and our enterprise software. In the ordinary course of our business, we collect, store and transmit large amounts of confidential information, including intellectual property, proprietary business information, clinical trial data, and personal information (collectively, “Confidential Information”) of customers and our employees and contractors. It is critical that we do so in a secure manner to maintain the confidentiality and integrity of such Confidential Information.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information technology systems and those of third parties on which we rely have been and may in the future be attacked or breached by individuals or organizations intending to obtain our Confidential Information; harm or disrupt our business operations; or otherwise misappropriate information or Company funds. A security compromise of our information technology systems or business operations, or those of third parties on which we rely, could occur through a variety of methods such as from cyber-attacks and cyber-intrusions over the Internet, misconfigurations, “bugs” or other vulnerabilities, malware, computer viruses, email spoofing, attachments to e-mails, persons inside or outside our organization or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 periodic penetration testing, may not be successful in preventing a data breach or limiting the effects of a breach.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Furthermore, the security measures employed by third-party service providers may prove to be ineffective at preventing breaches of their systems. Any attack that results in disruptions to our operations, or the unauthorized release or loss of Confidential Information, could have a material adverse effect on our business reputation, increase our costs and expose us to material legal claims and liability (such as class actions) and result in regulatory investigations and enforcement actions, fines and penalties, negative reputational impacts that cause us to lose existing or future customers, and/or significant incident response, system restoration or remediation and future compliance costs. If the unauthorized release or loss of Confidential Information were to occur, our operations and financial results and our share price could be adversely affected. Although we maintain insurance for our business, the coverage under our policies may not be adequate to compensate us for all losses that may occur.</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If we are determined to act as a covered entity or business associate under HIPAA and be directly regulated under HIPAA, any person acting on our behalf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 out of certain disclosures of their personal information, and enter into specific contractual provisions with service providers that process California resident personal information on the business’s behalf. If we are subject to or affected by HIPAA, the CCPA, or other domestic privacy and data protection laws, any liability from failure to comply with the requirements of these laws could adversely affect our financial condition.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Europe, the General Data Protection Regulation (“GDPR”) went into effect in May 2018 and imposes strict requirements for processing the personal data of individuals within the EEA. Companies that must comply with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United States remains uncertain.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Further, since January 1, 2021, companies have had to comply with the GDPR and also the UK GDPR, which, together with the amended UK Data Protection Act 2018, retains the GDPR in UK national law. The UK GDPR mirrors the fines under the GDPR (i.e., fines up to the greater of £17.5 million or 4% of global turnover). On October 12, 2023, the UK Extension to the DPF came into effect (as approved by the UK Government), as a data transfer mechanism from the UK to U.S. entities self-certified under the DPF.</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Increased scrutiny of and evolving expectations for environmental, social and governance (“ESG”) initiatives may impose additional costs or otherwise adversely impact our business.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There has been an increased focus from investors, capital providers, shareholder advocacy groups, other market participants, customers, and other stakeholder groups regarding companies’ ESG initiatives. 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Additionally, some investors may use third-party or proprietary ESG ratings to guide their investment strategies and, in some cases, may choose not to invest in us if they believe our ESG practices are inadequate. The criteria by which companies’ ESG practices are assessed are evolving, which could result in greater expectations of us and cause us to undertake costly initiatives to satisfy such new criteria. Alternatively, if we elect not to or are unable to satisfy new criteria or do not meet the criteria, some investors may conclude that our policies with respect to ESG are inadequate and choose not to invest in us.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our ESG practices do not meet evolving investor or other stakeholder expectations and our standards, reputation, ability to attract or retain employees and desirability as an investment or business partner could be negatively impacted. Similarly, our failure or perceived failure to adequately pursue or fulfill any ESG goals and objectives or to satisfy various reporting standards, if any, could expose us to additional regulatory, social or other scrutiny, the imposition of unexpected costs, or damage to our reputation, which in turn could have a material adverse effect on our business and could cause the market value of our common stock to decline.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failure to successfully acquire, develop and market additional product candidates or approved drug products could impair our ability to grow.</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part of our growth strategy, we may evaluate, acquire, license, develop and/or market third-party products or product candidates and technologies.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future acquisitions may entail numerous operational and financial risks, including:</w:t>
      </w:r>
    </w:p>
    <w:tbl>
      <w:tblPr>
        <w:tblW w:w="3171" w:type="dxa"/>
        <w:jc w:val="left"/>
        <w:tblInd w:w="0" w:type="dxa"/>
        <w:tblLayout w:type="fixed"/>
        <w:tblCellMar>
          <w:top w:w="28" w:type="dxa"/>
          <w:left w:w="28" w:type="dxa"/>
          <w:bottom w:w="28" w:type="dxa"/>
          <w:right w:w="28" w:type="dxa"/>
        </w:tblCellMar>
      </w:tblPr>
      <w:tblGrid>
        <w:gridCol w:w="124"/>
        <w:gridCol w:w="256"/>
        <w:gridCol w:w="2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unknown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of our business and diversion of our management’s and technical personnel’s time and attention to develop acquired products or technologies;</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incurrence of substantial debt or dilutive issuances of securities to pay for acquisitions;</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than expected acquisition and integration costs;</w:t>
            </w:r>
          </w:p>
        </w:tc>
      </w:tr>
    </w:tbl>
    <w:tbl>
      <w:tblPr>
        <w:tblW w:w="3216" w:type="dxa"/>
        <w:jc w:val="left"/>
        <w:tblInd w:w="0" w:type="dxa"/>
        <w:tblLayout w:type="fixed"/>
        <w:tblCellMar>
          <w:top w:w="28" w:type="dxa"/>
          <w:left w:w="28" w:type="dxa"/>
          <w:bottom w:w="28" w:type="dxa"/>
          <w:right w:w="28"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amortization expenses;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and cost in combining the operations and personnel of any acquired businesses with our operations and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relationships with key suppliers or customers of any acquired businesses due to changes in management and ownership; and</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retain key employees of any acquired businesses.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ability to use our net operating losses and tax credits to offset future taxable income and income tax liabilities may be limited.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At December 31, 2025 the Company had approximately $510.3 million of gross federal and $530.6 million of gross state net operating loss carry-forwards. The Tax Cuts and Jobs Act (“TCJA”) in December 2017 amended the net operating losses carryforward rules. Net operating losses generated after December 31, 2017, may be carried forward indefinitely, subject to certain limitations on their use. Net operating losses generated prior to 2018 may be carried forward for twenty years. If not utilized, these net operating losses will expire by 2037. State net operating losses have varying carryforward and applicable expiration periods. $507.7 million of the federal net operating losses were incurred after December 31, 2017, and will be carried forward indefinitely; the balance of the federal net operating losses are subject to expiration no later than 2037. The utilization of such net operating loss carry-forwards and realization of tax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benefits in future years depends predominantly upon having taxable income. The Company has approximately $17.7 million of federal orphan drug credits and research and development credits which will begin to expire in 2037 if not utilized. The Company also has approximately $1.6 million of state research and development credits which will begin to expire in 2040 if not utilized.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under sections 382 and 383 of the Code, our federal net operating losses and tax credit carryforwards, such as research/development credits and orphan drug credits, may become subject to an annual limitation in the event of certain cumulative changes in the ownership interest of significant stockholders (or groups of stockholders) in excess of 50% over a rolling three-year period. Similar state provisions may also exist. These ownership changes may limit the amount of the net operating losses and tax credit carryforwards that can be utilized annually to offset future taxable income and income tax, respectively.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Entities are also required to evaluate, measure, recognize and disclose any uncertain federal or state income tax provisions taken on their income tax returns. The Company has analyzed its tax positions and has concluded that as of December 31, 2025, there were no uncertain tax positions. The Company's U.S. federal and state net operating losses have occurred since its inception in 2017 and as such, tax years subject to potential tax examination could apply from that date because the utilization of net operating losses from prior years opens the relevant tax year to audit by The U.S. Internal Revenue Service (“IRS”) and/or state taxing authorities. The Company did not have any unrecognized tax benefits and has not accrued any interest or penalties for the 12 months ended December 31, 2025 and 2024.</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Our Intellectual Property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Our commercial success will depend in part on obtaining, maintaining enforcing and defending our patents, trademarks, trade secrets and other intellectual property rights and proprietary technology for our current and future approved products and product candidates, the processes used to manufacture them and the methods for using them, as well as successfully defending these patents against third-party challenges. We are the owner of record of certain patents and patent applications pending in the U.S. and in certain foreign jurisdictions. Patents issued from non-provisional applications, which are typically filed from provisional patent applications or from PCT applications that enter the national phase. Neither provisional patent applications nor PCT applications issue directly as patents. We own PCT patent applications relating to our platform technologies covering methods of use and applications of the platform technologies.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trademarks, trade secrets and other intellectual property rights and proprietary technology that cover these activities.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patent positions of biotechnology and pharmaceutical companies can be highly uncertain and involve complex legal and factual questions that have been the subject of much litigation in recent years and for which important legal principles remain unresolved. Therefore, the scope of any patent claims that we have or may obtain cannot be predicted with certainty. No consistent policy regarding the breadth of claims allowed in pharmaceutical patents has emerged to date in the U.S. or in foreign jurisdictions outside of the U.S. Changes in either the patent laws or interpretations of patent laws in the U.S. and other countries may diminish the value of our intellectual property. Accordingly, we cannot predict which of our patent applications will issue, the breadth of claims that may be enforced in the patents that may be issued from the applications we currently, or may in the future, own or license from third parties,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Further, if any patents we obtain or license are deemed invalid and unenforceable, our ability to commercialize or license our technology could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Others have filed, and in the future are likely to file, patent applications covering products and technologies that are similar, identical or competitive to ours or important to our business. We cannot be certain that any patent application owned by a third-party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degree of future protection for our proprietary rights is uncertain because legal means afford only limited protection and may not adequately protect our rights or permit us to gain or keep our competitive advantage. For example: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be able to independently develop, make and commercialize compounds that are similar to, or are alternatives or duplicates of any of our product candidates, but that are not covered by the claims of our patents or are not infringing, misappropriating, or otherwise violating our other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might not have been the first to make the inventions covered by our issued patents or pending patent applications that we license or may own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future collaborators, might not have been the first to file patent applications covering certain of our or their inventions;</w:t>
            </w:r>
          </w:p>
        </w:tc>
      </w:tr>
    </w:tbl>
    <w:tbl>
      <w:tblPr>
        <w:tblW w:w="8916" w:type="dxa"/>
        <w:jc w:val="left"/>
        <w:tblInd w:w="0" w:type="dxa"/>
        <w:tblLayout w:type="fixed"/>
        <w:tblCellMar>
          <w:top w:w="28" w:type="dxa"/>
          <w:left w:w="28" w:type="dxa"/>
          <w:bottom w:w="28" w:type="dxa"/>
          <w:right w:w="28" w:type="dxa"/>
        </w:tblCellMar>
      </w:tblPr>
      <w:tblGrid>
        <w:gridCol w:w="124"/>
        <w:gridCol w:w="256"/>
        <w:gridCol w:w="8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pending patent applications or those that we may own in the future may not result in issued patents;</w:t>
            </w:r>
          </w:p>
        </w:tc>
      </w:tr>
    </w:tbl>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claims of our issued patents or patent applications when issued may not cover our products or product candidates;</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patents that we obtain may not provide us with any competitive advantages;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might conduct research and development activities in countries where we do not have patent rights and then use the information learned from such activities to develop, manufacture and commercialize competitive products or product candidates for sale in our major commercial markets;</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develop additional proprietary technologies that are patentable;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not to seek patent protection for some of our proprietary technology or product candidates to maintain certain trade secrets or know-how, and a third party may subsequently file a patent covering such trade secrets or know-how;</w:t>
            </w:r>
          </w:p>
        </w:tc>
      </w:tr>
    </w:tbl>
    <w:tbl>
      <w:tblPr>
        <w:tblW w:w="9291" w:type="dxa"/>
        <w:jc w:val="left"/>
        <w:tblInd w:w="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granted patents may be held invalid or unenforceable as a result of legal challenges by third parties; and</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patents of others may have an adverse effect on our business.</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Should any of these events occur, they could have a material adverse effect on our business, financial condition, results of operations and prospects.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In addition, the USPTO and various foreign governmental patent agencies require compliance with various procedural, document submission,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may be required to enter into intellectual property license agreements that are important to our business. These license agreements may impose various diligence, payment, and other obligations on us. For example, we may enter into exclusive license agreements with universities, research institutions, or peer industry third parties pursuant to which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disputes may arise regarding intellectual property subject to a license agreement, including:</w:t>
      </w:r>
    </w:p>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rights granted under the license agreement and other interpretation-related issues;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our technology and processes infringe on intellectual property of the licensor that is not subject to the licensing agreement;</w:t>
            </w:r>
          </w:p>
        </w:tc>
      </w:tr>
    </w:tbl>
    <w:tbl>
      <w:tblPr>
        <w:tblW w:w="8556" w:type="dxa"/>
        <w:jc w:val="left"/>
        <w:tblInd w:w="0" w:type="dxa"/>
        <w:tblLayout w:type="fixed"/>
        <w:tblCellMar>
          <w:top w:w="28" w:type="dxa"/>
          <w:left w:w="28" w:type="dxa"/>
          <w:bottom w:w="28" w:type="dxa"/>
          <w:right w:w="28" w:type="dxa"/>
        </w:tblCellMar>
      </w:tblPr>
      <w:tblGrid>
        <w:gridCol w:w="124"/>
        <w:gridCol w:w="256"/>
        <w:gridCol w:w="8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diligence obligations under the license agreement and what activities satisfy those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third-party expresses interest in an area under a license that we are not pursuing, under the terms of certain of our license agreements, we may be required to sublicense rights in that area to a third-party, and that sublicense could harm our business;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of inventions and know-how resulting from the joint creation or use of intellectual property by our licensors and us.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disputes over intellectual property that we have licensed prevent or impair our ability to maintain our current licensing arrangements on acceptable terms, we may be unable to successfully develop and commercialize the affected approved products or product candidates.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be subject to claims challenging the inventorship or ownership of our patents and other intellectual property.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or our licensors may be subject to claims that third parties have an interest in our patents, trade secrets, or other intellectual property that we regard as our own or our licensor’s, based on claims that the relevant agreements with employees or consultants obligating them to assign their intellectual property rights to us or our licensor are ineffective or in conflict with prior or competing contractual obligations to assign inventions and intellectual property rights to another employer, to a former employer, or to another person or entity. We may also be subject to claims that our former employees, contractors or collaborators, or other third parties have an ownership interest in our current or future patents, patent applications, or other intellectual property rights, including as an inventor or co-inventor. For example, we or our licensors may have inventorship disputes arise from conflicting obligations of employees, consultants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others who are involved in developing our product candidates.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conceives or develops intellectual property rights that we regard as our own, and we cannot be certain that our agreements with such parties will be upheld in the face of a potential challenge, or that they will not be breached, for which we may not have an adequate remedy.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are not aware of any threatened or pending claims related to these matters, but in the future litigation may be necessary to defend against these and other claims challenging inventorship or our or our licensors’ ownership of our owned or in-licensed patents, trade secrets, or other intellectual property, and it may be necessary or we may desire to obtain a license to a third party’s intellectual property rights to settle any such claim; however, there can be no assurance that we would be able to obtain such license on commercially reasonable terms, if at all. If we or our licensors fail in defending any such claims, in addition to paying monetary damages or a settlement payment, we may lose valuable intellectual property rights, such as exclusive ownership of, or right to use, intellectual property that is important to our product candidates. A court could prohibit us from using technologies, features or other intellectual property rights that are essential to our products or technologies, if such technologies or features are found to incorporate or be derived from the trade secrets or other proprietary information of another person or entity, including another or former employers. An inability to incorporate technologies, features or other intellectual property rights that are important or essential to our products or product candidates could have a material adverse effect on our business, financial condition, results of operations, and competitive position, and may prevent us from developing, manufacturing and/or commercializing our products or technologies. In addition, we may lose valuable intellectual property rights or personnel. Even if we are successful in defending against such claims, litigation could result in substantial costs and be a distraction to management and other employees. Any litigation or the threat thereof may adversely affect our ability to hire employees or contract with independent sales representatives. A loss of key personnel or their work product could hamper or prevent our ability to develop, manufacture and/or commercialize our products or services, which could materially and adversely affect our business, financial condition and results of operations. Any of the foregoing could have a material adverse effect on our business, financial condition, results of operations and prospects.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An NDA submitted under Section 505(b)(2) subjects us to the risk that we may be subject to a patent infringement lawsuit that would delay or prevent the review or approval of our product candidate.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product candidates have been or will be submitted to the FDA for approval under Section 505(b)(2) of the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Hatch-Waxman Act apply. In accordance with the Hatch-Waxman Act, such NDAs may be required to include paragraph IV certifications, that certify that any patents listed in the FDA’s Orange Book, with respect to any product referenced in the 505(b)(2) application, are invalid, unenforceable or will not be infringed by the manufacture, use or sale of the product that is the subject of the 505(b)(2) NDA.</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30-month stay of the FDA’s ability to approve the 505(b)(2) NDA, unless patent litigation is resolved in the favor of the paragraph IV certification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safety and effectiveness of the drug product for the proposed use and could cause delay and be considerably more expensive and time consuming. These factors, among others, may limit our ability to successfully commercialize our product candidates.</w:t>
      </w:r>
    </w:p>
    <w:p>
      <w:pPr>
        <w:pStyle w:val="TextBody"/>
        <w:bidi w:val="0"/>
        <w:spacing w:lineRule="auto" w:line="240" w:before="0" w:after="200"/>
        <w:ind w:left="0" w:right="0" w:hanging="0"/>
        <w:jc w:val="left"/>
        <w:rPr>
          <w:rFonts w:ascii="Times New Roman;Times;serif" w:hAnsi="Times New Roman;Times;serif"/>
          <w:sz w:val="20"/>
        </w:rPr>
      </w:pPr>
      <w:r>
        <w:rPr>
          <w:rFonts w:ascii="Times New Roman;Times;serif" w:hAnsi="Times New Roman;Times;serif"/>
          <w:b/>
          <w:i/>
          <w:sz w:val="20"/>
        </w:rPr>
        <w:t>If our intellectual property related to IGALMI</w:t>
      </w:r>
      <w:r>
        <w:rPr>
          <w:rFonts w:ascii="Times New Roman;Times;serif" w:hAnsi="Times New Roman;Times;serif"/>
          <w:sz w:val="15"/>
        </w:rPr>
        <w:t>®</w:t>
      </w:r>
      <w:r>
        <w:rPr>
          <w:rFonts w:ascii="Times New Roman;Times;serif" w:hAnsi="Times New Roman;Times;serif"/>
          <w:sz w:val="20"/>
        </w:rPr>
        <w:t xml:space="preserve"> </w:t>
      </w:r>
      <w:r>
        <w:rPr>
          <w:rFonts w:ascii="Times New Roman;Times;serif" w:hAnsi="Times New Roman;Times;serif"/>
          <w:b/>
          <w:i/>
          <w:sz w:val="20"/>
        </w:rPr>
        <w:t>BXCL501, BXCL502, BXCL701, BXCL702 or any future product candidates is not adequate or if we are not able to successfully enforce our intellectual property rights, the commercial value of our products or product candidates may be adversely affected and we may not be able to compete effectively in our market.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enforce our rights against potential infringement, misappropriation or violation of our intellectual property rights. 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or technologies. Moreover, it may be difficult or impossible to obtain evidence of infringement in a competitor’s or potential competitor’s product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and product candidates.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Even where laws provide protection, costly and time-consuming litigation could be necessary to enforce and determine the scope of our proprietary rights, and the outcome of such litigation would be uncertain. If we choose to commence a proceeding or litigation to prevent another party from infringing our patents, that party could counterclaim that our patents are invalid or should not be enforced against them.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There is a risk that the examiner or court will decide that our patents are invalid or unenforceable, in whole or in part, and that we do not have the right to stop the other party from using the related inventions. There is also the risk that, even if the validity of our patents is upheld, the examiner or court may construe the patent’s claims or other intellectual property narrowly or refuse to stop the other party from using the technology at issue on the grounds that such other party’s activities do not infringe our rights to such patents. In addition, the U.S. Supreme Court has recently modified some tests used by the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If a defendant were to prevail on its legal assertion of invalidity and/or unenforceability against our intellectual property related to a product or a product candidate, we could lose at least part, and perhaps all, of the patent protection on such product or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 An adverse result in any litigation or administrative proceeding could put one or more of our patents or other intellectual property rights at risk of being invalidated or interpreted narrowly, which could adversely affect our competitive business position, financial condition and results of operations. Moreover, if we are unable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 Even if we are successful in any litigation, we may incur significant expense in connection with such proceedings, and the amount of any monetary damages may be inadequate to compensate us for damage as a result of the infringement and the proceedings. Further,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Further,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Third parties may initiate legal proceedings alleging that we are infringing, misappropriating or otherwise violating their intellectual property rights, and/or third party claims seeking to invalidate our patents, which would be costly, time consuming and, if successfully asserted against us, may prevent or delay our product development efforts and stop us from commercializing or increase the costs of commercializing our product candidates.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Our commercial success will depend in part on our ability to develop, manufacture or commercialize our products and product candidates without infringing, misappropriating or otherwise violating the intellectual property rights of third parties. There is considerable patent and other intellectual property litigation in the pharmaceutical and biotechnology industries, and companies in the industry have used intellectual property litigation to gain a competitive advantage. We may become party to, or threatened with, adversarial proceedings or litigation regarding intellectual property rights with respect to our products, or the manufacture or use of our product candidates. In addition to infringement claims against us, third parties may also raise similar claims before administrative bodies in the United States or abroad. Such mechanisms include interference proceedings, post grant review, inter partes review, and derivation proceedings before the USPTO and similar proceedings in foreign jurisdictions. If third parties prepare and file patent applications in the United States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We also could be ordered to pay substantial damages, including treble damages and attorney’s fees if we are found to be willfully infringing a third party’s patents or other intellectual property rights. In addition, we may be obligated to indemnify our licensors and collaborators against certain intellectual property infringement claims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cannot be certain that others have not filed patent applications for technology covered by our pending applications, or that we were the first to invent the technology, because:</w:t>
      </w:r>
    </w:p>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patent applications in the U.S. may be maintained in secrecy until the patents are issued;</w:t>
            </w:r>
          </w:p>
        </w:tc>
      </w:tr>
    </w:tbl>
    <w:tbl>
      <w:tblPr>
        <w:tblW w:w="8706" w:type="dxa"/>
        <w:jc w:val="left"/>
        <w:tblInd w:w="0" w:type="dxa"/>
        <w:tblLayout w:type="fixed"/>
        <w:tblCellMar>
          <w:top w:w="28" w:type="dxa"/>
          <w:left w:w="28" w:type="dxa"/>
          <w:bottom w:w="28" w:type="dxa"/>
          <w:right w:w="28" w:type="dxa"/>
        </w:tblCellMar>
      </w:tblPr>
      <w:tblGrid>
        <w:gridCol w:w="124"/>
        <w:gridCol w:w="256"/>
        <w:gridCol w:w="8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applications in the U.S. are typically not published until 18 months after the priority date; and</w:t>
            </w:r>
          </w:p>
        </w:tc>
      </w:tr>
    </w:tbl>
    <w:tbl>
      <w:tblPr>
        <w:tblW w:w="6561" w:type="dxa"/>
        <w:jc w:val="left"/>
        <w:tblInd w:w="0" w:type="dxa"/>
        <w:tblLayout w:type="fixed"/>
        <w:tblCellMar>
          <w:top w:w="28" w:type="dxa"/>
          <w:left w:w="28" w:type="dxa"/>
          <w:bottom w:w="28" w:type="dxa"/>
          <w:right w:w="28" w:type="dxa"/>
        </w:tblCellMar>
      </w:tblPr>
      <w:tblGrid>
        <w:gridCol w:w="124"/>
        <w:gridCol w:w="256"/>
        <w:gridCol w:w="6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publications in the scientific literature often lag behind actual discoveries.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 priority to any applications filed prior to the priority dates of our applications, we may have to participate in an interference proceeding declared by the USPTO to determine priority of invention in the U.S.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We may not be able to enforce our intellectual property rights throughout the world.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Finally, a Unitary Patent and Unified Patent Court (“UPC”) system was implemented in Europe on June 1, 2023. This new regime may present uncertainties for our ability to protect and enforce our patent rights against competitors in Europe. Under the UPC, all European patents, including those issued prior to ratification of the European Patent Package, by default automatically fall under the jurisdiction of the UPC. The UPC provides our competitors with a new forum to centrally revoke our European patents, and allows for the possibility of a competitor to obtain pan-European injunctions. It will be several years before we will understand the scope of patent rights that will be recognized and the strength of patent remedies that will be provided by the UPC. Under the EU Patent Package, we will have the right to opt our patents out of the UPC over the first seven years of the court’s existence, but doing so may preclude us from realizing the benefits of the new unified court.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our trademarks and trade names are not adequately protected, we may not be able to build name recognition in our markets of interest and our competitive position may be harmed.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trademarks could be challenged, invalidated, infringed, and circumvented by third parties, and our trademarks could also be diluted, declared generic or found to be infringing on other marks. If any of the foregoing occurs, we could be forced to re-brand our products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on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operating results and prospects.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rely on our trademarks, trade names and brand names, such as “IGALMI</w:t>
      </w:r>
      <w:r>
        <w:rPr>
          <w:rFonts w:ascii="Times New Roman;Times;serif" w:hAnsi="Times New Roman;Times;serif"/>
          <w:sz w:val="15"/>
        </w:rPr>
        <w:t>®</w:t>
      </w:r>
      <w:r>
        <w:rPr>
          <w:rFonts w:ascii="Times New Roman;Times;serif" w:hAnsi="Times New Roman;Times;serif"/>
          <w:sz w:val="20"/>
        </w:rPr>
        <w:t>” and our logo, to distinguish our company and our products from our competitors and the products of our competitors, and have registered or applied to register many of these trademarks in the United States and certain countries outside the United States, however, we have not yet registered all of our trademarks in all of our current and potential markets. There can be no assurance that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may also oppose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we are not able to adequately prevent disclosure of trade secrets and other proprietary information, the value of our technology and products could be significantly diminished.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to patent protection, we also rely on other intellectual property rights, including protection of copyright, trade secrets, know-how and/or other proprietary information to protect our proprietary technologies, especially where we do not believe patent protection is appropriate or obtainable. However, trade secrets are difficult to protect, and some courts are less willing or unwilling to protect trade secrets. To maintain the confidentiality of our trade secrets and proprietary information, we rely in part on confidentiality agreements with our employees, consultants, outside scientific collaborators, sponsored researchers and other advisors to protect our trade secrets and other proprietary information.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intellectual property rights.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In addition, despite the protections we do place on our intellectual property or other proprietary rights, monitoring unauthorized use and disclosure of our intellectual property rights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generally of these confidentiality restrictions. These agreements may not effectively prevent disclosure of confidential information and may not provide an adequate remedy in the event of unauthorized disclosure of confidential information. There can be no assurances that such employees, consultants, advisors or third parties will not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or services that we consider proprietary. Enforcing a claim that a party illegally disclosed or misappropriated a trade secret can be difficult, expensive and time-consuming, and the outcome is unpredictable. Further, we may not be able to obtain adequate remedies for any breach. While we use commonly accepted security measures, trade secret violations are often a matter of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trade secrets may be independently developed by others in a manner that could prevent legal recourse by us. If any of our intellectual property rights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 Further, it is possible that others will independently develop the same or similar technology, products or services or otherwise obtain access to our unpatented technology, and in such cases, we could not assert any trade secret rights against such parties. If we fail to obtain or maintain trade secret protection, or if our competitors obtain our trade secrets or independently develop technology or products similar to ours,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be subject to claims that our employees, consultants or independent contractors have misappropriated the intellectual property rights, including know-how or trade secrets of a third party.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may be subject to claims that our employees or consultants have wrongfully used for our benefit or disclosed to us confidential information of third parties. As is common in the biotechnology and pharmaceutical industries, we employ individuals who were previously employed at other biotechnology or pharmaceutical companies, including our competitors or potential competitors. Some of these employees, consultants and contractors may have executed proprietary rights, non-disclosure and non-competition agreements in connection with such previous employment or engagement. Although we try to ensure that our employees, consultants and independent contractors do not use the intellectual property rights, proprietary information, know-how, or trade secrets of others in their work for us, and do not perform work for us that is in conflict with their obligations to another employer or any other entity, we may be subject to claims that we or our employees, consultants or independent contractors have, inadvertently or otherwise misappropriated the intellectual property, including know-how, trade secrets or other proprietary information of their former employers or clients. To the extent that our employees, consultants or contractors use intellectual property rights or proprietary information owned by others in their work for us, disputes may arise as to the rights in any related or resulting know-how and inventions. Litigation may be necessary to defend against these claims. If we fail in defending any such claims, in addition to paying monetary damages, we could lose valuable intellectual property rights or personnel, which could adversely impact our business. There is no guarantee of success in defending these claims, and even if we are successful, litigation could result in substantial costs and be a distraction to management.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intellectual property may not be sufficient to protect our products from competition, which may negatively affect our business as well as limit our partnership or acquisition appeal.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drug re-innovation approach involves the filing of patent applications covering new methods of use and/or new formulations of previously known, studied and/or marketed drugs. Although the protection afforded by our patent and patent applications may be significant with respect to BXCL501, BXCL502, BXCL701 and BXCL702,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adversely affected.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may elect to sue a third party, or otherwise make a claim, alleging infringement or other violation of patents, trademarks, trade dress, copyrights, trade secrets, domain names or other intellectual property rights that we either own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or license from BioXcel LLC. If we do not prevail in enforcing our intellectual property rights in this type of litigation, we may be subject to:</w:t>
      </w:r>
    </w:p>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monetary damages related to the legal expenses of the third party;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facing additional competition that may have a significant adverse effect on our product pricing, market share, business operations, financial condition, and the commercial viability of our products;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 third-party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Intellectual property rights and enforcement may be less extensive in jurisdictions outside of the U.S.; thus, we may not be able to protect our intellectual property and third parties may be able to market competitive products that may use some or all of our intellectual property.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Changes to patent law, including the Leahy-Smith America Invents Act of 2011 and the Patent Reform Act of 2009 and other future article of legislation, may substantially change the regulations and procedures surrounding patent applications, issuance of patents, and prosecution of patents. We can give no assurances that patents we own or license and can be successfully defended or will protect us against future intellectual property challenges, particularly as they pertain to changes in patent law and future patent law interpretations.</w:t>
      </w:r>
    </w:p>
    <w:p>
      <w:pPr>
        <w:pStyle w:val="TextBody"/>
        <w:bidi w:val="0"/>
        <w:spacing w:before="200" w:after="0"/>
        <w:ind w:left="0" w:right="0" w:firstLine="360"/>
        <w:jc w:val="left"/>
        <w:rPr>
          <w:rFonts w:ascii="Times New Roman;Times;serif" w:hAnsi="Times New Roman;Times;serif"/>
          <w:sz w:val="20"/>
        </w:rPr>
      </w:pPr>
      <w:r>
        <w:rPr>
          <w:rFonts w:ascii="Times New Roman;Times;serif" w:hAnsi="Times New Roman;Times;serif"/>
          <w:sz w:val="20"/>
        </w:rPr>
        <w:t xml:space="preserve">In Europe, a new unitary patent system took effect on June 1, 2023, and may significantly impact European patents, including those granted before the introduction of the new system. Under the new system, Applicants can, upon grant of a patent, opt for that patent to become a Unitary Patent which will be subject to the jurisdiction of a new Unitary Patent Court (UPC). Patents granted before the implementation of the new system can be opted out of UPC jurisdiction, remaining as national patents in the UPC countries. Patents that remain under the jurisdiction of the UPC may be challenged in a single UPC-based revocation proceeding that, if successful, could invalidate the patent in all countries who are signatories to the UPC.  Further, because the UPC is a new court system and there is little precedent for the court’s laws, there is increased uncertainty regarding the outcome of any patent litigation. We are unable to predict what impact the new patent regime may have on our ability to exclude competitors in the European market. In addition to changes in patent laws, geopolitical dynamics, including Russia’s incursion into Ukraine, and the imposition of tariffs and responses to tariffs, may impact our ability to obtain and enforce patents in particular jurisdictions. If we are unable to obtain and enforce patents as needed in particular markets, our ability to exclude competitors in those markets may be reduced. </w:t>
      </w:r>
    </w:p>
    <w:p>
      <w:pPr>
        <w:pStyle w:val="TextBody"/>
        <w:bidi w:val="0"/>
        <w:spacing w:lineRule="auto" w:line="343" w:before="0" w:after="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enforcing and maintaining our intellectual property protection depends on compliance with various procedural, document submission, fee payment and other requirements imposed by the USPTO, courts and foreign government patent agencies, and our patent protection could be reduced or eliminated for non- compliance with these requirements.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Owning our Common Stock</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The price of our common stock may fluctuate substantially.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our common stock by our stockholders, executives, and directors;</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and limitations in trading volumes of our shares of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speculative trading in and short sales of our stock, as well as trading phenomena such as the “short squeeze” and “short and distort” schemes;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financings to conduct and complete research and development activities including, but not limited to, our clinical trials, and other business activities;</w:t>
            </w:r>
          </w:p>
        </w:tc>
      </w:tr>
    </w:tbl>
    <w:tbl>
      <w:tblPr>
        <w:tblW w:w="9891" w:type="dxa"/>
        <w:jc w:val="left"/>
        <w:tblInd w:w="0" w:type="dxa"/>
        <w:tblLayout w:type="fixed"/>
        <w:tblCellMar>
          <w:top w:w="28" w:type="dxa"/>
          <w:left w:w="28" w:type="dxa"/>
          <w:bottom w:w="28" w:type="dxa"/>
          <w:right w:w="28" w:type="dxa"/>
        </w:tblCellMar>
      </w:tblPr>
      <w:tblGrid>
        <w:gridCol w:w="124"/>
        <w:gridCol w:w="256"/>
        <w:gridCol w:w="9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delays in the expected recognition of revenue due to lengthy and sometimes unpredictable sales timelines;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success of introductions of new applications and services by us or our competitors or any other change in the competitive dynamics of our industry, including consolidation among competitors, customers or strategic partners;</w:t>
            </w:r>
          </w:p>
        </w:tc>
      </w:tr>
    </w:tbl>
    <w:tbl>
      <w:tblPr>
        <w:tblW w:w="3576" w:type="dxa"/>
        <w:jc w:val="left"/>
        <w:tblInd w:w="0" w:type="dxa"/>
        <w:tblLayout w:type="fixed"/>
        <w:tblCellMar>
          <w:top w:w="28" w:type="dxa"/>
          <w:left w:w="28" w:type="dxa"/>
          <w:bottom w:w="28" w:type="dxa"/>
          <w:right w:w="28" w:type="dxa"/>
        </w:tblCellMar>
      </w:tblPr>
      <w:tblGrid>
        <w:gridCol w:w="124"/>
        <w:gridCol w:w="256"/>
        <w:gridCol w:w="3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network outages or security breaches;</w:t>
            </w:r>
          </w:p>
        </w:tc>
      </w:tr>
    </w:tbl>
    <w:tbl>
      <w:tblPr>
        <w:tblW w:w="3441" w:type="dxa"/>
        <w:jc w:val="left"/>
        <w:tblInd w:w="0" w:type="dxa"/>
        <w:tblLayout w:type="fixed"/>
        <w:tblCellMar>
          <w:top w:w="28" w:type="dxa"/>
          <w:left w:w="28" w:type="dxa"/>
          <w:bottom w:w="28" w:type="dxa"/>
          <w:right w:w="28" w:type="dxa"/>
        </w:tblCellMar>
      </w:tblPr>
      <w:tblGrid>
        <w:gridCol w:w="124"/>
        <w:gridCol w:w="256"/>
        <w:gridCol w:w="3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renewal rates and the timing and terms of customer renewals;</w:t>
            </w:r>
          </w:p>
        </w:tc>
      </w:tr>
    </w:tbl>
    <w:tbl>
      <w:tblPr>
        <w:tblW w:w="9306" w:type="dxa"/>
        <w:jc w:val="left"/>
        <w:tblInd w:w="0" w:type="dxa"/>
        <w:tblLayout w:type="fixed"/>
        <w:tblCellMar>
          <w:top w:w="28" w:type="dxa"/>
          <w:left w:w="28" w:type="dxa"/>
          <w:bottom w:w="28" w:type="dxa"/>
          <w:right w:w="28" w:type="dxa"/>
        </w:tblCellMar>
      </w:tblPr>
      <w:tblGrid>
        <w:gridCol w:w="124"/>
        <w:gridCol w:w="256"/>
        <w:gridCol w:w="8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secure resources and the necessary personnel to conduct clinical trials on our desired schedule;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enrollment or results of our clinical trials for our product candidates or any future clinical trials we may conduct;</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development status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delays or adverse developments or perceived adverse developments with respect to the FDA’s review of our preclinical and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 in our submission for studies or product approvals or adverse regulatory decisions, including failure to receive regulatory approval for our product candidates;</w:t>
            </w:r>
          </w:p>
        </w:tc>
      </w:tr>
    </w:tbl>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safety concerns related to the use of our product candidates;</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failures to meet external expectations or management guidance;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capital structure or dividend policy, future issuances of securities, sales of large blocks of common stock by our stockholders;</w:t>
            </w:r>
          </w:p>
        </w:tc>
      </w:tr>
    </w:tbl>
    <w:tbl>
      <w:tblPr>
        <w:tblW w:w="1986" w:type="dxa"/>
        <w:jc w:val="left"/>
        <w:tblInd w:w="0" w:type="dxa"/>
        <w:tblLayout w:type="fixed"/>
        <w:tblCellMar>
          <w:top w:w="28" w:type="dxa"/>
          <w:left w:w="28" w:type="dxa"/>
          <w:bottom w:w="28" w:type="dxa"/>
          <w:right w:w="28" w:type="dxa"/>
        </w:tblCellMar>
      </w:tblPr>
      <w:tblGrid>
        <w:gridCol w:w="124"/>
        <w:gridCol w:w="256"/>
        <w:gridCol w:w="1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position;</w:t>
            </w:r>
          </w:p>
        </w:tc>
      </w:tr>
    </w:tbl>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and events surrounding financing efforts, including debt and equity securities;</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enter into new markets or develop new products;</w:t>
            </w:r>
          </w:p>
        </w:tc>
      </w:tr>
    </w:tbl>
    <w:tbl>
      <w:tblPr>
        <w:tblW w:w="2106" w:type="dxa"/>
        <w:jc w:val="left"/>
        <w:tblInd w:w="0" w:type="dxa"/>
        <w:tblLayout w:type="fixed"/>
        <w:tblCellMar>
          <w:top w:w="28" w:type="dxa"/>
          <w:left w:w="28" w:type="dxa"/>
          <w:bottom w:w="28" w:type="dxa"/>
          <w:right w:w="28" w:type="dxa"/>
        </w:tblCellMar>
      </w:tblPr>
      <w:tblGrid>
        <w:gridCol w:w="124"/>
        <w:gridCol w:w="256"/>
        <w:gridCol w:w="1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reputational issues;</w:t>
            </w:r>
          </w:p>
        </w:tc>
      </w:tr>
    </w:tbl>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existing technologies and products or new technologies and products that may emerge;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acquisitions, partnerships, collaborations, joint ventures, new products, capital commitments, or other events by us or our competitors;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general economic, political and market conditions in or any of the regions in which we conduct our business;</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industry conditions or perceptions;</w:t>
            </w:r>
          </w:p>
        </w:tc>
      </w:tr>
    </w:tbl>
    <w:tbl>
      <w:tblPr>
        <w:tblW w:w="6021" w:type="dxa"/>
        <w:jc w:val="left"/>
        <w:tblInd w:w="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valuations of similar companies or groups of companies;</w:t>
            </w:r>
          </w:p>
        </w:tc>
      </w:tr>
    </w:tbl>
    <w:tbl>
      <w:tblPr>
        <w:tblW w:w="10161" w:type="dxa"/>
        <w:jc w:val="left"/>
        <w:tblInd w:w="0" w:type="dxa"/>
        <w:tblLayout w:type="fixed"/>
        <w:tblCellMar>
          <w:top w:w="28" w:type="dxa"/>
          <w:left w:w="28" w:type="dxa"/>
          <w:bottom w:w="28" w:type="dxa"/>
          <w:right w:w="28" w:type="dxa"/>
        </w:tblCellMar>
      </w:tblPr>
      <w:tblGrid>
        <w:gridCol w:w="124"/>
        <w:gridCol w:w="256"/>
        <w:gridCol w:w="9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analyst research reports, recommendation and changes in recommendations, price targets, and withdrawals of coverage;</w:t>
            </w:r>
          </w:p>
        </w:tc>
      </w:tr>
    </w:tbl>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departures and additions of key personnel;</w:t>
            </w:r>
          </w:p>
        </w:tc>
      </w:tr>
    </w:tbl>
    <w:tbl>
      <w:tblPr>
        <w:tblW w:w="8961" w:type="dxa"/>
        <w:jc w:val="left"/>
        <w:tblInd w:w="0" w:type="dxa"/>
        <w:tblLayout w:type="fixed"/>
        <w:tblCellMar>
          <w:top w:w="28" w:type="dxa"/>
          <w:left w:w="28" w:type="dxa"/>
          <w:bottom w:w="28" w:type="dxa"/>
          <w:right w:w="28" w:type="dxa"/>
        </w:tblCellMar>
      </w:tblPr>
      <w:tblGrid>
        <w:gridCol w:w="124"/>
        <w:gridCol w:w="256"/>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and litigations related to intellectual properties, proprietary rights, and contractual obligations;</w:t>
            </w:r>
          </w:p>
        </w:tc>
      </w:tr>
    </w:tbl>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rules, regulations, or accounting practices and other dynamics; and</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many of which may be out of our control.</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Future sales and issuances of our common stock, including common stock that may be sold following exercise of outstanding warrants, would result in additional dilution of the percentage ownership of our stockholders and could adversely impact the share price of our common stock.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expect that significant additional capital will be needed in the future to continue our planned operations, including, without limitation, funding our trials and studies, marketing and commercializing our products and funding our operations. Accordingly, we have sold, and in the future may sell, common stock, convertible securities or other equity securities in one or more transactions at prices and in a manner we determine from time to time. To the extent we raise additional capital by issuing additional shares of common stock or securities convertible or exchangeable for our common stock, our stockholders may experience substantial dilution, and new investors could gain rights superior to our existing stockholders.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March 2024, we issued and sold in a registered direct offering 190,913 shares of our common stock, accompanying warrants to purchase up to 538,728 shares of our common stock and pre-funded warrants to purchase up to 347,814 shares of our common stock. In November 2024, we issued and sold in a registered direct offering 350,000 shares of our common stock, accompanying warrants to purchase up to 912,500 shares of our common stock and pre-funded warrants to purchase up to 562,500 shares of our common stock, (for additional information see Note 11, </w:t>
      </w:r>
      <w:r>
        <w:rPr>
          <w:rFonts w:ascii="Times New Roman;Times;serif" w:hAnsi="Times New Roman;Times;serif"/>
          <w:i/>
          <w:sz w:val="20"/>
        </w:rPr>
        <w:t xml:space="preserve">Common Stock Financing Activities </w:t>
      </w:r>
      <w:r>
        <w:rPr>
          <w:rFonts w:ascii="Times New Roman;Times;serif" w:hAnsi="Times New Roman;Times;serif"/>
          <w:sz w:val="20"/>
        </w:rPr>
        <w:t xml:space="preserve">in our Annual Report on Form 10-K for the fiscal year ended December 31, 2025). In addition, we issued additional warrants to purchase up to 312,506 shares of common stock in connection with the Fifth Amendment of our Credit Agreement (see Note 9, </w:t>
      </w:r>
      <w:r>
        <w:rPr>
          <w:rFonts w:ascii="Times New Roman;Times;serif" w:hAnsi="Times New Roman;Times;serif"/>
          <w:i/>
          <w:sz w:val="20"/>
        </w:rPr>
        <w:t>Debt and Credit Facilities</w:t>
      </w:r>
      <w:r>
        <w:rPr>
          <w:rFonts w:ascii="Times New Roman;Times;serif" w:hAnsi="Times New Roman;Times;serif"/>
          <w:sz w:val="20"/>
        </w:rPr>
        <w:t xml:space="preserve"> in this Annual Report on Form 10-K for additional information). In March 2025, we issued and sold in a registered direct offering 188,383 shares of common stock, pre-funded warrants to purchase up to 3,811,617 shares of our common stock, accompanying warrants to purchase up to 4 million shares, and option warrants to purchase an additional 4 million shares of common stock (or pre-funded warrants in lieu thereof) and 4 million warrants. The option warrants expired on March 18, 2025 without being exercised.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in April 2025, we entered into an Equity Distribution Agreement with Canaccord Genuity LLC establishing an “at-the-market” equity offering program under which Canaccord acts as sales agent (the “Company ATM Program”). On August 18, 2025, following an increase in the Company's public float above $75 million, we amended the program to permit sales of shares having an aggregate offering price of up to $80,000,000. Any sales under the Company ATM Program will be dilutive to existing stockholders and could adversely affect our stock price.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From the inception of the Company ATM Program in April 2025 through June 30, 2026, we sold 15,037,839 shares of our common stock under the Equity Distribution Agreement for aggregate gross proceeds of approximately $38.1 million.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number of shares of common stock underlying our outstanding warrants is significant in relation to our outstanding common stock (25% as of August 11, 2026), which could have a negative effect on the market price of our common stock and make it more difficult for us to raise funds through future equity offerings. In the event these warrants are exercised, our stockholders will experience additional dilution. To the extent outstanding stock options or warrants are exercised, there would be further dilution to our existing stockholders, which could impact the price of our common stock. Any future issuances of equity securities, including under our existing “at-the-market” program or in connection with potential strategic transactions, would further dilute existing stockholders and could materially and adversely affect the market price of our common stock and our ability to raise additional capital on favorable terms.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we do not maintain compliance with the continued listing standards of the Nasdaq Capital Market,  Nasdaq may delist our common stock from trading on its exchange, which could limit investors' ability to make transactions in our securities and subject us to additional trading restrictions.</w:t>
      </w:r>
    </w:p>
    <w:p>
      <w:pPr>
        <w:pStyle w:val="TextBody"/>
        <w:bidi w:val="0"/>
        <w:spacing w:before="0" w:after="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common stock is currently listed for trading on Nasdaq and we are currently in compliance with all Nasdaq listing requirements. However, while the Company currently meets all Nasdaq Capital Market listing requirements for continued listing, we have in the past and may again in the future receive notice of the failure to satisfy a continued listing rule from Nasdaq</w:t>
      </w:r>
      <w:r>
        <w:rPr>
          <w:rFonts w:ascii="Times New Roman;Times;serif" w:hAnsi="Times New Roman;Times;serif"/>
          <w:b/>
          <w:i/>
          <w:sz w:val="20"/>
        </w:rPr>
        <w:t xml:space="preserv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There can be no assurance that, should we fall out of compliance with the continued listing standards of Nasdaq, we will be able to regain and maintain compliance and will not face a delisting from Nasdaq in the future.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do not intend to pay cash dividends on our shares of common stock so any returns will be limited to the value of our shares.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we were deemed to be an investment company under the Investment Company Act of 1940, as amended (the “1940 Act”), applicable restrictions could make it impractical for us to continue our business as contemplated and could have a material adverse effect on our business, financial condition and 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the 1940 Act.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are a “smaller reporting company” and are able to avail ourselves of reduced disclosure requirements applicable to smaller reporting companies, which could make our common stock less attractive to investors.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are a smaller reporting company, and we will remain a smaller reporting company until we determine that either (1) our annual revenues are at least $100 million and our voting and non-voting common stock held by non-affiliates is at least $250 million measured on the last business day of our most recent second fiscal quarter, or (2) our voting and non-voting common stock held by non-affiliates is at least $700 million measured on the last business day of our most recent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 In addition, as a non-accelerated filer, we are exempt from the auditor attestation requirements of Section 404 of the Sarbanes-Oxley Act.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are and may in the future be subject to legal proceedings, claims and investigations in or outside the ordinary course of business. Such proceedings, claims and investigations could be costly and time-consuming to defend and could result in unfavorable outcomes, which may have a material adverse effect on our business, operating results and financial condition, and negatively affect the price of our common stock.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are, and may in the future become, subject to various legal proceedings, claims and investigations that arise in or outside the ordinary course of business. For example, on July 7, 2023, plaintiff Katelyn Martin filed a class action complaint against the Company and certain executives in the United States District Court for the District of Connecticut, captioned </w:t>
      </w:r>
      <w:r>
        <w:rPr>
          <w:rFonts w:ascii="Times New Roman;Times;serif" w:hAnsi="Times New Roman;Times;serif"/>
          <w:i/>
          <w:sz w:val="20"/>
        </w:rPr>
        <w:t>Martin v. BioXcel Therapeutics, et al.</w:t>
      </w:r>
      <w:r>
        <w:rPr>
          <w:rFonts w:ascii="Times New Roman;Times;serif" w:hAnsi="Times New Roman;Times;serif"/>
          <w:sz w:val="20"/>
        </w:rPr>
        <w:t xml:space="preserve">, 3:23-cv-00915 (D. Conn). The case has since been renamed to </w:t>
      </w:r>
      <w:r>
        <w:rPr>
          <w:rFonts w:ascii="Times New Roman;Times;serif" w:hAnsi="Times New Roman;Times;serif"/>
          <w:i/>
          <w:sz w:val="20"/>
        </w:rPr>
        <w:t>Hills et al v. BioXcel Therapeutics, Inc. et al</w:t>
      </w:r>
      <w:r>
        <w:rPr>
          <w:rFonts w:ascii="Times New Roman;Times;serif" w:hAnsi="Times New Roman;Times;serif"/>
          <w:sz w:val="20"/>
        </w:rPr>
        <w:t xml:space="preserve">. On October 4, 2023, pursuant to the Private Securities Litigation Reform Act, the court appointed two co-Lead Plaintiffs. The co-Lead Plaintiffs filed an amended complaint on December 5, 2023, alleging violations of Sections 10(b) and 20A of the Exchange Act and SEC Rule 10b-5 promulgated thereunder. On July 11, 2024, the Court dismissed the amended complaint without prejudice and, on August 1, 2024, co-Lead Plaintiffs filed a second amended complaint. The second amended complaint alleges that defendants made false or misleading statements regarding the TRANQUILITY II trial and the development of BXCL501 for an expanded indication related to the treatment of certain Alzheimer’s-related agitation. The Company moved to dismiss the second amended complaint on September 6, 2024. </w:t>
      </w:r>
      <w:r>
        <w:rPr>
          <w:rFonts w:ascii="Times New Roman;Times;serif" w:hAnsi="Times New Roman;Times;serif"/>
          <w:sz w:val="20"/>
          <w:shd w:fill="FFFFFF" w:val="clear"/>
        </w:rPr>
        <w:t>On February 24, 2025, while the Company’s motion to dismiss remained pending, Plaintiffs moved for leave to further amend their complaint. On September 29, 2025, the Court issued an order granting Plaintiffs’ motion for leave to amend, denying Defendants’ motion to dismiss as moot, and allowing Plaintiffs to proceed on certain of their claims. The Company filed an answer to the third amended complaint on October 28, 2025.</w:t>
      </w:r>
      <w:r>
        <w:rPr>
          <w:rFonts w:ascii="Times New Roman;Times;serif" w:hAnsi="Times New Roman;Times;serif"/>
          <w:sz w:val="20"/>
        </w:rPr>
        <w:t xml:space="preserve"> </w:t>
      </w:r>
      <w:r>
        <w:rPr>
          <w:rFonts w:ascii="Times New Roman;Times;serif" w:hAnsi="Times New Roman;Times;serif"/>
          <w:sz w:val="20"/>
          <w:shd w:fill="FFFFFF" w:val="clear"/>
        </w:rPr>
        <w:t>On January 23, 2026, the parties reached a tentative agreement to settle the action. In light of this agreement, on January 28, 2026, the Court entered an order vacating the scheduling order and requiring Plaintiffs to file a motion for preliminary approval of the settlement or status report by February 27, 2026. Plaintiffs filed a motion for preliminary approval on February 27, 2026, and the Court granted the motion on March 2, 2026. The hearing on the motion for final approval of the settlement is set for September 2, 2026. The Court’s preliminary approval of the settlement is not a final determination, and there can be no assurance that the Court will grant final approval of the settlement at the September 2, 2026 hearing or thereafter.</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November 28, 2023, Plaintiffs Pratheesan Panancherry and Jeffrey Bastress filed a stockholder derivative complaint in the United States District Court for the District of Connecticut purportedly on behalf of the Company and against Vimal Mehta, Richard I. Steinhart, Peter Mueller, June Bray, Sandeep Laumas, Michael Miller, Michal Votruba, and Krishnan Nandabalan as Defendants, and the Company as Nominal Defendant under the caption </w:t>
      </w:r>
      <w:r>
        <w:rPr>
          <w:rFonts w:ascii="Times New Roman;Times;serif" w:hAnsi="Times New Roman;Times;serif"/>
          <w:i/>
          <w:sz w:val="20"/>
        </w:rPr>
        <w:t>Panancherry et al v. Mehta et al</w:t>
      </w:r>
      <w:r>
        <w:rPr>
          <w:rFonts w:ascii="Times New Roman;Times;serif" w:hAnsi="Times New Roman;Times;serif"/>
          <w:sz w:val="20"/>
        </w:rPr>
        <w:t xml:space="preserve">, 3:23-cv-1554. Following the initial action, Plaintiffs Maria Vomvolakis (3:24-cv-3) and Kelly Fowler (3:24-cv-203) each filed separate stockholder derivative complaints in the District of Connecticut raising similar claims as Panancherry and Bastress, including business torts and violations of the Exchange Act. The cases have been consolidated under the caption </w:t>
      </w:r>
      <w:r>
        <w:rPr>
          <w:rFonts w:ascii="Times New Roman;Times;serif" w:hAnsi="Times New Roman;Times;serif"/>
          <w:i/>
          <w:sz w:val="20"/>
        </w:rPr>
        <w:t>In re BioXcel Therapeutics, Inc. Stockholder Derivative Litigation</w:t>
      </w:r>
      <w:r>
        <w:rPr>
          <w:rFonts w:ascii="Times New Roman;Times;serif" w:hAnsi="Times New Roman;Times;serif"/>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3:23-cv-1554 (D. Conn.). On October 30, 2025, the Court entered the parties’ joint stipulation staying the consolidated action until the resolution of </w:t>
      </w:r>
      <w:r>
        <w:rPr>
          <w:rFonts w:ascii="Times New Roman;Times;serif" w:hAnsi="Times New Roman;Times;serif"/>
          <w:i/>
          <w:sz w:val="20"/>
        </w:rPr>
        <w:t>Hills v. BioXcel et al</w:t>
      </w:r>
      <w:r>
        <w:rPr>
          <w:rFonts w:ascii="Times New Roman;Times;serif" w:hAnsi="Times New Roman;Times;serif"/>
          <w:sz w:val="20"/>
        </w:rPr>
        <w:t>, 3:23-cv-00915 (D. Conn.).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January 11, 2024, Plaintiff Jeremy Smith filed a stockholder derivative complaint in the United States District Court for the United States District Court for the District of Delaware purportedly on behalf of the Company and against Vimal Mehta, Peter Mueller, June Bray, Sandeep Laumas, Michael Miller, Michal Votruba, Richard I. Steinhart, Robert Risinger, and Krishnan Nandabalan as Defendants, and the Company as Nominal Defendant under the caption </w:t>
      </w:r>
      <w:r>
        <w:rPr>
          <w:rFonts w:ascii="Times New Roman;Times;serif" w:hAnsi="Times New Roman;Times;serif"/>
          <w:i/>
          <w:sz w:val="20"/>
        </w:rPr>
        <w:t>Smith v. Mehta et al</w:t>
      </w:r>
      <w:r>
        <w:rPr>
          <w:rFonts w:ascii="Times New Roman;Times;serif" w:hAnsi="Times New Roman;Times;serif"/>
          <w:sz w:val="20"/>
        </w:rPr>
        <w:t xml:space="preserve">, 1:24-cv-00041. Following the initial action, Plaintiff Janice Korff filed a stockholder derivative complaint in the District of Delaware raising similar claims as Smith (1:24-cv-130), including business torts and violations of the Exchange Act. The cases have been consolidated under the caption </w:t>
      </w:r>
      <w:r>
        <w:rPr>
          <w:rFonts w:ascii="Times New Roman;Times;serif" w:hAnsi="Times New Roman;Times;serif"/>
          <w:i/>
          <w:sz w:val="20"/>
        </w:rPr>
        <w:t>In re BioXcel Therapeutics, Inc. Derivative Litigation,</w:t>
      </w:r>
      <w:r>
        <w:rPr>
          <w:rFonts w:ascii="Times New Roman;Times;serif" w:hAnsi="Times New Roman;Times;serif"/>
          <w:sz w:val="20"/>
        </w:rPr>
        <w:t xml:space="preserve"> 1:24-cv-00041 (D. Del.). On October 30, 2025, the Court entered the parties’ joint stipulation staying the consolidated action until the resolution of </w:t>
      </w:r>
      <w:r>
        <w:rPr>
          <w:rFonts w:ascii="Times New Roman;Times;serif" w:hAnsi="Times New Roman;Times;serif"/>
          <w:i/>
          <w:sz w:val="20"/>
        </w:rPr>
        <w:t>Hills v. BioXcel et al</w:t>
      </w:r>
      <w:r>
        <w:rPr>
          <w:rFonts w:ascii="Times New Roman;Times;serif" w:hAnsi="Times New Roman;Times;serif"/>
          <w:sz w:val="20"/>
        </w:rPr>
        <w:t>, 3:23-cv-00915 (D. Conn.).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May 7, 2025, Plaintiff Yaakov Portnoy filed a stockholder derivative complaint in the Court of Chancery of the State of Delaware purportedly on behalf of the Company and against Vimal Mehta, Peter Mueller, June Bray, Sandeep “Steve” Laumas, Michael P. Miller, Michal Votruba, Richard I. Steinhart, Robert Risinger, and Krishnan Nandabalan, and the Company as Nominal Defendant under the caption </w:t>
      </w:r>
      <w:r>
        <w:rPr>
          <w:rFonts w:ascii="Times New Roman;Times;serif" w:hAnsi="Times New Roman;Times;serif"/>
          <w:i/>
          <w:sz w:val="20"/>
        </w:rPr>
        <w:t>Yaakov Portnoy, derivatively on behalf of BioXcel Therapeutics, Inc. v. Vimal Mehta, et al</w:t>
      </w:r>
      <w:r>
        <w:rPr>
          <w:rFonts w:ascii="Times New Roman;Times;serif" w:hAnsi="Times New Roman;Times;serif"/>
          <w:sz w:val="20"/>
        </w:rPr>
        <w:t xml:space="preserve">, 2025-0508-BWD (Del. Ch.).  The complaint alleges similar claims to those raised in </w:t>
      </w:r>
      <w:r>
        <w:rPr>
          <w:rFonts w:ascii="Times New Roman;Times;serif" w:hAnsi="Times New Roman;Times;serif"/>
          <w:i/>
          <w:sz w:val="20"/>
        </w:rPr>
        <w:t>In re BioXcel Therapeutics, Inc. Derivative Litigation</w:t>
      </w:r>
      <w:r>
        <w:rPr>
          <w:rFonts w:ascii="Times New Roman;Times;serif" w:hAnsi="Times New Roman;Times;serif"/>
          <w:sz w:val="20"/>
        </w:rPr>
        <w:t xml:space="preserve">, 1:24-cv-00041 (D. Del.), including business torts. On January 27, 2026, the Court entered the parties’ joint stipulation staying the case until the resolution of </w:t>
      </w:r>
      <w:r>
        <w:rPr>
          <w:rFonts w:ascii="Times New Roman;Times;serif" w:hAnsi="Times New Roman;Times;serif"/>
          <w:i/>
          <w:sz w:val="20"/>
        </w:rPr>
        <w:t>Hills v. BioXcel et al</w:t>
      </w:r>
      <w:r>
        <w:rPr>
          <w:rFonts w:ascii="Times New Roman;Times;serif" w:hAnsi="Times New Roman;Times;serif"/>
          <w:sz w:val="20"/>
        </w:rPr>
        <w:t>, 3:23-cv-00915 (D. Conn.).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March 20, 2026, Plaintiff Travis Vrana filed a stockholder derivative complaint purportedly on behalf of the Company and against Peter Mueller, June Bray, Sandeep Laumas, David Mack, Vimal Mehta, Michael Miller, Rajiv Patni, Michal Votruba, Richard Steinhart, and Robert Risinger as Defendants, and the Company as Nominal Defendant under the caption </w:t>
      </w:r>
      <w:r>
        <w:rPr>
          <w:rFonts w:ascii="Times New Roman;Times;serif" w:hAnsi="Times New Roman;Times;serif"/>
          <w:i/>
          <w:sz w:val="20"/>
        </w:rPr>
        <w:t>Vrana v. Mueller et al</w:t>
      </w:r>
      <w:r>
        <w:rPr>
          <w:rFonts w:ascii="Times New Roman;Times;serif" w:hAnsi="Times New Roman;Times;serif"/>
          <w:sz w:val="20"/>
        </w:rPr>
        <w:t>, 3:26-cv-00423 (D. Conn.). The complaint alleges two claims for breach of fiduciary duty, aiding and abetting breach of fiduciary duty, false and misleading statements in violation of Sections 10(b) and 14(a) of the Securities Exchange Act of 1934, unjust enrichment, and waste of corporate assets. It is based upon substantially similar facts and circumstances as the other derivative complaints.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is also cooperating with a formal investigation of the Company and certain of its officers and directors by the SEC, relating to the Company’s public disclosures—including about product sales and the receipt of a Form 483 by an investigator at one of the Company’s clinical trial sites in the TRANQUILITY II study, the Company’s technology platform, and study enrollment—and trading in the securities of the Company. The Company has produced documents, and current and former officers and employees of the Company have testified before the SEC. The above-captioned proceedings, as well as any investigation or proceeding that may be instituted by the SEC may result in substantial costs or liabilities, as well as a diversion of management’s attention and resources, which could harm our business, result in a decline in the market price of our common stock and impact our financing efforts.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potential costs and liabilities associated with legal proceedings, claims and investigations involving us or members of our leadership team is uncertain, and the results of such legal proceedings, claims and investigations cannot be predicted with certainty. Lawsuits and other administrative or legal proceedings that may arise can involve substantial costs, including the costs associated with investigation, litigation and possible settlement, judgment, penalty or fine. In addition, lawsuits and other legal proceedings may be time consuming to defend or prosecute and may require a commitment of management and personnel resources that will be diverted from our normal business operations. Also, our insurance coverage may be insufficient, our assets may be insufficient to cover any amounts that exceed our insurance coverage, and we may have to pay damage awards or otherwise may enter into settlement arrangements in connection with such claims. Moreover, we may be unable to continue to maintain our existing insurance at a reasonable cost, if at all, or to secure additional coverage, which may result in costs associated with lawsuits and other legal proceedings being uninsured.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common stock. In addition, such lawsuits may make it more difficult to finance our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Biotechnology and pharmaceutical companies with publicly traded stock or who obtain funding through the stock market often experience significant stock price volatility, based on events beyond their control, including outcomes of clinical trials, actions of regulators and product approvals. Such further litigation, may result in substantial costs and a diversion of management’s attention and resources, which could harm our business and result in a decline in the market price of our common stock.</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certificate of incorporation, our bylaws, and Delaware law may have anti-takeover effects that could discourage, delay, or prevent a change in control, which may cause our stock price to decline.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amended and restated certificate of incorporation, our amended and restated bylaws and Delaware law could make it more difficult for a third party to acquire us, even if closing such a transaction would be beneficial to our stockholders. We are authorized to issue up to 10 million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the board of directors with the ability to alter the bylaws without stockholder approval;</w:t>
            </w:r>
          </w:p>
        </w:tc>
      </w:tr>
    </w:tbl>
    <w:tbl>
      <w:tblPr>
        <w:tblW w:w="4176" w:type="dxa"/>
        <w:jc w:val="left"/>
        <w:tblInd w:w="0" w:type="dxa"/>
        <w:tblLayout w:type="fixed"/>
        <w:tblCellMar>
          <w:top w:w="28" w:type="dxa"/>
          <w:left w:w="28" w:type="dxa"/>
          <w:bottom w:w="28" w:type="dxa"/>
          <w:right w:w="28" w:type="dxa"/>
        </w:tblCellMar>
      </w:tblPr>
      <w:tblGrid>
        <w:gridCol w:w="124"/>
        <w:gridCol w:w="256"/>
        <w:gridCol w:w="3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limitations on the removal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advance notice requirements for nominations for election to the board of directors or for proposing matters that can be acted upon at stockholder meetings;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vacancies on the board of directors may be filled by a majority of directors in office, although less than a quorum.</w:t>
            </w:r>
          </w:p>
        </w:tc>
      </w:tr>
    </w:tbl>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Financial reporting obligations of being a public company in the U.S. are expensive and time-consuming, and our management is required to devote substantial time to compliance matters.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a publicly traded company we have incurred and will continue to incur significant legal, accounting and other expenses. The obligations of being a public company in the U.S.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the Dodd-Frank Wall Street Reform and Consumer Protection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 particularly as we are no longer an “emerging growth company.” In addition, we expect these and similar rules and regulations to make it more difficult and more expensive for us to obtain director and officer liability insurance and we may be required to incur substantial costs to maintain such insurance. Our continued compliance with applicable requirements and to keep pace with new regulations requires management and other personnel to devote a substantial amount of their time, otherwise we may fall out of compliance and risk becoming subject to litigation or being delisted, among other potential problems.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securities or industry analysts do not publish research or reports, or publish unfavorable research or reports about our business, our stock price and trading volume may decline.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which has occurred in the past,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we fail to comply with the rules under the Sarbanes-Oxley Act related to accounting controls and procedures in the future, or, if we discover material weaknesses and other deficiencies in our internal control and accounting procedures, our stock price could decline significantly and raising capital could be more difficult.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We have discovered material weaknesses in the past. If future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Changes in tax laws or exposure to additional income tax liabilities could have a material impact on our business, results of operations, financial condition and cash flows.</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tax regimes we are subject to or operate under, including income and non-income taxes, are unsettled and may be subject to significant change. Changes in tax laws, regulations, or rulings, or changes in interpretations of existing laws and regulations, could materially adversely affect our business, financial condition, results of operations, and prospects. For example, the TCJA, the Coronavirus Aid, Relief and Economic Security Act, and the IRA made many significant changes to the U.S. tax laws. Beginning in 2022, the TCJA requires taxpayers to capitalize and amortize certain research and development expenditures over five years if incurred in the U.S. and 15 years if incurred in foreign jurisdictions, rather than deducting them currently. Although there have been legislative proposals to repeal or defer the research and development expenditure capitalization requirement to later years, there can be no assurance that the provision will be repealed or otherwise modified. As another example, the IRA includes provisions that will impact the U.S. federal income taxation of certain corporations, including imposing a minimum tax on the book income of certain large corporations and a 1% excise tax on the value of certain corporate stock repurchases by publicly traded companies that would be imposed on the company repurchasing such stock. Further, beginning with our 2025 tax year, the OBBBA restored immediate deductibility of domestic expenditures, while foreign expenditures will continue to be capitalized and amortized over 15 years. Regulatory or accounting guidance with respect to existing or future tax laws could materially affect our tax obligations and effective tax rate. It is uncertain if, and to what extent, various states will conform to current federal law or any newly enacted federal tax legislation.</w:t>
      </w:r>
    </w:p>
    <w:p>
      <w:pPr>
        <w:pStyle w:val="TextBody"/>
        <w:bidi w:val="0"/>
        <w:spacing w:before="0" w:after="0"/>
        <w:ind w:left="0" w:right="0" w:firstLine="72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example, the One Big Beautiful Bill Act (the “OBBBA”) was signed into law on July 4, 2025 and made significant changes to U.S. federal tax law. Changes to tax laws (which changes may have retroactive application) could adversely affect us or holders of our common stock. We are evaluating the elections available under the OBBBA. Based on our current assessment, we do not expect the changes to Section 174 under the OBBBA to have a material impact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financial position or results of operations. For example, under Section 174 of the Internal Revenue Code of 1986, as amended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Additional indirect taxes in various jurisdictions could materially adversely affect our business, financial condition, results of operations, and prospects. </w:t>
      </w:r>
    </w:p>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currently collect and remit applicable indirect taxes in jurisdictions where we, through our employees or economic activity, have a presence and where we have determined, based on applicable legal precedents, that our activities are taxable. We do not currently collect and remit indirect taxes, including state and local excise, utility user, and ad valorem taxes, fees, and surcharges in jurisdictions where we believe we do not have sufficient “nexus.” Tax authorities may challenge our position that we do not have sufficient nexus in a taxing jurisdiction or that our activities are not taxable in such jurisdiction and may decide to audit our business and operations with respect to indirect taxes, which could result in significant tax liabilities (including related penalties and interest) for us or our customers, which could materially adversely affect our business, financial condition, results of operations, and prospects.</w:t>
      </w:r>
    </w:p>
    <w:p>
      <w:pPr>
        <w:pStyle w:val="TextBody"/>
        <w:bidi w:val="0"/>
        <w:spacing w:before="0" w:after="0"/>
        <w:ind w:left="0" w:right="0" w:hanging="0"/>
        <w:jc w:val="left"/>
        <w:rPr>
          <w:rFonts w:ascii="Times New Roman;Times;serif" w:hAnsi="Times New Roman;Times;serif"/>
          <w:b/>
          <w:sz w:val="20"/>
        </w:rPr>
      </w:pPr>
      <w:bookmarkStart w:id="1025" w:name="Item2UnregisteredSalesofEquitySecurities"/>
      <w:bookmarkStart w:id="1026" w:name="_a860701d_2167_464e_bee7_e3e5c5aa8cbe"/>
      <w:bookmarkEnd w:id="1025"/>
      <w:bookmarkEnd w:id="1026"/>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00"/>
        <w:ind w:left="0" w:right="0" w:hanging="0"/>
        <w:jc w:val="left"/>
        <w:rPr>
          <w:rFonts w:ascii="Times New Roman;Times;serif" w:hAnsi="Times New Roman;Times;serif"/>
          <w:b/>
          <w:sz w:val="20"/>
        </w:rPr>
      </w:pPr>
      <w:bookmarkStart w:id="1027" w:name="Item3DefaultsUponSeniorSecurities_782584"/>
      <w:bookmarkStart w:id="1028" w:name="_74a6b032_8d24_44ed_956d_94e5d57d2819"/>
      <w:bookmarkEnd w:id="1027"/>
      <w:bookmarkEnd w:id="1028"/>
      <w:r>
        <w:rPr>
          <w:rFonts w:ascii="Times New Roman;Times;serif" w:hAnsi="Times New Roman;Times;serif"/>
          <w:b/>
          <w:sz w:val="20"/>
        </w:rPr>
        <w:t>Item 3. Defaults Upon Senior Securities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00"/>
        <w:ind w:left="0" w:right="0" w:hanging="0"/>
        <w:jc w:val="left"/>
        <w:rPr>
          <w:rFonts w:ascii="Times New Roman;Times;serif" w:hAnsi="Times New Roman;Times;serif"/>
          <w:b/>
          <w:sz w:val="20"/>
        </w:rPr>
      </w:pPr>
      <w:bookmarkStart w:id="1029" w:name="Item4MineSafetyDisclosures_613042"/>
      <w:bookmarkStart w:id="1030" w:name="_4b0e2a63_4dbb_47a9_8e96_36bcab71fea4"/>
      <w:bookmarkEnd w:id="1029"/>
      <w:bookmarkEnd w:id="1030"/>
      <w:r>
        <w:rPr>
          <w:rFonts w:ascii="Times New Roman;Times;serif" w:hAnsi="Times New Roman;Times;serif"/>
          <w:b/>
          <w:sz w:val="20"/>
        </w:rPr>
        <w:t>Item 4. Mine Safety Disclosures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left"/>
        <w:rPr>
          <w:rFonts w:ascii="Times New Roman;Times;serif" w:hAnsi="Times New Roman;Times;serif"/>
          <w:b/>
          <w:sz w:val="20"/>
        </w:rPr>
      </w:pPr>
      <w:bookmarkStart w:id="1031" w:name="Item5OtherInformation_348642"/>
      <w:bookmarkStart w:id="1032" w:name="_23efa7ab_7190_49e3_bbd1_48c89f8573cd"/>
      <w:bookmarkEnd w:id="1031"/>
      <w:bookmarkEnd w:id="1032"/>
      <w:r>
        <w:rPr>
          <w:rFonts w:ascii="Times New Roman;Times;serif" w:hAnsi="Times New Roman;Times;serif"/>
          <w:b/>
          <w:sz w:val="20"/>
        </w:rPr>
        <w:t>Item 5. Other Information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August 12, 2026, the Board of the Company increased the size of the board of directors from eight (8) directors to nine (9) directors. Following the increase in the size of the Board, the Board appointed Susan Atkins  to serve as a member of the Board as an independent director of the Company, as defined under the applicable SEC rules and Nasdaq listing standards. Ms. Atkins was appointed as a Class III director, for a term expiring at the Company’s annual meeting of stockholders to be held in 2027, and until her successor is duly elected and qualified or her earlier death, disqualification, resignation or removal. There is no arrangement or understanding between Ms. Atkins and any other person pursuant to which Ms. Atkins was appointed as a director. There are no transactions in which Ms. Atkins has an interest requiring disclosure under Item 404(a) of Regulation S-K.</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Ms. Atkins has over 40 years of experience leading complex corporate restructurings, with deep expertise in corporate finance, risk management, strategy, and governance. She previously served as Global Head of Wholesale Restructuring at JPMorgan Chase &amp; Co. until September 2023. She currently serves as an independent director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several companies, including Jefferson Capital, Inc. (NASDAQ: JCAP). Ms. Atkins received a Bachelor of Science in Education at the University of Wisconsin-Madison and an MBA in Finance from the Carlson School of Management at the University of Minnesota. The Company believe Ms. Atkins’ extensive experience leading complex transactions, together with her expertise in corporate finance, make her well-qualified to serve as a member of our board of directors.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August 12, 2026, Ms. Atkins and the Company entered into an Independent Director Agreement in connection with her appointment to serve as an independent director on the Company’s Board.   The agreement provides for compensation of $25,000 per calendar month, subject to a minimum four-month payment obligation, and options to purchase 17,000 shares of common stock under the Company’s non-employee director compensation program.  Ms. Atkins is also entitled to $5,000 per day for days on which she devotes more than four hours to activities outside normal director duties.  The agreement continues until termination of Ms. Atkins’s Board appointment under the Company’s governing documents and related resolutions, including automatic termination as a Class III director following the Company’s 2027 annual meeting of stockholders.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August 12, 2026, Ms. Atkins and the Company also entered into an indemnification agreement, which is materially similar to Company’s standard indemnification agreement for directors and officers.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foregoing description of Ms. Atkins’ Independent Director Agreement and indemnification agreement are summaries only and are qualified in their entirety by reference to the full text of such documents, filed herewith as Exhibits 10.4 and 10.5, which are incorporated herein by reference.</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During the three months ended June 30, 2026, none of our directors or “officers” (as defined in Rule 16a-1(f) under the Exchange Act) adopted or terminated a “Rule 10b5-1 trading arrangement” or “non-Rule 10b5-1 trading arrangement,” as each term is defined in Item 408(a) of Regulation S-K.</w:t>
      </w:r>
    </w:p>
    <w:p>
      <w:pPr>
        <w:pStyle w:val="TextBody"/>
        <w:pBdr/>
        <w:bidi w:val="0"/>
        <w:spacing w:before="0" w:after="240"/>
        <w:ind w:left="0" w:right="0" w:hanging="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1033" w:name="Item6Exhibits_836986"/>
      <w:bookmarkStart w:id="1034" w:name="_f8863a2d_bd00_4488_b570_4c296430fa84"/>
      <w:bookmarkEnd w:id="1033"/>
      <w:bookmarkEnd w:id="1034"/>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706"/>
        <w:gridCol w:w="346"/>
        <w:gridCol w:w="4106"/>
        <w:gridCol w:w="346"/>
        <w:gridCol w:w="511"/>
        <w:gridCol w:w="346"/>
        <w:gridCol w:w="698"/>
        <w:gridCol w:w="346"/>
        <w:gridCol w:w="631"/>
        <w:gridCol w:w="346"/>
        <w:gridCol w:w="604"/>
        <w:gridCol w:w="346"/>
        <w:gridCol w:w="873"/>
      </w:tblGrid>
      <w:tr>
        <w:trPr/>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410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41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0"/>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vAlign w:val="center"/>
          </w:tcPr>
          <w:p>
            <w:pPr>
              <w:pStyle w:val="TableContents"/>
              <w:bidi w:val="0"/>
              <w:spacing w:before="0" w:after="0"/>
              <w:ind w:left="0" w:right="0" w:hanging="0"/>
              <w:jc w:val="center"/>
              <w:rPr/>
            </w:pPr>
            <w:r>
              <w:rPr/>
              <w:t>  ​ ​ ​</w:t>
            </w:r>
          </w:p>
        </w:tc>
        <w:tc>
          <w:tcPr>
            <w:tcW w:w="6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vAlign w:val="center"/>
          </w:tcPr>
          <w:p>
            <w:pPr>
              <w:pStyle w:val="TableContents"/>
              <w:bidi w:val="0"/>
              <w:spacing w:before="0" w:after="0"/>
              <w:ind w:left="0" w:right="0" w:hanging="0"/>
              <w:jc w:val="center"/>
              <w:rPr/>
            </w:pPr>
            <w:r>
              <w:rPr/>
              <w:t>  ​ ​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vAlign w:val="center"/>
          </w:tcPr>
          <w:p>
            <w:pPr>
              <w:pStyle w:val="TableContents"/>
              <w:bidi w:val="0"/>
              <w:spacing w:before="0" w:after="0"/>
              <w:ind w:left="0" w:right="0" w:hanging="0"/>
              <w:jc w:val="center"/>
              <w:rPr/>
            </w:pPr>
            <w:r>
              <w:rPr/>
              <w:t>  ​ ​ ​</w:t>
            </w:r>
          </w:p>
        </w:tc>
        <w:tc>
          <w:tcPr>
            <w:tcW w:w="6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46" w:type="dxa"/>
            <w:tcBorders/>
            <w:vAlign w:val="center"/>
          </w:tcPr>
          <w:p>
            <w:pPr>
              <w:pStyle w:val="TableContents"/>
              <w:bidi w:val="0"/>
              <w:spacing w:before="0" w:after="0"/>
              <w:ind w:left="0" w:right="0" w:hanging="0"/>
              <w:jc w:val="center"/>
              <w:rPr/>
            </w:pPr>
            <w:r>
              <w:rPr/>
              <w:t>  ​ ​ ​</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Furnished</w:t>
              <w:br/>
              <w:t>Herewith</w:t>
            </w:r>
          </w:p>
        </w:tc>
      </w:tr>
      <w:tr>
        <w:trPr/>
        <w:tc>
          <w:tcPr>
            <w:tcW w:w="706" w:type="dxa"/>
            <w:tcBorders/>
            <w:vAlign w:val="center"/>
          </w:tcPr>
          <w:p>
            <w:pPr>
              <w:pStyle w:val="TableContents"/>
              <w:bidi w:val="0"/>
              <w:spacing w:before="0" w:after="0"/>
              <w:ind w:left="0" w:right="0" w:hanging="0"/>
              <w:jc w:val="center"/>
              <w:rPr>
                <w:shd w:fill="FFFFFF" w:val="clear"/>
              </w:rPr>
            </w:pPr>
            <w:r>
              <w:rPr>
                <w:shd w:fill="FFFFFF" w:val="clear"/>
              </w:rPr>
              <w:t> </w:t>
            </w:r>
            <w:r>
              <w:rPr>
                <w:rFonts w:ascii="Times New Roman;Times;serif" w:hAnsi="Times New Roman;Times;serif"/>
                <w:sz w:val="20"/>
                <w:shd w:fill="FFFFFF" w:val="clear"/>
              </w:rPr>
              <w:t>3.1</w:t>
            </w:r>
          </w:p>
        </w:tc>
        <w:tc>
          <w:tcPr>
            <w:tcW w:w="346" w:type="dxa"/>
            <w:tcBorders/>
            <w:vAlign w:val="center"/>
          </w:tcPr>
          <w:p>
            <w:pPr>
              <w:pStyle w:val="TableContents"/>
              <w:bidi w:val="0"/>
              <w:spacing w:before="0" w:after="0"/>
              <w:ind w:left="0" w:right="0" w:hanging="0"/>
              <w:jc w:val="left"/>
              <w:rPr>
                <w:shd w:fill="FFFFFF" w:val="clear"/>
              </w:rPr>
            </w:pPr>
            <w:r>
              <w:rPr>
                <w:shd w:fill="FFFFFF" w:val="clear"/>
              </w:rPr>
              <w:t>​</w:t>
            </w:r>
          </w:p>
        </w:tc>
        <w:tc>
          <w:tcPr>
            <w:tcW w:w="4106"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shd w:fill="FFFFFF" w:val="clear"/>
                </w:rPr>
                <w:t>Amended and Restated Certificate of Incorporation, as amended.</w:t>
              </w:r>
            </w:hyperlink>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10-Q</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001-38410</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3.1</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604"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8/10/2021</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873" w:type="dxa"/>
            <w:tcBorders/>
            <w:vAlign w:val="center"/>
          </w:tcPr>
          <w:p>
            <w:pPr>
              <w:pStyle w:val="TableContents"/>
              <w:bidi w:val="0"/>
              <w:spacing w:before="0" w:after="0"/>
              <w:ind w:left="0" w:right="0" w:hanging="0"/>
              <w:jc w:val="center"/>
              <w:rPr>
                <w:shd w:fill="FFFFFF" w:val="clear"/>
              </w:rPr>
            </w:pPr>
            <w:r>
              <w:rPr>
                <w:shd w:fill="FFFFFF" w:val="clear"/>
              </w:rPr>
              <w:t>​</w:t>
            </w:r>
          </w:p>
        </w:tc>
      </w:tr>
      <w:tr>
        <w:trPr/>
        <w:tc>
          <w:tcPr>
            <w:tcW w:w="706" w:type="dxa"/>
            <w:tcBorders/>
            <w:vAlign w:val="center"/>
          </w:tcPr>
          <w:p>
            <w:pPr>
              <w:pStyle w:val="TableContents"/>
              <w:bidi w:val="0"/>
              <w:spacing w:before="0" w:after="0"/>
              <w:ind w:left="0" w:right="0" w:hanging="0"/>
              <w:jc w:val="center"/>
              <w:rPr>
                <w:shd w:fill="FFFFFF" w:val="clear"/>
              </w:rPr>
            </w:pPr>
            <w:r>
              <w:rPr>
                <w:shd w:fill="FFFFFF" w:val="clear"/>
              </w:rPr>
              <w:t>​</w:t>
            </w:r>
          </w:p>
        </w:tc>
        <w:tc>
          <w:tcPr>
            <w:tcW w:w="346" w:type="dxa"/>
            <w:tcBorders/>
            <w:vAlign w:val="center"/>
          </w:tcPr>
          <w:p>
            <w:pPr>
              <w:pStyle w:val="TableContents"/>
              <w:bidi w:val="0"/>
              <w:spacing w:before="0" w:after="0"/>
              <w:ind w:left="0" w:right="0" w:hanging="0"/>
              <w:jc w:val="left"/>
              <w:rPr>
                <w:shd w:fill="FFFFFF" w:val="clear"/>
              </w:rPr>
            </w:pPr>
            <w:r>
              <w:rPr>
                <w:shd w:fill="FFFFFF" w:val="clear"/>
              </w:rPr>
              <w:t>​</w:t>
            </w:r>
          </w:p>
        </w:tc>
        <w:tc>
          <w:tcPr>
            <w:tcW w:w="4106" w:type="dxa"/>
            <w:tcBorders/>
            <w:vAlign w:val="center"/>
          </w:tcPr>
          <w:p>
            <w:pPr>
              <w:pStyle w:val="TableContents"/>
              <w:bidi w:val="0"/>
              <w:spacing w:before="0" w:after="0"/>
              <w:ind w:left="0" w:right="0" w:hanging="0"/>
              <w:jc w:val="left"/>
              <w:rPr>
                <w:shd w:fill="FFFFFF" w:val="clear"/>
              </w:rPr>
            </w:pPr>
            <w:r>
              <w:rPr>
                <w:shd w:fill="FFFFFF" w:val="clear"/>
              </w:rPr>
              <w:t>​</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511" w:type="dxa"/>
            <w:tcBorders/>
            <w:vAlign w:val="center"/>
          </w:tcPr>
          <w:p>
            <w:pPr>
              <w:pStyle w:val="TableContents"/>
              <w:bidi w:val="0"/>
              <w:spacing w:before="0" w:after="0"/>
              <w:ind w:left="0" w:right="0" w:hanging="0"/>
              <w:jc w:val="center"/>
              <w:rPr>
                <w:shd w:fill="FFFFFF" w:val="clear"/>
              </w:rPr>
            </w:pPr>
            <w:r>
              <w:rPr>
                <w:shd w:fill="FFFFFF" w:val="clear"/>
              </w:rPr>
              <w:t>​</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698" w:type="dxa"/>
            <w:tcBorders/>
            <w:vAlign w:val="center"/>
          </w:tcPr>
          <w:p>
            <w:pPr>
              <w:pStyle w:val="TableContents"/>
              <w:bidi w:val="0"/>
              <w:spacing w:before="0" w:after="0"/>
              <w:ind w:left="0" w:right="0" w:hanging="0"/>
              <w:jc w:val="center"/>
              <w:rPr>
                <w:shd w:fill="FFFFFF" w:val="clear"/>
              </w:rPr>
            </w:pPr>
            <w:r>
              <w:rPr>
                <w:shd w:fill="FFFFFF" w:val="clear"/>
              </w:rPr>
              <w:t>​</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631" w:type="dxa"/>
            <w:tcBorders/>
            <w:vAlign w:val="center"/>
          </w:tcPr>
          <w:p>
            <w:pPr>
              <w:pStyle w:val="TableContents"/>
              <w:bidi w:val="0"/>
              <w:spacing w:before="0" w:after="0"/>
              <w:ind w:left="0" w:right="0" w:hanging="0"/>
              <w:jc w:val="center"/>
              <w:rPr>
                <w:shd w:fill="FFFFFF" w:val="clear"/>
              </w:rPr>
            </w:pPr>
            <w:r>
              <w:rPr>
                <w:shd w:fill="FFFFFF" w:val="clear"/>
              </w:rPr>
              <w:t>​</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604" w:type="dxa"/>
            <w:tcBorders/>
            <w:vAlign w:val="center"/>
          </w:tcPr>
          <w:p>
            <w:pPr>
              <w:pStyle w:val="TableContents"/>
              <w:bidi w:val="0"/>
              <w:spacing w:before="0" w:after="0"/>
              <w:ind w:left="0" w:right="0" w:hanging="0"/>
              <w:jc w:val="center"/>
              <w:rPr>
                <w:shd w:fill="FFFFFF" w:val="clear"/>
              </w:rPr>
            </w:pPr>
            <w:r>
              <w:rPr>
                <w:shd w:fill="FFFFFF" w:val="clear"/>
              </w:rPr>
              <w:t>​</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873" w:type="dxa"/>
            <w:tcBorders/>
            <w:vAlign w:val="center"/>
          </w:tcPr>
          <w:p>
            <w:pPr>
              <w:pStyle w:val="TableContents"/>
              <w:bidi w:val="0"/>
              <w:spacing w:before="0" w:after="0"/>
              <w:ind w:left="0" w:right="0" w:hanging="0"/>
              <w:jc w:val="center"/>
              <w:rPr>
                <w:shd w:fill="FFFFFF" w:val="clear"/>
              </w:rPr>
            </w:pPr>
            <w:r>
              <w:rPr>
                <w:shd w:fill="FFFFFF" w:val="clear"/>
              </w:rPr>
              <w:t>​</w:t>
            </w:r>
          </w:p>
        </w:tc>
      </w:tr>
      <w:tr>
        <w:trPr/>
        <w:tc>
          <w:tcPr>
            <w:tcW w:w="706" w:type="dxa"/>
            <w:tcBorders/>
            <w:vAlign w:val="center"/>
          </w:tcPr>
          <w:p>
            <w:pPr>
              <w:pStyle w:val="TableContents"/>
              <w:bidi w:val="0"/>
              <w:spacing w:before="0" w:after="0"/>
              <w:ind w:left="0" w:right="0" w:hanging="0"/>
              <w:jc w:val="center"/>
              <w:rPr>
                <w:shd w:fill="FFFFFF" w:val="clear"/>
              </w:rPr>
            </w:pPr>
            <w:r>
              <w:rPr>
                <w:shd w:fill="FFFFFF" w:val="clear"/>
              </w:rPr>
              <w:t> </w:t>
            </w:r>
            <w:r>
              <w:rPr>
                <w:rFonts w:ascii="Times New Roman;Times;serif" w:hAnsi="Times New Roman;Times;serif"/>
                <w:sz w:val="20"/>
                <w:shd w:fill="FFFFFF" w:val="clear"/>
              </w:rPr>
              <w:t>3.2</w:t>
            </w:r>
          </w:p>
        </w:tc>
        <w:tc>
          <w:tcPr>
            <w:tcW w:w="346" w:type="dxa"/>
            <w:tcBorders/>
            <w:vAlign w:val="center"/>
          </w:tcPr>
          <w:p>
            <w:pPr>
              <w:pStyle w:val="TableContents"/>
              <w:bidi w:val="0"/>
              <w:spacing w:before="0" w:after="0"/>
              <w:ind w:left="0" w:right="0" w:hanging="0"/>
              <w:jc w:val="left"/>
              <w:rPr>
                <w:shd w:fill="FFFFFF" w:val="clear"/>
              </w:rPr>
            </w:pPr>
            <w:r>
              <w:rPr>
                <w:shd w:fill="FFFFFF" w:val="clear"/>
              </w:rPr>
              <w:t>​</w:t>
            </w:r>
          </w:p>
        </w:tc>
        <w:tc>
          <w:tcPr>
            <w:tcW w:w="4106"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Amendment to Amended and Restated Certificate of Incorporation of BioXcel Therapeutics, Inc., as amended, dated June 10, 2024.</w:t>
              </w:r>
            </w:hyperlink>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8-K</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001-38410</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3.1</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604"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6/12/2024</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873" w:type="dxa"/>
            <w:tcBorders/>
            <w:vAlign w:val="center"/>
          </w:tcPr>
          <w:p>
            <w:pPr>
              <w:pStyle w:val="TableContents"/>
              <w:bidi w:val="0"/>
              <w:spacing w:before="0" w:after="0"/>
              <w:ind w:left="0" w:right="0" w:hanging="0"/>
              <w:jc w:val="center"/>
              <w:rPr>
                <w:shd w:fill="FFFFFF" w:val="clear"/>
              </w:rPr>
            </w:pPr>
            <w:r>
              <w:rPr>
                <w:shd w:fill="FFFFFF" w:val="clear"/>
              </w:rPr>
              <w:t>​</w:t>
            </w:r>
          </w:p>
        </w:tc>
      </w:tr>
      <w:tr>
        <w:trPr/>
        <w:tc>
          <w:tcPr>
            <w:tcW w:w="706" w:type="dxa"/>
            <w:tcBorders/>
            <w:vAlign w:val="center"/>
          </w:tcPr>
          <w:p>
            <w:pPr>
              <w:pStyle w:val="TableContents"/>
              <w:bidi w:val="0"/>
              <w:spacing w:before="0" w:after="0"/>
              <w:ind w:left="0" w:right="0" w:hanging="0"/>
              <w:jc w:val="center"/>
              <w:rPr>
                <w:shd w:fill="FFFFFF" w:val="clear"/>
              </w:rPr>
            </w:pPr>
            <w:r>
              <w:rPr>
                <w:shd w:fill="FFFFFF" w:val="clear"/>
              </w:rPr>
              <w:t>​</w:t>
            </w:r>
          </w:p>
        </w:tc>
        <w:tc>
          <w:tcPr>
            <w:tcW w:w="346" w:type="dxa"/>
            <w:tcBorders/>
            <w:vAlign w:val="center"/>
          </w:tcPr>
          <w:p>
            <w:pPr>
              <w:pStyle w:val="TableContents"/>
              <w:bidi w:val="0"/>
              <w:spacing w:before="0" w:after="0"/>
              <w:ind w:left="0" w:right="0" w:hanging="0"/>
              <w:jc w:val="left"/>
              <w:rPr>
                <w:shd w:fill="FFFFFF" w:val="clear"/>
              </w:rPr>
            </w:pPr>
            <w:r>
              <w:rPr>
                <w:shd w:fill="FFFFFF" w:val="clear"/>
              </w:rPr>
              <w:t>​</w:t>
            </w:r>
          </w:p>
        </w:tc>
        <w:tc>
          <w:tcPr>
            <w:tcW w:w="4106" w:type="dxa"/>
            <w:tcBorders/>
            <w:vAlign w:val="center"/>
          </w:tcPr>
          <w:p>
            <w:pPr>
              <w:pStyle w:val="TableContents"/>
              <w:bidi w:val="0"/>
              <w:spacing w:before="0" w:after="0"/>
              <w:ind w:left="0" w:right="0" w:hanging="0"/>
              <w:jc w:val="left"/>
              <w:rPr>
                <w:shd w:fill="FFFFFF" w:val="clear"/>
              </w:rPr>
            </w:pPr>
            <w:r>
              <w:rPr>
                <w:shd w:fill="FFFFFF" w:val="clear"/>
              </w:rPr>
              <w:t>​</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511" w:type="dxa"/>
            <w:tcBorders/>
            <w:vAlign w:val="center"/>
          </w:tcPr>
          <w:p>
            <w:pPr>
              <w:pStyle w:val="TableContents"/>
              <w:bidi w:val="0"/>
              <w:spacing w:before="0" w:after="0"/>
              <w:ind w:left="0" w:right="0" w:hanging="0"/>
              <w:jc w:val="center"/>
              <w:rPr>
                <w:shd w:fill="FFFFFF" w:val="clear"/>
              </w:rPr>
            </w:pPr>
            <w:r>
              <w:rPr>
                <w:shd w:fill="FFFFFF" w:val="clear"/>
              </w:rPr>
              <w:t>​</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698" w:type="dxa"/>
            <w:tcBorders/>
            <w:vAlign w:val="center"/>
          </w:tcPr>
          <w:p>
            <w:pPr>
              <w:pStyle w:val="TableContents"/>
              <w:bidi w:val="0"/>
              <w:spacing w:before="0" w:after="0"/>
              <w:ind w:left="0" w:right="0" w:hanging="0"/>
              <w:jc w:val="center"/>
              <w:rPr>
                <w:shd w:fill="FFFFFF" w:val="clear"/>
              </w:rPr>
            </w:pPr>
            <w:r>
              <w:rPr>
                <w:shd w:fill="FFFFFF" w:val="clear"/>
              </w:rPr>
              <w:t>​</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631" w:type="dxa"/>
            <w:tcBorders/>
            <w:vAlign w:val="center"/>
          </w:tcPr>
          <w:p>
            <w:pPr>
              <w:pStyle w:val="TableContents"/>
              <w:bidi w:val="0"/>
              <w:spacing w:before="0" w:after="0"/>
              <w:ind w:left="0" w:right="0" w:hanging="0"/>
              <w:jc w:val="center"/>
              <w:rPr>
                <w:shd w:fill="FFFFFF" w:val="clear"/>
              </w:rPr>
            </w:pPr>
            <w:r>
              <w:rPr>
                <w:shd w:fill="FFFFFF" w:val="clear"/>
              </w:rPr>
              <w:t>​</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604" w:type="dxa"/>
            <w:tcBorders/>
            <w:vAlign w:val="center"/>
          </w:tcPr>
          <w:p>
            <w:pPr>
              <w:pStyle w:val="TableContents"/>
              <w:bidi w:val="0"/>
              <w:spacing w:before="0" w:after="0"/>
              <w:ind w:left="0" w:right="0" w:hanging="0"/>
              <w:jc w:val="center"/>
              <w:rPr>
                <w:shd w:fill="FFFFFF" w:val="clear"/>
              </w:rPr>
            </w:pPr>
            <w:r>
              <w:rPr>
                <w:shd w:fill="FFFFFF" w:val="clear"/>
              </w:rPr>
              <w:t>​</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873" w:type="dxa"/>
            <w:tcBorders/>
            <w:vAlign w:val="center"/>
          </w:tcPr>
          <w:p>
            <w:pPr>
              <w:pStyle w:val="TableContents"/>
              <w:bidi w:val="0"/>
              <w:spacing w:before="0" w:after="0"/>
              <w:ind w:left="0" w:right="0" w:hanging="0"/>
              <w:jc w:val="center"/>
              <w:rPr>
                <w:shd w:fill="FFFFFF" w:val="clear"/>
              </w:rPr>
            </w:pPr>
            <w:r>
              <w:rPr>
                <w:shd w:fill="FFFFFF" w:val="clea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shd w:fill="FFFFFF" w:val="clear"/>
              </w:rPr>
            </w:pPr>
            <w:r>
              <w:rPr>
                <w:shd w:fill="FFFFFF" w:val="clear"/>
              </w:rPr>
              <w:t>​</w:t>
            </w:r>
          </w:p>
        </w:tc>
        <w:tc>
          <w:tcPr>
            <w:tcW w:w="4106"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Certificate of Amendment to the Amended and Restated Certificate of Incorporation of BioXcel Therapeutics, Inc.</w:t>
              </w:r>
            </w:hyperlink>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8-K</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001-38410</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604"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2/6/2025</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873" w:type="dxa"/>
            <w:tcBorders/>
            <w:vAlign w:val="center"/>
          </w:tcPr>
          <w:p>
            <w:pPr>
              <w:pStyle w:val="TableContents"/>
              <w:bidi w:val="0"/>
              <w:spacing w:before="0" w:after="0"/>
              <w:ind w:left="0" w:right="0" w:hanging="0"/>
              <w:jc w:val="center"/>
              <w:rPr>
                <w:shd w:fill="FFFFFF" w:val="clear"/>
              </w:rPr>
            </w:pPr>
            <w:r>
              <w:rPr>
                <w:shd w:fill="FFFFFF" w:val="clear"/>
              </w:rPr>
              <w:t>​</w:t>
            </w:r>
          </w:p>
        </w:tc>
      </w:tr>
      <w:tr>
        <w:trPr/>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shd w:fill="FFFFFF" w:val="clear"/>
              </w:rPr>
            </w:pPr>
            <w:r>
              <w:rPr>
                <w:shd w:fill="FFFFFF" w:val="clear"/>
              </w:rPr>
              <w:t>​</w:t>
            </w:r>
          </w:p>
        </w:tc>
        <w:tc>
          <w:tcPr>
            <w:tcW w:w="4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511" w:type="dxa"/>
            <w:tcBorders/>
            <w:vAlign w:val="center"/>
          </w:tcPr>
          <w:p>
            <w:pPr>
              <w:pStyle w:val="TableContents"/>
              <w:bidi w:val="0"/>
              <w:spacing w:before="0" w:after="0"/>
              <w:ind w:left="0" w:right="0" w:hanging="0"/>
              <w:jc w:val="center"/>
              <w:rPr>
                <w:shd w:fill="FFFFFF" w:val="clear"/>
              </w:rPr>
            </w:pPr>
            <w:r>
              <w:rPr>
                <w:shd w:fill="FFFFFF" w:val="clear"/>
              </w:rPr>
              <w:t>​</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698" w:type="dxa"/>
            <w:tcBorders/>
            <w:vAlign w:val="center"/>
          </w:tcPr>
          <w:p>
            <w:pPr>
              <w:pStyle w:val="TableContents"/>
              <w:bidi w:val="0"/>
              <w:spacing w:before="0" w:after="0"/>
              <w:ind w:left="0" w:right="0" w:hanging="0"/>
              <w:jc w:val="center"/>
              <w:rPr>
                <w:shd w:fill="FFFFFF" w:val="clear"/>
              </w:rPr>
            </w:pPr>
            <w:r>
              <w:rPr>
                <w:shd w:fill="FFFFFF" w:val="clea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604" w:type="dxa"/>
            <w:tcBorders/>
            <w:vAlign w:val="center"/>
          </w:tcPr>
          <w:p>
            <w:pPr>
              <w:pStyle w:val="TableContents"/>
              <w:bidi w:val="0"/>
              <w:spacing w:before="0" w:after="0"/>
              <w:ind w:left="0" w:right="0" w:hanging="0"/>
              <w:jc w:val="center"/>
              <w:rPr>
                <w:shd w:fill="FFFFFF" w:val="clear"/>
              </w:rPr>
            </w:pPr>
            <w:r>
              <w:rPr>
                <w:shd w:fill="FFFFFF" w:val="clear"/>
              </w:rPr>
              <w:t>​</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873" w:type="dxa"/>
            <w:tcBorders/>
            <w:vAlign w:val="center"/>
          </w:tcPr>
          <w:p>
            <w:pPr>
              <w:pStyle w:val="TableContents"/>
              <w:bidi w:val="0"/>
              <w:spacing w:before="0" w:after="0"/>
              <w:ind w:left="0" w:right="0" w:hanging="0"/>
              <w:jc w:val="center"/>
              <w:rPr>
                <w:shd w:fill="FFFFFF" w:val="clear"/>
              </w:rPr>
            </w:pPr>
            <w:r>
              <w:rPr>
                <w:shd w:fill="FFFFFF" w:val="clea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shd w:fill="FFFFFF" w:val="clear"/>
              </w:rPr>
            </w:pPr>
            <w:r>
              <w:rPr>
                <w:shd w:fill="FFFFFF" w:val="clear"/>
              </w:rPr>
              <w:t>​</w:t>
            </w:r>
          </w:p>
        </w:tc>
        <w:tc>
          <w:tcPr>
            <w:tcW w:w="4106"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Amended and Restated Bylaws.</w:t>
              </w:r>
            </w:hyperlink>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8-K</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001-38410</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604"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3/13/2018</w:t>
            </w:r>
          </w:p>
        </w:tc>
        <w:tc>
          <w:tcPr>
            <w:tcW w:w="346" w:type="dxa"/>
            <w:tcBorders/>
            <w:vAlign w:val="center"/>
          </w:tcPr>
          <w:p>
            <w:pPr>
              <w:pStyle w:val="TableContents"/>
              <w:bidi w:val="0"/>
              <w:spacing w:before="0" w:after="0"/>
              <w:ind w:left="0" w:right="0" w:hanging="0"/>
              <w:jc w:val="center"/>
              <w:rPr>
                <w:shd w:fill="FFFFFF" w:val="clear"/>
              </w:rPr>
            </w:pPr>
            <w:r>
              <w:rPr>
                <w:shd w:fill="FFFFFF" w:val="clear"/>
              </w:rPr>
              <w:t>​</w:t>
            </w:r>
          </w:p>
        </w:tc>
        <w:tc>
          <w:tcPr>
            <w:tcW w:w="873" w:type="dxa"/>
            <w:tcBorders/>
            <w:vAlign w:val="center"/>
          </w:tcPr>
          <w:p>
            <w:pPr>
              <w:pStyle w:val="TableContents"/>
              <w:bidi w:val="0"/>
              <w:spacing w:before="0" w:after="0"/>
              <w:ind w:left="0" w:right="0" w:hanging="0"/>
              <w:jc w:val="center"/>
              <w:rPr>
                <w:shd w:fill="FFFFFF" w:val="clear"/>
              </w:rPr>
            </w:pPr>
            <w:r>
              <w:rPr>
                <w:shd w:fill="FFFFFF" w:val="clear"/>
              </w:rPr>
              <w:t>​</w:t>
            </w:r>
          </w:p>
        </w:tc>
      </w:tr>
      <w:tr>
        <w:trPr/>
        <w:tc>
          <w:tcPr>
            <w:tcW w:w="706" w:type="dxa"/>
            <w:tcBorders/>
            <w:vAlign w:val="center"/>
          </w:tcPr>
          <w:p>
            <w:pPr>
              <w:pStyle w:val="TableContents"/>
              <w:bidi w:val="0"/>
              <w:spacing w:before="0" w:after="0"/>
              <w:ind w:left="0" w:right="0" w:hanging="0"/>
              <w:jc w:val="center"/>
              <w:rPr>
                <w:shd w:fill="FFFFFF" w:val="clear"/>
              </w:rPr>
            </w:pPr>
            <w:r>
              <w:rPr>
                <w:shd w:fill="FFFFFF" w:val="clear"/>
              </w:rPr>
              <w:t>​</w:t>
            </w:r>
          </w:p>
        </w:tc>
        <w:tc>
          <w:tcPr>
            <w:tcW w:w="346" w:type="dxa"/>
            <w:tcBorders/>
            <w:vAlign w:val="center"/>
          </w:tcPr>
          <w:p>
            <w:pPr>
              <w:pStyle w:val="TableContents"/>
              <w:bidi w:val="0"/>
              <w:spacing w:before="0" w:after="0"/>
              <w:ind w:left="0" w:right="0" w:hanging="0"/>
              <w:jc w:val="left"/>
              <w:rPr/>
            </w:pPr>
            <w:r>
              <w:rPr/>
              <w:t>​</w:t>
            </w:r>
          </w:p>
        </w:tc>
        <w:tc>
          <w:tcPr>
            <w:tcW w:w="4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4.1</w:t>
            </w:r>
          </w:p>
        </w:tc>
        <w:tc>
          <w:tcPr>
            <w:tcW w:w="346" w:type="dxa"/>
            <w:tcBorders/>
            <w:vAlign w:val="center"/>
          </w:tcPr>
          <w:p>
            <w:pPr>
              <w:pStyle w:val="TableContents"/>
              <w:bidi w:val="0"/>
              <w:spacing w:before="0" w:after="0"/>
              <w:ind w:left="0" w:right="0" w:hanging="0"/>
              <w:jc w:val="left"/>
              <w:rPr/>
            </w:pPr>
            <w:r>
              <w:rPr/>
              <w:t>​</w:t>
            </w:r>
          </w:p>
        </w:tc>
        <w:tc>
          <w:tcPr>
            <w:tcW w:w="4106"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Form of Accompanying Warrant issued March 11, 2026 Equity Distribution Agreement, by and between the Company and Canaccord Genuity LLC</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3/11/2026</w:t>
            </w:r>
          </w:p>
        </w:tc>
        <w:tc>
          <w:tcPr>
            <w:tcW w:w="346" w:type="dxa"/>
            <w:tcBorders/>
            <w:vAlign w:val="center"/>
          </w:tcPr>
          <w:p>
            <w:pPr>
              <w:pStyle w:val="TableContents"/>
              <w:bidi w:val="0"/>
              <w:spacing w:before="0" w:after="0"/>
              <w:ind w:left="0" w:right="0" w:hanging="0"/>
              <w:jc w:val="center"/>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center"/>
              <w:rPr>
                <w:shd w:fill="FFFFFF" w:val="clear"/>
              </w:rPr>
            </w:pPr>
            <w:r>
              <w:rPr>
                <w:shd w:fill="FFFFFF" w:val="clear"/>
              </w:rPr>
              <w:t>​</w:t>
            </w:r>
          </w:p>
        </w:tc>
        <w:tc>
          <w:tcPr>
            <w:tcW w:w="346" w:type="dxa"/>
            <w:tcBorders/>
            <w:vAlign w:val="center"/>
          </w:tcPr>
          <w:p>
            <w:pPr>
              <w:pStyle w:val="TableContents"/>
              <w:bidi w:val="0"/>
              <w:spacing w:before="0" w:after="0"/>
              <w:ind w:left="0" w:right="0" w:hanging="0"/>
              <w:jc w:val="left"/>
              <w:rPr/>
            </w:pPr>
            <w:r>
              <w:rPr/>
              <w:t>​</w:t>
            </w:r>
          </w:p>
        </w:tc>
        <w:tc>
          <w:tcPr>
            <w:tcW w:w="4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4.2</w:t>
            </w:r>
          </w:p>
        </w:tc>
        <w:tc>
          <w:tcPr>
            <w:tcW w:w="346" w:type="dxa"/>
            <w:tcBorders/>
            <w:vAlign w:val="center"/>
          </w:tcPr>
          <w:p>
            <w:pPr>
              <w:pStyle w:val="TableContents"/>
              <w:bidi w:val="0"/>
              <w:spacing w:before="0" w:after="0"/>
              <w:ind w:left="0" w:right="0" w:hanging="0"/>
              <w:jc w:val="left"/>
              <w:rPr/>
            </w:pPr>
            <w:r>
              <w:rPr/>
              <w:t>​</w:t>
            </w:r>
          </w:p>
        </w:tc>
        <w:tc>
          <w:tcPr>
            <w:tcW w:w="4106"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shd w:fill="FFFFFF" w:val="clear"/>
                </w:rPr>
                <w:t>Form of Pre-Funded Warrant issued March 11, 2026</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3/11/2026</w:t>
            </w:r>
          </w:p>
        </w:tc>
        <w:tc>
          <w:tcPr>
            <w:tcW w:w="346" w:type="dxa"/>
            <w:tcBorders/>
            <w:vAlign w:val="center"/>
          </w:tcPr>
          <w:p>
            <w:pPr>
              <w:pStyle w:val="TableContents"/>
              <w:bidi w:val="0"/>
              <w:spacing w:before="0" w:after="0"/>
              <w:ind w:left="0" w:right="0" w:hanging="0"/>
              <w:jc w:val="center"/>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center"/>
              <w:rPr>
                <w:shd w:fill="FFFFFF" w:val="clear"/>
              </w:rPr>
            </w:pPr>
            <w:r>
              <w:rPr>
                <w:shd w:fill="FFFFFF" w:val="clear"/>
              </w:rPr>
              <w:t>​</w:t>
            </w:r>
          </w:p>
        </w:tc>
        <w:tc>
          <w:tcPr>
            <w:tcW w:w="346" w:type="dxa"/>
            <w:tcBorders/>
            <w:vAlign w:val="center"/>
          </w:tcPr>
          <w:p>
            <w:pPr>
              <w:pStyle w:val="TableContents"/>
              <w:bidi w:val="0"/>
              <w:spacing w:before="0" w:after="0"/>
              <w:ind w:left="0" w:right="0" w:hanging="0"/>
              <w:jc w:val="left"/>
              <w:rPr/>
            </w:pPr>
            <w:r>
              <w:rPr/>
              <w:t>​</w:t>
            </w:r>
          </w:p>
        </w:tc>
        <w:tc>
          <w:tcPr>
            <w:tcW w:w="4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4.3</w:t>
            </w:r>
          </w:p>
        </w:tc>
        <w:tc>
          <w:tcPr>
            <w:tcW w:w="346" w:type="dxa"/>
            <w:tcBorders/>
            <w:vAlign w:val="center"/>
          </w:tcPr>
          <w:p>
            <w:pPr>
              <w:pStyle w:val="TableContents"/>
              <w:bidi w:val="0"/>
              <w:spacing w:before="0" w:after="0"/>
              <w:ind w:left="0" w:right="0" w:hanging="0"/>
              <w:jc w:val="left"/>
              <w:rPr/>
            </w:pPr>
            <w:r>
              <w:rPr/>
              <w:t>​</w:t>
            </w:r>
          </w:p>
        </w:tc>
        <w:tc>
          <w:tcPr>
            <w:tcW w:w="4106"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shd w:fill="FFFFFF" w:val="clear"/>
                </w:rPr>
                <w:t>Form of Placement Agent Warrant issued March 11, 2026</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3/11/2026</w:t>
            </w:r>
          </w:p>
        </w:tc>
        <w:tc>
          <w:tcPr>
            <w:tcW w:w="346" w:type="dxa"/>
            <w:tcBorders/>
            <w:vAlign w:val="center"/>
          </w:tcPr>
          <w:p>
            <w:pPr>
              <w:pStyle w:val="TableContents"/>
              <w:bidi w:val="0"/>
              <w:spacing w:before="0" w:after="0"/>
              <w:ind w:left="0" w:right="0" w:hanging="0"/>
              <w:jc w:val="center"/>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center"/>
              <w:rPr>
                <w:shd w:fill="FFFFFF" w:val="clear"/>
              </w:rPr>
            </w:pPr>
            <w:r>
              <w:rPr>
                <w:shd w:fill="FFFFFF" w:val="clear"/>
              </w:rPr>
              <w:t>​</w:t>
            </w:r>
          </w:p>
        </w:tc>
        <w:tc>
          <w:tcPr>
            <w:tcW w:w="346" w:type="dxa"/>
            <w:tcBorders/>
            <w:vAlign w:val="center"/>
          </w:tcPr>
          <w:p>
            <w:pPr>
              <w:pStyle w:val="TableContents"/>
              <w:bidi w:val="0"/>
              <w:spacing w:before="0" w:after="0"/>
              <w:ind w:left="0" w:right="0" w:hanging="0"/>
              <w:jc w:val="left"/>
              <w:rPr/>
            </w:pPr>
            <w:r>
              <w:rPr/>
              <w:t>​</w:t>
            </w:r>
          </w:p>
        </w:tc>
        <w:tc>
          <w:tcPr>
            <w:tcW w:w="4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4.4</w:t>
            </w:r>
          </w:p>
        </w:tc>
        <w:tc>
          <w:tcPr>
            <w:tcW w:w="346" w:type="dxa"/>
            <w:tcBorders/>
            <w:vAlign w:val="center"/>
          </w:tcPr>
          <w:p>
            <w:pPr>
              <w:pStyle w:val="TableContents"/>
              <w:bidi w:val="0"/>
              <w:spacing w:before="0" w:after="0"/>
              <w:ind w:left="0" w:right="0" w:hanging="0"/>
              <w:jc w:val="left"/>
              <w:rPr/>
            </w:pPr>
            <w:r>
              <w:rPr/>
              <w:t>​</w:t>
            </w:r>
          </w:p>
        </w:tc>
        <w:tc>
          <w:tcPr>
            <w:tcW w:w="4106"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shd w:fill="FFFFFF" w:val="clear"/>
                </w:rPr>
                <w:t>Form of New Warrant (warrant issued to the Lenders pursuant to the Ninth Amendment to Credit Agreement and Guaranty)</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4/17/2026</w:t>
            </w:r>
          </w:p>
        </w:tc>
        <w:tc>
          <w:tcPr>
            <w:tcW w:w="346" w:type="dxa"/>
            <w:tcBorders/>
            <w:vAlign w:val="center"/>
          </w:tcPr>
          <w:p>
            <w:pPr>
              <w:pStyle w:val="TableContents"/>
              <w:bidi w:val="0"/>
              <w:spacing w:before="0" w:after="0"/>
              <w:ind w:left="0" w:right="0" w:hanging="0"/>
              <w:jc w:val="center"/>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center"/>
              <w:rPr>
                <w:shd w:fill="FFFFFF" w:val="clear"/>
              </w:rPr>
            </w:pPr>
            <w:r>
              <w:rPr>
                <w:shd w:fill="FFFFFF" w:val="clear"/>
              </w:rPr>
              <w:t>​</w:t>
            </w:r>
          </w:p>
        </w:tc>
        <w:tc>
          <w:tcPr>
            <w:tcW w:w="346" w:type="dxa"/>
            <w:tcBorders/>
            <w:vAlign w:val="center"/>
          </w:tcPr>
          <w:p>
            <w:pPr>
              <w:pStyle w:val="TableContents"/>
              <w:bidi w:val="0"/>
              <w:spacing w:before="0" w:after="0"/>
              <w:ind w:left="0" w:right="0" w:hanging="0"/>
              <w:jc w:val="left"/>
              <w:rPr/>
            </w:pPr>
            <w:r>
              <w:rPr/>
              <w:t>​</w:t>
            </w:r>
          </w:p>
        </w:tc>
        <w:tc>
          <w:tcPr>
            <w:tcW w:w="4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4.5</w:t>
            </w:r>
          </w:p>
        </w:tc>
        <w:tc>
          <w:tcPr>
            <w:tcW w:w="346" w:type="dxa"/>
            <w:tcBorders/>
            <w:vAlign w:val="center"/>
          </w:tcPr>
          <w:p>
            <w:pPr>
              <w:pStyle w:val="TableContents"/>
              <w:bidi w:val="0"/>
              <w:spacing w:before="0" w:after="0"/>
              <w:ind w:left="0" w:right="0" w:hanging="0"/>
              <w:jc w:val="left"/>
              <w:rPr/>
            </w:pPr>
            <w:r>
              <w:rPr/>
              <w:t>​</w:t>
            </w:r>
          </w:p>
        </w:tc>
        <w:tc>
          <w:tcPr>
            <w:tcW w:w="4106"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shd w:fill="FFFFFF" w:val="clear"/>
                </w:rPr>
                <w:t>Form of Fourth Amended and Restated Registration Rights Agreement, dated as of April 15, 2026, by and among the Company and the Lenders party thereto</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4/17/2026</w:t>
            </w:r>
          </w:p>
        </w:tc>
        <w:tc>
          <w:tcPr>
            <w:tcW w:w="346" w:type="dxa"/>
            <w:tcBorders/>
            <w:vAlign w:val="center"/>
          </w:tcPr>
          <w:p>
            <w:pPr>
              <w:pStyle w:val="TableContents"/>
              <w:bidi w:val="0"/>
              <w:spacing w:before="0" w:after="0"/>
              <w:ind w:left="0" w:right="0" w:hanging="0"/>
              <w:jc w:val="center"/>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center"/>
              <w:rPr>
                <w:shd w:fill="FFFFFF" w:val="clear"/>
              </w:rPr>
            </w:pPr>
            <w:r>
              <w:rPr>
                <w:shd w:fill="FFFFFF" w:val="clear"/>
              </w:rPr>
              <w:t>​</w:t>
            </w:r>
          </w:p>
        </w:tc>
        <w:tc>
          <w:tcPr>
            <w:tcW w:w="346" w:type="dxa"/>
            <w:tcBorders/>
            <w:vAlign w:val="center"/>
          </w:tcPr>
          <w:p>
            <w:pPr>
              <w:pStyle w:val="TableContents"/>
              <w:bidi w:val="0"/>
              <w:spacing w:before="0" w:after="0"/>
              <w:ind w:left="0" w:right="0" w:hanging="0"/>
              <w:jc w:val="left"/>
              <w:rPr/>
            </w:pPr>
            <w:r>
              <w:rPr/>
              <w:t>​</w:t>
            </w:r>
          </w:p>
        </w:tc>
        <w:tc>
          <w:tcPr>
            <w:tcW w:w="4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10.1</w:t>
            </w:r>
          </w:p>
        </w:tc>
        <w:tc>
          <w:tcPr>
            <w:tcW w:w="346" w:type="dxa"/>
            <w:tcBorders/>
            <w:vAlign w:val="center"/>
          </w:tcPr>
          <w:p>
            <w:pPr>
              <w:pStyle w:val="TableContents"/>
              <w:bidi w:val="0"/>
              <w:spacing w:before="0" w:after="0"/>
              <w:ind w:left="0" w:right="0" w:hanging="0"/>
              <w:jc w:val="left"/>
              <w:rPr/>
            </w:pPr>
            <w:r>
              <w:rPr/>
              <w:t>​</w:t>
            </w:r>
          </w:p>
        </w:tc>
        <w:tc>
          <w:tcPr>
            <w:tcW w:w="4106"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Tenth Amendment to Credit Agreement and Guaranty, dated as of July 3, 2026, by and among the Company, the lenders party thereto and Oaktree Fund Administration, LLC, as administrative agent</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7/6/2026</w:t>
            </w:r>
          </w:p>
        </w:tc>
        <w:tc>
          <w:tcPr>
            <w:tcW w:w="346" w:type="dxa"/>
            <w:tcBorders/>
            <w:vAlign w:val="center"/>
          </w:tcPr>
          <w:p>
            <w:pPr>
              <w:pStyle w:val="TableContents"/>
              <w:bidi w:val="0"/>
              <w:spacing w:before="0" w:after="0"/>
              <w:ind w:left="0" w:right="0" w:hanging="0"/>
              <w:jc w:val="center"/>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center"/>
              <w:rPr>
                <w:shd w:fill="FFFFFF" w:val="clear"/>
              </w:rPr>
            </w:pPr>
            <w:r>
              <w:rPr>
                <w:shd w:fill="FFFFFF" w:val="clear"/>
              </w:rPr>
              <w:t>​</w:t>
            </w:r>
          </w:p>
        </w:tc>
        <w:tc>
          <w:tcPr>
            <w:tcW w:w="346" w:type="dxa"/>
            <w:tcBorders/>
            <w:vAlign w:val="center"/>
          </w:tcPr>
          <w:p>
            <w:pPr>
              <w:pStyle w:val="TableContents"/>
              <w:bidi w:val="0"/>
              <w:spacing w:before="0" w:after="0"/>
              <w:ind w:left="0" w:right="0" w:hanging="0"/>
              <w:jc w:val="left"/>
              <w:rPr/>
            </w:pPr>
            <w:r>
              <w:rPr/>
              <w:t>​</w:t>
            </w:r>
          </w:p>
        </w:tc>
        <w:tc>
          <w:tcPr>
            <w:tcW w:w="4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10.2</w:t>
            </w:r>
          </w:p>
        </w:tc>
        <w:tc>
          <w:tcPr>
            <w:tcW w:w="346" w:type="dxa"/>
            <w:tcBorders/>
            <w:vAlign w:val="center"/>
          </w:tcPr>
          <w:p>
            <w:pPr>
              <w:pStyle w:val="TableContents"/>
              <w:bidi w:val="0"/>
              <w:spacing w:before="0" w:after="0"/>
              <w:ind w:left="0" w:right="0" w:hanging="0"/>
              <w:jc w:val="left"/>
              <w:rPr/>
            </w:pPr>
            <w:r>
              <w:rPr/>
              <w:t>​</w:t>
            </w:r>
          </w:p>
        </w:tc>
        <w:tc>
          <w:tcPr>
            <w:tcW w:w="4106"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Eleventh Amendment to Credit Agreement and Guaranty, dated as of July 31, 2026, by and among the Company, the lenders party thereto and Oaktree Fund Administration, LLC, as administrative agent</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8/3/2026</w:t>
            </w:r>
          </w:p>
        </w:tc>
        <w:tc>
          <w:tcPr>
            <w:tcW w:w="346" w:type="dxa"/>
            <w:tcBorders/>
            <w:vAlign w:val="center"/>
          </w:tcPr>
          <w:p>
            <w:pPr>
              <w:pStyle w:val="TableContents"/>
              <w:bidi w:val="0"/>
              <w:spacing w:before="0" w:after="0"/>
              <w:ind w:left="0" w:right="0" w:hanging="0"/>
              <w:jc w:val="center"/>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center"/>
              <w:rPr>
                <w:shd w:fill="FFFFFF" w:val="clear"/>
              </w:rPr>
            </w:pPr>
            <w:r>
              <w:rPr>
                <w:shd w:fill="FFFFFF" w:val="clear"/>
              </w:rPr>
              <w:t>​</w:t>
            </w:r>
          </w:p>
        </w:tc>
        <w:tc>
          <w:tcPr>
            <w:tcW w:w="346" w:type="dxa"/>
            <w:tcBorders/>
            <w:vAlign w:val="center"/>
          </w:tcPr>
          <w:p>
            <w:pPr>
              <w:pStyle w:val="TableContents"/>
              <w:bidi w:val="0"/>
              <w:spacing w:before="0" w:after="0"/>
              <w:ind w:left="0" w:right="0" w:hanging="0"/>
              <w:jc w:val="left"/>
              <w:rPr/>
            </w:pPr>
            <w:r>
              <w:rPr/>
              <w:t>​</w:t>
            </w:r>
          </w:p>
        </w:tc>
        <w:tc>
          <w:tcPr>
            <w:tcW w:w="4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3"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29"/>
        <w:gridCol w:w="109"/>
        <w:gridCol w:w="6424"/>
        <w:gridCol w:w="109"/>
        <w:gridCol w:w="315"/>
        <w:gridCol w:w="109"/>
        <w:gridCol w:w="754"/>
        <w:gridCol w:w="109"/>
        <w:gridCol w:w="466"/>
        <w:gridCol w:w="109"/>
        <w:gridCol w:w="669"/>
        <w:gridCol w:w="109"/>
        <w:gridCol w:w="294"/>
      </w:tblGrid>
      <w:tr>
        <w:trPr/>
        <w:tc>
          <w:tcPr>
            <w:tcW w:w="629"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10.3</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Twelfth Amendment to Credit Agreement and Guaranty, dated as of August 10, 2026, by and among the Company, the lenders party thereto and Oaktree Fund Administration, LLC, as administrative agent</w:t>
              </w:r>
            </w:hyperlink>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8/11/2026</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pPr>
            <w:r>
              <w:rPr/>
              <w:t>​</w:t>
            </w:r>
          </w:p>
        </w:tc>
      </w:tr>
      <w:tr>
        <w:trPr/>
        <w:tc>
          <w:tcPr>
            <w:tcW w:w="629" w:type="dxa"/>
            <w:tcBorders/>
            <w:vAlign w:val="center"/>
          </w:tcPr>
          <w:p>
            <w:pPr>
              <w:pStyle w:val="TableContents"/>
              <w:bidi w:val="0"/>
              <w:spacing w:before="0" w:after="0"/>
              <w:ind w:left="0" w:right="0" w:hanging="0"/>
              <w:jc w:val="center"/>
              <w:rPr>
                <w:shd w:fill="FFFFFF" w:val="clear"/>
              </w:rPr>
            </w:pPr>
            <w:r>
              <w:rPr>
                <w:shd w:fill="FFFFFF" w:val="clear"/>
              </w:rPr>
              <w:t>​</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pPr>
            <w:r>
              <w:rPr/>
              <w:t>​</w:t>
            </w:r>
          </w:p>
        </w:tc>
      </w:tr>
      <w:tr>
        <w:trPr/>
        <w:tc>
          <w:tcPr>
            <w:tcW w:w="629"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10.4</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pPr>
            <w:hyperlink w:anchor="btai-20260630xex10d4.htm">
              <w:r>
                <w:rPr>
                  <w:rStyle w:val="InternetLink"/>
                  <w:rFonts w:ascii="Times New Roman;Times;serif" w:hAnsi="Times New Roman;Times;serif"/>
                  <w:b w:val="false"/>
                  <w:i w:val="false"/>
                  <w:caps w:val="false"/>
                  <w:smallCaps w:val="false"/>
                  <w:sz w:val="20"/>
                </w:rPr>
                <w:t>Independent Director Agreement between Susan Atkins and the Company</w:t>
              </w:r>
            </w:hyperlink>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629" w:type="dxa"/>
            <w:tcBorders/>
            <w:vAlign w:val="center"/>
          </w:tcPr>
          <w:p>
            <w:pPr>
              <w:pStyle w:val="TableContents"/>
              <w:bidi w:val="0"/>
              <w:spacing w:before="0" w:after="0"/>
              <w:ind w:left="0" w:right="0" w:hanging="0"/>
              <w:jc w:val="center"/>
              <w:rPr>
                <w:shd w:fill="FFFFFF" w:val="clear"/>
              </w:rPr>
            </w:pPr>
            <w:r>
              <w:rPr>
                <w:shd w:fill="FFFFFF" w:val="clear"/>
              </w:rPr>
              <w:t>​</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pPr>
            <w:r>
              <w:rPr/>
              <w:t>​</w:t>
            </w:r>
          </w:p>
        </w:tc>
      </w:tr>
      <w:tr>
        <w:trPr/>
        <w:tc>
          <w:tcPr>
            <w:tcW w:w="629"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10.5</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pPr>
            <w:hyperlink w:anchor="btai-20260630xex10d5.htm">
              <w:r>
                <w:rPr>
                  <w:rStyle w:val="InternetLink"/>
                  <w:rFonts w:ascii="Times New Roman;Times;serif" w:hAnsi="Times New Roman;Times;serif"/>
                  <w:b w:val="false"/>
                  <w:i w:val="false"/>
                  <w:caps w:val="false"/>
                  <w:smallCaps w:val="false"/>
                  <w:sz w:val="20"/>
                </w:rPr>
                <w:t>Indemnification Agreement between Susan Atkins and the Company</w:t>
              </w:r>
            </w:hyperlink>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629" w:type="dxa"/>
            <w:tcBorders/>
            <w:vAlign w:val="center"/>
          </w:tcPr>
          <w:p>
            <w:pPr>
              <w:pStyle w:val="TableContents"/>
              <w:bidi w:val="0"/>
              <w:spacing w:before="0" w:after="0"/>
              <w:ind w:left="0" w:right="0" w:hanging="0"/>
              <w:jc w:val="center"/>
              <w:rPr>
                <w:shd w:fill="FFFFFF" w:val="clear"/>
              </w:rPr>
            </w:pPr>
            <w:r>
              <w:rPr>
                <w:shd w:fill="FFFFFF" w:val="clear"/>
              </w:rPr>
              <w:t>​</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pPr>
            <w:r>
              <w:rPr/>
              <w:t>​</w:t>
            </w:r>
          </w:p>
        </w:tc>
      </w:tr>
      <w:tr>
        <w:trPr/>
        <w:tc>
          <w:tcPr>
            <w:tcW w:w="629"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31.1</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pPr>
            <w:hyperlink w:anchor="btai-202606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62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pPr>
            <w:r>
              <w:rPr/>
              <w:t>​</w:t>
            </w:r>
          </w:p>
        </w:tc>
      </w:tr>
      <w:tr>
        <w:trPr/>
        <w:tc>
          <w:tcPr>
            <w:tcW w:w="629"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31.2</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pPr>
            <w:hyperlink w:anchor="btai-202606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62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pPr>
            <w:r>
              <w:rPr/>
              <w:t>​</w:t>
            </w:r>
          </w:p>
        </w:tc>
      </w:tr>
      <w:tr>
        <w:trPr/>
        <w:tc>
          <w:tcPr>
            <w:tcW w:w="629"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32.1</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pPr>
            <w:hyperlink w:anchor="btai-2026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62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pPr>
            <w:r>
              <w:rPr/>
              <w:t>​</w:t>
            </w:r>
          </w:p>
        </w:tc>
      </w:tr>
      <w:tr>
        <w:trPr/>
        <w:tc>
          <w:tcPr>
            <w:tcW w:w="629"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32.2</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pPr>
            <w:hyperlink w:anchor="btai-2026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62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pPr>
            <w:r>
              <w:rPr/>
              <w:t>​</w:t>
            </w:r>
          </w:p>
        </w:tc>
      </w:tr>
      <w:tr>
        <w:trPr/>
        <w:tc>
          <w:tcPr>
            <w:tcW w:w="629"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101.INS</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62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pPr>
            <w:r>
              <w:rPr/>
              <w:t>​</w:t>
            </w:r>
          </w:p>
        </w:tc>
      </w:tr>
      <w:tr>
        <w:trPr/>
        <w:tc>
          <w:tcPr>
            <w:tcW w:w="62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pPr>
            <w:r>
              <w:rPr/>
              <w:t>​</w:t>
            </w:r>
          </w:p>
        </w:tc>
      </w:tr>
      <w:tr>
        <w:trPr/>
        <w:tc>
          <w:tcPr>
            <w:tcW w:w="629"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101.SCH</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62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pPr>
            <w:r>
              <w:rPr/>
              <w:t>​</w:t>
            </w:r>
          </w:p>
        </w:tc>
      </w:tr>
      <w:tr>
        <w:trPr/>
        <w:tc>
          <w:tcPr>
            <w:tcW w:w="629"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101.CAL</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62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pPr>
            <w:r>
              <w:rPr/>
              <w:t>​</w:t>
            </w:r>
          </w:p>
        </w:tc>
      </w:tr>
      <w:tr>
        <w:trPr/>
        <w:tc>
          <w:tcPr>
            <w:tcW w:w="629"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101.DEF</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62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4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673" w:type="dxa"/>
        <w:jc w:val="left"/>
        <w:tblInd w:w="0" w:type="dxa"/>
        <w:tblLayout w:type="fixed"/>
        <w:tblCellMar>
          <w:top w:w="0" w:type="dxa"/>
          <w:left w:w="0" w:type="dxa"/>
          <w:bottom w:w="0" w:type="dxa"/>
          <w:right w:w="0" w:type="dxa"/>
        </w:tblCellMar>
      </w:tblPr>
      <w:tblGrid>
        <w:gridCol w:w="871"/>
        <w:gridCol w:w="109"/>
        <w:gridCol w:w="7456"/>
        <w:gridCol w:w="109"/>
        <w:gridCol w:w="109"/>
        <w:gridCol w:w="109"/>
        <w:gridCol w:w="109"/>
        <w:gridCol w:w="109"/>
        <w:gridCol w:w="109"/>
        <w:gridCol w:w="109"/>
        <w:gridCol w:w="109"/>
        <w:gridCol w:w="109"/>
        <w:gridCol w:w="256"/>
      </w:tblGrid>
      <w:tr>
        <w:trPr/>
        <w:tc>
          <w:tcPr>
            <w:tcW w:w="871"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101.LAB</w:t>
            </w:r>
          </w:p>
        </w:tc>
        <w:tc>
          <w:tcPr>
            <w:tcW w:w="109"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8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center"/>
              <w:rPr/>
            </w:pPr>
            <w:r>
              <w:rPr/>
              <w:t>​</w:t>
            </w:r>
          </w:p>
        </w:tc>
      </w:tr>
      <w:tr>
        <w:trPr/>
        <w:tc>
          <w:tcPr>
            <w:tcW w:w="871"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101.PRE</w:t>
            </w:r>
          </w:p>
        </w:tc>
        <w:tc>
          <w:tcPr>
            <w:tcW w:w="109"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center"/>
              <w:rPr/>
            </w:pPr>
            <w:r>
              <w:rPr/>
              <w:t>​</w:t>
            </w:r>
          </w:p>
        </w:tc>
      </w:tr>
      <w:tr>
        <w:trPr/>
        <w:tc>
          <w:tcPr>
            <w:tcW w:w="871"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104</w:t>
            </w:r>
          </w:p>
        </w:tc>
        <w:tc>
          <w:tcPr>
            <w:tcW w:w="109"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40" w:after="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40" w:after="0"/>
              <w:jc w:val="left"/>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4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40" w:after="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35" w:name="SIGNATURES_228043"/>
      <w:bookmarkStart w:id="1036" w:name="_e99ada13_8de5_4b8e_bebb_8b66995552f2"/>
      <w:bookmarkEnd w:id="1035"/>
      <w:bookmarkEnd w:id="1036"/>
      <w:r>
        <w:rPr>
          <w:rFonts w:ascii="Times New Roman;Times;serif" w:hAnsi="Times New Roman;Times;serif"/>
          <w:b/>
          <w:sz w:val="20"/>
        </w:rPr>
        <w:t>SIGNATURES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4577" w:type="dxa"/>
        <w:jc w:val="left"/>
        <w:tblInd w:w="0" w:type="dxa"/>
        <w:tblLayout w:type="fixed"/>
        <w:tblCellMar>
          <w:top w:w="0" w:type="dxa"/>
          <w:left w:w="0" w:type="dxa"/>
          <w:bottom w:w="0" w:type="dxa"/>
          <w:right w:w="0" w:type="dxa"/>
        </w:tblCellMar>
      </w:tblPr>
      <w:tblGrid>
        <w:gridCol w:w="2056"/>
        <w:gridCol w:w="252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05560" cy="175260"/>
                      <wp:effectExtent l="0" t="0" r="0" b="0"/>
                      <wp:wrapNone/>
                      <wp:docPr id="310" name="Frame308"/>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600835" cy="175260"/>
                      <wp:effectExtent l="0" t="0" r="0" b="0"/>
                      <wp:wrapNone/>
                      <wp:docPr id="311" name="Frame309"/>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pBdr/>
              <w:bidi w:val="0"/>
              <w:spacing w:before="0" w:after="24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BioXcel Therapeutics, Inc.</w:t>
            </w:r>
          </w:p>
        </w:tc>
      </w:tr>
      <w:tr>
        <w:trPr/>
        <w:tc>
          <w:tcPr>
            <w:tcW w:w="2056" w:type="dxa"/>
            <w:tcBorders/>
            <w:vAlign w:val="center"/>
          </w:tcPr>
          <w:p>
            <w:pPr>
              <w:pStyle w:val="TableContents"/>
              <w:bidi w:val="0"/>
              <w:spacing w:before="0" w:after="240"/>
              <w:ind w:left="0" w:right="0" w:hanging="0"/>
              <w:jc w:val="left"/>
              <w:rPr/>
            </w:pPr>
            <w:r>
              <w:rPr/>
              <w:t>​</w:t>
            </w:r>
          </w:p>
        </w:tc>
        <w:tc>
          <w:tcPr>
            <w:tcW w:w="2521" w:type="dxa"/>
            <w:tcBorders/>
            <w:vAlign w:val="center"/>
          </w:tcPr>
          <w:p>
            <w:pPr>
              <w:pStyle w:val="TableContents"/>
              <w:bidi w:val="0"/>
              <w:spacing w:before="0" w:after="24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13, 2026</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r>
      <w:tr>
        <w:trPr/>
        <w:tc>
          <w:tcPr>
            <w:tcW w:w="2056" w:type="dxa"/>
            <w:tcBorders/>
            <w:vAlign w:val="center"/>
          </w:tcPr>
          <w:p>
            <w:pPr>
              <w:pStyle w:val="TableContents"/>
              <w:bidi w:val="0"/>
              <w:spacing w:before="0" w:after="240"/>
              <w:ind w:left="0" w:right="0" w:hanging="0"/>
              <w:jc w:val="left"/>
              <w:rPr/>
            </w:pPr>
            <w:r>
              <w:rPr/>
              <w:t>​</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Vimal Mehta</w:t>
            </w:r>
          </w:p>
        </w:tc>
      </w:tr>
      <w:tr>
        <w:trPr/>
        <w:tc>
          <w:tcPr>
            <w:tcW w:w="2056" w:type="dxa"/>
            <w:tcBorders/>
            <w:vAlign w:val="center"/>
          </w:tcPr>
          <w:p>
            <w:pPr>
              <w:pStyle w:val="TableContents"/>
              <w:bidi w:val="0"/>
              <w:spacing w:before="0" w:after="24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Vimal Mehta</w:t>
            </w:r>
          </w:p>
        </w:tc>
      </w:tr>
      <w:tr>
        <w:trPr/>
        <w:tc>
          <w:tcPr>
            <w:tcW w:w="2056" w:type="dxa"/>
            <w:tcBorders/>
            <w:vAlign w:val="center"/>
          </w:tcPr>
          <w:p>
            <w:pPr>
              <w:pStyle w:val="TableContents"/>
              <w:bidi w:val="0"/>
              <w:spacing w:before="0" w:after="24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056" w:type="dxa"/>
            <w:tcBorders/>
            <w:vAlign w:val="center"/>
          </w:tcPr>
          <w:p>
            <w:pPr>
              <w:pStyle w:val="TableContents"/>
              <w:bidi w:val="0"/>
              <w:spacing w:before="0" w:after="24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2056" w:type="dxa"/>
            <w:tcBorders/>
            <w:vAlign w:val="center"/>
          </w:tcPr>
          <w:p>
            <w:pPr>
              <w:pStyle w:val="TableContents"/>
              <w:bidi w:val="0"/>
              <w:spacing w:before="0" w:after="240"/>
              <w:ind w:left="0" w:right="0" w:hanging="0"/>
              <w:jc w:val="left"/>
              <w:rPr/>
            </w:pPr>
            <w:r>
              <w:rPr/>
              <w:t>​</w:t>
            </w:r>
          </w:p>
        </w:tc>
        <w:tc>
          <w:tcPr>
            <w:tcW w:w="2521" w:type="dxa"/>
            <w:tcBorders/>
            <w:vAlign w:val="center"/>
          </w:tcPr>
          <w:p>
            <w:pPr>
              <w:pStyle w:val="TableContents"/>
              <w:bidi w:val="0"/>
              <w:spacing w:before="0" w:after="240"/>
              <w:ind w:left="0" w:right="0" w:hanging="0"/>
              <w:jc w:val="left"/>
              <w:rPr/>
            </w:pPr>
            <w:r>
              <w:rPr/>
              <w:t>​</w:t>
            </w:r>
          </w:p>
        </w:tc>
      </w:tr>
      <w:tr>
        <w:trPr/>
        <w:tc>
          <w:tcPr>
            <w:tcW w:w="2056" w:type="dxa"/>
            <w:tcBorders/>
            <w:vAlign w:val="center"/>
          </w:tcPr>
          <w:p>
            <w:pPr>
              <w:pStyle w:val="TableContents"/>
              <w:bidi w:val="0"/>
              <w:spacing w:before="0" w:after="240"/>
              <w:ind w:left="0" w:right="0" w:hanging="0"/>
              <w:jc w:val="left"/>
              <w:rPr/>
            </w:pPr>
            <w:r>
              <w:rPr/>
              <w:t>​</w:t>
            </w:r>
          </w:p>
        </w:tc>
        <w:tc>
          <w:tcPr>
            <w:tcW w:w="2521" w:type="dxa"/>
            <w:tcBorders/>
            <w:vAlign w:val="center"/>
          </w:tcPr>
          <w:p>
            <w:pPr>
              <w:pStyle w:val="TableContents"/>
              <w:bidi w:val="0"/>
              <w:spacing w:before="0" w:after="24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13, 2026</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r>
      <w:tr>
        <w:trPr/>
        <w:tc>
          <w:tcPr>
            <w:tcW w:w="2056" w:type="dxa"/>
            <w:tcBorders/>
            <w:vAlign w:val="center"/>
          </w:tcPr>
          <w:p>
            <w:pPr>
              <w:pStyle w:val="TableContents"/>
              <w:bidi w:val="0"/>
              <w:spacing w:before="0" w:after="240"/>
              <w:ind w:left="0" w:right="0" w:hanging="0"/>
              <w:jc w:val="left"/>
              <w:rPr/>
            </w:pPr>
            <w:r>
              <w:rPr/>
              <w:t>​</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Richard Steinhart</w:t>
            </w:r>
          </w:p>
        </w:tc>
      </w:tr>
      <w:tr>
        <w:trPr/>
        <w:tc>
          <w:tcPr>
            <w:tcW w:w="2056" w:type="dxa"/>
            <w:tcBorders/>
            <w:vAlign w:val="center"/>
          </w:tcPr>
          <w:p>
            <w:pPr>
              <w:pStyle w:val="TableContents"/>
              <w:bidi w:val="0"/>
              <w:spacing w:before="0" w:after="24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Steinhart</w:t>
            </w:r>
          </w:p>
        </w:tc>
      </w:tr>
      <w:tr>
        <w:trPr/>
        <w:tc>
          <w:tcPr>
            <w:tcW w:w="2056" w:type="dxa"/>
            <w:tcBorders/>
            <w:vAlign w:val="center"/>
          </w:tcPr>
          <w:p>
            <w:pPr>
              <w:pStyle w:val="TableContents"/>
              <w:bidi w:val="0"/>
              <w:spacing w:before="0" w:after="24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056" w:type="dxa"/>
            <w:tcBorders/>
            <w:vAlign w:val="center"/>
          </w:tcPr>
          <w:p>
            <w:pPr>
              <w:pStyle w:val="TableContents"/>
              <w:bidi w:val="0"/>
              <w:spacing w:before="0" w:after="24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bidi w:val="0"/>
        <w:spacing w:before="0" w:after="240"/>
        <w:ind w:left="0" w:right="0" w:hanging="0"/>
        <w:jc w:val="right"/>
        <w:rPr>
          <w:rFonts w:ascii="Times New Roman;Times;serif" w:hAnsi="Times New Roman;Times;serif"/>
          <w:b/>
          <w:sz w:val="20"/>
        </w:rPr>
      </w:pPr>
      <w:bookmarkStart w:id="1037" w:name="btai-20260630xex10d4.htm"/>
      <w:bookmarkStart w:id="1038" w:name="ksbtai20260630xex10d4"/>
      <w:bookmarkEnd w:id="1037"/>
      <w:bookmarkEnd w:id="1038"/>
      <w:r>
        <w:rPr>
          <w:rFonts w:ascii="Times New Roman;Times;serif" w:hAnsi="Times New Roman;Times;serif"/>
          <w:b/>
          <w:sz w:val="20"/>
        </w:rPr>
        <w:t>Exhibit 10.4</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Independent Director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agreement (the “</w:t>
      </w:r>
      <w:r>
        <w:rPr>
          <w:rFonts w:ascii="Times New Roman;Times;serif" w:hAnsi="Times New Roman;Times;serif"/>
          <w:b/>
          <w:sz w:val="20"/>
        </w:rPr>
        <w:t>Agreement</w:t>
      </w:r>
      <w:r>
        <w:rPr>
          <w:rFonts w:ascii="Times New Roman;Times;serif" w:hAnsi="Times New Roman;Times;serif"/>
          <w:sz w:val="20"/>
        </w:rPr>
        <w:t>”) is made effective as of August 12, 2026 by BioXcel Therapeutics, Inc., a Delaware corporation (the “</w:t>
      </w:r>
      <w:r>
        <w:rPr>
          <w:rFonts w:ascii="Times New Roman;Times;serif" w:hAnsi="Times New Roman;Times;serif"/>
          <w:b/>
          <w:sz w:val="20"/>
        </w:rPr>
        <w:t>Company</w:t>
      </w:r>
      <w:r>
        <w:rPr>
          <w:rFonts w:ascii="Times New Roman;Times;serif" w:hAnsi="Times New Roman;Times;serif"/>
          <w:sz w:val="20"/>
        </w:rPr>
        <w:t>”), and Susan E. Atkins (the “</w:t>
      </w:r>
      <w:r>
        <w:rPr>
          <w:rFonts w:ascii="Times New Roman;Times;serif" w:hAnsi="Times New Roman;Times;serif"/>
          <w:b/>
          <w:sz w:val="20"/>
        </w:rPr>
        <w:t>Director</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WHEREAS, the Director is to be elected to the Company’s Board of Directors (the “</w:t>
      </w:r>
      <w:r>
        <w:rPr>
          <w:rFonts w:ascii="Times New Roman;Times;serif" w:hAnsi="Times New Roman;Times;serif"/>
          <w:b/>
          <w:sz w:val="20"/>
        </w:rPr>
        <w:t>Board</w:t>
      </w:r>
      <w:r>
        <w:rPr>
          <w:rFonts w:ascii="Times New Roman;Times;serif" w:hAnsi="Times New Roman;Times;serif"/>
          <w:sz w:val="20"/>
        </w:rPr>
        <w:t>”) pursuant to the By-Laws of the Company (the “</w:t>
      </w:r>
      <w:r>
        <w:rPr>
          <w:rFonts w:ascii="Times New Roman;Times;serif" w:hAnsi="Times New Roman;Times;serif"/>
          <w:b/>
          <w:sz w:val="20"/>
        </w:rPr>
        <w:t>Bylaws</w:t>
      </w:r>
      <w:r>
        <w:rPr>
          <w:rFonts w:ascii="Times New Roman;Times;serif" w:hAnsi="Times New Roman;Times;serif"/>
          <w:sz w:val="20"/>
        </w:rPr>
        <w:t>”) and the Company’s Amended and Restated Certification of Incorporation (as amended, the “</w:t>
      </w:r>
      <w:r>
        <w:rPr>
          <w:rFonts w:ascii="Times New Roman;Times;serif" w:hAnsi="Times New Roman;Times;serif"/>
          <w:b/>
          <w:sz w:val="20"/>
        </w:rPr>
        <w:t>Certification of Incorporation</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WHEREAS, this Agreement is supplemental to and in furtherance of the Bylaws, the Certificate of Incorporation, and any resolutions adopted pursuant thereto and shall not be deemed a substitute thereof, nor diminish or abrogate the rights thereunder;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WHEREAS, the Director is willing to provide services to the Board on the terms and conditions set forth in this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WHEREAS, the Company has spent significant time, effort and money to develop certain Confidential Information, which the Company considers vital to its business and goodwill;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WHEREAS, the Company wishes to protect and preserve the confidentiality of such Confidential Information and protect it from misuse;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WHEREAS, the Company does not desire to receive from the Director any information which is confidential to, or the ownership of which resides in, a third party, whether acquired prior to or subsequent to the Director’s engagement under this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NOW, THEREFORE, for good and valuable consideration, the receipt and sufficiency of which is hereby acknowledged, the parties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u w:val="single"/>
        </w:rPr>
        <w:t>1. Service as a Director</w:t>
      </w:r>
      <w:r>
        <w:rPr>
          <w:rFonts w:ascii="Times New Roman;Times;serif" w:hAnsi="Times New Roman;Times;serif"/>
          <w:sz w:val="20"/>
        </w:rPr>
        <w:t>. The Director shall serve as a Director of the Board on a non-exclusive basis for the term of this Agreement. The Director shall also serve as a member of one or more committees of the Board or a board of directors of any subsidiary of the Company as may be requested from time to time by the Company or a majority of the Board and for which Director is qualified to serve. The Director shall perform services hereunder as a non-executive Director and not as an employee, agent, joint venturer, or partner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Director shall have no power or authority to act for, represent, or bind the Company or its affiliates in any manner whatsoever, except as may be expressly agreed (a) by resolution</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 the Board, or (b) as reflected in any charter for a committee formed by the Board on each occasion, in writing, by the Company and the Board. The Director agrees to take no action that expresses or implies that the Director has any power contrary to the immediately preceding sentence.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2. </w:t>
      </w:r>
      <w:r>
        <w:rPr>
          <w:rFonts w:ascii="Times New Roman;Times;serif" w:hAnsi="Times New Roman;Times;serif"/>
          <w:sz w:val="20"/>
          <w:u w:val="single"/>
        </w:rPr>
        <w:t>Duties</w:t>
      </w:r>
      <w:r>
        <w:rPr>
          <w:rFonts w:ascii="Times New Roman;Times;serif" w:hAnsi="Times New Roman;Times;serif"/>
          <w:sz w:val="20"/>
        </w:rPr>
        <w:t>. During the term of this Agreement, the Director will render the services described in and have the powers, rights, obligations and authorities granted by the Bylaws, Certificate of Incorporation, and any resolutions adopted pursuant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3. </w:t>
      </w:r>
      <w:r>
        <w:rPr>
          <w:rFonts w:ascii="Times New Roman;Times;serif" w:hAnsi="Times New Roman;Times;serif"/>
          <w:sz w:val="20"/>
          <w:u w:val="single"/>
        </w:rPr>
        <w:t>Compensation</w:t>
      </w:r>
      <w:r>
        <w:rPr>
          <w:rFonts w:ascii="Times New Roman;Times;serif" w:hAnsi="Times New Roman;Times;serif"/>
          <w:sz w:val="20"/>
        </w:rPr>
        <w:t>. In consideration for the Director’s service on the Board, the Company shall pay the Director compensation in the amount of $25,000 per calendar month (the “</w:t>
      </w:r>
      <w:r>
        <w:rPr>
          <w:rFonts w:ascii="Times New Roman;Times;serif" w:hAnsi="Times New Roman;Times;serif"/>
          <w:b/>
          <w:sz w:val="20"/>
        </w:rPr>
        <w:t>Monthly Fees</w:t>
      </w:r>
      <w:r>
        <w:rPr>
          <w:rFonts w:ascii="Times New Roman;Times;serif" w:hAnsi="Times New Roman;Times;serif"/>
          <w:sz w:val="20"/>
        </w:rPr>
        <w:t>”) and the Director will be granted options to purchase 17,000 shares of common stock in accordance with the Company’s non-employee director compensation program. In addition to the foregoing, the Director shall be entitled to compensation at a rate of $5,000 per day for days on which more than four hours are devoted to activities outside the scope of normal director duties, including being deposed or appearing as a witness in court (such compensation, together with the Monthly Fees and the Stock Grant, the “</w:t>
      </w:r>
      <w:r>
        <w:rPr>
          <w:rFonts w:ascii="Times New Roman;Times;serif" w:hAnsi="Times New Roman;Times;serif"/>
          <w:b/>
          <w:sz w:val="20"/>
        </w:rPr>
        <w:t>Director Fees</w:t>
      </w:r>
      <w:r>
        <w:rPr>
          <w:rFonts w:ascii="Times New Roman;Times;serif" w:hAnsi="Times New Roman;Times;serif"/>
          <w:sz w:val="20"/>
        </w:rPr>
        <w:t>”). The Director acknowledges that they will be responsible for the payment of all income tax, social security or other similar form of taxation applicable in respect of the Directors Fees. The Company’s obligation to pay the Director Fees shall apply during the term of the Director’s appointment. The Company’s obligation to pay the Monthly Fees shall apply for a minimum term of 4 months from the date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4. </w:t>
      </w:r>
      <w:r>
        <w:rPr>
          <w:rFonts w:ascii="Times New Roman;Times;serif" w:hAnsi="Times New Roman;Times;serif"/>
          <w:sz w:val="20"/>
          <w:u w:val="single"/>
        </w:rPr>
        <w:t>Term</w:t>
      </w:r>
      <w:r>
        <w:rPr>
          <w:rFonts w:ascii="Times New Roman;Times;serif" w:hAnsi="Times New Roman;Times;serif"/>
          <w:sz w:val="20"/>
        </w:rPr>
        <w:t>. This Agreement shall have a term from the date of the Director’s appointment to the Board until termination of that appointment in accordance with the any termination, resignation, and removal provisions outlined in the Bylaws, Certificate of Incorporation, and any resolutions adopted pursuant thereto, including the automatic termination as a Class III director following the Company’s annual meeting of stockholders to be held in 2027. The provisions of Section 7 and Section 8 shall survive any termination or expiration of this Agreement. In the event this Agreement is terminated, unpaid Directors fees or expenses accrued through the termination date which are payable under Section 3 or Section 6 shall be paid to the Director promptly thereafter.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5. </w:t>
      </w:r>
      <w:r>
        <w:rPr>
          <w:rFonts w:ascii="Times New Roman;Times;serif" w:hAnsi="Times New Roman;Times;serif"/>
          <w:sz w:val="20"/>
          <w:u w:val="single"/>
        </w:rPr>
        <w:t>Conflict of Interest Disclosure</w:t>
      </w:r>
      <w:r>
        <w:rPr>
          <w:rFonts w:ascii="Times New Roman;Times;serif" w:hAnsi="Times New Roman;Times;serif"/>
          <w:sz w:val="20"/>
        </w:rPr>
        <w:t>. The appointment of the Director shall require the full disclosure by the Director of any actual, potential, or perceived conflicts of interest in accordance with the Company’s conflict of interest policy.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6. </w:t>
      </w:r>
      <w:r>
        <w:rPr>
          <w:rFonts w:ascii="Times New Roman;Times;serif" w:hAnsi="Times New Roman;Times;serif"/>
          <w:sz w:val="20"/>
          <w:u w:val="single"/>
        </w:rPr>
        <w:t>Expenses</w:t>
      </w:r>
      <w:r>
        <w:rPr>
          <w:rFonts w:ascii="Times New Roman;Times;serif" w:hAnsi="Times New Roman;Times;serif"/>
          <w:sz w:val="20"/>
        </w:rPr>
        <w:t>. Without limiting Director’s rights to indemnification as provided for in Section 7, the Company agrees to reimburse the Director promptly for reasonable out-of-pocket</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expenses incurred in connection with the Director’s services, and the Director shall provide appropriate documentation of all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7. </w:t>
      </w:r>
      <w:r>
        <w:rPr>
          <w:rFonts w:ascii="Times New Roman;Times;serif" w:hAnsi="Times New Roman;Times;serif"/>
          <w:sz w:val="20"/>
          <w:u w:val="single"/>
        </w:rPr>
        <w:t>Indemnification</w:t>
      </w:r>
      <w:r>
        <w:rPr>
          <w:rFonts w:ascii="Times New Roman;Times;serif" w:hAnsi="Times New Roman;Times;serif"/>
          <w:sz w:val="20"/>
        </w:rPr>
        <w:t>. Nothing in this Agreement shall supersede or limit the Indemnification Agreement entered into between the parties contemporaneously herewith (the “</w:t>
      </w:r>
      <w:r>
        <w:rPr>
          <w:rFonts w:ascii="Times New Roman;Times;serif" w:hAnsi="Times New Roman;Times;serif"/>
          <w:b/>
          <w:sz w:val="20"/>
        </w:rPr>
        <w:t>Indemnification Agreement</w:t>
      </w:r>
      <w:r>
        <w:rPr>
          <w:rFonts w:ascii="Times New Roman;Times;serif" w:hAnsi="Times New Roman;Times;serif"/>
          <w:sz w:val="20"/>
        </w:rPr>
        <w:t>”), or any indemnification provision contained in the Bylaws, the Certificate of Incorporation (as amended or restated from time to time) or any resolution adopted pursuant any of the foregoing giving effect thereto. No breach by Director of any obligation under this Agreement shall limit or affect Director’s right to indemnification under the Bylaws, the Certificate of Incorporation, the Indemnification Agreement, this Agreement or any resolution adopted pursuant to any of the foregoing giving effect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8. </w:t>
      </w:r>
      <w:r>
        <w:rPr>
          <w:rFonts w:ascii="Times New Roman;Times;serif" w:hAnsi="Times New Roman;Times;serif"/>
          <w:sz w:val="20"/>
          <w:u w:val="single"/>
        </w:rPr>
        <w:t>Confidential Information; Developments; Non-Solicitation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8.1 As used in this Agreement, “</w:t>
      </w:r>
      <w:r>
        <w:rPr>
          <w:rFonts w:ascii="Times New Roman;Times;serif" w:hAnsi="Times New Roman;Times;serif"/>
          <w:b/>
          <w:sz w:val="20"/>
        </w:rPr>
        <w:t>Confidential Information</w:t>
      </w:r>
      <w:r>
        <w:rPr>
          <w:rFonts w:ascii="Times New Roman;Times;serif" w:hAnsi="Times New Roman;Times;serif"/>
          <w:sz w:val="20"/>
        </w:rPr>
        <w:t>” means any and all confidential or proprietary technical, trade, and business information furnished, in any medium, or disclosed in any form or method, including orally, by the Company to the Director, or discovered by the Director through any means, including observation, including, but not limited to, information about the Company’s employees, officers, directors, suppliers, customers, affiliates, businesses, and business relationships; processes and methods, operating technique, practice, course of dealing, plan, or strategy, sources of supply, customer lists and markets; sales, profits, pricing, other financial data, and know-how; financial projections, business plans, marketing plans, marketing materials, logos and designs; personnel statistics; research; computer hardware and software; current and future products, designs, developments, capabilities, inventions, prototypes, models, drawings, specifications, methods, and trade secrets; technical data, inventions, processes, algorithms, formulae, franchises, databases, computer programs, user interfaces, source codes, object codes, architectures, and structures, display screens, layouts, development tools and instructions, templates, and other trade secrets; and such other information normally understood to be confidential or otherwise designated as such in writing by the Company, as well as information discerned from, based on, or relating to any of the foregoing which may be prepared or created by the Director.</w:t>
      </w:r>
    </w:p>
    <w:p>
      <w:pPr>
        <w:pStyle w:val="TextBody"/>
        <w:bidi w:val="0"/>
        <w:spacing w:before="0" w:after="240"/>
        <w:ind w:left="0" w:right="0" w:hanging="0"/>
        <w:jc w:val="left"/>
        <w:rPr/>
      </w:pPr>
      <w:r>
        <w:rPr/>
        <w:t>“</w:t>
      </w:r>
      <w:r>
        <w:rPr>
          <w:rFonts w:ascii="Times New Roman;Times;serif" w:hAnsi="Times New Roman;Times;serif"/>
          <w:sz w:val="20"/>
        </w:rPr>
        <w:t>Confidential Information” shall not include: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information that is publicly available as of the date of this Agreement;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 information that subsequently becomes publicly available or generally known in the industry through no fault of the Director, provided that such information shall be deemed</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Confidential Information until such time as it becomes publicly available or generally known.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8.2 The Director shall retain all Confidential Information for the sole benefit of the Company, its successors and assigns, and shall comply with any and all reasonable procedures adopted from time to time by the Company to protect and preserve the confidentiality of any Confidential Information as to which he or she is provided reasonable advance written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Director shall not at any time, during or after the term of this Agreement, directly or indirectly, divulge, use or permit the use of any Confidential Information, except (i) as required by the Director’s services under this Agreement, (ii) as required by law; provided that, Director will, to the extent not prohibited by law, provide the Company with a reasonable opportunity to review and comment on any such disclosure a reasonable time in advance of such disclosure being made, (iii) pursuant to a subpoena or order issued by a court, governmental body, agency or official; provided that, Director shall (A) to the extent not prohibited by law, provide the Company with prompt written notice of such request or requirement prior to making such disclosure, (B) exercise its reasonable efforts to obtain reliable assurance that confidential treatment will be accorded such Confidential Information, (C) at the request and expense of the Company, cooperate with the Company in any effort to obtain an appropriate protective order or other reliable assurance that confidential treatment will be accorded the Confidential Information or to resist or narrow the scope of such request or requirement, and (D) furnish only that portion of the Confidential Information which the Director is advised by legal counsel is legally required. Director agrees to employ reasonable steps to protect Confidential Information from unauthorized or inadvertent disclosure. Upon expiration or termination of this Agreement and upon the Company’s request during the term of this Agreement, the Director shall promptly return any and all tangible Confidential Information (whether written or electronic) to the Company, including all copies, abstracts, or derivatives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8.3 The Company shall own all right, title, and interest relating to all inventions, improvements, discoveries, methods, developments, software, and works of authorship, whether patentable or not, which are created, made, conceived, or reduced to practice by the Director in the course of the Director’s performance of services under this Agreement or using the Company’s Confidential Information (collectively, “</w:t>
      </w:r>
      <w:r>
        <w:rPr>
          <w:rFonts w:ascii="Times New Roman;Times;serif" w:hAnsi="Times New Roman;Times;serif"/>
          <w:b/>
          <w:sz w:val="20"/>
        </w:rPr>
        <w:t>Developments</w:t>
      </w:r>
      <w:r>
        <w:rPr>
          <w:rFonts w:ascii="Times New Roman;Times;serif" w:hAnsi="Times New Roman;Times;serif"/>
          <w:sz w:val="20"/>
        </w:rPr>
        <w:t>”). Director hereby assigns to the Company or its designee all of the Director’s right, title, and interest in and to any and all Developments. Notwithstanding anything to the contrary above, this Section 8.3 does not apply to an invention for which no equipment, supplies, facility, or Confidential Information of the Company was used and which was developed entirely on</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Director’s own time, unless the invention relates to the business of the Company or to the Company’s actual or demonstrably anticipated research or development, or the invention results from any work performed by the Director for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8.4 The Director acknowledges that the Company competes with other businesses that are or could be located anywhere; that the provisions of this Agreement are reasonable and necessary to protect and preserve the Company’s business interests; and that the unauthorized disclosure, use, or disposition of any Confidential Information in breach of this Agreement may cause irreparable harm and significant injury for which there is no adequate remedy at law. Accordingly, the parties agree that the Company shall have the right to immediate injunctive relief in the event of any breach or threatened breach of the obligations in this Section 8, without security or bond, in addition to any other remedies that may be available to the Company at law or in equity. The terms and provisions of this Section 8 shall survive termination or expiration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9. </w:t>
      </w:r>
      <w:r>
        <w:rPr>
          <w:rFonts w:ascii="Times New Roman;Times;serif" w:hAnsi="Times New Roman;Times;serif"/>
          <w:sz w:val="20"/>
          <w:u w:val="single"/>
        </w:rPr>
        <w:t>Other Relationships</w:t>
      </w:r>
      <w:r>
        <w:rPr>
          <w:rFonts w:ascii="Times New Roman;Times;serif" w:hAnsi="Times New Roman;Times;serif"/>
          <w:sz w:val="20"/>
        </w:rPr>
        <w:t>. The Company acknowledges that the Director may provide services of the type contemplated by this Agreement to others, and that, subject to the provisions of Section 8 of this Agreement, nothing contained herein shall be construed to limit or restrict the Director in providing such services or advice to others. Without limiting the foregoing, the Company hereby agrees and acknowledges that Director may associated with or a representative of a venture capital fund or other investment fund (together with its affiliates) (each, a “</w:t>
      </w:r>
      <w:r>
        <w:rPr>
          <w:rFonts w:ascii="Times New Roman;Times;serif" w:hAnsi="Times New Roman;Times;serif"/>
          <w:b/>
          <w:sz w:val="20"/>
        </w:rPr>
        <w:t>Professional Investment Organization</w:t>
      </w:r>
      <w:r>
        <w:rPr>
          <w:rFonts w:ascii="Times New Roman;Times;serif" w:hAnsi="Times New Roman;Times;serif"/>
          <w:sz w:val="20"/>
        </w:rPr>
        <w:t>”) which is a professional investment organization, and as such, Director and the Professional Investment Organization with which he or she is affiliated may review the business plans and related proprietary information of many enterprises, some of which may compete directly or indirectly with the Company’s business (as currently conducted or as currently proposed to be conducted). Nothing in this Agreement shall preclude or in any way restrict Director or the Professional Investment Organization with which he or she is affiliated, or any other employee, partner, officer, other representative or affiliate of such Professional Investment Organization (collectively “Organization Affiliates” and together with Director and Professional Investment Organization, the “Investment Professionals”), from evaluating or purchasing securities, including publicly traded securities, of a particular enterprise, or investing or participating in any particular enterprise whether or not such enterprise has products or services that compete with those of the Company; and the Company hereby agrees that, to the extent permitted under applicable law, no Investment Professional shall be liable to the Company for any claim arising out of, or based upon, (i) the investment by an Investment Professional in any entity competitive with the Company, or (ii) actions taken by any Investment Professional to assist any such competitive company, whether or not such action was taken as a member of the board of directors of such competitive company</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or otherwise, and whether or not such action has a detrimental effect on the Company; provided, however, that the foregoing shall not contravene the confidentiality obligations in Section 8 of this Agreement or relieve Director from any liability associated with his fiduciary duties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10. </w:t>
      </w:r>
      <w:r>
        <w:rPr>
          <w:rFonts w:ascii="Times New Roman;Times;serif" w:hAnsi="Times New Roman;Times;serif"/>
          <w:sz w:val="20"/>
          <w:u w:val="single"/>
        </w:rPr>
        <w:t>Directors Indemnification</w:t>
      </w:r>
      <w:r>
        <w:rPr>
          <w:rFonts w:ascii="Times New Roman;Times;serif" w:hAnsi="Times New Roman;Times;serif"/>
          <w:sz w:val="20"/>
        </w:rPr>
        <w:t>. On or around the date hereof, the Company and Director entered an 'Indemnification Agreement' which provides for certain indemnification obligations of the Company owed to Director in respect of Director’s service on the Board of Directors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11. </w:t>
      </w:r>
      <w:r>
        <w:rPr>
          <w:rFonts w:ascii="Times New Roman;Times;serif" w:hAnsi="Times New Roman;Times;serif"/>
          <w:sz w:val="20"/>
          <w:u w:val="single"/>
        </w:rPr>
        <w:t>No Conflicts</w:t>
      </w:r>
      <w:r>
        <w:rPr>
          <w:rFonts w:ascii="Times New Roman;Times;serif" w:hAnsi="Times New Roman;Times;serif"/>
          <w:sz w:val="20"/>
        </w:rPr>
        <w:t>. The Director represents and warrants to the Company that the Director is free to enter into this Agreement and the services to be provided pursuant to this Agreement are not in conflict with any other contractual or other obligation to which the Director is bound.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12. </w:t>
      </w:r>
      <w:r>
        <w:rPr>
          <w:rFonts w:ascii="Times New Roman;Times;serif" w:hAnsi="Times New Roman;Times;serif"/>
          <w:sz w:val="20"/>
          <w:u w:val="single"/>
        </w:rPr>
        <w:t>Parties in Interest</w:t>
      </w:r>
      <w:r>
        <w:rPr>
          <w:rFonts w:ascii="Times New Roman;Times;serif" w:hAnsi="Times New Roman;Times;serif"/>
          <w:sz w:val="20"/>
        </w:rPr>
        <w:t>. This Agreement is made solely for the benefit of the Director and the Company, its shareholders, directors, and officers. No other person shall acquire or have any right under or by virtue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13. </w:t>
      </w:r>
      <w:r>
        <w:rPr>
          <w:rFonts w:ascii="Times New Roman;Times;serif" w:hAnsi="Times New Roman;Times;serif"/>
          <w:sz w:val="20"/>
          <w:u w:val="single"/>
        </w:rPr>
        <w:t>Entire Agreement; Amendments; Severability; Counterparts</w:t>
      </w:r>
      <w:r>
        <w:rPr>
          <w:rFonts w:ascii="Times New Roman;Times;serif" w:hAnsi="Times New Roman;Times;serif"/>
          <w:sz w:val="20"/>
        </w:rPr>
        <w:t>. This Agreement constitutes the entire agreement and understanding of the parties, and supersedes any and all previous agreements and understandings, whether oral or written, between the parties with respect to the matters set forth in this Agreement, unless otherwise provided for herein. No provision of this Agreement may be amended, modified, or waived, except in a writing signed by the parties. The invalidity or unenforceability of any provision of this Agreement shall not affect the validity or enforceability of any other provision, and if any restriction in this Agreement is found by a court to be unreasonable or unenforceable, then such court may amend or modify the restriction so it can be enforced to the fullest extent permitted by law. The section headings in this Agreement have been inserted as a matter of convenience of reference and are not a part of this Agreement. This Agreement may be executed by electronic signature in any number of counterparts, each of which together shall constitute one and the same instrument.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14. </w:t>
      </w:r>
      <w:r>
        <w:rPr>
          <w:rFonts w:ascii="Times New Roman;Times;serif" w:hAnsi="Times New Roman;Times;serif"/>
          <w:sz w:val="20"/>
          <w:u w:val="single"/>
        </w:rPr>
        <w:t>Applicable Law; Jurisdiction</w:t>
      </w:r>
      <w:r>
        <w:rPr>
          <w:rFonts w:ascii="Times New Roman;Times;serif" w:hAnsi="Times New Roman;Times;serif"/>
          <w:sz w:val="20"/>
        </w:rPr>
        <w:t>. This Agreement shall be interpreted and construed in accordance with the laws of Delaware. Any and all claims, controversies, and causes of action arising out of or relating to this Agreement, whether sounding in contract, tort, or statute, shall be governed by the laws of the State of Delaware, including its statutes of limitations, without giving effect to any conflict-of-laws rule that would result in the application of the laws of a different jurisdiction.</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15. </w:t>
      </w:r>
      <w:r>
        <w:rPr>
          <w:rFonts w:ascii="Times New Roman;Times;serif" w:hAnsi="Times New Roman;Times;serif"/>
          <w:sz w:val="20"/>
          <w:u w:val="single"/>
        </w:rPr>
        <w:t>Authority</w:t>
      </w:r>
      <w:r>
        <w:rPr>
          <w:rFonts w:ascii="Times New Roman;Times;serif" w:hAnsi="Times New Roman;Times;serif"/>
          <w:sz w:val="20"/>
        </w:rPr>
        <w:t>. This Agreement has been duly authorized, executed, and delivered by and on behalf of the Company and the Director.</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[SIGNATURE PAGE FOLLOWS]</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WITNESS WHEREOF, the parties hereto have caused this Independent Director Agreement to be duly executed and signed as of the day and year first above written.</w:t>
      </w:r>
    </w:p>
    <w:tbl>
      <w:tblPr>
        <w:tblW w:w="2750" w:type="dxa"/>
        <w:jc w:val="center"/>
        <w:tblInd w:w="0" w:type="dxa"/>
        <w:tblLayout w:type="fixed"/>
        <w:tblCellMar>
          <w:top w:w="0" w:type="dxa"/>
          <w:left w:w="0" w:type="dxa"/>
          <w:bottom w:w="0" w:type="dxa"/>
          <w:right w:w="0" w:type="dxa"/>
        </w:tblCellMar>
      </w:tblPr>
      <w:tblGrid>
        <w:gridCol w:w="2596"/>
        <w:gridCol w:w="154"/>
      </w:tblGrid>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w:t>
            </w:r>
          </w:p>
        </w:tc>
        <w:tc>
          <w:tcPr>
            <w:tcW w:w="154" w:type="dxa"/>
            <w:tcBorders/>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mallCaps/>
                <w:sz w:val="20"/>
              </w:rPr>
            </w:pPr>
            <w:r>
              <w:rPr>
                <w:rFonts w:ascii="Times New Roman;Times;serif" w:hAnsi="Times New Roman;Times;serif"/>
                <w:smallCaps/>
                <w:sz w:val="20"/>
              </w:rPr>
              <w:t>BioXcel Therapeutics, Inc.</w:t>
            </w:r>
          </w:p>
        </w:tc>
        <w:tc>
          <w:tcPr>
            <w:tcW w:w="154" w:type="dxa"/>
            <w:tcBorders/>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smallCaps/>
              </w:rPr>
            </w:pPr>
            <w:r>
              <w:rPr>
                <w:smallCaps/>
              </w:rPr>
              <w:t>​</w:t>
            </w:r>
          </w:p>
        </w:tc>
        <w:tc>
          <w:tcPr>
            <w:tcW w:w="154" w:type="dxa"/>
            <w:tcBorders/>
            <w:vAlign w:val="center"/>
          </w:tcPr>
          <w:p>
            <w:pPr>
              <w:pStyle w:val="TableContents"/>
              <w:bidi w:val="0"/>
              <w:spacing w:before="0" w:after="0"/>
              <w:ind w:left="0" w:right="0" w:hanging="0"/>
              <w:jc w:val="left"/>
              <w:rPr/>
            </w:pPr>
            <w:r>
              <w:rPr/>
              <w:t>​</w:t>
            </w:r>
          </w:p>
        </w:tc>
      </w:tr>
      <w:tr>
        <w:trPr/>
        <w:tc>
          <w:tcPr>
            <w:tcW w:w="2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Richard Steinhart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5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Steinhart, CFO</w:t>
            </w:r>
          </w:p>
        </w:tc>
        <w:tc>
          <w:tcPr>
            <w:tcW w:w="154" w:type="dxa"/>
            <w:tcBorders/>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Independent Director:</w:t>
            </w:r>
          </w:p>
        </w:tc>
        <w:tc>
          <w:tcPr>
            <w:tcW w:w="154" w:type="dxa"/>
            <w:tcBorders/>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Susan E. Atkins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smallCaps/>
              </w:rPr>
            </w:pPr>
            <w:r>
              <w:rPr>
                <w:smallCaps/>
              </w:rPr>
              <w:t>​</w:t>
            </w:r>
          </w:p>
        </w:tc>
      </w:tr>
      <w:tr>
        <w:trPr/>
        <w:tc>
          <w:tcPr>
            <w:tcW w:w="25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mallCaps/>
                <w:sz w:val="20"/>
              </w:rPr>
            </w:pPr>
            <w:r>
              <w:rPr>
                <w:rFonts w:ascii="Times New Roman;Times;serif" w:hAnsi="Times New Roman;Times;serif"/>
                <w:smallCaps/>
                <w:sz w:val="20"/>
              </w:rPr>
              <w:t>Susan E. Atkins</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39" w:name="btai-20260630xex10d5.htm"/>
      <w:bookmarkStart w:id="1040" w:name="ksbtai20260630xex10d5"/>
      <w:bookmarkEnd w:id="1039"/>
      <w:bookmarkEnd w:id="1040"/>
      <w:r>
        <w:rPr>
          <w:rFonts w:ascii="Times New Roman;Times;serif" w:hAnsi="Times New Roman;Times;serif"/>
          <w:b/>
          <w:sz w:val="20"/>
        </w:rPr>
        <w:t>Exhibit 10.5</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BIOXCEL THERAPEUTICS,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INDEMNIFICATION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This INDEMNIFICATION AGREEMENT</w:t>
      </w:r>
      <w:r>
        <w:rPr>
          <w:rFonts w:ascii="Times New Roman;Times;serif" w:hAnsi="Times New Roman;Times;serif"/>
          <w:sz w:val="20"/>
        </w:rPr>
        <w:t xml:space="preserve"> (“Agreement”) is made as of August 12, 2026 by and between BioXcel Therapeutics, Inc., a Delaware corporation (the “Company”), and Susan Atkins (“Indemnitee”). This Agreement supersedes and replaces any and all previous Agreements between the Company and Indemnitee covering the subject matter of this Agreement.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xml:space="preserve"> highly competent persons have become more reluctant to serve publicly held corporations as directors or officers or in other capacities unless they are provided with adequate protection through insurance or adequate indemnification against inordinate risks of claims and actions against them arising out of their service to and activities on behalf of the corporation;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xml:space="preserve"> the Board of Directors of the Company (the “Board”) has determined that, in order to attract and retain qualified individuals, the Company will attempt to maintain on an ongoing basis, at its sole expense, liability insurance to protect persons serving the Company from certain liabilities. The By-Laws (the “By-Laws”) of the Company and the Certificate of Incorporation of the Company (“the Certificate of Incorporation”) require indemnification of the officers and directors of the Company. Indemnitee may also be entitled to indemnification pursuant to the General Corporation Law of the State of Delaware (the “DGCL”). The By-Laws and the Certificate of Incorporation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xml:space="preserve"> the uncertainties relating to such insurance and to indemnification have increased the difficulty of attracting and retaining such persons;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xml:space="preserve">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xml:space="preserve"> it is reasonable, prudent and necessary for the Company to contractually obligate itself to indemnify, and to advance expenses on behalf of, such persons to the fullest extent permitted by applicable law so that they will serve or continue to serve the Company free from undue concern that they will not be so indemnified;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xml:space="preserve"> this Agreement is a supplement to and in furtherance of the By-Laws and the Certificate of Incorporation and any resolutions adopted pursuant thereto, and shall not be deemed a substitute therefor, nor to diminish or abrogate any rights of Indemnitee thereunder;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xml:space="preserve"> Indemnitee does not regard the protection available under the By-Laws and insurance as adequate in the present circumstances, and may not be willing to serve as an officer or director without adequate protection, and the Company desires Indemnitee to serve in such</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capacity. Indemnitee is willing to serve, continue to serve and to take on additional service for or on behalf of the Company on the condition that he be so indemnified;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xml:space="preserve"> in consideration of the premises and the covenants contained herein, the Company and Indemnitee do hereby covenant and agree as follows: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  Services to the Company.</w:t>
      </w:r>
      <w:r>
        <w:rPr>
          <w:rFonts w:ascii="Times New Roman;Times;serif" w:hAnsi="Times New Roman;Times;serif"/>
          <w:sz w:val="20"/>
        </w:rPr>
        <w:t xml:space="preserve"> Indemnitee agrees to serve as a director of the Company, which service shall include serving on certain committees of the Board. Indemnitee may at any time and for any reason resign from such position (subject to any other contractual obligation or any obligation imposed by operation of law), in which event the Company shall have no obligation under this Agreement to keep Indemnitee in such position. This Agreement shall not be deemed an employment contract between the Company and Indemnitee. Indemnitee specifically acknowledges that Indemnitee’s employment with the Company, if any, is at will, and the Indemnitee may be discharged at any time for any reason, with or without cause, except as may be otherwise provided in any written employment contract between Indemnitee and the Company, other applicable formal severance policies duly adopted by the Board, or, with respect to service as a director or officer of the Company, by the Certificate of Incorporation, the By-Laws, and the DGCL. The foregoing notwithstanding, this Agreement shall continue in force after Indemnitee has ceased to serve as a director of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2.  Definitions.</w:t>
      </w:r>
      <w:r>
        <w:rPr>
          <w:rFonts w:ascii="Times New Roman;Times;serif" w:hAnsi="Times New Roman;Times;serif"/>
          <w:sz w:val="20"/>
        </w:rPr>
        <w:t xml:space="preserve"> As used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References to “agent” shall mean any person who is or was a director, officer, or employee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 “Change in Control” shall be deemed to occur upon the earliest to occur after the date of this Agreement of any of the following events:</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(i)Acquisition of Stock by Third Party. Any Person (as defined below) is or becomes the Beneficial Owner (as defined below), directly or indirectly, of securities of the Company representing more than fifty percent (50%) or more of the combined voting power of the Company’s then outstanding securities;</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(ii)Change in Board.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2(b)(i), 2(b)(iii) or 2(b)(iv))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at least a majority of the members of the Board;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(iii)Corporate Transactions.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51% of the combined voting power of the voting securities of the surviving entity outstanding immediately after such merger or consolidation and with the power to elect at least a majority of the board of directors or other governing body of such surviving entity;</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(iv)Liquidation. The approval by the stockholders of the Company of a complete liquidation of the Company or an agreement for the sale or disposition by the Company of all or substantially all of the Company’s assets; and</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(v)Other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purposes of this Section 2(b), the following terms shall have the following meanings:</w:t>
      </w:r>
    </w:p>
    <w:p>
      <w:pPr>
        <w:pStyle w:val="TextBody"/>
        <w:bidi w:val="0"/>
        <w:spacing w:before="0" w:after="240"/>
        <w:ind w:left="1440" w:right="0" w:firstLine="1440"/>
        <w:jc w:val="both"/>
        <w:rPr>
          <w:rFonts w:ascii="Times New Roman;Times;serif" w:hAnsi="Times New Roman;Times;serif"/>
          <w:sz w:val="20"/>
        </w:rPr>
      </w:pPr>
      <w:r>
        <w:rPr>
          <w:rFonts w:ascii="Times New Roman;Times;serif" w:hAnsi="Times New Roman;Times;serif"/>
          <w:sz w:val="20"/>
        </w:rPr>
        <w:t>(A)“Exchange Act” shall mean the Securities Exchange Act of 1934, as amended from time to time.</w:t>
      </w:r>
    </w:p>
    <w:p>
      <w:pPr>
        <w:pStyle w:val="TextBody"/>
        <w:bidi w:val="0"/>
        <w:spacing w:before="0" w:after="240"/>
        <w:ind w:left="1440" w:right="0" w:firstLine="1440"/>
        <w:jc w:val="both"/>
        <w:rPr>
          <w:rFonts w:ascii="Times New Roman;Times;serif" w:hAnsi="Times New Roman;Times;serif"/>
          <w:sz w:val="20"/>
        </w:rPr>
      </w:pPr>
      <w:r>
        <w:rPr>
          <w:rFonts w:ascii="Times New Roman;Times;serif" w:hAnsi="Times New Roman;Times;serif"/>
          <w:sz w:val="20"/>
        </w:rPr>
        <w:t>(B)“Person” shall have the meaning as set forth in Sections 13(d) and 14(d) of the Exchange Act; provided, however, that Person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pStyle w:val="TextBody"/>
        <w:bidi w:val="0"/>
        <w:spacing w:before="0" w:after="240"/>
        <w:ind w:left="1440" w:right="0" w:firstLine="1440"/>
        <w:jc w:val="both"/>
        <w:rPr>
          <w:rFonts w:ascii="Times New Roman;Times;serif" w:hAnsi="Times New Roman;Times;serif"/>
          <w:sz w:val="20"/>
        </w:rPr>
      </w:pPr>
      <w:r>
        <w:rPr>
          <w:rFonts w:ascii="Times New Roman;Times;serif" w:hAnsi="Times New Roman;Times;serif"/>
          <w:sz w:val="20"/>
        </w:rPr>
        <w:t>(C)“Beneficial Owner” shall have the meaning given to such term in Rule 13d-3 under the Exchange Act; provided, however, that Beneficial Owner shall exclude any Person otherwise becoming a Beneficial Owner by reason of the stockholders of the Company approving a merger of the Company with another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“Corporate Status” describes the status of a person who is or was a director, officer, employee or agent of the Company or of any other corporation, limited liability company, partnership or joint venture, trust, employee benefit plan or other enterprise which such person is or was serving at the request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“Disinterested Director” means a director of the Company who is not and was not a party to the Proceeding in respect of which indemnification is sought by Indemnitee.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“Enterprise” shall mean the Company and any other corporation, limited liability company, partnership, joint venture, trust, employee benefit plan or other enterprise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which Indemnitee is or was serving at the request of the Company as a director, officer, employee, agent or fiduciary.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“Expenses” shall include all reasonable attorneys’ fees, retainers, court costs, transcript costs, fees of experts,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or expenses of the types customarily incurred in connection with prosecuting, defending, preparing to prosecute or defend, investigating, being or preparing to be a witness in, or otherwise participating in, a Proceeding. Expenses also shall include (i) Expenses incurred in connection with any appeal resulting from any Proceeding, including without limitation the premium, security for, and other costs relating to any cost bond or other appeal bond or its equivalent, and (ii) for purposes of Section 14(d) only, Expenses incurred by Indemnitee in connection with the interpretation, enforcement or defense of Indemnitee’s rights under this Agreement, by litigation or otherwise. The parties agree that for the purposes of any advancement of Expenses for which Indemnitee has made written demand to the Company in accordance with this Agreement, all Expenses included in such demand that are certified by affidavit of Indemnitee’s counsel as being reasonable shall be presumed conclusively to be reasonable. Expenses, however, shall not include amounts paid in settlement by Indemnitee or the amount of judgments or fines against Indemnitee.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“Independent Counsel”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The term “Proceeding”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legislative, or investigative (formal or informal) nature, including any appeal therefrom, in which Indemnitee was, is or will be involved as a party, potential party, non-party witness or otherwise by reason of the fact that Indemnitee is or was a director or officer of the Company, by reason of any action taken by him or of any action on his part while acting as director or officer of the Company, or by reason of the fact that he is or was serving at the request of the Company, including prior to the date of this Agreement, as a director, officer, employee or agent of another corporation, limited liability company, partnership, joint venture, trust or other enterprise, in each case whether or not serving in such capacity at the time any liability or expense is incurred for which indemnification, reimbursement, or advancement of expenses can be provided under this Agreement. If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Indemnitee believes in good faith that a given situation may lead to or culminate in the institution of a Proceeding, this shall be considered a Proceeding under this paragraph.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Reference to “other enterprise” shall include employee benefit plans; references to “fines” shall include any excise tax assessed with respect to any employee benefit plan;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Company” as referred to in this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3.  Indemnity in Third-Party Proceedings.</w:t>
      </w:r>
      <w:r>
        <w:rPr>
          <w:rFonts w:ascii="Times New Roman;Times;serif" w:hAnsi="Times New Roman;Times;serif"/>
          <w:sz w:val="20"/>
        </w:rPr>
        <w:t xml:space="preserve"> The Company shall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Indemnitee shall be indemnified to the fullest extent permitted by applicable law against all Expenses, judgments, fines and amounts paid in settlement actually and reasonably incurred by Indemnitee or on his behalf in 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his conduct was unlawful. The parties hereto intend that this Agreement shall provide to the fullest extent permitted by law for indemnification in excess of that expressly permitted by statute, including, without limitation, any indemnification provided by the Certificate of Incorporation, the By-Laws, vote of the Company’s stockholders or disinterested directors or applicable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4.  Indemnity in Proceedings by or in the Right of the Company.</w:t>
      </w:r>
      <w:r>
        <w:rPr>
          <w:rFonts w:ascii="Times New Roman;Times;serif" w:hAnsi="Times New Roman;Times;serif"/>
          <w:sz w:val="20"/>
        </w:rPr>
        <w:t xml:space="preserve"> The Company shall indemnify Indemnitee in accordance with the provisions of this Section 4 if Indemnitee is, or is threatened to be made, a party to or a participant in any Proceeding by or in the right of the Company to procure a judgment in its favor. Pursuant to this Section 4, Indemnitee shall be indemnified to the fullest extent permitted by applicable law against all Expenses actually and reasonably incurred by him or on his behalf in connection with such Proceeding or any claim, issue or matter therein, if Indemnitee acted in good faith and in a manner 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5.  Indemnification for Expenses of a Party Who is Wholly or Partly Successful.</w:t>
      </w:r>
      <w:r>
        <w:rPr>
          <w:rFonts w:ascii="Times New Roman;Times;serif" w:hAnsi="Times New Roman;Times;serif"/>
          <w:sz w:val="20"/>
        </w:rPr>
        <w:t xml:space="preserve"> Notwithstanding any other provisions of this Agreement, to the fullest extent permitted by applicable law and to the extent that Indemnitee is a party to (or a participant in) and is successful, on the merits or otherwise, in any Proceeding or in defense of any claim, issue or matter therein, in whole or in part, the Company shall indemnify Indemnitee against all Expenses actually and reasonably incurred by him in connection therewith. If Indemnitee is not wholly successful 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such Proceeding but is successful, on the merits or otherwise, as to one or more but less than all claims, issues or matters in such Proceeding, the Company shall indemnify Indemnitee against all Expenses actually and reasonably incurred by him or on his behalf in connection with or related to each successfully resolved claim, issue or matter to the fullest extent permitted by law. For purposes of this Section 5 and without limitation, the termination of any claim, issue or matter in such a Proceeding by dismissal, with or without prejudice, shall be deemed to be a successful result as to such claim, issue or matter.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acknowledges that a settlement or other disposition short of final judgment may be successful if it permits a party to avoid expense, delay, distraction, disruption and uncertainty.  In the event that any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by clear and convincing evidence.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6.  Indemnification For Expenses of a Witness.</w:t>
      </w:r>
      <w:r>
        <w:rPr>
          <w:rFonts w:ascii="Times New Roman;Times;serif" w:hAnsi="Times New Roman;Times;serif"/>
          <w:sz w:val="20"/>
        </w:rPr>
        <w:t xml:space="preserve"> Notwithstanding any other provision of this Agreement, to the fullest extent permitted by applicable law and to the extent that Indemnitee is, by reason of his Corporate Status, a witness or otherwise asked to participate in any Proceeding to which Indemnitee is not a party, he shall be indemnified against all Expenses actually and reasonably incurred by him or on his behalf in connection therewith.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Section 7.  Partial Indemnification. </w:t>
      </w:r>
      <w:r>
        <w:rPr>
          <w:rFonts w:ascii="Times New Roman;Times;serif" w:hAnsi="Times New Roman;Times;serif"/>
          <w:sz w:val="20"/>
        </w:rPr>
        <w:t>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8.  Additional Indemnification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Notwithstanding any limitation in Sections 3, 4, or 5, the Company shall indemnify Indemnitee to the fullest extent permitted by applicable law if Indemnitee is a party to or threatened to be made a party to any Proceeding (including a Proceeding by or in the right of the Company to procure a judgment in its favor) against all Expenses, judgments, fines and amounts paid in settlement actually and reasonably incurred by Indemnitee in connection with the Proceeding.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For purposes of Section 8(a), the meaning of the phrase “to the fullest extent permitted by applicable law” shall include, but not be limited to:</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(i)to the fullest extent permitted by the provision of the DGCL that authorizes or contemplates additional indemnification by agreement, or the corresponding provision of any amendment to or replacement of the DGCL, and</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(ii)to the fullest extent authorized or permitted by any amendments to or replacements of the DGCL adopted after the date of this Agreement that increase the extent to which a corporation may indemnify its officers and directors.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9.  Exclusions.</w:t>
      </w:r>
      <w:r>
        <w:rPr>
          <w:rFonts w:ascii="Times New Roman;Times;serif" w:hAnsi="Times New Roman;Times;serif"/>
          <w:sz w:val="20"/>
        </w:rPr>
        <w:t xml:space="preserve"> Notwithstanding any provision in this Agreement, the Company shall not be obligated under this Agreement to make any indemnity in connection with any claim made against Indemnitee: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for which payment has actually been made to or on behalf of Indemnitee under any insurance policy or other indemnity provision, except with respect to any excess beyond the amount paid under any insurance policy or other indemnity provision;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for (i) an accounting of profits made from the purchase and sale (or sale and purchase) by Indemnitee of securities of the Company within the meaning of Section 16(b) of the Exchange Act (as defined in Section 2(b) hereof) or similar provisions of state statutory law or common law, or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except as provided in Section 14(d) of this Agreement,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in its sole discretion, pursuant to the powers vested in the Company under applicable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10.  Advances of Expenses.</w:t>
      </w:r>
      <w:r>
        <w:rPr>
          <w:rFonts w:ascii="Times New Roman;Times;serif" w:hAnsi="Times New Roman;Times;serif"/>
          <w:sz w:val="20"/>
        </w:rPr>
        <w:t xml:space="preserve"> In accordance with Section 3 of Article XI of the By-Laws, and notwithstanding any provision of this Agreement to the contrary, the Company shall advance, to the extent not prohibited by law, the Expenses incurred by Indemnitee in connection with any Proceeding, and such advancement shall be made within thirty (30) days after the receipt by the Company of a statement or statements requesting such advances from time to time, whether prior to or after final disposition of any Proceeding. Advances shall be unsecured and interest free. Advances shall be made without regard to Indemnitee’s ability to repay the Expenses and without regard to Indemnitee’s ultimate entitlement to indemnification under the other provisions of this Agreement. Advances shall include any and all reasonable Expenses incurred pursuing an action to enforce this right of advancement, including Expenses incurred preparing and forwarding statements to the Company to support the advances claimed. The Indemnitee shall qualify for advances upon the execution and delivery to the Company of this Agreement, which shall constitute an undertaking providing that the Indemnitee undertakes to repay the amounts advanced (without interest) to the extent that it is ultimately determined that Indemnitee is not entitled to be indemnified by the Company. No other form of undertaking shall be required other than the execution of this Agreement. This Section 10 shall not apply to any claim made by Indemnitee for which indemnity is excluded pursuant to Section 9.</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11.  Procedure for Notification and Defense of Claim</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Indemnitee shall notify the Company in writing of any matter with respect to which Indemnitee intends to seek indemnification or advancement of Expenses hereunder as soon as reasonably practicable following the receipt by Indemnitee of written notice thereof. The written notification to the Company shall include a description of the nature of the Proceeding and the facts underlying the Proceeding.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following the final disposition of such action, suit or proceeding. The omission by Indemnitee to notify the Company hereunder will not relieve the Company from any liability which it may have to Indemnitee hereunder or otherwise than under this Agreement, and any delay in so notifying the Company shall not constitute a waiver by Indemnitee of any rights under this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Secretary of the Company shall, promptly upon receipt of such a request for indemnification, advise the Board in writing that Indemnitee has requested indemnification.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Company will be entitled to participate in the Proceeding at its own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12.  Procedure Upon Application for Indemnification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Upon written request by Indemnitee for indemnification pursuant to Section 11(a), a determination, if required by applicable law, with respect to Indemnitee’s entitlement thereto shall be made in the specific case: (i) if a Change in Control shall have occurred, by Independent Counsel in a written opinion to the Board, a copy of which shall be delivered to Indemnitee; or (ii) if a Change in Control shall not have occurred, (A) by a majority vote of the Disinterested Directors, even if less than a quorum of the Board, (B) by a committee of Disinterested Directors designated by a majority vote of the Disinterested Directors, even if less than a quorum of the Board, (C) if there are no such Disinterested Directors or, if such Disinterested Directors so direct, by Independent Counsel in a written opinion to the Board, a copy of which shall be delivered to Indemnitee or (D) if so directed by the Board, by the stockholders of the Company; and, if it is so determined that Indemnitee is entitled to indemnification, payment to Indemnitee shall be made within ten (10) days after such determination.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the event the determination of entitlement to indemnification is to be made by Independent Counsel pursuant to Section 12(a) hereof, the Independent Counsel shall be selected as provided in this Section 12(b). If a Change in Control shall not have occurred, the Independent Counsel shall be selected by the Board, and the Company shall give written notice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Indemnitee advising him of the identity of the Independent Counsel so selected. If a Change in Control shall have occurred, the Independent Counsel shall be selected by Indemnitee (unless Indemnitee shall request that such selection be made by the Board, in which event the preceding sentence shall apply), and Indemnitee shall give written notice to the Company advising it of the identity of the Independent Counsel so selected. In either event, Indemnitee or the Company, as the case may be, may, within ten (10) days after such written notice of selection shall have been given, deliver to the Company or to Indemnitee, as the case may be, a written objection to such selection;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twenty (20) days after the later of submission by Indemnitee of a written request for indemnification pursuant to Section 11(a) hereof and the final disposition of the Proceeding, no Independent Counsel shall have been selected and not objected to, either the Company or Indemnitee may petition a court of competent jurisdiction for resolution of any objection which shall have been made by the Company or Indemnitee to the other’s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13.  Presumptions and Effect of Certain Proceedings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In making a determination with respect to entitlement to indemnification hereunder, the person or persons or entity making such determination shall, to the fullest extent not prohibited by law, presume that Indemnitee is entitled to indemnification under this Agreement if Indemnitee has submitted a request for indemnification in accordance with Section 11(a) of this Agreement, and the Company shall, to the fullest extent not prohibited by law, have the burden of proof to overcome that presumption by clear and convincing evidence in connection with the making by any person, persons or entity of any determination contrary to that presumption. Neither the failure of the Company (including by its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legal counsel) that Indemnitee has not met such applicable standard of conduct, shall be a defense to the action or create a presumption that Indemnitee has not met the applicable standard of conduct.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Subject to Section 14(e), if the person, persons or entity empowered or selected under Section 12 of this Agreement to determine whether Indemnitee is entitled to indemnification shall not have made a determination within sixty (60) days after receipt by the Company of the request therefor, the requisite determination of entitlement to indemnification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60-day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that the foregoing provisions of this Section 13(b) shall not apply (i) if the determination of entitlement to indemnification is to be made by the stockholders pursuant to Section 12(a) of this Agreement and if (A) within fifteen (15) days after receipt by the Company of the request for such determination the Board has resolved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 pursuant to Section 12(a)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The termination of any Proceeding or of any claim, issue or matter therein, by judgment, order, settlement or conviction, or upon a plea of </w:t>
      </w:r>
      <w:r>
        <w:rPr>
          <w:rFonts w:ascii="Times New Roman;Times;serif" w:hAnsi="Times New Roman;Times;serif"/>
          <w:sz w:val="20"/>
          <w:u w:val="single"/>
        </w:rPr>
        <w:t>nolo contendere</w:t>
      </w:r>
      <w:r>
        <w:rPr>
          <w:rFonts w:ascii="Times New Roman;Times;serif" w:hAnsi="Times New Roman;Times;serif"/>
          <w:sz w:val="20"/>
        </w:rPr>
        <w:t xml:space="preserv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Reliance as Safe Harbor</w:t>
      </w:r>
      <w:r>
        <w:rPr>
          <w:rFonts w:ascii="Times New Roman;Times;serif" w:hAnsi="Times New Roman;Times;serif"/>
          <w:sz w:val="20"/>
        </w:rPr>
        <w:t>. For purposes of any determination of good faith, Indemnitee shall be deemed to have acted in good faith if Indemnitee’s action is based on the records or books of account of the Enterprise,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the reasonable care by the Enterprise. The provisions of this Section 13(d) shall not be deemed to be exclusive or to limit in any way the other circumstances in which the Indemnitee may be deemed to have met the applicable standard of conduct set forth in this Agreement. Whether or not the foregoing provisions of this Section 13(d) are satisfied, it shall in any event be presumed that Indemnitee has at all times acted in good faith and in a manner the Indemnitee reasonably believed to be in or not opposed to the best interests of the Company. Anyone seeking to overcome this presumption shall have the burden of proof by clear and convincing evidence.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Actions of Others</w:t>
      </w:r>
      <w:r>
        <w:rPr>
          <w:rFonts w:ascii="Times New Roman;Times;serif" w:hAnsi="Times New Roman;Times;serif"/>
          <w:sz w:val="20"/>
        </w:rPr>
        <w:t>. The knowledge and/or actions, or failure to act, of any director, officer, agent or employee of the Enterprise shall not be imputed to Indemnitee for purposes of determining the right to indemnification under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14.  Remedies of Indemnitee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Subject to Section 14(e), in the event that (i) a determination is made pursuant to Section 12 of this Agreement that Indemnitee is not entitled to indemnification under this Agreement, (ii) advancement of Expenses is not timely made pursuant to Section 10 of this Agreement, (iii) no determination of entitlement to indemnification shall have been made pursuant to Section 12(a) of this Agreement within ninety (90) days after receipt by the Company of the request for indemnification, (iv) payment of indemnification is not made pursuant to Section 5, 6 or 7 or the last sentence of Section 12(a) of this Agreement within ten (10) days after receipt by the Company of a written request therefor, (v) payment of indemnification pursuant to Section 3, 4 or 8 of this Agreement is not made within ten (10)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Indemnitee shall be entitled to an adjudication by a court of his entitlement to such indemnification or advancement of Expenses. Alternatively, Indemnitee, at his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14(a);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the foregoing clause shall not apply in respect of a proceeding brought by Indemnitee to enforce his rights under Section 5 of this Agreement. The Company shall not oppose Indemnitee’s right to seek any such adjudication or award in arbitration.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In the event that a determination shall have been made pursuant to Section 12(a) of this Agreement that Indemnitee is not entitled to indemnification, any judicial proceeding or arbitration commenced pursuant to this Section 14 shall be conducted in all respects as a </w:t>
      </w:r>
      <w:r>
        <w:rPr>
          <w:rFonts w:ascii="Times New Roman;Times;serif" w:hAnsi="Times New Roman;Times;serif"/>
          <w:sz w:val="20"/>
          <w:u w:val="single"/>
        </w:rPr>
        <w:t>de novo</w:t>
      </w:r>
      <w:r>
        <w:rPr>
          <w:rFonts w:ascii="Times New Roman;Times;serif" w:hAnsi="Times New Roman;Times;serif"/>
          <w:sz w:val="20"/>
        </w:rPr>
        <w:t xml:space="preserve"> trial, or arbitration, on the merits and Indemnitee shall not be prejudiced by reason of that adverse determination. In any judicial proceeding or arbitration commenced pursuant to this Section 14 the Company shall have the burden of proving Indemnitee is not entitled to indemnification or advancement of Expenses,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Company shall, to the fullest extent not prohibited by law,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 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shall, to the fullest extent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permitted by law, indemnify Indemnitee against any and all Expenses and, if requested by Indemnitee, shall (within ten (10) days after receipt by the Company of a written request therefor) advance, to the extent not prohibited by law, such Expenses to Indemnitee, which are incurred by Indemnitee in connection with any action brought by Indemnitee for indemnification or advancement of Expenses from the Company under this Agreement or under any directors’ and officers’ liability insurance policies maintained by the Company if Indemnitee is wholly successful on the underlying claims; if Indemnitee is not wholly successful on the underlying claims, then such indemnification and advancement shall be only to the extent Indemnitee is successful on such underlying claims or otherwise as permitted by law, whichever is greater.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Notwithstanding anything in this Agreement to the contrary, no determination as to entitlement of Indemnitee to indemnification under this Agreement shall be required to be made prior to the final disposition of the Proceeding.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15.  Non-exclusivity; Survival of Rights; Insurance; Subrogation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rights of indemnification and to receive advancement of Expenses as provided by this Agreement shall not be deemed exclusive of any other rights to which Indemnitee may at any time be entitled under applicable law, the Certificate of Incorporation,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Delaware law, whether by statute or judicial decision, permits greater indemnification or advancement of Expenses than would be afforded currently under the By-Laws, the Certificate of Incorporation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Company shall use its best efforts to maintain an insurance policy or policies providing liability insurance for directors and officers in effect at all times, which shall include (i) an annual policy in effect or commencing as of the date hereof, and (ii) if a Change in Control is reasonably anticipated, a tail policy to protect the Indemnitee for a period of no less than six (6) additional years. To the extent that the Company maintains an insurance policy or policies providing liability insurance for directors, officers, employees, or agents of the Company or of any other corporation, partnership, joint venture, trust, employee benefit plan or other enterprise which such person serves at the request of the Company, Indemnitee shall be covered by such policy or policies in accordance with its or their terms to the maximum extent of the coverage available for any such director, officer, employee or agent under such policy or policies. If, at the time of the receipt of a notice of a claim pursuant to the terms hereof, the Company has director and officer liability insurance in effect, the Company shall give prompt notice of such claim or of the commencement of a proceeding, as the case may be, to the insurers in accordance with the procedures set forth in the respective policies. The Company shall thereafter take all necessary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desirable action to cause such insurers to pay, on behalf of the Indemnitee, all amounts payable as a result of such proceeding in accordance with the terms of such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In the event of any payment under this Agreement, the Company shall be subrogated to the extent of such payment to all of the rights of recovery of Indemnitee (but not against Indemnitee), who shall execute all papers required and take all action necessary to secure such rights, including execution of such documents as are necessary to enable the Company to bring suit to enforce such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Company shall not be liable under this Agreement to make any payment of amounts otherwise indemnifiable (or for which advancement is provided hereunder) hereunder if and to the extent that Indemnitee has otherwise actually received such payment under any insurance policy, contract, agreement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Company’s obligation to indemnify or advance Expenses hereunder to Indemnitee who is or was serving at the request of the Company as a director, officer, employee or agent of any other corporation, limited liability company, partnership, joint venture, trust, employee benefit plan or other enterprise shall be reduced by any amount Indemnitee has actually received as indemnification or advancement of Expenses from such other corporation, limited liability company, partnership, joint venture, trust, employee benefit plan or other enterprise.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16.  Duration of Agreement.</w:t>
      </w:r>
      <w:r>
        <w:rPr>
          <w:rFonts w:ascii="Times New Roman;Times;serif" w:hAnsi="Times New Roman;Times;serif"/>
          <w:sz w:val="20"/>
        </w:rPr>
        <w:t xml:space="preserve"> This Agreement shall continue during the period Indemnitee is an officer or director of the Company (or is or was serving at the request of the Company as a director, officer, employee or agent of another corporation, partnership, joint venture, trust or other enterprise) and shall continue thereafter so long as Indemnitee may be subject to any Proceeding (or any proceeding commenced under Section 14 hereof) by reason of Indemnitee’s Corporate Status, whether or not Indemnitee is acting or serving in any such capacity at the time any liability or expense is incurred for which indemnification can be provided under this Agreement. This Agreement shall be binding upon the Company and its successors and assigns and shall inure to the benefit of Indemnitee and his heirs, executors and administrators.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17.  Severability.</w:t>
      </w:r>
      <w:r>
        <w:rPr>
          <w:rFonts w:ascii="Times New Roman;Times;serif" w:hAnsi="Times New Roman;Times;serif"/>
          <w:sz w:val="20"/>
        </w:rPr>
        <w:t xml:space="preserve">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18.  Enforcement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as a director or officer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Certificate of Incorporation, the By-Laws and applicable law, and shall not be deemed a substitute therefor, nor to diminish or abrogate any rights of Indemnitee thereunder.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19.  Modification and Waiver.</w:t>
      </w:r>
      <w:r>
        <w:rPr>
          <w:rFonts w:ascii="Times New Roman;Times;serif" w:hAnsi="Times New Roman;Times;serif"/>
          <w:sz w:val="20"/>
        </w:rPr>
        <w:t xml:space="preserve"> No supplement, modification or amendment of this Agreement shall be binding unless executed in writing by the parties thereto. No waiver of any of the provisions of this Agreement shall be deemed or shall constitute a waiver of any other provisions of this Agreement nor shall any waiver constitute a continuing waiver.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20.  Notice by Indemnitee.</w:t>
      </w:r>
      <w:r>
        <w:rPr>
          <w:rFonts w:ascii="Times New Roman;Times;serif" w:hAnsi="Times New Roman;Times;serif"/>
          <w:sz w:val="20"/>
        </w:rPr>
        <w:t xml:space="preserve"> Indemnitee agrees promptly to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shall not relieve the Company of any obligation which it may have to the Indemnitee under this Agreement or otherwise.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21.  Notices.</w:t>
      </w:r>
      <w:r>
        <w:rPr>
          <w:rFonts w:ascii="Times New Roman;Times;serif" w:hAnsi="Times New Roman;Times;serif"/>
          <w:sz w:val="20"/>
        </w:rPr>
        <w:t xml:space="preserve"> All notices, requests, demands and other communications under this Agreement shall be in writing and shall be deemed to have been duly given if (a) delivered by hand and receipted for by the party to whom said notice or other communication shall have been directed, (b) mailed by certified or registered mail with postage prepaid, on the third business day after the date on which it is so mailed, (c) mailed by reputable overnight courier and receipted for by the party to whom said notice or other communication shall have been directed or (d) sent by facsimile transmission, with receipt of oral confirmation that such transmission has been received:</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(i)If to Indemnitee, at the address indicated on the signature page of this Agreement, or such other address as Indemnitee shall provide to the Company.</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(ii)If to the Company to</w:t>
      </w:r>
    </w:p>
    <w:p>
      <w:pPr>
        <w:pStyle w:val="TextBody"/>
        <w:bidi w:val="0"/>
        <w:spacing w:before="0" w:after="0"/>
        <w:ind w:left="2880" w:right="0" w:hanging="0"/>
        <w:jc w:val="left"/>
        <w:rPr>
          <w:rFonts w:ascii="Times New Roman;Times;serif" w:hAnsi="Times New Roman;Times;serif"/>
          <w:sz w:val="20"/>
        </w:rPr>
      </w:pPr>
      <w:r>
        <w:rPr>
          <w:rFonts w:ascii="Times New Roman;Times;serif" w:hAnsi="Times New Roman;Times;serif"/>
          <w:sz w:val="20"/>
        </w:rPr>
        <w:t>BioXcel Therapeutics Inc.</w:t>
      </w:r>
    </w:p>
    <w:p>
      <w:pPr>
        <w:pStyle w:val="TextBody"/>
        <w:bidi w:val="0"/>
        <w:spacing w:before="0" w:after="0"/>
        <w:ind w:left="2880" w:right="0" w:hanging="0"/>
        <w:jc w:val="left"/>
        <w:rPr>
          <w:rFonts w:ascii="Times New Roman;Times;serif" w:hAnsi="Times New Roman;Times;serif"/>
          <w:sz w:val="20"/>
        </w:rPr>
      </w:pPr>
      <w:r>
        <w:rPr>
          <w:rFonts w:ascii="Times New Roman;Times;serif" w:hAnsi="Times New Roman;Times;serif"/>
          <w:sz w:val="20"/>
        </w:rPr>
        <w:t>780 East Main Street</w:t>
      </w:r>
    </w:p>
    <w:p>
      <w:pPr>
        <w:pStyle w:val="TextBody"/>
        <w:bidi w:val="0"/>
        <w:spacing w:before="0" w:after="0"/>
        <w:ind w:left="2880" w:right="0" w:hanging="0"/>
        <w:jc w:val="left"/>
        <w:rPr>
          <w:rFonts w:ascii="Times New Roman;Times;serif" w:hAnsi="Times New Roman;Times;serif"/>
          <w:sz w:val="20"/>
        </w:rPr>
      </w:pPr>
      <w:r>
        <w:rPr>
          <w:rFonts w:ascii="Times New Roman;Times;serif" w:hAnsi="Times New Roman;Times;serif"/>
          <w:sz w:val="20"/>
        </w:rPr>
        <w:t>Branford, CT 06405</w:t>
      </w:r>
    </w:p>
    <w:p>
      <w:pPr>
        <w:pStyle w:val="TextBody"/>
        <w:bidi w:val="0"/>
        <w:spacing w:before="0" w:after="0"/>
        <w:ind w:left="2880" w:right="0" w:hanging="0"/>
        <w:jc w:val="left"/>
        <w:rPr>
          <w:rFonts w:ascii="Times New Roman;Times;serif" w:hAnsi="Times New Roman;Times;serif"/>
          <w:sz w:val="20"/>
        </w:rPr>
      </w:pPr>
      <w:r>
        <w:rPr>
          <w:rFonts w:ascii="Times New Roman;Times;serif" w:hAnsi="Times New Roman;Times;serif"/>
          <w:sz w:val="20"/>
        </w:rPr>
        <w:t>Attention: Chief Executive Officer</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to any other address as may have been furnished to Indemnitee by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22.  Contribution.</w:t>
      </w:r>
      <w:r>
        <w:rPr>
          <w:rFonts w:ascii="Times New Roman;Times;serif" w:hAnsi="Times New Roman;Times;serif"/>
          <w:sz w:val="20"/>
        </w:rPr>
        <w:t xml:space="preserve">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 paid in settlement and/or for Expenses, in connection with any claim relating to an indemnifiable event under this Agreement, in such proportion as is deemed fair and reasonable in light of all of the circumstances of such Proceeding in order to reflect (a) the relative benefits received by the Company and Indemnitee as a result of the event(s) and/or transaction(s) giving cause to such Proceeding; and/or (b) the relative fault of the Company (and its directors, officers, employees and agents) and Indemnitee in connection with such event(s) and/or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shall not enter into any settlement of any Proceeding in which the Company is jointly liable with Director (or would be if joined in such Proceeding) unless such settlement provides for a full and final release of all claims asserted against Director and does not contain an admission of wrongdoing by Director.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23.  Applicable Law and Consent to Jurisdiction.</w:t>
      </w:r>
      <w:r>
        <w:rPr>
          <w:rFonts w:ascii="Times New Roman;Times;serif" w:hAnsi="Times New Roman;Times;serif"/>
          <w:sz w:val="20"/>
        </w:rPr>
        <w:t xml:space="preserve">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Chancery Court of the State of Delaware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appoint, to the extent such party is not otherwise subject to service of process in the State of Delaware, irrevocably The Corporation Service Company, 2711 Centerville Road, City of Wilmington, County of New Castle, Delaware 19808 as its agent in the State of Delaware as such party’s agent for acceptance of legal process in connection with any such action or proceeding against such party with the same legal force and validity as if served upon such party personally within the State of Delaware, (d) waive any objection to the laying of venue of any such action or proceeding in the Delaware Court, and (e) waive, and agree not to plead or to make, any claim that any such action or proceeding brought in the Delaware Court has been brought in an improper or inconvenient forum.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24.  Identical Counterparts.</w:t>
      </w:r>
      <w:r>
        <w:rPr>
          <w:rFonts w:ascii="Times New Roman;Times;serif" w:hAnsi="Times New Roman;Times;serif"/>
          <w:sz w:val="20"/>
        </w:rPr>
        <w:t xml:space="preserve">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25.  Miscellaneous.</w:t>
      </w:r>
      <w:r>
        <w:rPr>
          <w:rFonts w:ascii="Times New Roman;Times;serif" w:hAnsi="Times New Roman;Times;serif"/>
          <w:sz w:val="20"/>
        </w:rPr>
        <w:t xml:space="preserve"> Use of the masculine pronoun shall be deemed to include usage of the feminine pronoun where appropriate. The headings of this Agreement are inserted for convenience only and shall not be deemed to constitute part of this Agreement or to affect the construction thereof.</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xml:space="preserve"> the parties have caused this Agreement to be signed as of the day and year first above written.</w:t>
      </w:r>
    </w:p>
    <w:p>
      <w:pPr>
        <w:pStyle w:val="TextBody"/>
        <w:bidi w:val="0"/>
        <w:spacing w:before="0" w:after="0"/>
        <w:ind w:left="0" w:right="0" w:hanging="0"/>
        <w:jc w:val="left"/>
        <w:rPr/>
      </w:pPr>
      <w:r>
        <w:rPr/>
        <w:t>​</w:t>
      </w:r>
    </w:p>
    <w:tbl>
      <w:tblPr>
        <w:tblW w:w="3229" w:type="dxa"/>
        <w:jc w:val="left"/>
        <w:tblInd w:w="0" w:type="dxa"/>
        <w:tblLayout w:type="fixed"/>
        <w:tblCellMar>
          <w:top w:w="0" w:type="dxa"/>
          <w:left w:w="0" w:type="dxa"/>
          <w:bottom w:w="0" w:type="dxa"/>
          <w:right w:w="0" w:type="dxa"/>
        </w:tblCellMar>
      </w:tblPr>
      <w:tblGrid>
        <w:gridCol w:w="124"/>
        <w:gridCol w:w="1055"/>
        <w:gridCol w:w="2050"/>
      </w:tblGrid>
      <w:tr>
        <w:trPr/>
        <w:tc>
          <w:tcPr>
            <w:tcW w:w="124"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left"/>
              <w:rPr/>
            </w:pPr>
            <w:r>
              <w:rPr/>
              <w:t>​</w:t>
            </w:r>
          </w:p>
        </w:tc>
        <w:tc>
          <w:tcPr>
            <w:tcW w:w="205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10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BIOXCEL THERAPEUTICS, INC.</w:t>
            </w:r>
          </w:p>
        </w:tc>
      </w:tr>
      <w:tr>
        <w:trPr/>
        <w:tc>
          <w:tcPr>
            <w:tcW w:w="124" w:type="dxa"/>
            <w:tcBorders/>
            <w:vAlign w:val="center"/>
          </w:tcPr>
          <w:p>
            <w:pPr>
              <w:pStyle w:val="TableContents"/>
              <w:bidi w:val="0"/>
              <w:spacing w:before="0" w:after="0"/>
              <w:ind w:left="0" w:right="0" w:hanging="0"/>
              <w:jc w:val="left"/>
              <w:rPr/>
            </w:pPr>
            <w:r>
              <w:rPr/>
              <w:t>​</w:t>
            </w:r>
          </w:p>
        </w:tc>
        <w:tc>
          <w:tcPr>
            <w:tcW w:w="310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0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Richard Steinhart</w:t>
            </w:r>
          </w:p>
        </w:tc>
      </w:tr>
      <w:tr>
        <w:trPr/>
        <w:tc>
          <w:tcPr>
            <w:tcW w:w="124"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Steinhart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CFO</w:t>
            </w:r>
          </w:p>
        </w:tc>
      </w:tr>
      <w:tr>
        <w:trPr/>
        <w:tc>
          <w:tcPr>
            <w:tcW w:w="124"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left"/>
              <w:rPr/>
            </w:pPr>
            <w:r>
              <w:rPr/>
              <w:t>​</w:t>
            </w:r>
          </w:p>
        </w:tc>
        <w:tc>
          <w:tcPr>
            <w:tcW w:w="205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left"/>
              <w:rPr/>
            </w:pPr>
            <w:r>
              <w:rPr/>
              <w:t>​</w:t>
            </w:r>
          </w:p>
        </w:tc>
        <w:tc>
          <w:tcPr>
            <w:tcW w:w="205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0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INDEMNITEE</w:t>
            </w:r>
          </w:p>
        </w:tc>
      </w:tr>
      <w:tr>
        <w:trPr/>
        <w:tc>
          <w:tcPr>
            <w:tcW w:w="124" w:type="dxa"/>
            <w:tcBorders/>
            <w:vAlign w:val="center"/>
          </w:tcPr>
          <w:p>
            <w:pPr>
              <w:pStyle w:val="TableContents"/>
              <w:bidi w:val="0"/>
              <w:spacing w:before="0" w:after="0"/>
              <w:ind w:left="0" w:right="0" w:hanging="0"/>
              <w:jc w:val="left"/>
              <w:rPr/>
            </w:pPr>
            <w:r>
              <w:rPr/>
              <w:t>​</w:t>
            </w:r>
          </w:p>
        </w:tc>
        <w:tc>
          <w:tcPr>
            <w:tcW w:w="310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0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Susan Atkins</w:t>
            </w:r>
          </w:p>
        </w:tc>
      </w:tr>
      <w:tr>
        <w:trPr/>
        <w:tc>
          <w:tcPr>
            <w:tcW w:w="124"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50"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Susan Atkins</w:t>
            </w:r>
          </w:p>
        </w:tc>
      </w:tr>
      <w:tr>
        <w:trPr/>
        <w:tc>
          <w:tcPr>
            <w:tcW w:w="124"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205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Indemnification Agreement]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041" w:name="btai-20260630xex31d1.htm"/>
      <w:bookmarkStart w:id="1042" w:name="ksbtai20260630xex31d1"/>
      <w:bookmarkEnd w:id="1041"/>
      <w:bookmarkEnd w:id="1042"/>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Vimal Mehta, Ph.D.,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quarterly period ended June 30, 2026 of BioXcel Therapeutics, Inc.;</w:t>
            </w:r>
          </w:p>
        </w:tc>
      </w:tr>
    </w:tbl>
    <w:p>
      <w:pPr>
        <w:pStyle w:val="TextBody"/>
        <w:pBdr/>
        <w:bidi w:val="0"/>
        <w:spacing w:lineRule="auto" w:line="285"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lineRule="auto" w:line="285"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lineRule="auto" w:line="285"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lineRule="auto" w:line="285"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lineRule="auto" w:line="285"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lineRule="auto" w:line="285"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lineRule="auto" w:line="285" w:before="0" w:after="0"/>
        <w:ind w:left="54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lineRule="auto" w:line="285"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tbl>
      <w:tblPr>
        <w:tblW w:w="5568" w:type="dxa"/>
        <w:jc w:val="left"/>
        <w:tblInd w:w="0" w:type="dxa"/>
        <w:tblLayout w:type="fixed"/>
        <w:tblCellMar>
          <w:top w:w="0" w:type="dxa"/>
          <w:left w:w="0" w:type="dxa"/>
          <w:bottom w:w="0" w:type="dxa"/>
          <w:right w:w="0" w:type="dxa"/>
        </w:tblCellMar>
      </w:tblPr>
      <w:tblGrid>
        <w:gridCol w:w="1951"/>
        <w:gridCol w:w="406"/>
        <w:gridCol w:w="3211"/>
      </w:tblGrid>
      <w:tr>
        <w:trPr/>
        <w:tc>
          <w:tcPr>
            <w:tcW w:w="195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Vimal Mehta</w:t>
            </w:r>
          </w:p>
        </w:tc>
      </w:tr>
      <w:tr>
        <w:trPr/>
        <w:tc>
          <w:tcPr>
            <w:tcW w:w="195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Vimal Mehta, Ph.D.</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043" w:name="btai-20260630xex31d2.htm"/>
      <w:bookmarkStart w:id="1044" w:name="ksbtai20260630xex31d2"/>
      <w:bookmarkEnd w:id="1043"/>
      <w:bookmarkEnd w:id="1044"/>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Richard Steinhart,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quarterly period ended June 30, 2026 of BioXcel Therapeutics, Inc.;</w:t>
            </w:r>
          </w:p>
        </w:tc>
      </w:tr>
    </w:tbl>
    <w:p>
      <w:pPr>
        <w:pStyle w:val="TextBody"/>
        <w:pBdr/>
        <w:bidi w:val="0"/>
        <w:spacing w:lineRule="auto" w:line="285"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lineRule="auto" w:line="285"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lineRule="auto" w:line="285"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lineRule="auto" w:line="285"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lineRule="auto" w:line="285"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lineRule="auto" w:line="285"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lineRule="auto" w:line="285"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10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720" w:right="0" w:hanging="0"/>
        <w:jc w:val="left"/>
        <w:rPr/>
      </w:pPr>
      <w:r>
        <w:rPr/>
        <w:t>​</w:t>
      </w:r>
    </w:p>
    <w:tbl>
      <w:tblPr>
        <w:tblW w:w="4773" w:type="dxa"/>
        <w:jc w:val="left"/>
        <w:tblInd w:w="0" w:type="dxa"/>
        <w:tblLayout w:type="fixed"/>
        <w:tblCellMar>
          <w:top w:w="0" w:type="dxa"/>
          <w:left w:w="0" w:type="dxa"/>
          <w:bottom w:w="0" w:type="dxa"/>
          <w:right w:w="0" w:type="dxa"/>
        </w:tblCellMar>
      </w:tblPr>
      <w:tblGrid>
        <w:gridCol w:w="1951"/>
        <w:gridCol w:w="406"/>
        <w:gridCol w:w="241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416"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Richard Steinhart</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Steinhart</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045" w:name="btai-20260630xex32d1.htm"/>
      <w:bookmarkStart w:id="1046" w:name="ksbtai20260630xex32d1"/>
      <w:bookmarkEnd w:id="1045"/>
      <w:bookmarkEnd w:id="1046"/>
      <w:r>
        <w:rPr>
          <w:rFonts w:ascii="Times New Roman;Times;serif" w:hAnsi="Times New Roman;Times;serif"/>
          <w:b/>
          <w:sz w:val="20"/>
        </w:rPr>
        <w:t>Exhibit 32.1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BioXcel Therapeutics, Inc. (the “Company”) for the quarterly period ended June 30, 2026, as filed with the Securities and Exchange Commission on the date hereof (the “Report”), the undersigned hereby certifies, pursuant to 18 U.S.C. Section 1350, as adopted pursuant to Section 906 of the Sarbanes-Oxley Act of 2002, that to the best of his knowledge: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
        <w:gridCol w:w="237"/>
        <w:gridCol w:w="9945"/>
      </w:tblGrid>
      <w:tr>
        <w:trPr/>
        <w:tc>
          <w:tcPr>
            <w:tcW w:w="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Section 15(d) of the Securities Exchange Act of 1934, as amended; and</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p>
      <w:pPr>
        <w:pStyle w:val="TextBody"/>
        <w:bidi w:val="0"/>
        <w:spacing w:before="0" w:after="0"/>
        <w:ind w:left="0" w:right="0" w:hanging="0"/>
        <w:jc w:val="left"/>
        <w:rPr/>
      </w:pPr>
      <w:r>
        <w:rPr/>
        <w:t> </w:t>
      </w:r>
    </w:p>
    <w:tbl>
      <w:tblPr>
        <w:tblW w:w="5677" w:type="dxa"/>
        <w:jc w:val="left"/>
        <w:tblInd w:w="0" w:type="dxa"/>
        <w:tblLayout w:type="fixed"/>
        <w:tblCellMar>
          <w:top w:w="0" w:type="dxa"/>
          <w:left w:w="0" w:type="dxa"/>
          <w:bottom w:w="0" w:type="dxa"/>
          <w:right w:w="0" w:type="dxa"/>
        </w:tblCellMar>
      </w:tblPr>
      <w:tblGrid>
        <w:gridCol w:w="1951"/>
        <w:gridCol w:w="406"/>
        <w:gridCol w:w="109"/>
        <w:gridCol w:w="321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lineRule="auto" w:line="285" w:before="0" w:after="0"/>
              <w:ind w:left="0" w:right="0" w:hanging="0"/>
              <w:jc w:val="left"/>
              <w:rPr/>
            </w:pPr>
            <w:r>
              <w:rPr/>
              <w:t>​</w:t>
            </w:r>
          </w:p>
        </w:tc>
        <w:tc>
          <w:tcPr>
            <w:tcW w:w="32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Vimal Mehta</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Vimal Mehta, Ph.D.</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047" w:name="btai-20260630xex32d2.htm"/>
      <w:bookmarkStart w:id="1048" w:name="ksbtai20260630xex32d2"/>
      <w:bookmarkEnd w:id="1047"/>
      <w:bookmarkEnd w:id="1048"/>
      <w:r>
        <w:rPr>
          <w:rFonts w:ascii="Times New Roman;Times;serif" w:hAnsi="Times New Roman;Times;serif"/>
          <w:b/>
          <w:sz w:val="20"/>
        </w:rPr>
        <w:t>Exhibit 32.2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BioXcel Therapeutics, Inc. (the “Company”) for the quarterly period ended June 30, 2026, as filed with the Securities and Exchange Commission on the date hereof (the “Report”), the undersigned hereby certifies, pursuant to 18 U.S.C. Section 1350, as adopted pursuant to Section 906 of the Sarbanes-Oxley Act of 2002, that to the best of his knowledge: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
        <w:gridCol w:w="237"/>
        <w:gridCol w:w="9945"/>
      </w:tblGrid>
      <w:tr>
        <w:trPr/>
        <w:tc>
          <w:tcPr>
            <w:tcW w:w="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Section 15(d) of the Securities Exchange Act of 1934, as amended; and</w:t>
            </w:r>
          </w:p>
        </w:tc>
      </w:tr>
    </w:tbl>
    <w:p>
      <w:pPr>
        <w:pStyle w:val="TextBody"/>
        <w:pBdr/>
        <w:bidi w:val="0"/>
        <w:spacing w:lineRule="auto" w:line="285"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lineRule="auto" w:line="285" w:before="0" w:after="0"/>
        <w:ind w:left="0" w:right="0" w:hanging="0"/>
        <w:jc w:val="left"/>
        <w:rPr/>
      </w:pPr>
      <w:r>
        <w:rPr/>
        <w:t>​</w:t>
      </w:r>
    </w:p>
    <w:tbl>
      <w:tblPr>
        <w:tblW w:w="4773" w:type="dxa"/>
        <w:jc w:val="left"/>
        <w:tblInd w:w="0" w:type="dxa"/>
        <w:tblLayout w:type="fixed"/>
        <w:tblCellMar>
          <w:top w:w="0" w:type="dxa"/>
          <w:left w:w="0" w:type="dxa"/>
          <w:bottom w:w="0" w:type="dxa"/>
          <w:right w:w="0" w:type="dxa"/>
        </w:tblCellMar>
      </w:tblPr>
      <w:tblGrid>
        <w:gridCol w:w="1951"/>
        <w:gridCol w:w="406"/>
        <w:gridCol w:w="241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416"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Richard Steinhart</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Steinhart</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720893/000155837021011074/btai-20210630xex3d1.htm" TargetMode="External"/><Relationship Id="rId5" Type="http://schemas.openxmlformats.org/officeDocument/2006/relationships/hyperlink" Target="https://www.sec.gov/Archives/edgar/data/1720893/000110465924070503/tm249625d6_ex3-1.htm" TargetMode="External"/><Relationship Id="rId6" Type="http://schemas.openxmlformats.org/officeDocument/2006/relationships/hyperlink" Target="https://www.sec.gov/Archives/edgar/data/1720893/000110465925009906/tm255604d1_ex3-1.htm" TargetMode="External"/><Relationship Id="rId7" Type="http://schemas.openxmlformats.org/officeDocument/2006/relationships/hyperlink" Target="https://www.sec.gov/Archives/edgar/data/1720893/000110465918016770/a18-8090_1ex3d2.htm" TargetMode="External"/><Relationship Id="rId8" Type="http://schemas.openxmlformats.org/officeDocument/2006/relationships/hyperlink" Target="https://www.sec.gov/Archives/edgar/data/1720893/000110465926026409/tm268136d3_ex4-1.htm" TargetMode="External"/><Relationship Id="rId9" Type="http://schemas.openxmlformats.org/officeDocument/2006/relationships/hyperlink" Target="https://www.sec.gov/Archives/edgar/data/1720893/000110465926026409/tm268136d3_ex4-2.htm" TargetMode="External"/><Relationship Id="rId10" Type="http://schemas.openxmlformats.org/officeDocument/2006/relationships/hyperlink" Target="https://www.sec.gov/Archives/edgar/data/1720893/000110465926026409/tm268136d3_ex4-3.htm" TargetMode="External"/><Relationship Id="rId11" Type="http://schemas.openxmlformats.org/officeDocument/2006/relationships/hyperlink" Target="https://www.sec.gov/Archives/edgar/data/1720893/000110465926044952/tm2612008d1_ex4-1.htm" TargetMode="External"/><Relationship Id="rId12" Type="http://schemas.openxmlformats.org/officeDocument/2006/relationships/hyperlink" Target="https://www.sec.gov/Archives/edgar/data/1720893/000110465926044952/tm2612008d1_ex4-2.htm" TargetMode="External"/><Relationship Id="rId13" Type="http://schemas.openxmlformats.org/officeDocument/2006/relationships/hyperlink" Target="https://www.sec.gov/Archives/edgar/data/1720893/000110465926080501/tm2619779d1_ex10-1.htm" TargetMode="External"/><Relationship Id="rId14" Type="http://schemas.openxmlformats.org/officeDocument/2006/relationships/hyperlink" Target="https://www.sec.gov/Archives/edgar/data/1720893/000110465926089436/tm2622012d1_ex10-1.htm" TargetMode="External"/><Relationship Id="rId15" Type="http://schemas.openxmlformats.org/officeDocument/2006/relationships/hyperlink" Target="https://www.sec.gov/Archives/edgar/data/1720893/000110465926093710/tm2622818d1_ex10-1.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99819</Words>
  <Characters>550033</Characters>
  <CharactersWithSpaces>650322</CharactersWithSpaces>
  <Paragraphs>7371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