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60" w:right="280" w:hanging="3082"/>
        <w:spacing w:after="0" w:line="375" w:lineRule="auto"/>
        <w:tabs>
          <w:tab w:leader="none" w:pos="7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93"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30"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6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80" w:space="720"/>
            <w:col w:w="3340"/>
          </w:cols>
          <w:pgMar w:left="840" w:top="665" w:right="919" w:bottom="1440" w:gutter="0" w:footer="0" w:header="0"/>
          <w:type w:val="continuous"/>
        </w:sectPr>
      </w:pPr>
    </w:p>
    <w:p>
      <w:pPr>
        <w:ind w:left="680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231" w:lineRule="exact"/>
        <w:rPr>
          <w:sz w:val="24"/>
          <w:szCs w:val="24"/>
          <w:color w:val="auto"/>
        </w:rPr>
      </w:pPr>
    </w:p>
    <w:p>
      <w:pPr>
        <w:ind w:right="1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August 5, 2021 was 27,968,988.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0"/>
            <w:vMerge w:val="restart"/>
          </w:tcPr>
          <w:p>
            <w:pPr>
              <w:jc w:val="center"/>
              <w:ind w:right="204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0"/>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Forward Looking Statements</w:t>
              </w:r>
            </w:hyperlink>
          </w:p>
        </w:tc>
        <w:tc>
          <w:tcPr>
            <w:tcW w:w="516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Balance Sheets as of June 30, 2021 and December 31, 2020</w:t>
              </w:r>
            </w:hyperlink>
          </w:p>
        </w:tc>
        <w:tc>
          <w:tcPr>
            <w:tcW w:w="296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Statements of Operations for the three and six months ended June 30, 2021 and 2020</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Statements of Changes in Stockholders’ Equity for the three and six months ended June 30, 2021</w:t>
              </w:r>
            </w:hyperlink>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2020</w:t>
              </w:r>
            </w:hyperlink>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Statements of Cash Flows for the six months ended June 30, 2021 and 2020</w:t>
              </w:r>
            </w:hyperlink>
          </w:p>
        </w:tc>
        <w:tc>
          <w:tcPr>
            <w:tcW w:w="180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Financial Statements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920" w:type="dxa"/>
            <w:vAlign w:val="bottom"/>
            <w:tcBorders>
              <w:left w:val="single" w:sz="8" w:color="0000EE"/>
            </w:tcBorders>
            <w:gridSpan w:val="5"/>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9"/>
          </w:tcPr>
          <w:p>
            <w:pPr>
              <w:jc w:val="center"/>
              <w:ind w:right="2080"/>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722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140" w:type="dxa"/>
            <w:vAlign w:val="bottom"/>
          </w:tcPr>
          <w:p>
            <w:pPr>
              <w:spacing w:after="0"/>
              <w:rPr>
                <w:sz w:val="17"/>
                <w:szCs w:val="17"/>
                <w:color w:val="auto"/>
              </w:rPr>
            </w:pPr>
          </w:p>
        </w:tc>
        <w:tc>
          <w:tcPr>
            <w:tcW w:w="722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3.</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Defaults Upon Senior Securities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Mine Safety Disclosures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7220" w:type="dxa"/>
            <w:vAlign w:val="bottom"/>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Signatures</w:t>
              </w:r>
            </w:hyperlink>
          </w:p>
        </w:tc>
        <w:tc>
          <w:tcPr>
            <w:tcW w:w="722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299" w:firstLine="324"/>
        <w:spacing w:after="0" w:line="23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6"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1040" w:right="279"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1040" w:hanging="315"/>
        <w:spacing w:after="0" w:line="232"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w:t>
      </w:r>
    </w:p>
    <w:p>
      <w:pPr>
        <w:ind w:left="1040" w:right="179"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 for additional financing;</w:t>
      </w:r>
    </w:p>
    <w:p>
      <w:pPr>
        <w:spacing w:after="0" w:line="5" w:lineRule="exact"/>
        <w:rPr>
          <w:rFonts w:ascii="Arial" w:cs="Arial" w:eastAsia="Arial" w:hAnsi="Arial"/>
          <w:sz w:val="16"/>
          <w:szCs w:val="16"/>
          <w:color w:val="auto"/>
        </w:rPr>
      </w:pP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ind w:left="1040" w:hanging="315"/>
        <w:spacing w:after="0" w:line="21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including our preclinical studies and clinical trials: and</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42"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“Summary Risk Factors”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24" w:lineRule="exact"/>
        <w:rPr>
          <w:sz w:val="20"/>
          <w:szCs w:val="20"/>
          <w:color w:val="auto"/>
        </w:rPr>
      </w:pPr>
    </w:p>
    <w:p>
      <w:pPr>
        <w:ind w:left="60" w:right="299" w:firstLine="324"/>
        <w:spacing w:after="0" w:line="238"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50" w:lineRule="exact"/>
        <w:rPr>
          <w:sz w:val="20"/>
          <w:szCs w:val="20"/>
          <w:color w:val="auto"/>
        </w:rPr>
      </w:pPr>
    </w:p>
    <w:p>
      <w:pPr>
        <w:ind w:left="60" w:right="299" w:firstLine="324"/>
        <w:spacing w:after="0" w:line="228"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Quarterly Report on Form 10-Q are the property of their respective owners.</w:t>
      </w:r>
    </w:p>
    <w:p>
      <w:pPr>
        <w:spacing w:after="0" w:line="137" w:lineRule="exact"/>
        <w:rPr>
          <w:sz w:val="20"/>
          <w:szCs w:val="20"/>
          <w:color w:val="auto"/>
        </w:rPr>
      </w:pPr>
    </w:p>
    <w:p>
      <w:pPr>
        <w:ind w:left="60" w:right="339" w:firstLine="324"/>
        <w:spacing w:after="0" w:line="24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www.bioxceltherapeutics.com. In addition, you may automatically receive email alerts and other information about the Company when you enroll your email address by visiting the “Email Alerts” option under the News / Events menu of the Investors section of ours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60" w:right="599"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00" w:right="19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rFonts w:ascii="Arial" w:cs="Arial" w:eastAsia="Arial" w:hAnsi="Arial"/>
          <w:sz w:val="18"/>
          <w:szCs w:val="18"/>
          <w:color w:val="auto"/>
        </w:rPr>
      </w:pPr>
    </w:p>
    <w:p>
      <w:pPr>
        <w:ind w:left="700" w:right="71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00" w:right="5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experience in drug discovery and drug development, and we have never had a drug approved.</w:t>
      </w:r>
    </w:p>
    <w:p>
      <w:pPr>
        <w:spacing w:after="0" w:line="248" w:lineRule="exact"/>
        <w:rPr>
          <w:rFonts w:ascii="Arial" w:cs="Arial" w:eastAsia="Arial" w:hAnsi="Arial"/>
          <w:sz w:val="16"/>
          <w:szCs w:val="16"/>
          <w:color w:val="auto"/>
        </w:rPr>
      </w:pPr>
    </w:p>
    <w:p>
      <w:pPr>
        <w:ind w:left="700" w:right="21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6"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3"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00" w:right="3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ind w:left="700" w:right="35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BioXcel LLC’s approach to the discovery and development of product candidates based on EvolverAI is novel and unproven, and we do not know whether we will be able to develop any products of commercial value.</w:t>
      </w:r>
    </w:p>
    <w:p>
      <w:pPr>
        <w:spacing w:after="0" w:line="123" w:lineRule="exact"/>
        <w:rPr>
          <w:rFonts w:ascii="Arial" w:cs="Arial" w:eastAsia="Arial" w:hAnsi="Arial"/>
          <w:sz w:val="16"/>
          <w:szCs w:val="16"/>
          <w:color w:val="auto"/>
        </w:rPr>
      </w:pPr>
    </w:p>
    <w:p>
      <w:pPr>
        <w:ind w:left="700" w:right="259" w:hanging="326"/>
        <w:spacing w:after="0" w:line="25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FDA approval (or clearance, or certification) of a companion diagnostic device, we will not be able to commercialize the product candidate and our ability to generate revenue will be materially impaired.</w:t>
      </w:r>
    </w:p>
    <w:p>
      <w:pPr>
        <w:spacing w:after="0" w:line="187" w:lineRule="exact"/>
        <w:rPr>
          <w:rFonts w:ascii="Arial" w:cs="Arial" w:eastAsia="Arial" w:hAnsi="Arial"/>
          <w:sz w:val="18"/>
          <w:szCs w:val="18"/>
          <w:color w:val="auto"/>
        </w:rPr>
      </w:pPr>
    </w:p>
    <w:p>
      <w:pPr>
        <w:ind w:left="700" w:right="45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3" w:lineRule="exact"/>
        <w:rPr>
          <w:rFonts w:ascii="Arial" w:cs="Arial" w:eastAsia="Arial" w:hAnsi="Arial"/>
          <w:sz w:val="18"/>
          <w:szCs w:val="18"/>
          <w:color w:val="auto"/>
        </w:rPr>
      </w:pPr>
    </w:p>
    <w:p>
      <w:pPr>
        <w:ind w:left="700" w:right="51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59" w:hanging="326"/>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approvals to commercialize BXCL501, BXCL701 or our other product candidates, our product candidates may not be accepted by physicians or the medical community in general.</w:t>
      </w:r>
    </w:p>
    <w:p>
      <w:pPr>
        <w:spacing w:after="0" w:line="123" w:lineRule="exact"/>
        <w:rPr>
          <w:rFonts w:ascii="Arial" w:cs="Arial" w:eastAsia="Arial" w:hAnsi="Arial"/>
          <w:sz w:val="16"/>
          <w:szCs w:val="16"/>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w:t>
      </w:r>
    </w:p>
    <w:p>
      <w:pPr>
        <w:spacing w:after="0" w:line="225" w:lineRule="exact"/>
        <w:rPr>
          <w:rFonts w:ascii="Arial" w:cs="Arial" w:eastAsia="Arial" w:hAnsi="Arial"/>
          <w:sz w:val="18"/>
          <w:szCs w:val="18"/>
          <w:color w:val="auto"/>
        </w:rPr>
      </w:pPr>
    </w:p>
    <w:p>
      <w:pPr>
        <w:ind w:left="700" w:right="299" w:hanging="326"/>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rFonts w:ascii="Arial" w:cs="Arial" w:eastAsia="Arial" w:hAnsi="Arial"/>
          <w:sz w:val="18"/>
          <w:szCs w:val="18"/>
          <w:color w:val="auto"/>
        </w:rPr>
      </w:pPr>
    </w:p>
    <w:p>
      <w:pPr>
        <w:ind w:left="700" w:right="139" w:hanging="32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find third party collaborators to assist or share in the costs of product development could materially harm our business, financial condition and results of operations.</w:t>
      </w:r>
    </w:p>
    <w:p>
      <w:pPr>
        <w:spacing w:after="0" w:line="170" w:lineRule="exact"/>
        <w:rPr>
          <w:rFonts w:ascii="Arial" w:cs="Arial" w:eastAsia="Arial" w:hAnsi="Arial"/>
          <w:sz w:val="18"/>
          <w:szCs w:val="18"/>
          <w:color w:val="auto"/>
        </w:rPr>
      </w:pPr>
    </w:p>
    <w:p>
      <w:pPr>
        <w:ind w:left="700" w:right="199" w:hanging="326"/>
        <w:spacing w:after="0" w:line="263"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BALANCE SHEETS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r>
      <w:tr>
        <w:trPr>
          <w:trHeight w:val="142"/>
        </w:trPr>
        <w:tc>
          <w:tcPr>
            <w:tcW w:w="68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213,119</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r>
      <w:tr>
        <w:trPr>
          <w:trHeight w:val="20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217,065</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6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281,107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219,936</w:t>
            </w: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7,469</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related party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of operating lease liability</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r>
        <w:trPr>
          <w:trHeight w:val="210"/>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13,240</w:t>
            </w:r>
          </w:p>
        </w:tc>
      </w:t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6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$0.001 par value, 100,000 and 50,000 shares authorized as of</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June 30, 2021 and December 31, 2020, respectively; 27,969 and 24,417 shares issued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as of June 30, 2021 and December 31, 2020, respectively</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2"/>
        </w:trPr>
        <w:tc>
          <w:tcPr>
            <w:tcW w:w="6880" w:type="dxa"/>
            <w:vAlign w:val="bottom"/>
          </w:tcPr>
          <w:p>
            <w:pPr>
              <w:ind w:left="220"/>
              <w:spacing w:after="0" w:line="201" w:lineRule="exact"/>
              <w:rPr>
                <w:sz w:val="20"/>
                <w:szCs w:val="20"/>
                <w:color w:val="auto"/>
              </w:rPr>
            </w:pPr>
            <w:r>
              <w:rPr>
                <w:rFonts w:ascii="Arial" w:cs="Arial" w:eastAsia="Arial" w:hAnsi="Arial"/>
                <w:sz w:val="18"/>
                <w:szCs w:val="18"/>
                <w:color w:val="auto"/>
              </w:rPr>
              <w:t>Preferred stock, $0.001 par value, 10,000 shares authorized; no shares issued and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outstanding as of June 30, 2021 and December 31, 2020, respectively</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345,529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(192,852)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(138,857)</w:t>
            </w:r>
          </w:p>
        </w:tc>
      </w:tr>
      <w:tr>
        <w:trPr>
          <w:trHeight w:val="210"/>
        </w:trPr>
        <w:tc>
          <w:tcPr>
            <w:tcW w:w="6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206,696</w:t>
            </w:r>
          </w:p>
        </w:tc>
      </w:tr>
      <w:tr>
        <w:trPr>
          <w:trHeight w:val="209"/>
        </w:trPr>
        <w:tc>
          <w:tcPr>
            <w:tcW w:w="68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281,107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219,936</w:t>
            </w: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(53,995)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Basic and diluted net loss per share attributable to common</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outstanding - basic and 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9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2"/>
                <w:szCs w:val="12"/>
                <w:color w:val="auto"/>
              </w:rPr>
            </w:pPr>
          </w:p>
        </w:tc>
        <w:tc>
          <w:tcPr>
            <w:tcW w:w="8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83,565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02"/>
        </w:trPr>
        <w:tc>
          <w:tcPr>
            <w:tcW w:w="4020" w:type="dxa"/>
            <w:vAlign w:val="bottom"/>
          </w:tcPr>
          <w:p>
            <w:pPr>
              <w:ind w:left="20"/>
              <w:spacing w:after="0" w:line="201" w:lineRule="exact"/>
              <w:rPr>
                <w:sz w:val="20"/>
                <w:szCs w:val="20"/>
                <w:color w:val="auto"/>
              </w:rPr>
            </w:pPr>
            <w:r>
              <w:rPr>
                <w:rFonts w:ascii="Arial" w:cs="Arial" w:eastAsia="Arial" w:hAnsi="Arial"/>
                <w:sz w:val="18"/>
                <w:szCs w:val="18"/>
                <w:color w:val="auto"/>
                <w:w w:val="96"/>
              </w:rPr>
              <w:t>Issuance of common stock, net of issuance costs of</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$4,789</w:t>
            </w:r>
          </w:p>
        </w:tc>
        <w:tc>
          <w:tcPr>
            <w:tcW w:w="78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Purchase and cancellation of shares from BioXcel</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(14,911)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(14,911)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$ 144,165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1,956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(21,419)</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(21,419)</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$ 146,392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17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$ 345,529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(138,857)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206,696</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(26,376)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(26,376)</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$ 351,945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(165,233)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186,737</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6"/>
              </w:rPr>
              <w:t>Issuance of common stock, net of issuance costs of</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$3,542</w:t>
            </w:r>
          </w:p>
        </w:tc>
        <w:tc>
          <w:tcPr>
            <w:tcW w:w="780" w:type="dxa"/>
            <w:vAlign w:val="bottom"/>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101,027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(27,619)</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(27,619)</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$ 460,235</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(192,852)</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267,411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STATEMENTS OF CASH FLOWS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6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(53,995)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(36,330)</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other assets and right of use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16"/>
        </w:trPr>
        <w:tc>
          <w:tcPr>
            <w:tcW w:w="6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Accounts payable, accrued expenses, lease liabilities and other liabilities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w:t>
            </w:r>
          </w:p>
        </w:tc>
      </w:tr>
      <w:tr>
        <w:trPr>
          <w:trHeight w:val="210"/>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(26,977)</w:t>
            </w:r>
          </w:p>
        </w:tc>
      </w:tr>
      <w:tr>
        <w:trPr>
          <w:trHeight w:val="216"/>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Purchases of equipment and leasehold improvements</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68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68,811</w:t>
            </w: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and cancellation of shares from BioXcel LLC</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r>
      <w:tr>
        <w:trPr>
          <w:trHeight w:val="216"/>
        </w:trPr>
        <w:tc>
          <w:tcPr>
            <w:tcW w:w="6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Exercise of stock options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10"/>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60,097</w:t>
            </w:r>
          </w:p>
        </w:tc>
      </w:tr>
      <w:tr>
        <w:trPr>
          <w:trHeight w:val="216"/>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33,069</w:t>
            </w:r>
          </w:p>
        </w:tc>
      </w:tr>
      <w:tr>
        <w:trPr>
          <w:trHeight w:val="21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32,426</w:t>
            </w: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65,495</w:t>
            </w: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299" w:firstLine="324"/>
        <w:spacing w:after="0" w:line="271" w:lineRule="auto"/>
        <w:rPr>
          <w:sz w:val="20"/>
          <w:szCs w:val="20"/>
          <w:color w:val="auto"/>
        </w:rPr>
      </w:pPr>
      <w:r>
        <w:rPr>
          <w:rFonts w:ascii="Arial" w:cs="Arial" w:eastAsia="Arial" w:hAnsi="Arial"/>
          <w:sz w:val="17"/>
          <w:szCs w:val="17"/>
          <w:color w:val="auto"/>
        </w:rPr>
        <w:t>BioXcel Therapeutics, Inc. is a clinical stage biopharmaceutical company focused on drug development that utilizes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78"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used in these financial statements, unless otherwise specified or the context otherwise requires, the terms the “Company” or “BTI” refer to BioXcel Therapeutics, Inc., and “BioXcel LLC” refers to BioXcel LLC and, its predecessor, BioXcel Corporation.</w:t>
      </w:r>
    </w:p>
    <w:p>
      <w:pPr>
        <w:spacing w:after="0" w:line="184"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Company was incorporated under the laws of the State of Delaware on March 29, 2017. The Company’s principal office is in New Haven, Connecticut.</w:t>
      </w:r>
    </w:p>
    <w:p>
      <w:pPr>
        <w:spacing w:after="0" w:line="170"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The Company incurred losses of $27,619 and $21,419 for the three months ended June 30, 2021 and 2020, respectively and $53,995 and $36,330 for the six months ended June 30, 2021 and 2020, respectively. The Company had an accumulated deficit of $192,852 as of June 30, 2021. The Company has funded its operations primarily through the sale of equity securities.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 novel strain of coronavirus, a global pandemic. This pandemic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or the spread of the variants of the disease, may be more difficult to control than currently anticipated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prevalence of variants of the disease, the efficacy and adoption of vaccines, and actions to contain the coronavirus or treat its impact, among others.</w:t>
      </w:r>
    </w:p>
    <w:p>
      <w:pPr>
        <w:spacing w:after="0" w:line="182"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7"/>
          <w:szCs w:val="17"/>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 these effects could have a material, adverse impact on the Company’s liquidity, capital resources, operations and business and those of the third parties on which the Company relies.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179" w:firstLine="500"/>
        <w:spacing w:after="0" w:line="269" w:lineRule="auto"/>
        <w:rPr>
          <w:sz w:val="20"/>
          <w:szCs w:val="20"/>
          <w:color w:val="auto"/>
        </w:rPr>
      </w:pPr>
      <w:r>
        <w:rPr>
          <w:rFonts w:ascii="Arial" w:cs="Arial" w:eastAsia="Arial" w:hAnsi="Arial"/>
          <w:sz w:val="17"/>
          <w:szCs w:val="17"/>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2021, the results of its operations for the three and six months ended June 30, 2021 and 2020 and its cash flows for the six months ended June 30, 2021 and 2020, respectively. The results for the three and six months ended June 30, 2021 are not necessarily indicative of results to be expected for the year ending December 31, 2021, any other interim periods or any future year or period. The accompanying unaudited financial statements of the Company should be read in conjunction with the audited financial statements and notes as of and for the year ended December 31, 2020 included in the Company’s Annual Report on Form 10-K for the fiscal year ended December 31, 2020 filed with the Securities and Exchange Commission (the “SEC”) on March 12, 2021.</w:t>
      </w:r>
    </w:p>
    <w:p>
      <w:pPr>
        <w:spacing w:after="0" w:line="179" w:lineRule="exact"/>
        <w:rPr>
          <w:sz w:val="20"/>
          <w:szCs w:val="20"/>
          <w:color w:val="auto"/>
        </w:rPr>
      </w:pPr>
    </w:p>
    <w:p>
      <w:pPr>
        <w:ind w:left="60" w:right="139" w:firstLine="500"/>
        <w:spacing w:after="0" w:line="25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amounts reported in the financial statements and notes thereto. The Company believes that its existing cash and cash equivalents will be sufficient to cover its cash flow requirements for at least the next twelve months from the issuance of these financial statements. However, the Company’s future requirements may change and will depend on numerous factors.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The preparation of our financial statements requires us to make estimates, judgments and assumptions that may affect the reported amounts of assets, liabilities, equity and expenses. We base our estimates on historical experience and on various other assumptions that we believe are reasonable, the results of which form the basis for making judgments about the carrying values of assets, liabilities and equity and the amount of expenses.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June 30, 2021 and December 31, 2020, cash equivalents were comprised primarily of U.S. government money market funds. Cash and cash equivalents held at financial institutions may at times exceed federally insured amounts. We believe we mitigate such risk by investing in or through major financial institutions.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pacing w:after="0" w:line="17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Equipment</w:t>
            </w:r>
          </w:p>
        </w:tc>
        <w:tc>
          <w:tcPr>
            <w:tcW w:w="40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Furniture</w:t>
            </w:r>
          </w:p>
        </w:tc>
        <w:tc>
          <w:tcPr>
            <w:tcW w:w="40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jc w:val="both"/>
        <w:ind w:left="60" w:right="459" w:firstLine="324"/>
        <w:spacing w:after="0" w:line="311" w:lineRule="auto"/>
        <w:rPr>
          <w:sz w:val="20"/>
          <w:szCs w:val="20"/>
          <w:color w:val="auto"/>
        </w:rPr>
      </w:pPr>
      <w:r>
        <w:rPr>
          <w:rFonts w:ascii="Arial" w:cs="Arial" w:eastAsia="Arial" w:hAnsi="Arial"/>
          <w:sz w:val="16"/>
          <w:szCs w:val="16"/>
          <w:color w:val="auto"/>
        </w:rPr>
        <w:t>Expenditures for maintenance and repairs which do not improve or extend the useful lives of respective assets are expensed as incurred. When assets are sold or retired, the related cost and accumulated depreciation are removed from their respective accounts and any resulting gain or loss is included in income (loss) from operations.</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 xml:space="preserve">The Company follows the guidance provided by the Financial Accounting Standards Board (“FASB”) ASC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319" w:firstLine="324"/>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other current liabilities, and the long-term portion of operating lease liabilities in our balance sheet.</w:t>
      </w:r>
    </w:p>
    <w:p>
      <w:pPr>
        <w:spacing w:after="0" w:line="124"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all share-based awards made to employees, directors, and non-employees, including stock options. The Company’s 2017 Equity Incentive Plan (the “2017 Plan”) became effective in August 2017. The Company’s 2020 Incentive Award Plan (the “2020 Plan”) became effective in May 2020. Following the effective date of the Company's 2020 Plan, the Company ceased granting awards under the 2017 Plan, however the terms and conditions of the 2017 Plan continue to govern any outstanding awards granted thereunder.</w:t>
      </w:r>
    </w:p>
    <w:p>
      <w:pPr>
        <w:spacing w:after="0" w:line="17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awards, granted prior to the Company’s IPO in March 2018. Stock awards granted by the Company subsequent to the IPO are valued using market prices at the date of grant.</w:t>
      </w:r>
    </w:p>
    <w:p>
      <w:pPr>
        <w:spacing w:after="0" w:line="188"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projected employee stock option exercise behaviors. The value of the award is recognized as an expense in the statement of operations over the requisite service period. The Company has elected to account for forfeitures as they occur, by reversing compensation cost when the award is forfeited.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Depending on the timing of payments to the service providers and the progress that the Company estimates has been made as a result of the service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provided, the Company may record net prepaid or accrued expense relating to these costs. Such estimates are subject to change as additional information becomes available. The Company expenses research and development costs as incurred.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Accrued Under Contractual Arrangements</w:t>
      </w:r>
    </w:p>
    <w:p>
      <w:pPr>
        <w:spacing w:after="0" w:line="229" w:lineRule="exact"/>
        <w:rPr>
          <w:sz w:val="20"/>
          <w:szCs w:val="20"/>
          <w:color w:val="auto"/>
        </w:rPr>
      </w:pPr>
    </w:p>
    <w:p>
      <w:pPr>
        <w:ind w:left="60" w:right="259" w:firstLine="324"/>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66"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Company applies the provisions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68"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4"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w:t>
      </w:r>
    </w:p>
    <w:p>
      <w:pPr>
        <w:spacing w:after="0" w:line="170"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As of June 30, 2021 and December 31, 2020, the Company had $271,845 and $212,562, respectively, in U.S. government money market accounts (included in cash and cash equivalents) which was valued based on Level 1 inputs. There were no transfers between levels within the hierarchy during the six months ended June 30, 2021 and the year ended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Basic earnings (loss) per share (“EPS”) is calculated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w:t>
      </w:r>
      <w:r>
        <w:rPr>
          <w:rFonts w:ascii="Arial" w:cs="Arial" w:eastAsia="Arial" w:hAnsi="Arial"/>
          <w:sz w:val="18"/>
          <w:szCs w:val="18"/>
          <w:color w:val="auto"/>
        </w:rPr>
        <w:t xml:space="preserve"> which amends the existing guidance relating to the 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is effective for interim and annual periods beginning after December 15, 2020. The Company adopted ASU No. 2019-12 effective January 1, 2021. The adoption of ASU No. 2019-12 did not have a material impact on the Company’s financial statements.</w:t>
      </w:r>
    </w:p>
    <w:p>
      <w:pPr>
        <w:spacing w:after="0" w:line="19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w:t>
      </w:r>
      <w:r>
        <w:rPr>
          <w:rFonts w:ascii="Arial" w:cs="Arial" w:eastAsia="Arial" w:hAnsi="Arial"/>
          <w:sz w:val="18"/>
          <w:szCs w:val="18"/>
          <w:color w:val="auto"/>
        </w:rPr>
        <w:t>. We adopted this standard effective January 1, 2020. ASU No. 2018-15 requires that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for cloud computing arrangements are capitalized and amortized over the term of associated hosted cloud computing arrangement service and that capitalized implementation costs are classified in prepaid expenses and other assets. ASO No. 2018-15 also provides classification guidance on these implementation costs as well as additional quantitative and qualitative disclosures. The adoption of ASU No. 2018-15 did not have an effect on the Company’s financial statements.</w:t>
      </w:r>
    </w:p>
    <w:p>
      <w:pPr>
        <w:spacing w:after="0" w:line="192" w:lineRule="exact"/>
        <w:rPr>
          <w:sz w:val="20"/>
          <w:szCs w:val="20"/>
          <w:color w:val="auto"/>
        </w:rPr>
      </w:pPr>
    </w:p>
    <w:p>
      <w:pPr>
        <w:jc w:val="both"/>
        <w:ind w:left="60" w:right="219" w:firstLine="324"/>
        <w:spacing w:after="0" w:line="31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and subsequent amendments to the initial guidance: ASU 2018-19, ASU 2019-04 and ASU 2019-05 (collectively, “Topic 326”). </w:t>
      </w:r>
      <w:r>
        <w:rPr>
          <w:rFonts w:ascii="Arial" w:cs="Arial" w:eastAsia="Arial" w:hAnsi="Arial"/>
          <w:sz w:val="16"/>
          <w:szCs w:val="16"/>
          <w:color w:val="auto"/>
        </w:rPr>
        <w:t>Topic 326 requires measurement and recognition of expected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 xml:space="preserve">credit losses for financial assets held. Topic 326 was to be effective for reporting periods beginning after December 15, 2019, with early adoption permitted. In November 2019, the FASB issued ASU 2019-10,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Derivatives and Hedging (Topic 815), and Leases (Topic 842) Effective Dates</w:t>
      </w:r>
      <w:r>
        <w:rPr>
          <w:rFonts w:ascii="Arial" w:cs="Arial" w:eastAsia="Arial" w:hAnsi="Arial"/>
          <w:sz w:val="18"/>
          <w:szCs w:val="18"/>
          <w:color w:val="auto"/>
        </w:rPr>
        <w:t>, which deferred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dates for the Company, until fiscal year 2023. The Company does not expect that the adoption of ASU No. 2016-13 will have a material impact on its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Financing Activities</w:t>
      </w:r>
    </w:p>
    <w:p>
      <w:pPr>
        <w:spacing w:after="0" w:line="22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$96,971, net of issuance costs of $3,042.</w:t>
      </w:r>
    </w:p>
    <w:p>
      <w:pPr>
        <w:spacing w:after="0" w:line="146"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May 2021, the Company entered into an Open Market Sale Agreement (the “Sale Agreement”) with Jefferies LLC (“Jeffries”) pursuant to which the Company could offer and sell shares of its common stock, par value $0.001 per share (the “Common Stock”), having an aggregate offering price of up to $100,000 (the “Shares”), from time to time, through an “at the market offering” program under which Jefferies will act as sale agent. The Company sold 124 shares under the Sale Agreement in June 2021. As of June 30, 2021, the Company received proceeds of $4,056, net of issuance costs of $500.</w:t>
      </w:r>
    </w:p>
    <w:p>
      <w:pPr>
        <w:spacing w:after="0" w:line="192" w:lineRule="exact"/>
        <w:rPr>
          <w:sz w:val="20"/>
          <w:szCs w:val="20"/>
          <w:color w:val="auto"/>
        </w:rPr>
      </w:pPr>
    </w:p>
    <w:p>
      <w:pPr>
        <w:jc w:val="both"/>
        <w:ind w:left="60" w:right="439" w:firstLine="324"/>
        <w:spacing w:after="0" w:line="311" w:lineRule="auto"/>
        <w:rPr>
          <w:sz w:val="20"/>
          <w:szCs w:val="20"/>
          <w:color w:val="auto"/>
        </w:rPr>
      </w:pPr>
      <w:r>
        <w:rPr>
          <w:rFonts w:ascii="Arial" w:cs="Arial" w:eastAsia="Arial" w:hAnsi="Arial"/>
          <w:sz w:val="16"/>
          <w:szCs w:val="16"/>
          <w:color w:val="auto"/>
        </w:rPr>
        <w:t>In February 2020, the Company sold in a registered offering 2,300 shares of its common stock at a public offering price of $32.00 per share. The Company received proceeds of $68,811, net of issuance costs of $4,789. The Company used $9,024 of the proceeds to purchase and cancel 300 shares of common stock from BioXcel LLC.</w:t>
      </w:r>
    </w:p>
    <w:p>
      <w:pPr>
        <w:spacing w:after="0" w:line="149"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In July 2020, the Company sold in a registered offering 4,000 shares of its common stock at a public offering price of $50.00. The Company received proceeds of approximately $186,974, net of issuance costs of $13,026. Under the terms of the Underwriting Agreement entered into by the Company in connection with the July 2020 offering, certain stockholders of the Company granted the underwriters an option exercisable for thirty days to purchase up to an additional 600 shares of common stock at the public offering price less underwriting discounts and commissions, which was not exercised. The Company intends to use the net proceeds of the offering to fund ongoing clinical trials, commercialization preparation and for general corporate purposes.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 LLC</w:t>
      </w:r>
    </w:p>
    <w:p>
      <w:pPr>
        <w:spacing w:after="0" w:line="229"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The Company entered into a Separation and Shared Services Agreement with BioXcel LLC that took effect on June 30, 2017, as amended and restated, (the “Services Agreement”), pursuant to which services provided by BioXcel LLC through its subsidiaries in India and the United States will continue indefinitely, as agreed upon by the parties. These services are primarily for drug discovery, chemical, manufacturing and controls cost, and administrative support.</w:t>
      </w:r>
    </w:p>
    <w:p>
      <w:pPr>
        <w:spacing w:after="0" w:line="15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Service charges recorded under this agreement for the three and six months ended June 30, 2021 and 2020 were comprised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4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20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96"/>
        </w:trPr>
        <w:tc>
          <w:tcPr>
            <w:tcW w:w="37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196"/>
        </w:trPr>
        <w:tc>
          <w:tcPr>
            <w:tcW w:w="3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0"/>
        </w:trPr>
        <w:tc>
          <w:tcPr>
            <w:tcW w:w="3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As of June 30, 2021, $106 related to these service charges is included in due to related parties in the Company’s balance sheet.</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Under the Services Agreement, the Company has an option, exercisable until March 12, 2023, to enter into a collaborative services agreement with BioXcel LLC pursuant to which BioXcel LLC shall perform product identification and related services for us utilizing EvolverAI. As of June 30, 2021, this option has not been exercised.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Basic earnings (loss) per share (“EPS”) is calculated in accordance with ASC 260, “Earnings Per Share,”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6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5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(27,619)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(53,995)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(36,330)</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 in thousands (denominator)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19,619</w:t>
            </w: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308" w:lineRule="auto"/>
        <w:rPr>
          <w:sz w:val="20"/>
          <w:szCs w:val="20"/>
          <w:color w:val="auto"/>
        </w:rPr>
      </w:pPr>
      <w:r>
        <w:rPr>
          <w:rFonts w:ascii="Arial" w:cs="Arial" w:eastAsia="Arial" w:hAnsi="Arial"/>
          <w:sz w:val="17"/>
          <w:szCs w:val="17"/>
          <w:color w:val="auto"/>
        </w:rPr>
        <w:t>Potentially dilutive securities outstanding consists solely of stock options. The Company had options outstanding to purchase 4,041 and 3,731 shares of common stock as of June 30, 2021 and 2020,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related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Furniture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10"/>
        </w:trPr>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10"/>
        </w:trPr>
        <w:tc>
          <w:tcPr>
            <w:tcW w:w="6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Depreciation expense was $80 and $47 for the three months ended June 30, 2021 and 2020, respectively, and $144 and $95 for the six months ended June 30,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December 31, 2020</w:t>
            </w:r>
          </w:p>
        </w:tc>
      </w:tr>
      <w:tr>
        <w:trPr>
          <w:trHeight w:val="142"/>
        </w:trPr>
        <w:tc>
          <w:tcPr>
            <w:tcW w:w="5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0"/>
        </w:trPr>
        <w:tc>
          <w:tcPr>
            <w:tcW w:w="57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Other current liabilities as of June 30, 2021 and December 31, 2020 consists of $281 and $237, respectively, for the current portion of operating lease liabilities.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Stock-Based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7"/>
          <w:szCs w:val="17"/>
          <w:color w:val="auto"/>
        </w:rPr>
        <w:t>The Company’s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Incentive Award Plan</w:t>
      </w:r>
    </w:p>
    <w:p>
      <w:pPr>
        <w:spacing w:after="0" w:line="229"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The Company’s 2020 Plan was approved and became effective at the Company’s 2020 annual meeting of Shareholders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immediately prior to the approval of the 2020 Plan by the Company’s shareholders. Any shares of Common Stock under the 2017 Plan immediately prior to the approval of the 2020 Plan by the Company’s stockholders, that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is determined by the Board of Directors. On January 1, 2021, the shares available for issuance under the 2020 Plan increased by 977 shares.</w:t>
      </w:r>
    </w:p>
    <w:p>
      <w:pPr>
        <w:spacing w:after="0" w:line="184"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Options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there were 619 shares available to be granted under the 2020 Plan.</w:t>
      </w:r>
    </w:p>
    <w:p>
      <w:pPr>
        <w:spacing w:after="0" w:line="225" w:lineRule="exact"/>
        <w:rPr>
          <w:sz w:val="20"/>
          <w:szCs w:val="20"/>
          <w:color w:val="auto"/>
        </w:rPr>
      </w:pPr>
    </w:p>
    <w:p>
      <w:pPr>
        <w:jc w:val="both"/>
        <w:ind w:left="60" w:right="27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six months ended June 30, 2021 is presented below (in thousands, except per share amounts):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6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57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6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Exercise</w:t>
            </w:r>
          </w:p>
        </w:tc>
      </w:tr>
      <w:tr>
        <w:trPr>
          <w:trHeight w:val="171"/>
        </w:trPr>
        <w:tc>
          <w:tcPr>
            <w:tcW w:w="57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162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Price per Share</w:t>
            </w:r>
          </w:p>
        </w:tc>
      </w:tr>
      <w:tr>
        <w:trPr>
          <w:trHeight w:val="209"/>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41.88</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r>
      <w:tr>
        <w:trPr>
          <w:trHeight w:val="196"/>
        </w:trPr>
        <w:tc>
          <w:tcPr>
            <w:tcW w:w="5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Options vested and exercisable as of June 30, 2021</w:t>
            </w:r>
          </w:p>
        </w:tc>
        <w:tc>
          <w:tcPr>
            <w:tcW w:w="940" w:type="dxa"/>
            <w:vAlign w:val="bottom"/>
          </w:tcPr>
          <w:p>
            <w:pPr>
              <w:jc w:val="right"/>
              <w:spacing w:after="0"/>
              <w:rPr>
                <w:sz w:val="20"/>
                <w:szCs w:val="20"/>
                <w:color w:val="auto"/>
              </w:rPr>
            </w:pPr>
            <w:r>
              <w:rPr>
                <w:rFonts w:ascii="Arial" w:cs="Arial" w:eastAsia="Arial" w:hAnsi="Arial"/>
                <w:sz w:val="18"/>
                <w:szCs w:val="18"/>
                <w:color w:val="auto"/>
              </w:rPr>
              <w:t>2,489</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7.93</w:t>
            </w:r>
          </w:p>
        </w:tc>
      </w:tr>
    </w:tbl>
    <w:p>
      <w:pPr>
        <w:spacing w:after="0" w:line="187"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As of June 30, 2021, the intrinsic value of options outstanding was $62,578. The intrinsic value for stock options is calculated based on the difference between the exercise prices of the underlying awards and the quoted stock price of the Company’s common stock as of the reporting date.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total intrinsic value of stock options exercised for the six months ended June 30, 2021 and 2020 was $11,727 and $8,661, respectively.</w:t>
      </w:r>
    </w:p>
    <w:p>
      <w:pPr>
        <w:spacing w:after="0" w:line="170"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six months ended June 30, 2021 and 2020 was $32.30 and $31.47,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June 30, 2021 was $5.87.</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remaining contractual life is 6.7 years for options exercisable as of June 30,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fair value of options granted during the six months ended June 30, 2021 and 2020 was estimated using the Black-Scholes option-pricing model with the following assumptions.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For the</w:t>
            </w:r>
          </w:p>
        </w:tc>
        <w:tc>
          <w:tcPr>
            <w:tcW w:w="660" w:type="dxa"/>
            <w:vAlign w:val="bottom"/>
          </w:tcPr>
          <w:p>
            <w:pPr>
              <w:spacing w:after="0"/>
              <w:rPr>
                <w:sz w:val="14"/>
                <w:szCs w:val="14"/>
                <w:color w:val="auto"/>
              </w:rPr>
            </w:pPr>
          </w:p>
        </w:tc>
        <w:tc>
          <w:tcPr>
            <w:tcW w:w="120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6"/>
              </w:rPr>
              <w:t>For the</w:t>
            </w:r>
          </w:p>
        </w:tc>
      </w:tr>
      <w:tr>
        <w:trPr>
          <w:trHeight w:val="148"/>
        </w:trPr>
        <w:tc>
          <w:tcPr>
            <w:tcW w:w="5060" w:type="dxa"/>
            <w:vAlign w:val="bottom"/>
          </w:tcPr>
          <w:p>
            <w:pPr>
              <w:spacing w:after="0"/>
              <w:rPr>
                <w:sz w:val="12"/>
                <w:szCs w:val="12"/>
                <w:color w:val="auto"/>
              </w:rPr>
            </w:pPr>
          </w:p>
        </w:tc>
        <w:tc>
          <w:tcPr>
            <w:tcW w:w="19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060" w:type="dxa"/>
            <w:vAlign w:val="bottom"/>
          </w:tcPr>
          <w:p>
            <w:pPr>
              <w:spacing w:after="0"/>
              <w:rPr>
                <w:sz w:val="14"/>
                <w:szCs w:val="14"/>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 2021</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 2020</w:t>
            </w: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0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4"/>
              </w:rPr>
              <w:t>5.50 years -</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6.25 years</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4"/>
              </w:rPr>
              <w:t>5.50 years -</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6.25 years</w:t>
            </w: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0"/>
              </w:rPr>
              <w:t>95.00 %</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- 98.00 %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0"/>
              </w:rPr>
              <w:t>79.02 %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- 85.78 %</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36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1.22 %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36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2.34 %</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660" w:type="dxa"/>
            <w:vAlign w:val="bottom"/>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jc w:val="center"/>
              <w:ind w:left="9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Prior to the Company’s IPO, it did not have a history of market prices of its common stock and, as such, volatility was estimated using historical volatilities of similar public companies. In 2021, the Company began using a combination of the historical volatility of similar public companies and the limited historical information related to the Company’s common stock.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5" w:lineRule="exact"/>
        <w:rPr>
          <w:sz w:val="20"/>
          <w:szCs w:val="20"/>
          <w:color w:val="auto"/>
        </w:rPr>
      </w:pPr>
    </w:p>
    <w:p>
      <w:pPr>
        <w:ind w:left="60" w:right="379" w:firstLine="324"/>
        <w:spacing w:after="0" w:line="263" w:lineRule="auto"/>
        <w:rPr>
          <w:sz w:val="20"/>
          <w:szCs w:val="20"/>
          <w:color w:val="auto"/>
        </w:rPr>
      </w:pPr>
      <w:r>
        <w:rPr>
          <w:rFonts w:ascii="Arial" w:cs="Arial" w:eastAsia="Arial" w:hAnsi="Arial"/>
          <w:sz w:val="18"/>
          <w:szCs w:val="18"/>
          <w:color w:val="auto"/>
        </w:rPr>
        <w:t>Unrecognized compensation expense related to unvested awards as of June 30, 2021 was $29,674 and will be recognized over the remaining vesting periods of the underlying awards. The weighted-average period over which such compensation is expected to be recognized is 1.8 years.</w:t>
      </w:r>
    </w:p>
    <w:p>
      <w:pPr>
        <w:spacing w:after="0" w:line="184"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Total stock-based compensation charges for the three months and six months ended June 30, 2021 and 2020 were comprised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1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39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196"/>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1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r>
      <w:tr>
        <w:trPr>
          <w:trHeight w:val="21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Shareholders on May 20, 2020. The ESPP is designed to assist eligible employees of the Company with the opportunity to purchase the Company’s common stock at a discount through accumulated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On January 1, 2021, the shares available for issuance under the 2020 ESPP increased by 244 shares. To date, no shares have been sold under the ESPP.</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02" w:lineRule="exact"/>
        <w:rPr>
          <w:sz w:val="20"/>
          <w:szCs w:val="20"/>
          <w:color w:val="auto"/>
        </w:rPr>
      </w:pPr>
    </w:p>
    <w:p>
      <w:pPr>
        <w:jc w:val="both"/>
        <w:ind w:left="60" w:right="339" w:firstLine="324"/>
        <w:spacing w:after="0" w:line="230" w:lineRule="auto"/>
        <w:rPr>
          <w:sz w:val="20"/>
          <w:szCs w:val="20"/>
          <w:color w:val="auto"/>
        </w:rPr>
      </w:pPr>
      <w:r>
        <w:rPr>
          <w:rFonts w:ascii="Arial" w:cs="Arial" w:eastAsia="Arial" w:hAnsi="Arial"/>
          <w:sz w:val="18"/>
          <w:szCs w:val="18"/>
          <w:color w:val="auto"/>
        </w:rPr>
        <w:t>In August 2018, the Company entered into an agreement to lease approximately 11,040 square feet of space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the building located at 555 Long Wharf Drive, New Haven, Connecticut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which was effective February 22, 2019.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Lease expires in February 2026.</w:t>
      </w:r>
    </w:p>
    <w:p>
      <w:pPr>
        <w:spacing w:after="0" w:line="83" w:lineRule="exact"/>
        <w:rPr>
          <w:sz w:val="20"/>
          <w:szCs w:val="20"/>
          <w:color w:val="auto"/>
        </w:rPr>
      </w:pPr>
    </w:p>
    <w:p>
      <w:pPr>
        <w:ind w:left="60" w:right="459" w:firstLine="324"/>
        <w:spacing w:after="0" w:line="237" w:lineRule="auto"/>
        <w:rPr>
          <w:sz w:val="20"/>
          <w:szCs w:val="20"/>
          <w:color w:val="auto"/>
        </w:rPr>
      </w:pPr>
      <w:r>
        <w:rPr>
          <w:rFonts w:ascii="Arial" w:cs="Arial" w:eastAsia="Arial" w:hAnsi="Arial"/>
          <w:sz w:val="16"/>
          <w:szCs w:val="16"/>
          <w:color w:val="auto"/>
        </w:rPr>
        <w:t>In August 2020, the Company entered into an amendment to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wherein the Company leased an additional 7,245 square feet of space on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of the building located at 555 Long Wharf Drive, New Haven, Connecticut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The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Lease Amendment expires in February 2026.</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future minimum annual lease payments under these operating leases as of June 30, 2021 are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lease liability</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operating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$281 as of June 30, 2021 is included in other current liabilities on the balance sheet.</w:t>
      </w:r>
    </w:p>
    <w:p>
      <w:pPr>
        <w:spacing w:after="0" w:line="130"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The Company recorded lease expense of $85 and $54 related to its operating lease right-of-use asset for the three months ended June 30, 2021 and 2020, respectively. The Company recorded lease expense of $194 and $108 related to its operating lease right-of-use asset for the six months ended June 30, 2021 and 2020, respectively.</w:t>
      </w:r>
    </w:p>
    <w:p>
      <w:pPr>
        <w:spacing w:after="0" w:line="12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Company has an option to renew the leases for one additional five-year term at 95% of the then-prevailing market rates but not less than the rental rate at the end of the initial lease term.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left="60" w:right="499" w:firstLine="324"/>
        <w:spacing w:after="0" w:line="311"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The Company has received a demand letter pursuant to Section 220 of the Delaware General Corporation Law (“DGCL”) from a stockholder seeking disclosure of certain of the Company's records. The Company has responded to those demands, stating its belief that the demand letter fails to fully comply with the requirements of Section 220 of the DGCL. On June 15, 2021, the stockholder filed a complaint in Delaware Chancery Court seeking to compel inspection of books and records pursuant to Section 220 of the DGCL. On July 19, 2021, the parties entered into a settlement agreement to resolve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60" w:right="239" w:firstLine="324"/>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elsewhere in this Quarterly Report on Form 10-Q and the audited financial statements and related notes contained in our Annual Report on Form 10-K for the year ended December 31, 2020.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“Summary Risk Factors” and “Risk Factors” sections of this Quarterly Report, our actual results could differ materially from the results described in, or implied by, the forward-looking statements contained in the following discussion and analysis. All dollar amounts in the below Management’s Discussion and Analysis of Financial Condition and Results of Operations are presented in U.S. dollars, and all dollar amounts are presented in thousands, unless otherwise noted or the context otherwise provides.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We are a clinical stage biopharmaceutical company utilizing artificial intelligence approaches to develop transformative medicines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a substantial unmet medical need.</w:t>
      </w:r>
    </w:p>
    <w:p>
      <w:pPr>
        <w:spacing w:after="0" w:line="176"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Our two most advanced clinical development programs are BXCL501, an investigational proprietary, orally dissolving, thin film formulation of the adrenergic receptor agonist dexmedetomidine (“Dex”), for the treatment of agitation resulting from neuropsychiatric disorders, and BXCL701, an investigational orally administered systemic innate immune activator for the treatment of a rare form of prostate cancer and advanced solid tumors that are refractory or treatment naïve to checkpoint inhibitors.</w:t>
      </w:r>
    </w:p>
    <w:p>
      <w:pPr>
        <w:spacing w:after="0" w:line="188" w:lineRule="exact"/>
        <w:rPr>
          <w:sz w:val="20"/>
          <w:szCs w:val="20"/>
          <w:color w:val="auto"/>
        </w:rPr>
      </w:pPr>
    </w:p>
    <w:p>
      <w:pPr>
        <w:ind w:left="60" w:right="259" w:firstLine="324"/>
        <w:spacing w:after="0" w:line="273" w:lineRule="auto"/>
        <w:rPr>
          <w:sz w:val="20"/>
          <w:szCs w:val="20"/>
          <w:color w:val="auto"/>
        </w:rPr>
      </w:pPr>
      <w:r>
        <w:rPr>
          <w:rFonts w:ascii="Arial" w:cs="Arial" w:eastAsia="Arial" w:hAnsi="Arial"/>
          <w:sz w:val="17"/>
          <w:szCs w:val="17"/>
          <w:color w:val="auto"/>
        </w:rPr>
        <w:t>During the first quarter of 2020 and continuing through June 30, 2021, the novel coronavirus disease, or COVID-19, was declared a pandemic and spread to multiple regions across the globe, including the United States and Europe. The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78"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Throughout 2020 and continuing in 2021,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first quarter of 2021, and in line with State of Connecticut guidelines, we opened our office on a voluntary basis up to full capacity. In May 2021 the State of Connecticut lifted all business and office restrictions in the State. We have instituted a return to the office policy and will continue to evaluate that policy over the next several months.</w:t>
      </w:r>
    </w:p>
    <w:p>
      <w:pPr>
        <w:spacing w:after="0" w:line="178" w:lineRule="exact"/>
        <w:rPr>
          <w:sz w:val="20"/>
          <w:szCs w:val="20"/>
          <w:color w:val="auto"/>
        </w:rPr>
      </w:pPr>
    </w:p>
    <w:p>
      <w:pPr>
        <w:ind w:left="60" w:right="299" w:firstLine="324"/>
        <w:spacing w:after="0" w:line="279" w:lineRule="auto"/>
        <w:rPr>
          <w:sz w:val="20"/>
          <w:szCs w:val="20"/>
          <w:color w:val="auto"/>
        </w:rPr>
      </w:pPr>
      <w:r>
        <w:rPr>
          <w:rFonts w:ascii="Arial" w:cs="Arial" w:eastAsia="Arial" w:hAnsi="Arial"/>
          <w:sz w:val="17"/>
          <w:szCs w:val="17"/>
          <w:color w:val="auto"/>
        </w:rPr>
        <w:t>We continue to work closely with our clinical sites to monitor the potential impact of the evolving COVID-19 pandemic and the spread of its variants. We remain committed to our clinical programs and development plans. Through June 30, 2021, we have not experienced any significant delays to our ongoing or planned clinical trials, except for challenges in accessing elderly care facilities and ICU settings; however, this could rapidly 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Clinical Programs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status of our clinical development programs as of the date of this Quarterly Report 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5715</wp:posOffset>
            </wp:positionV>
            <wp:extent cx="5340350" cy="3111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03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BXCL501 is an investigational, proprietary, orally dissolving, thin film formulation of Dex, a selective alpha-2a receptor agonist, targeting symptoms from stress-related behaviors such as agitation and opioid withdrawal symptoms. BXCL501 is our most advanced neuroscience clinical program, currently being developed for the acute treatment of agitation related to schizophrenia, bipolar disorders, dementia, and delirium, as well as for the treatment of symptoms associated with opioid withdrawal. 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which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SERENITY I and SERENITY II</w:t>
      </w:r>
    </w:p>
    <w:p>
      <w:pPr>
        <w:spacing w:after="0" w:line="225"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In 2020, we announced topline results from the SERENITY I and II pivotal trials, which showed that treatment with BXCL501 was well-tolerated and resulted in clinically meaningful reductions in agitation in schizophrenia and bipolar disorder I and II patients. The FDA subsequently agreed to a rolling review of our NDA, allowing us to submit completed sections of the application early. In May 2021, we announced that the FDA had notified us that our NDA submission was accepted for filing. The FDA assigned a Prescription Drug User Fee Act (“PDUFA”) date of January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5, 2022. We also have plans underway for a Marketing Authorization Application (“MAA”) with the European Medicines Agency (“EMA”) for BXCL501 for the acute treatment of agitation associated with schizophrenia and bipolar disorders I &amp; II in the second half of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TRANQUILITY</w:t>
      </w:r>
    </w:p>
    <w:p>
      <w:pPr>
        <w:spacing w:after="0" w:line="225" w:lineRule="exact"/>
        <w:rPr>
          <w:sz w:val="20"/>
          <w:szCs w:val="20"/>
          <w:color w:val="auto"/>
        </w:rPr>
      </w:pPr>
    </w:p>
    <w:p>
      <w:pPr>
        <w:jc w:val="both"/>
        <w:ind w:left="60" w:right="239" w:firstLine="324"/>
        <w:spacing w:after="0" w:line="257" w:lineRule="auto"/>
        <w:rPr>
          <w:sz w:val="20"/>
          <w:szCs w:val="20"/>
          <w:color w:val="auto"/>
        </w:rPr>
      </w:pPr>
      <w:r>
        <w:rPr>
          <w:rFonts w:ascii="Arial" w:cs="Arial" w:eastAsia="Arial" w:hAnsi="Arial"/>
          <w:sz w:val="18"/>
          <w:szCs w:val="18"/>
          <w:color w:val="auto"/>
        </w:rPr>
        <w:t>In January 2021, we announced topline results from the TRANQUILITY trial, a phase 1b/2 randomized, placebo-controlled, adaptive ascending dose-finding study that enrolled 54 patients with agitation related to dementia. Patients received BXCL501 at either 30mcg (n=16), 60mcg (n=20), 90mcg (n=4) or placebo (n=14). Overall, BXCL501 was well tolerated and demonstrated statistically significant, clinically meaningful, rapid, and durable reductions in agitation with the 60 mcg dose as measured by multiple scales.</w:t>
      </w:r>
    </w:p>
    <w:p>
      <w:pPr>
        <w:spacing w:after="0" w:line="188" w:lineRule="exact"/>
        <w:rPr>
          <w:sz w:val="20"/>
          <w:szCs w:val="20"/>
          <w:color w:val="auto"/>
        </w:rPr>
      </w:pPr>
    </w:p>
    <w:p>
      <w:pPr>
        <w:jc w:val="both"/>
        <w:ind w:left="60" w:right="239" w:firstLine="324"/>
        <w:spacing w:after="0" w:line="293" w:lineRule="auto"/>
        <w:rPr>
          <w:sz w:val="20"/>
          <w:szCs w:val="20"/>
          <w:color w:val="auto"/>
        </w:rPr>
      </w:pPr>
      <w:r>
        <w:rPr>
          <w:rFonts w:ascii="Arial" w:cs="Arial" w:eastAsia="Arial" w:hAnsi="Arial"/>
          <w:sz w:val="16"/>
          <w:szCs w:val="16"/>
          <w:color w:val="auto"/>
        </w:rPr>
        <w:t>The trial’s primary objective was to evaluate safety and tolerability. During the study, BXCL501 was well-tolerated and no severe or serious adverse events were reported. The most common adverse event was somnolence characterized as either mild (55% for 60 mcg, 56.3% for 30 mcg and 7.1% for placebo) or moderate (5% for 60 mcg and 0% for both 30 mcg and placebo), followed by hypotension (10%, 0%, 0%), orthostatic hypotension (5%, 6.3%, 0%) and dizziness (5%, 6.3% and 0%). There were no reported cases of syncope or falls in any of the patients studied. Higher exposure levels of BXCL501 were observed in this elderly patient population compared to earlier trials.</w:t>
      </w:r>
    </w:p>
    <w:p>
      <w:pPr>
        <w:spacing w:after="0" w:line="164" w:lineRule="exact"/>
        <w:rPr>
          <w:sz w:val="20"/>
          <w:szCs w:val="20"/>
          <w:color w:val="auto"/>
        </w:rPr>
      </w:pPr>
    </w:p>
    <w:p>
      <w:pPr>
        <w:jc w:val="both"/>
        <w:ind w:left="60" w:right="239" w:firstLine="324"/>
        <w:spacing w:after="0" w:line="254" w:lineRule="auto"/>
        <w:rPr>
          <w:sz w:val="20"/>
          <w:szCs w:val="20"/>
          <w:color w:val="auto"/>
        </w:rPr>
      </w:pPr>
      <w:r>
        <w:rPr>
          <w:rFonts w:ascii="Arial" w:cs="Arial" w:eastAsia="Arial" w:hAnsi="Arial"/>
          <w:sz w:val="18"/>
          <w:szCs w:val="18"/>
          <w:color w:val="auto"/>
        </w:rPr>
        <w:t>The trial met its secondary efficacy endpoints with the 60 mcg dose compared to placebo in all three agitation scales: the Positive and Negative Syndrome Scale-Excitatory Component (“PEC”); the Pittsburg Agitation Scale (“PAS”), and the Modified Cohen-Mansfield Inventory (“Mod-CMAI”). Treatment with BXCL501 demonstrated statistically significant and clinically meaningful reductions in total scores at two hours post-dosing (PEC p=0.0011; PAS p&lt;0.0001; Mod-CMAI p&lt;0.0001; PEC response rate = 70%), numerical separation from placebo in PEC total score as early as 30 minutes with statistically significant reductions on both PEC and PAS at 60 minutes lasting 8 hours after treatment.</w:t>
      </w:r>
    </w:p>
    <w:p>
      <w:pPr>
        <w:spacing w:after="0" w:line="195"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Additional statistically significant reductions with the 60 mcg dose compared to placebo at 2 hours post-dosing were observed with the Agitation and Calmness Evaluation Scale (ACES p=0.0006) and Clinical Global Impression-Improvement Scale (CGI p&lt;0.0001, 90% responder rate).</w:t>
      </w:r>
    </w:p>
    <w:p>
      <w:pPr>
        <w:spacing w:after="0" w:line="184" w:lineRule="exact"/>
        <w:rPr>
          <w:sz w:val="20"/>
          <w:szCs w:val="20"/>
          <w:color w:val="auto"/>
        </w:rPr>
      </w:pPr>
    </w:p>
    <w:p>
      <w:pPr>
        <w:jc w:val="both"/>
        <w:ind w:left="60" w:right="239" w:firstLine="324"/>
        <w:spacing w:after="0" w:line="275" w:lineRule="auto"/>
        <w:rPr>
          <w:sz w:val="20"/>
          <w:szCs w:val="20"/>
          <w:color w:val="auto"/>
        </w:rPr>
      </w:pPr>
      <w:r>
        <w:rPr>
          <w:rFonts w:ascii="Arial" w:cs="Arial" w:eastAsia="Arial" w:hAnsi="Arial"/>
          <w:sz w:val="17"/>
          <w:szCs w:val="17"/>
          <w:color w:val="auto"/>
        </w:rPr>
        <w:t>In March 2021, we announced that, following a routine quality control review of the Company’s TRANQUILITY study data, the Company discovered that two patients were mis-categorized within the 30 mcg cohort at the clinical site. After moving the two patients into their appropriate placebo and 30 mcg groups, the data from the 30 mcg cohort were re-analyzed, resulting in the 30 mcg dose crossing over to statistical significance at the two hour time point, as measured by PEC: p=0.0149; PAS: p=0.0195; and Mod-CMAI: p=0.0364.</w:t>
      </w:r>
    </w:p>
    <w:p>
      <w:pPr>
        <w:spacing w:after="0" w:line="176" w:lineRule="exact"/>
        <w:rPr>
          <w:sz w:val="20"/>
          <w:szCs w:val="20"/>
          <w:color w:val="auto"/>
        </w:rPr>
      </w:pPr>
    </w:p>
    <w:p>
      <w:pPr>
        <w:jc w:val="both"/>
        <w:ind w:left="60" w:right="239" w:firstLine="324"/>
        <w:spacing w:after="0" w:line="275" w:lineRule="auto"/>
        <w:rPr>
          <w:sz w:val="20"/>
          <w:szCs w:val="20"/>
          <w:color w:val="auto"/>
        </w:rPr>
      </w:pPr>
      <w:r>
        <w:rPr>
          <w:rFonts w:ascii="Arial" w:cs="Arial" w:eastAsia="Arial" w:hAnsi="Arial"/>
          <w:sz w:val="17"/>
          <w:szCs w:val="17"/>
          <w:color w:val="auto"/>
        </w:rPr>
        <w:t>We announced that we initiated a 46 patient (1:1 randomization) multicenter, placebo-controlled TRANQUILITY expansion study investigating a 40 mcg dose cohort of BXCL501. PK/PD modeling of BXCL501 data from the TRANQUILITY trial was supportive of evaluating the efficacy of a 40 mcg dose. Recruitment in this study is progressing. We expect topline results in the fourth quarter of 2021 that are expected to provide additional insights to support the Company’s clinical development strategy directed at all segments of the dementia market.</w:t>
      </w:r>
    </w:p>
    <w:p>
      <w:pPr>
        <w:spacing w:after="0" w:line="176" w:lineRule="exact"/>
        <w:rPr>
          <w:sz w:val="20"/>
          <w:szCs w:val="20"/>
          <w:color w:val="auto"/>
        </w:rPr>
      </w:pPr>
    </w:p>
    <w:p>
      <w:pPr>
        <w:jc w:val="both"/>
        <w:ind w:left="60" w:right="239" w:firstLine="324"/>
        <w:spacing w:after="0" w:line="277" w:lineRule="auto"/>
        <w:rPr>
          <w:sz w:val="20"/>
          <w:szCs w:val="20"/>
          <w:color w:val="auto"/>
        </w:rPr>
      </w:pPr>
      <w:r>
        <w:rPr>
          <w:rFonts w:ascii="Arial" w:cs="Arial" w:eastAsia="Arial" w:hAnsi="Arial"/>
          <w:sz w:val="18"/>
          <w:szCs w:val="18"/>
          <w:color w:val="auto"/>
        </w:rPr>
        <w:t>With the positive results from TRANQUILITY, we have been advancing the BXCL501 dementia clinical program in close consultation with the FDA.</w:t>
      </w:r>
    </w:p>
    <w:p>
      <w:pPr>
        <w:spacing w:after="0" w:line="170" w:lineRule="exact"/>
        <w:rPr>
          <w:sz w:val="20"/>
          <w:szCs w:val="20"/>
          <w:color w:val="auto"/>
        </w:rPr>
      </w:pPr>
    </w:p>
    <w:p>
      <w:pPr>
        <w:jc w:val="both"/>
        <w:ind w:left="60" w:right="239" w:firstLine="324"/>
        <w:spacing w:after="0" w:line="259" w:lineRule="auto"/>
        <w:rPr>
          <w:sz w:val="20"/>
          <w:szCs w:val="20"/>
          <w:color w:val="auto"/>
        </w:rPr>
      </w:pPr>
      <w:r>
        <w:rPr>
          <w:rFonts w:ascii="Arial" w:cs="Arial" w:eastAsia="Arial" w:hAnsi="Arial"/>
          <w:sz w:val="18"/>
          <w:szCs w:val="18"/>
          <w:color w:val="auto"/>
        </w:rPr>
        <w:t>In March 2021, we announced that we received FDA Breakthrough Therapy Designation for BXCL501 for the acute treatment of agitation associated with dementia. Breakthrough Therapy Designation is intended to expedite the development and review of investigational therapies that are designed to treat serious or life-threatening diseases or conditions.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324"/>
        <w:spacing w:after="0" w:line="296" w:lineRule="auto"/>
        <w:rPr>
          <w:sz w:val="20"/>
          <w:szCs w:val="20"/>
          <w:color w:val="auto"/>
        </w:rPr>
      </w:pPr>
      <w:r>
        <w:rPr>
          <w:rFonts w:ascii="Arial" w:cs="Arial" w:eastAsia="Arial" w:hAnsi="Arial"/>
          <w:sz w:val="16"/>
          <w:szCs w:val="16"/>
          <w:color w:val="auto"/>
        </w:rPr>
        <w:t>We held an end of Phase 2 meeting with the FDA in May 2021 to discuss the BXCL501 program for the acute treatment of agitation in dementia patients. We plan to hold additional meetings with the FDA in the second half of 2021 in order to discuss certain matters, including development strategy, the trial design, dosing regimen, and endpoints for the pivotal Phase 3 program. We expect to commence the BXCL501 Phase 3 program for the acute treatment of agitation associated with dementia in the fourth quarter of 2021, pending further feedback from the FDA.</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RELEASE</w:t>
      </w:r>
    </w:p>
    <w:p>
      <w:pPr>
        <w:spacing w:after="0" w:line="225" w:lineRule="exact"/>
        <w:rPr>
          <w:sz w:val="20"/>
          <w:szCs w:val="20"/>
          <w:color w:val="auto"/>
        </w:rPr>
      </w:pPr>
    </w:p>
    <w:p>
      <w:pPr>
        <w:jc w:val="both"/>
        <w:ind w:left="60" w:right="239" w:firstLine="324"/>
        <w:spacing w:after="0" w:line="255" w:lineRule="auto"/>
        <w:rPr>
          <w:sz w:val="20"/>
          <w:szCs w:val="20"/>
          <w:color w:val="auto"/>
        </w:rPr>
      </w:pPr>
      <w:r>
        <w:rPr>
          <w:rFonts w:ascii="Arial" w:cs="Arial" w:eastAsia="Arial" w:hAnsi="Arial"/>
          <w:sz w:val="18"/>
          <w:szCs w:val="18"/>
          <w:color w:val="auto"/>
        </w:rPr>
        <w:t>The RELEASE trial was a multicenter, randomized, double-blind, placebo-controlled, ascending dose Phase 1b/2 trial designed to evaluate the safety, pharmacokinetics, tolerability, and efficacy of escalating doses of BXCL501 versus placebo, following discontinuation of morphine maintenance in patients with opioid use disorder who are physically dependent on opioids. Throughout the 7-day treatment phase, BXCL501 was evaluated in sequential, ascending dose cohorts and patients received BXCL501 at either 30 mcg, 60 mcg, 90 mcg, 120 mcg, 180 mcg and 240 mcg or placebo, administered twice daily, approximately 12 hours apart.</w:t>
      </w:r>
    </w:p>
    <w:p>
      <w:pPr>
        <w:spacing w:after="0" w:line="192" w:lineRule="exact"/>
        <w:rPr>
          <w:sz w:val="20"/>
          <w:szCs w:val="20"/>
          <w:color w:val="auto"/>
        </w:rPr>
      </w:pPr>
    </w:p>
    <w:p>
      <w:pPr>
        <w:jc w:val="both"/>
        <w:ind w:left="60" w:right="239" w:firstLine="324"/>
        <w:spacing w:after="0" w:line="342" w:lineRule="auto"/>
        <w:rPr>
          <w:sz w:val="20"/>
          <w:szCs w:val="20"/>
          <w:color w:val="auto"/>
        </w:rPr>
      </w:pPr>
      <w:r>
        <w:rPr>
          <w:rFonts w:ascii="Arial" w:cs="Arial" w:eastAsia="Arial" w:hAnsi="Arial"/>
          <w:sz w:val="16"/>
          <w:szCs w:val="16"/>
          <w:color w:val="auto"/>
        </w:rPr>
        <w:t>In March 2021, we announced RELEASE top line results. The trial’s primary objective was to evaluate safety and tolerability. BXCL501 was well tolerated, with no severe or serious adverse events reported across all doses evaluated.</w:t>
      </w:r>
    </w:p>
    <w:p>
      <w:pPr>
        <w:spacing w:after="0" w:line="124" w:lineRule="exact"/>
        <w:rPr>
          <w:sz w:val="20"/>
          <w:szCs w:val="20"/>
          <w:color w:val="auto"/>
        </w:rPr>
      </w:pPr>
    </w:p>
    <w:p>
      <w:pPr>
        <w:jc w:val="both"/>
        <w:ind w:left="60" w:right="239" w:firstLine="324"/>
        <w:spacing w:after="0" w:line="268" w:lineRule="auto"/>
        <w:rPr>
          <w:sz w:val="20"/>
          <w:szCs w:val="20"/>
          <w:color w:val="auto"/>
        </w:rPr>
      </w:pPr>
      <w:r>
        <w:rPr>
          <w:rFonts w:ascii="Arial" w:cs="Arial" w:eastAsia="Arial" w:hAnsi="Arial"/>
          <w:sz w:val="17"/>
          <w:szCs w:val="17"/>
          <w:color w:val="auto"/>
        </w:rPr>
        <w:t>With respect to retention, a secondary endpoint, the study showed that patients in multiple dose cohorts treated with BXCL501 had numerical improvements in retention rates, a key goal of opioid withdrawal treatment, compared to placebo. The 120 mcg and 180 mcg dose groups showed 42% and 52% rates of retention at Day 6 of BXCL501 treatment, respectively, versus 24% for placebo, though these differences were not statistically significant. However, the results also showed that, of the 87% of patients who had fentanyl in their systems upon entry, greater than 50% remained fentanyl positive following the morphine stabilization phase of 5 days. Consequently, withdrawal symptoms were not equivalent across various dose cohorts, suggesting that morphine use did not mitigate or normalize withdrawal symptoms in these patients. Efficacy measures, including assessment of patients’ symptoms of acute opioid withdrawal following the morphine maintenance phase with the Clinical Opiate Withdrawal Scale (“COWS”) and the Short Opiate Withdrawal Scale of Gossop (“SOWS-Gossop”) were secondary objectives of the trial. Improvements in group mean total scores were not observed in SOWS-Gossop”) or COWS in the BXCL501 treatment arms compared to placebo. The Company believes that the high fentanyl prevalence and lack of normalization (morphine for 5 days) observed in study subjects could have confounded these results and made them difficult to interpret. Although improvements were not observed in group mean total efficacy scores, study showed numerical improvements in retention rates in multiple BXCL501 dose cohorts compared to placebo.</w:t>
      </w:r>
    </w:p>
    <w:p>
      <w:pPr>
        <w:spacing w:after="0" w:line="182" w:lineRule="exact"/>
        <w:rPr>
          <w:sz w:val="20"/>
          <w:szCs w:val="20"/>
          <w:color w:val="auto"/>
        </w:rPr>
      </w:pPr>
    </w:p>
    <w:p>
      <w:pPr>
        <w:jc w:val="both"/>
        <w:ind w:left="60" w:right="239" w:firstLine="324"/>
        <w:spacing w:after="0" w:line="277" w:lineRule="auto"/>
        <w:rPr>
          <w:sz w:val="20"/>
          <w:szCs w:val="20"/>
          <w:color w:val="auto"/>
        </w:rPr>
      </w:pPr>
      <w:r>
        <w:rPr>
          <w:rFonts w:ascii="Arial" w:cs="Arial" w:eastAsia="Arial" w:hAnsi="Arial"/>
          <w:sz w:val="18"/>
          <w:szCs w:val="18"/>
          <w:color w:val="auto"/>
        </w:rPr>
        <w:t>We believe the favorable tolerability results observed in multiple dose regimens within the RELEASE trial provide valuable insights that support investigation across additional indications and treatment settings.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PLACIDITY</w:t>
      </w:r>
    </w:p>
    <w:p>
      <w:pPr>
        <w:spacing w:after="0" w:line="225" w:lineRule="exact"/>
        <w:rPr>
          <w:sz w:val="20"/>
          <w:szCs w:val="20"/>
          <w:color w:val="auto"/>
        </w:rPr>
      </w:pPr>
    </w:p>
    <w:p>
      <w:pPr>
        <w:ind w:left="60" w:right="159" w:firstLine="401"/>
        <w:spacing w:after="0" w:line="257" w:lineRule="auto"/>
        <w:rPr>
          <w:sz w:val="20"/>
          <w:szCs w:val="20"/>
          <w:color w:val="auto"/>
        </w:rPr>
      </w:pPr>
      <w:r>
        <w:rPr>
          <w:rFonts w:ascii="Arial" w:cs="Arial" w:eastAsia="Arial" w:hAnsi="Arial"/>
          <w:sz w:val="18"/>
          <w:szCs w:val="18"/>
          <w:color w:val="auto"/>
        </w:rPr>
        <w:t>Agitation associated with delirium is a serious condition that affects patients in many hospital settings: ICUs, surgical &amp; medical wards, and emergency departments. Currently, there are no FDA-approved medications for delirium or agitation associated with delirium. We believe that the potential to address the treatment of agitation associated with delirium could provide synergy with the medical and commercial infrastructure we are developing to support our first two proposed indications.</w:t>
      </w:r>
    </w:p>
    <w:p>
      <w:pPr>
        <w:spacing w:after="0" w:line="188" w:lineRule="exact"/>
        <w:rPr>
          <w:sz w:val="20"/>
          <w:szCs w:val="20"/>
          <w:color w:val="auto"/>
        </w:rPr>
      </w:pPr>
    </w:p>
    <w:p>
      <w:pPr>
        <w:ind w:left="60" w:right="279" w:firstLine="401"/>
        <w:spacing w:after="0" w:line="311" w:lineRule="auto"/>
        <w:rPr>
          <w:sz w:val="20"/>
          <w:szCs w:val="20"/>
          <w:color w:val="auto"/>
        </w:rPr>
      </w:pPr>
      <w:r>
        <w:rPr>
          <w:rFonts w:ascii="Arial" w:cs="Arial" w:eastAsia="Arial" w:hAnsi="Arial"/>
          <w:sz w:val="16"/>
          <w:szCs w:val="16"/>
          <w:color w:val="auto"/>
        </w:rPr>
        <w:t>In October 2020, we announced that we had received authorization to proceed under our IND Application from the FDA for treatment of patients with agitation associated with delirium in intensive care units, including patients with COVID-19. On February 25, 2021, we announced the initiation of the Phase 2 PLACIDITY trial of BXCL501.</w:t>
      </w:r>
    </w:p>
    <w:p>
      <w:pPr>
        <w:spacing w:after="0" w:line="149" w:lineRule="exact"/>
        <w:rPr>
          <w:sz w:val="20"/>
          <w:szCs w:val="20"/>
          <w:color w:val="auto"/>
        </w:rPr>
      </w:pPr>
    </w:p>
    <w:p>
      <w:pPr>
        <w:ind w:left="60" w:right="479" w:firstLine="401"/>
        <w:spacing w:after="0" w:line="342" w:lineRule="auto"/>
        <w:rPr>
          <w:sz w:val="20"/>
          <w:szCs w:val="20"/>
          <w:color w:val="auto"/>
        </w:rPr>
      </w:pPr>
      <w:r>
        <w:rPr>
          <w:rFonts w:ascii="Arial" w:cs="Arial" w:eastAsia="Arial" w:hAnsi="Arial"/>
          <w:sz w:val="16"/>
          <w:szCs w:val="16"/>
          <w:color w:val="auto"/>
        </w:rPr>
        <w:t>PLACIDITY enrollment was voluntarily paused to assess challenges posed in opening relevant clinical sites and enrolling delirium patients in the ICU settings, including as a result of the burden COVID-19 has placed on the ICU.</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PEDIATRIC STUDY</w:t>
      </w:r>
    </w:p>
    <w:p>
      <w:pPr>
        <w:spacing w:after="0" w:line="225"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color w:val="auto"/>
        </w:rPr>
        <w:t>In June 2021, we initiated a global clinical trial designed to determine the safety and efficacy of BXCL501 in agitation associated with pediatric schizophrenia and bipolar disorder. The trial has been reviewed by the FDA to ensure we meet the Pediatric Equity Research Act (“PREA”) requirements as well as the European Medicines Agency (“EMA”) to fulfill commitments to study the effects of BXCL501 in children, ages 10-17. The multisite double-blind placebo controlled parallel group trial will enroll patients with schizophrenia, schizoaffective disorder, bipolar 1 and bipolar 2 disorder. Similar to the Serenity 1 and 2 trials, the primary endpoint is the change from baseline PEC total score at 2 hours. The trial has been initiated in the U.S. and we expect enrollment to begin Q3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Opportunities</w:t>
      </w:r>
    </w:p>
    <w:p>
      <w:pPr>
        <w:spacing w:after="0" w:line="225" w:lineRule="exact"/>
        <w:rPr>
          <w:sz w:val="20"/>
          <w:szCs w:val="20"/>
          <w:color w:val="auto"/>
        </w:rPr>
      </w:pPr>
    </w:p>
    <w:p>
      <w:pPr>
        <w:jc w:val="both"/>
        <w:ind w:left="60" w:right="139" w:firstLine="405"/>
        <w:spacing w:after="0" w:line="259" w:lineRule="auto"/>
        <w:rPr>
          <w:sz w:val="20"/>
          <w:szCs w:val="20"/>
          <w:color w:val="auto"/>
        </w:rPr>
      </w:pPr>
      <w:r>
        <w:rPr>
          <w:rFonts w:ascii="Arial" w:cs="Arial" w:eastAsia="Arial" w:hAnsi="Arial"/>
          <w:sz w:val="18"/>
          <w:szCs w:val="18"/>
          <w:color w:val="auto"/>
        </w:rPr>
        <w:t>In December 2020, the VA Connecticut Healthcare System and the Yale University Medical School were awarded a grant by the U.S. Department of Defense’s Congressionally Directed Medical Research Programs to evaluate BXCL501 in patients suffering from post-traumatic stress disorder related to alcohol and substance abuse disorder. This will be the first time that we are investigating BXCL501 as a potential chronic treatment.</w:t>
      </w:r>
    </w:p>
    <w:p>
      <w:pPr>
        <w:spacing w:after="0" w:line="187" w:lineRule="exact"/>
        <w:rPr>
          <w:sz w:val="20"/>
          <w:szCs w:val="20"/>
          <w:color w:val="auto"/>
        </w:rPr>
      </w:pPr>
    </w:p>
    <w:p>
      <w:pPr>
        <w:ind w:left="60" w:right="179" w:firstLine="405"/>
        <w:spacing w:after="0" w:line="272" w:lineRule="auto"/>
        <w:rPr>
          <w:sz w:val="20"/>
          <w:szCs w:val="20"/>
          <w:color w:val="auto"/>
        </w:rPr>
      </w:pPr>
      <w:r>
        <w:rPr>
          <w:rFonts w:ascii="Arial" w:cs="Arial" w:eastAsia="Arial" w:hAnsi="Arial"/>
          <w:sz w:val="17"/>
          <w:szCs w:val="17"/>
          <w:color w:val="auto"/>
        </w:rPr>
        <w:t>We continue to explore the use of a wearable device to measure early signs of agitation in subsets of patients that are part of BCXL501 clinical trials. Data is obtained by the wearable device, collected on other electronic devices such as phones, and transmitted to our partner for analysis. Feasibility studies demonstrated that patients were able to wear these devices and that these devices were able to transmit data to our corporate partner. Along with our partner, we are now establishing methods to use these data to construct algorithms that are designed to predict when a patient is becoming agitated. The goal of this program is to establish a predictive algorithm that allows providers to dose patients before they achieve a highly agitated state.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Neuropsychiatric /Neurodegenerative Indications and Formulations</w:t>
      </w:r>
    </w:p>
    <w:p>
      <w:pPr>
        <w:spacing w:after="0" w:line="229" w:lineRule="exact"/>
        <w:rPr>
          <w:sz w:val="20"/>
          <w:szCs w:val="20"/>
          <w:color w:val="auto"/>
        </w:rPr>
      </w:pPr>
    </w:p>
    <w:p>
      <w:pPr>
        <w:jc w:val="both"/>
        <w:ind w:left="60" w:right="259" w:firstLine="401"/>
        <w:spacing w:after="0" w:line="311" w:lineRule="auto"/>
        <w:rPr>
          <w:sz w:val="20"/>
          <w:szCs w:val="20"/>
          <w:color w:val="auto"/>
        </w:rPr>
      </w:pPr>
      <w:r>
        <w:rPr>
          <w:rFonts w:ascii="Arial" w:cs="Arial" w:eastAsia="Arial" w:hAnsi="Arial"/>
          <w:sz w:val="16"/>
          <w:szCs w:val="16"/>
          <w:color w:val="auto"/>
        </w:rPr>
        <w:t>Given the differentiated design of BXCL501 and its selective mechanism of action, we believe that BXCL501 has the potential for broad applicability across several indications where agitation is a symptom of a condition or underlying disease. There are additional neurological and psychiatric disorders where agitation is a symptom that requires treatment.</w:t>
      </w:r>
    </w:p>
    <w:p>
      <w:pPr>
        <w:spacing w:after="0" w:line="149" w:lineRule="exact"/>
        <w:rPr>
          <w:sz w:val="20"/>
          <w:szCs w:val="20"/>
          <w:color w:val="auto"/>
        </w:rPr>
      </w:pPr>
    </w:p>
    <w:p>
      <w:pPr>
        <w:ind w:left="60" w:right="499" w:firstLine="401"/>
        <w:spacing w:after="0" w:line="286" w:lineRule="auto"/>
        <w:rPr>
          <w:sz w:val="20"/>
          <w:szCs w:val="20"/>
          <w:color w:val="auto"/>
        </w:rPr>
      </w:pPr>
      <w:r>
        <w:rPr>
          <w:rFonts w:ascii="Arial" w:cs="Arial" w:eastAsia="Arial" w:hAnsi="Arial"/>
          <w:sz w:val="17"/>
          <w:szCs w:val="17"/>
          <w:color w:val="auto"/>
        </w:rPr>
        <w:t>We are exploring development of BXCL501 as a potential treatment option for agitation associated with various forms of dementia including acute, intermittent and chronic. In addition, we are also developing a single-use intramuscular injection formulation for patients with severe agitation (non-cooperative).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Scientific Exchange</w:t>
      </w:r>
    </w:p>
    <w:p>
      <w:pPr>
        <w:spacing w:after="0" w:line="229"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We have deployed Medical Science Liaison and Medical Manage Care teams who are engaging in scientific and medical-to-medical exchanges with healthcare professionals and payers,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Readiness</w:t>
      </w:r>
    </w:p>
    <w:p>
      <w:pPr>
        <w:spacing w:after="0" w:line="229" w:lineRule="exact"/>
        <w:rPr>
          <w:sz w:val="20"/>
          <w:szCs w:val="20"/>
          <w:color w:val="auto"/>
        </w:rPr>
      </w:pPr>
    </w:p>
    <w:p>
      <w:pPr>
        <w:ind w:left="60" w:right="319" w:firstLine="405"/>
        <w:spacing w:after="0" w:line="257" w:lineRule="auto"/>
        <w:rPr>
          <w:sz w:val="20"/>
          <w:szCs w:val="20"/>
          <w:color w:val="auto"/>
        </w:rPr>
      </w:pPr>
      <w:r>
        <w:rPr>
          <w:rFonts w:ascii="Arial" w:cs="Arial" w:eastAsia="Arial" w:hAnsi="Arial"/>
          <w:sz w:val="18"/>
          <w:szCs w:val="18"/>
          <w:color w:val="auto"/>
        </w:rPr>
        <w:t>On the commercial infrastructure front, we continue to advance our preparations for commercial readiness. We are further refining the design of our sales force, both in size and structure, to finalize our go to market strategy for the potential commercial launch of BXCL501 for the acute treatment of agitation associated with schizophrenia and bipolar disorders I &amp; II. All of this work will be a crucial foundation to launching additional potential follow-on indications, paving the way for our neuroscience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60" w:right="239" w:firstLine="324"/>
        <w:spacing w:after="0" w:line="311" w:lineRule="auto"/>
        <w:rPr>
          <w:sz w:val="20"/>
          <w:szCs w:val="20"/>
          <w:color w:val="auto"/>
        </w:rPr>
      </w:pPr>
      <w:r>
        <w:rPr>
          <w:rFonts w:ascii="Arial" w:cs="Arial" w:eastAsia="Arial" w:hAnsi="Arial"/>
          <w:sz w:val="16"/>
          <w:szCs w:val="16"/>
          <w:color w:val="auto"/>
        </w:rPr>
        <w:t>BXCL701 is a potential first-in-class, oral, small-molecule immunomodulator designed to stimulate both the innate and acquired immune systems by inhibiting DPP 8/9. DPP 8/9 behave as "checkpoints" of the innate immune system. We believe that BXCL701, if successfully developed and approved, may establish a differentiated immuno-oncology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platform by modulating multiple steps in the cancer immunity cycle and, when combined with other checkpoint inhibitors and/or immune activating agents, may be able to convert immuno-resistant tumors to immuno-sensitive tumors (“cold” to “hot” tumors).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BXCL701 is currently being evaluated in two combination therapy clinical trials:</w:t>
      </w:r>
    </w:p>
    <w:p>
      <w:pPr>
        <w:spacing w:after="0" w:line="252"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 April 2020, we announced the initiation of the Phase 2 efficacy portion of the Phase 1b/2 trial evaluating BXCL701 in combination with KEYTRUDA® (pembrolizumab, a PD-1 inhibitor) for Neuro Endocrine Prostate Cancer (“NEPC”). The Phase 1b safety assessment of BXCL701 identified a split dose totaling 0.6 mg per day as the recommended dose when used in combination with KEYTRUDA. In addition to the efficacy cohort in NEPC patients, in August 2020, we opened a separate cohort for castrate resistant prostate cancer (“CRPC”) patients who have failed taxane-based chemotherapy and up to two lines of second-generation androgen pathway blockers. The Phase 1b portion of this trial was presented at the Society for Immunotherapy of Cancer’s 35th Anniversary Annual Meeting in 2020, and an efficacy update was recently presented at the American Society of Clinical Oncology Genitourinary Symposium in February 2021. In May 2021, we announced that the adenocarcinoma cohort of the ongoing Phase 1b/2 trial of BXCL701 and pembrolizumab (KEYTRUDA®) in aggressive forms of prostate cancer met its efficacy bar to move to stage two. The trial will now continue to full enrollment and a more complete efficacy update from the Phase 2 portion of this trial is expected in Q3 2021.</w:t>
      </w:r>
    </w:p>
    <w:p>
      <w:pPr>
        <w:spacing w:after="0" w:line="206"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The MD Anderson-led Phase 2 open-label basket trial is designed to evaluate the response rate of orally administered BXCL701, combined with KEYTRUDA, in two arms: Arm A is enrolling checkpoint naïve patients (where checkpoint therapy is indicated: “hot tumors”); and Arm B is enrolling patients who have progressed following checkpoint therapy alone. As of August 2020, the efficacy bar had been met for both arms, allowing the trial to advance to completion. Preliminary data were recently presented at the June 2021 American Society of Clinical Oncology meeting.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In addition to CRPC and checkpoint inhibitor (“CPI”) 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 microenvironment is driven by the potential molecular and cellular targets of BXCL701 and where the single agent activity of approved immune checkpoint inhibitors is limited. In January 2021, we announced that BXCL701 was awarded Orphan Drug Designation for the treatment of Soft Tissue Sarcoma.</w:t>
      </w:r>
    </w:p>
    <w:p>
      <w:pPr>
        <w:spacing w:after="0" w:line="192"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In addition, we believe BXCL701, if successfully developed and approved, may provide a platform for combination with immunotherapy modalities that go beyond the currently approved immune checkpoint agents that target the PD-1/PD-L1 axis. Following our proof-of-concept trials, we plan to conduct clinical trials covering a broad range of additional combinations with other immunotherapy agents, including:</w:t>
      </w:r>
    </w:p>
    <w:p>
      <w:pPr>
        <w:spacing w:after="0" w:line="187" w:lineRule="exact"/>
        <w:rPr>
          <w:sz w:val="20"/>
          <w:szCs w:val="20"/>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immune checkpoint inhibitors (other than PD-1/PD-L1);</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cellular therapies (CAR-T and chimeric antigen receptor natural killer cells);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ADCC driven monoclonal antibodies.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Program</w:t>
      </w:r>
    </w:p>
    <w:p>
      <w:pPr>
        <w:spacing w:after="0" w:line="225" w:lineRule="exact"/>
        <w:rPr>
          <w:sz w:val="20"/>
          <w:szCs w:val="20"/>
          <w:color w:val="auto"/>
        </w:rPr>
      </w:pPr>
    </w:p>
    <w:p>
      <w:pPr>
        <w:jc w:val="both"/>
        <w:ind w:left="60" w:right="739" w:firstLine="324"/>
        <w:spacing w:after="0" w:line="311" w:lineRule="auto"/>
        <w:rPr>
          <w:sz w:val="20"/>
          <w:szCs w:val="20"/>
          <w:color w:val="auto"/>
        </w:rPr>
      </w:pPr>
      <w:r>
        <w:rPr>
          <w:rFonts w:ascii="Arial" w:cs="Arial" w:eastAsia="Arial" w:hAnsi="Arial"/>
          <w:sz w:val="16"/>
          <w:szCs w:val="16"/>
          <w:color w:val="auto"/>
        </w:rPr>
        <w:t>We are targeting neuroscience disorders where there is a high unmet medical need, including those in which a requirement for symptom management is a priority (such as agitation and symptoms resulting from stress-related behaviors) as well as for transformative care for monogenic rare central nervous system disorders.</w:t>
      </w:r>
    </w:p>
    <w:p>
      <w:pPr>
        <w:spacing w:after="0" w:line="149"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For symptomatic approaches, our neuroscience program is developing product candidates with a focus on treating symptoms for various neurological and psychiatric disorders. Additionally, the utilization of EvolverAI has identified several monogenic diseases with available animal models across rare neuroscience diseases. We utilize proprietary algorithms to identify associated mechanisms with existing pharmacology to test whether these agents can improve the disease profile in the animal model either through disease modification or symptomatic manner. The agents identified must be those that we believe can enter the clinic with the potential for an efficient development path.</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ind w:left="60" w:right="3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known relationships that link immuno-evasion and immuno-activation pathways and targets with thousands of pharmacological agents and tumor indications. This comprehensive map has permitted us to select a potential pipeline of candidates based on our ability to alter the tumor micro-environment and the potential to address relevant unmet medical needs for various tumor types.</w:t>
      </w:r>
    </w:p>
    <w:p>
      <w:pPr>
        <w:spacing w:after="0" w:line="157"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Finally, we continually leverage the artificial intelligence platform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NEPC and CRPC.</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We have recently strengthened our BXCL501 IP portfolio in Japan. Japan utility patent application No. 2021-067079 is allowed and the issued patent will expire no earlier than 2037.</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(“GAAP”). All amounts are presented in thousands.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39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to operations as incurred.</w:t>
      </w:r>
    </w:p>
    <w:p>
      <w:pPr>
        <w:spacing w:after="0" w:line="225"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Our research and development costs by program for the three and six months ended June 30, 2021 and 2020 were as follows: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164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Direct external costs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21,410</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BXCL701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direct external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14,794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24,736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personnel costs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09"/>
        </w:trPr>
        <w:tc>
          <w:tcPr>
            <w:tcW w:w="512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13,054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17,458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 and overhead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17,906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30,277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and insurance charges.</w:t>
      </w:r>
    </w:p>
    <w:p>
      <w:pPr>
        <w:spacing w:after="0" w:line="149"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We expect that our general and administrative expenses will increase to enable us to support our operations as we continue to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similar requirements applicable to public companies.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Research and development expenses for the three months ended June 30, 2021 and 2020 were $13,509 and $17,906, respectively. Research and development expenses for the three months ended June 30, 2021 and 2020 were comprised as follows: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(8,258)</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50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13,509</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17,906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(4,397)</w:t>
            </w:r>
          </w:p>
        </w:tc>
        <w:tc>
          <w:tcPr>
            <w:tcW w:w="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decrease of $4,397 for the three months ended June 30, 2021 is primarily attributable to:</w:t>
      </w:r>
    </w:p>
    <w:p>
      <w:pPr>
        <w:spacing w:after="0" w:line="225" w:lineRule="exact"/>
        <w:rPr>
          <w:sz w:val="20"/>
          <w:szCs w:val="20"/>
          <w:color w:val="auto"/>
        </w:rPr>
      </w:pPr>
    </w:p>
    <w:p>
      <w:pPr>
        <w:jc w:val="both"/>
        <w:ind w:left="1040" w:right="599" w:hanging="315"/>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Decreased clinical trial expense primarily related to decreased costs related to our SERENITY I and II clinical trials, partially offset by increased costs related to our BXCL701 prostate cancer clinical trial.</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CMC costs largely related to decreased BXCL501 manufacturing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decreases were partially offset by:</w:t>
      </w:r>
    </w:p>
    <w:p>
      <w:pPr>
        <w:spacing w:after="0" w:line="225" w:lineRule="exact"/>
        <w:rPr>
          <w:sz w:val="20"/>
          <w:szCs w:val="20"/>
          <w:color w:val="auto"/>
        </w:rPr>
      </w:pPr>
    </w:p>
    <w:p>
      <w:pPr>
        <w:ind w:left="1040" w:right="379" w:hanging="315"/>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personnel and recruiting costs related to our efforts to enlarge our clinical team as we expanded our clinical programs and in preparation of the potential commercial launch of BXCL501 in the U.S.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non-cash stock-based compensation primary resulting from an increase in personnel.</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professional fees primarily due to increased fees related to toxicology studies as well as increased regulatory and consulting fees related to BXCL501.</w:t>
      </w:r>
    </w:p>
    <w:p>
      <w:pPr>
        <w:spacing w:after="0" w:line="170"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2021 and 2020 were $14,104 and $3,529, respectively. General and administrative expenses for the three months ended June 30,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6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other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9"/>
        </w:trPr>
        <w:tc>
          <w:tcPr>
            <w:tcW w:w="378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7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14,104</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$ 3,529</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44"/>
        </w:trPr>
        <w:tc>
          <w:tcPr>
            <w:tcW w:w="3780" w:type="dxa"/>
            <w:vAlign w:val="bottom"/>
          </w:tcPr>
          <w:p>
            <w:pPr>
              <w:spacing w:after="0"/>
              <w:rPr>
                <w:sz w:val="24"/>
                <w:szCs w:val="24"/>
                <w:color w:val="auto"/>
              </w:rPr>
            </w:pPr>
          </w:p>
        </w:tc>
        <w:tc>
          <w:tcPr>
            <w:tcW w:w="1720" w:type="dxa"/>
            <w:vAlign w:val="bottom"/>
          </w:tcPr>
          <w:p>
            <w:pPr>
              <w:jc w:val="right"/>
              <w:ind w:right="8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$10,575 for the three months ended June 30, 2021 is primarily attributable to:</w:t>
      </w:r>
    </w:p>
    <w:p>
      <w:pPr>
        <w:spacing w:after="0" w:line="225" w:lineRule="exact"/>
        <w:rPr>
          <w:sz w:val="20"/>
          <w:szCs w:val="20"/>
          <w:color w:val="auto"/>
        </w:rPr>
      </w:pPr>
    </w:p>
    <w:p>
      <w:pPr>
        <w:ind w:left="1040" w:right="23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personnel and recruiting costs due to our continuing efforts to expand our teams in preparation of the potential commercial launch of BXCL501 in the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non-cash stock-based compensation primarily resulting from an increase in personnel.</w:t>
      </w:r>
    </w:p>
    <w:p>
      <w:pPr>
        <w:spacing w:after="0" w:line="225"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professional and consulting fees due to the expanding growth of our operations and was primarily related to increased corporate legal fees and increased consulting costs related to our preparation for the potential commercial launch of BXCL501 in the U.S.</w:t>
      </w:r>
    </w:p>
    <w:p>
      <w:pPr>
        <w:spacing w:after="0" w:line="183" w:lineRule="exact"/>
        <w:rPr>
          <w:rFonts w:ascii="Arial" w:cs="Arial" w:eastAsia="Arial" w:hAnsi="Arial"/>
          <w:sz w:val="18"/>
          <w:szCs w:val="18"/>
          <w:color w:val="auto"/>
        </w:rPr>
      </w:pPr>
    </w:p>
    <w:p>
      <w:pPr>
        <w:ind w:left="1040" w:right="85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marketing related fees primarily related to market research and our BXCL501 marketing campaigns.</w:t>
      </w:r>
    </w:p>
    <w:p>
      <w:pPr>
        <w:spacing w:after="0" w:line="170"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commercial related fees primarily costs related to our efforts related to preparation for the potential commercial launch of BXCL501 in the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insurance costs primarily related to an increase in Director and Officer liability premiums.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Research and development expenses for the six months ended June 30, 2021 and 2020 were $28,250 and $30,277, respectively. Research and development expenses for the six months ended June 30,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2,821</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19,900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(12,792)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 ("CMC")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28,250</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30,277</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decrease of $2,027 for the six months ended June 30, 2021 is primarily attributable to:</w:t>
      </w:r>
    </w:p>
    <w:p>
      <w:pPr>
        <w:spacing w:after="0" w:line="225" w:lineRule="exact"/>
        <w:rPr>
          <w:sz w:val="20"/>
          <w:szCs w:val="20"/>
          <w:color w:val="auto"/>
        </w:rPr>
      </w:pPr>
    </w:p>
    <w:p>
      <w:pPr>
        <w:ind w:left="1040" w:right="41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clinical trial expense primarily related to decreased costs related to our SERENITY I and II clinical trials, partially offset by increased costs related to our RELEASE clinical trial, partially offset by increased costs related to our BXCL701 prostate cancer clinical trial.</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decrease was partially offset by:</w:t>
      </w:r>
    </w:p>
    <w:p>
      <w:pPr>
        <w:spacing w:after="0" w:line="225" w:lineRule="exact"/>
        <w:rPr>
          <w:sz w:val="20"/>
          <w:szCs w:val="20"/>
          <w:color w:val="auto"/>
        </w:rPr>
      </w:pPr>
    </w:p>
    <w:p>
      <w:pPr>
        <w:ind w:left="1040" w:right="379" w:hanging="315"/>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personnel and recruiting costs related to our efforts to enlarge our clinical team as we expanded our clinical programs and in preparation of the potential commercial launch of BXCL501 in the U.S.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non-cash stock-based compensation primary resulting from an increase in personnel.</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professional fees was primarily due to increased fees related to toxicology studies as well as increased regulatory and consulting fees related to BXCL501.</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CMC costs largely related to increased BXCL501 manufacturing, stability and storage costs.</w:t>
      </w:r>
    </w:p>
    <w:p>
      <w:pPr>
        <w:spacing w:after="0" w:line="237"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General and administrative expenses for the six months ended June 30, 2021 and 2020 were $25,742 and $6,154, respectively. General and administrative expenses for the six months ended June 30, 2021 and 2020 were comprised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6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consulting fees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4,946</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9"/>
        </w:trPr>
        <w:tc>
          <w:tcPr>
            <w:tcW w:w="550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25,742</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$ 6,154</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increase of $19,588 for the six months ended June 30, 2021 is primarily attributable to:</w:t>
      </w:r>
    </w:p>
    <w:p>
      <w:pPr>
        <w:spacing w:after="0" w:line="225" w:lineRule="exact"/>
        <w:rPr>
          <w:sz w:val="20"/>
          <w:szCs w:val="20"/>
          <w:color w:val="auto"/>
        </w:rPr>
      </w:pPr>
    </w:p>
    <w:p>
      <w:pPr>
        <w:ind w:left="1040" w:right="23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personnel and recruiting costs due to our continuing efforts to expand our teams in preparation of the potential commercial launch of BXCL501 in the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non-cash stock-based compensation primary resulting from an increase in personnel.</w:t>
      </w:r>
    </w:p>
    <w:p>
      <w:pPr>
        <w:spacing w:after="0" w:line="225" w:lineRule="exact"/>
        <w:rPr>
          <w:rFonts w:ascii="Arial" w:cs="Arial" w:eastAsia="Arial" w:hAnsi="Arial"/>
          <w:sz w:val="18"/>
          <w:szCs w:val="18"/>
          <w:color w:val="auto"/>
        </w:rPr>
      </w:pPr>
    </w:p>
    <w:p>
      <w:pPr>
        <w:jc w:val="both"/>
        <w:ind w:left="1040" w:right="53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professional fees due to the expanding growth of our operations and was primarily related to increased corporate legal fees and increased consulting costs related to our preparation for the potential commercial launch of BXCL501 in the U.S.</w:t>
      </w:r>
    </w:p>
    <w:p>
      <w:pPr>
        <w:spacing w:after="0" w:line="183" w:lineRule="exact"/>
        <w:rPr>
          <w:rFonts w:ascii="Arial" w:cs="Arial" w:eastAsia="Arial" w:hAnsi="Arial"/>
          <w:sz w:val="18"/>
          <w:szCs w:val="18"/>
          <w:color w:val="auto"/>
        </w:rPr>
      </w:pPr>
    </w:p>
    <w:p>
      <w:pPr>
        <w:ind w:left="1040" w:right="89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marketing related fees primarily related to market research and marketing campaigns, in anticipation of the potential commercial launch of BXCL501.</w:t>
      </w:r>
    </w:p>
    <w:p>
      <w:pPr>
        <w:spacing w:after="0" w:line="170"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commercial related fees primarily costs related to our efforts related to preparation for the potential commercial launch of BXCL501 in the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insurance costs primarily related to an increase in Director and Officer liability premiums.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As of June 30, 2021, we had cash and cash equivalents of $273,057, working capital of $264,217 and stockholders’ equity of $267,411. We incurred losses of approximately $27,619 and $21,419 for the three months ended June 30, 2021 and 2020, respectively, and losses of $53,995 and $36,330 for the six months ended June 30, 2021 and 2020, respectively.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June 30, 2021 will enable us to fund our operating expenses and capital expenditure requirements for at least one year from the date of this Quarterly Report on Form 10-Q.</w:t>
      </w:r>
    </w:p>
    <w:p>
      <w:pPr>
        <w:spacing w:after="0" w:line="178" w:lineRule="exact"/>
        <w:rPr>
          <w:sz w:val="20"/>
          <w:szCs w:val="20"/>
          <w:color w:val="auto"/>
        </w:rPr>
      </w:pPr>
    </w:p>
    <w:p>
      <w:pPr>
        <w:ind w:left="60" w:right="259" w:firstLine="324"/>
        <w:spacing w:after="0" w:line="287"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“Risk Factors—The outbreak of COVID-19, or other pandemic, epidemic or outbreak of an infectious disease may materially and adversely impact our business, including our preclinical studies and clinical trials.” in Item 1A. of this Quarterly Report on Form 10-Q for a further discussion of the potential impact of the COVID-19 pandemic on our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We have focused our efforts on raising capital and building the products in our pipeline. Since our inception, our operations have been financed primarily by BioXcel LLC, and from proceeds from the sale of equity securities. Through June 30, 2021, we have received approximately $459,856 in aggregate gross proceeds from stock issuances including our initial public offering, private placements of our common stock, and registered offerings of our common stock and Open Market Sale Agreements (“ATM Program”). We have not yet established an ongoing source of revenue sufficient to cover our operating costs and will need to do so in future periods.</w:t>
      </w:r>
    </w:p>
    <w:p>
      <w:pPr>
        <w:spacing w:after="0" w:line="178"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In June 2021, we sold in a registered offering 3,155 shares of its common stock at a public offering price of $31.70 per share. We received proceeds of $96,971, net of issuance costs of $3,042.</w:t>
      </w:r>
    </w:p>
    <w:p>
      <w:pPr>
        <w:spacing w:after="0" w:line="170" w:lineRule="exact"/>
        <w:rPr>
          <w:sz w:val="20"/>
          <w:szCs w:val="20"/>
          <w:color w:val="auto"/>
        </w:rPr>
      </w:pPr>
    </w:p>
    <w:p>
      <w:pPr>
        <w:ind w:left="60" w:right="339" w:firstLine="324"/>
        <w:spacing w:after="0" w:line="296" w:lineRule="auto"/>
        <w:rPr>
          <w:sz w:val="20"/>
          <w:szCs w:val="20"/>
          <w:color w:val="auto"/>
        </w:rPr>
      </w:pPr>
      <w:r>
        <w:rPr>
          <w:rFonts w:ascii="Arial" w:cs="Arial" w:eastAsia="Arial" w:hAnsi="Arial"/>
          <w:sz w:val="16"/>
          <w:szCs w:val="16"/>
          <w:color w:val="auto"/>
        </w:rPr>
        <w:t>In May 2021, we entered into an Open Market Sale Agreement (the “Sale Agreement”) with Jefferies LLC (“Jeffries”) pursuant to which the Company could offer and sell shares if its common stock, par value $0.001 per share (the “Common Stock”), having an aggregate offering price of up to $100,000 (the “Shares”), from time to time, through an “at the market offering” program under which Jefferies will act as sale agent. We sold 124 shares under the Sale Agreement in June 2021. As of June 30, 2021, we received proceeds of $4,056, net of issuance costs of $500.</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February 2020, we sold in a registered offering 2,300 shares of our common stock at a public offering price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$32.00 per share for gross proceeds of $73,600 less underwriting discounts and commissions. We received net proceeds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approximately $68,811.</w:t>
      </w:r>
    </w:p>
    <w:p>
      <w:pPr>
        <w:spacing w:after="0" w:line="211"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In July 2020, we sold in a registered offering 4,000 shares of our common stock at a public offering price of $50.00 per share for gross proceeds of $200,000 less underwriting discounts and commissions. We received net proceeds of approximately $186,974.</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20955</wp:posOffset>
            </wp:positionV>
            <wp:extent cx="12433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-81280</wp:posOffset>
            </wp:positionV>
            <wp:extent cx="1243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4"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6320" w:space="720"/>
            <w:col w:w="1979"/>
          </w:cols>
          <w:pgMar w:left="1440" w:top="517" w:right="1440" w:bottom="1440" w:gutter="0" w:footer="0" w:header="0"/>
        </w:sectPr>
      </w:pPr>
    </w:p>
    <w:tbl>
      <w:tblPr>
        <w:tblLayout w:type="fixed"/>
        <w:tblInd w:w="40" w:type="dxa"/>
        <w:tblCellMar>
          <w:top w:w="0" w:type="dxa"/>
          <w:left w:w="0" w:type="dxa"/>
          <w:bottom w:w="0" w:type="dxa"/>
          <w:right w:w="0" w:type="dxa"/>
        </w:tblCellMar>
      </w:tblPr>
      <w:tr>
        <w:trPr>
          <w:trHeight w:val="209"/>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 in thousands: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(42,022)</w:t>
            </w:r>
          </w:p>
        </w:tc>
        <w:tc>
          <w:tcPr>
            <w:tcW w:w="900" w:type="dxa"/>
            <w:vAlign w:val="bottom"/>
          </w:tcPr>
          <w:p>
            <w:pPr>
              <w:jc w:val="right"/>
              <w:spacing w:after="0"/>
              <w:rPr>
                <w:sz w:val="20"/>
                <w:szCs w:val="20"/>
                <w:color w:val="auto"/>
              </w:rPr>
            </w:pPr>
            <w:r>
              <w:rPr>
                <w:rFonts w:ascii="Arial" w:cs="Arial" w:eastAsia="Arial" w:hAnsi="Arial"/>
                <w:sz w:val="18"/>
                <w:szCs w:val="18"/>
                <w:color w:val="auto"/>
              </w:rPr>
              <w:t>$  (26,977)</w:t>
            </w: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102,376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60,097</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639" w:firstLine="324"/>
        <w:spacing w:after="0" w:line="342" w:lineRule="auto"/>
        <w:rPr>
          <w:sz w:val="20"/>
          <w:szCs w:val="20"/>
          <w:color w:val="auto"/>
        </w:rPr>
      </w:pPr>
      <w:r>
        <w:rPr>
          <w:rFonts w:ascii="Arial" w:cs="Arial" w:eastAsia="Arial" w:hAnsi="Arial"/>
          <w:sz w:val="16"/>
          <w:szCs w:val="16"/>
          <w:color w:val="auto"/>
        </w:rPr>
        <w:t>Net cash used in operating activities for the six months ended June 30, 2021 was $42,022, which was primarily attributable to our net loss of $53,995, partially offset by $12,334 in non-cash stock-based compensation.</w:t>
      </w:r>
    </w:p>
    <w:p>
      <w:pPr>
        <w:spacing w:after="0" w:line="124"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2020 was $26,977, which primarily attributable to our net loss of $36,330 partially offset by $2,732 in stock-based compensation and a $7,663 increase in accounts payable, accrued expenses and other liabilities.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was $416 and was attributable to the purchase of property and equipment.</w:t>
      </w:r>
    </w:p>
    <w:p>
      <w:pPr>
        <w:spacing w:after="0" w:line="170"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was $51 and was attributable to the purchase of property and equipment.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2021 was $102,376 and was attributable to $96,971 in net proceeds from the issuance of common stock in our June 2021 public offering, $4,056 in net proceeds from the sale of common stock under our Sale Agreement in June 2020 and $1,349 in proceeds from the exercise of stock options.</w:t>
      </w:r>
    </w:p>
    <w:p>
      <w:pPr>
        <w:spacing w:after="0" w:line="146"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Net cash provided by financing activities for the six months ended June 30, 2020 was $60,097 and was primarily attributable to $68,811 in net proceeds from the issuance of common stock in our February 2020 public offering and $310 in proceeds received from the exercise of stock options. This amount was partially offset by $9,024 used for the purchase and cancellation of 300,000 shares of common stock owned by BioXcel. LLC.</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89" w:lineRule="exact"/>
        <w:rPr>
          <w:sz w:val="20"/>
          <w:szCs w:val="20"/>
          <w:color w:val="auto"/>
        </w:rPr>
      </w:pPr>
    </w:p>
    <w:p>
      <w:pPr>
        <w:ind w:left="60" w:right="459" w:firstLine="324"/>
        <w:spacing w:after="0" w:line="273"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37"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30" w:lineRule="exact"/>
        <w:rPr>
          <w:sz w:val="20"/>
          <w:szCs w:val="20"/>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23"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9" w:lineRule="exact"/>
        <w:rPr>
          <w:rFonts w:ascii="Arial" w:cs="Arial" w:eastAsia="Arial" w:hAnsi="Arial"/>
          <w:sz w:val="18"/>
          <w:szCs w:val="18"/>
          <w:color w:val="auto"/>
        </w:rPr>
      </w:pPr>
    </w:p>
    <w:p>
      <w:pPr>
        <w:ind w:left="700" w:right="379" w:hanging="326"/>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9" w:lineRule="exact"/>
        <w:rPr>
          <w:rFonts w:ascii="Arial" w:cs="Arial" w:eastAsia="Arial" w:hAnsi="Arial"/>
          <w:sz w:val="18"/>
          <w:szCs w:val="18"/>
          <w:color w:val="auto"/>
        </w:rPr>
      </w:pPr>
    </w:p>
    <w:p>
      <w:pPr>
        <w:ind w:left="700" w:right="739" w:hanging="326"/>
        <w:spacing w:after="0" w:line="281"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 w:lineRule="exact"/>
        <w:rPr>
          <w:rFonts w:ascii="Arial" w:cs="Arial" w:eastAsia="Arial" w:hAnsi="Arial"/>
          <w:sz w:val="16"/>
          <w:szCs w:val="16"/>
          <w:color w:val="auto"/>
        </w:rPr>
      </w:pPr>
    </w:p>
    <w:p>
      <w:pPr>
        <w:ind w:left="700" w:hanging="32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4"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believe that our existing cash and cash equivalents as of June 30, 2021 will be sufficient to enable us to fund operating expenses and capital expenditure requirements for at least the next 12 months from the date of the issuance of the financial statements included in this Quarterly Report on Form 10-Q. We expect that we will need to obtain substantial additional funding in order to fund our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we did not have any off-balance sheet arrangements as defined under SEC rules.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There have been no material changes to our contractual obligations as disclosed in our Annual Report on Form 10-K for the fiscal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Operations—Critical Accounting Policies " in our Annual Report on Form 10-K for the fiscal year ended December 31, 2020. We have reviewed and determined that those critical accounting policies and estimates remain our critical accounting policies and estimates as of and for the six months ended June 30, 2021. No changes were made to our critical accounting policies during the period presented.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3 to the financial statements included elsewhere in this Quarterly Report.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59" w:firstLine="324"/>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As of June 30, 2021, we had $273,057 of cash and cash equivalents. Our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is primarily held in U.S. Government money market funds. We do not participate in any foreign currency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hedging activities and we do not have any other derivative financial instruments. We did not recognize any significant exchange rate losses during the six months ended June 30, 2021 and 2020, respectively.</w:t>
      </w:r>
    </w:p>
    <w:p>
      <w:pPr>
        <w:spacing w:after="0" w:line="170" w:lineRule="exact"/>
        <w:rPr>
          <w:sz w:val="20"/>
          <w:szCs w:val="20"/>
          <w:color w:val="auto"/>
        </w:rPr>
      </w:pPr>
    </w:p>
    <w:p>
      <w:pPr>
        <w:jc w:val="both"/>
        <w:ind w:left="60" w:right="21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1"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i w:val="1"/>
          <w:iCs w:val="1"/>
          <w:color w:val="auto"/>
        </w:rPr>
        <w:t>Capital Market Risk</w:t>
      </w:r>
      <w:r>
        <w:rPr>
          <w:rFonts w:ascii="Arial" w:cs="Arial" w:eastAsia="Arial" w:hAnsi="Arial"/>
          <w:sz w:val="16"/>
          <w:szCs w:val="16"/>
          <w:color w:val="auto"/>
        </w:rPr>
        <w:t>. We currently have no product revenues and depend on funds raised through other sources. One</w:t>
      </w:r>
      <w:r>
        <w:rPr>
          <w:rFonts w:ascii="Arial" w:cs="Arial" w:eastAsia="Arial" w:hAnsi="Arial"/>
          <w:sz w:val="16"/>
          <w:szCs w:val="16"/>
          <w:i w:val="1"/>
          <w:iCs w:val="1"/>
          <w:color w:val="auto"/>
        </w:rPr>
        <w:t xml:space="preserve"> </w:t>
      </w:r>
      <w:r>
        <w:rPr>
          <w:rFonts w:ascii="Arial" w:cs="Arial" w:eastAsia="Arial" w:hAnsi="Arial"/>
          <w:sz w:val="16"/>
          <w:szCs w:val="16"/>
          <w:color w:val="auto"/>
        </w:rPr>
        <w:t>source of funding is through future debt or equity offerings. Our ability to raise funds in this manner depends upon, among other things, capital market forces affecting our stock price, and on the state of the capital markets generally.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(as defined in Rules 13a-15(f) and 15d-15(f) under the Exchange Act) during the three months ended June 30, 2021 that have materially affected, or are reasonably likely to materially affect, our internal control over financial reporting.</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10-Q and our Annual Report on Form 10-K for the fiscal year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ended December 31, 2020.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left="60" w:right="279" w:firstLine="324"/>
        <w:spacing w:after="0" w:line="254" w:lineRule="auto"/>
        <w:rPr>
          <w:sz w:val="20"/>
          <w:szCs w:val="20"/>
          <w:color w:val="auto"/>
        </w:rPr>
      </w:pPr>
      <w:r>
        <w:rPr>
          <w:rFonts w:ascii="Arial" w:cs="Arial" w:eastAsia="Arial" w:hAnsi="Arial"/>
          <w:sz w:val="18"/>
          <w:szCs w:val="18"/>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95" w:lineRule="exact"/>
        <w:rPr>
          <w:sz w:val="20"/>
          <w:szCs w:val="20"/>
          <w:color w:val="auto"/>
        </w:rPr>
      </w:pPr>
    </w:p>
    <w:p>
      <w:pPr>
        <w:ind w:left="60" w:right="47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$54.0 million and $36.3 million for the six months ended June 30, 2021 and 2020 respectively. As of June 30, 2021, we had stockholders’ equity of $267.4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8"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70"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70"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64"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4"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79" w:firstLine="324"/>
        <w:spacing w:after="0" w:line="286" w:lineRule="auto"/>
        <w:rPr>
          <w:sz w:val="20"/>
          <w:szCs w:val="20"/>
          <w:color w:val="auto"/>
        </w:rPr>
      </w:pPr>
      <w:r>
        <w:rPr>
          <w:rFonts w:ascii="Arial" w:cs="Arial" w:eastAsia="Arial" w:hAnsi="Arial"/>
          <w:sz w:val="17"/>
          <w:szCs w:val="17"/>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65"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8"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expect that our cash and cash equivalents as of June 30, 2021 will be sufficient to fund our ongoing research and development efforts and commercialization preparation for at least twelve months from the date of the issuance of the financial statements included in this Quarterly Report on Form 10-Q.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96" w:lineRule="auto"/>
        <w:rPr>
          <w:sz w:val="20"/>
          <w:szCs w:val="20"/>
          <w:color w:val="auto"/>
        </w:rPr>
      </w:pPr>
      <w:r>
        <w:rPr>
          <w:rFonts w:ascii="Arial" w:cs="Arial" w:eastAsia="Arial" w:hAnsi="Arial"/>
          <w:sz w:val="16"/>
          <w:szCs w:val="16"/>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1" w:lineRule="exact"/>
        <w:rPr>
          <w:sz w:val="20"/>
          <w:szCs w:val="20"/>
          <w:color w:val="auto"/>
        </w:rPr>
      </w:pPr>
    </w:p>
    <w:p>
      <w:pPr>
        <w:ind w:left="1040" w:right="15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62"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117" w:lineRule="exact"/>
        <w:rPr>
          <w:rFonts w:ascii="Arial" w:cs="Arial" w:eastAsia="Arial" w:hAnsi="Arial"/>
          <w:sz w:val="18"/>
          <w:szCs w:val="18"/>
          <w:color w:val="auto"/>
        </w:rPr>
      </w:pPr>
    </w:p>
    <w:p>
      <w:pPr>
        <w:jc w:val="both"/>
        <w:ind w:left="1040" w:right="259" w:hanging="315"/>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57" w:lineRule="exact"/>
        <w:rPr>
          <w:rFonts w:ascii="Arial" w:cs="Arial" w:eastAsia="Arial" w:hAnsi="Arial"/>
          <w:sz w:val="17"/>
          <w:szCs w:val="17"/>
          <w:color w:val="auto"/>
        </w:rPr>
      </w:pPr>
    </w:p>
    <w:p>
      <w:pPr>
        <w:ind w:left="1040" w:right="25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establish a commercial infrastructure;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physician acceptance or medical society recommendations that may affect commercial efforts;</w:t>
      </w:r>
    </w:p>
    <w:p>
      <w:pPr>
        <w:spacing w:after="0" w:line="140" w:lineRule="exact"/>
        <w:rPr>
          <w:rFonts w:ascii="Arial" w:cs="Arial" w:eastAsia="Arial" w:hAnsi="Arial"/>
          <w:sz w:val="16"/>
          <w:szCs w:val="16"/>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have limited experience in drug discovery and drug development, and we have never had a drug approved.</w:t>
      </w:r>
    </w:p>
    <w:p>
      <w:pPr>
        <w:spacing w:after="0" w:line="248"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6"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040" w:right="73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an IND application by the FDA authorizing us to conduct clinical trials of our product candidates in the United States;</w:t>
      </w:r>
    </w:p>
    <w:p>
      <w:pPr>
        <w:spacing w:after="0" w:line="62"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62"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117"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17" w:lineRule="exact"/>
        <w:rPr>
          <w:rFonts w:ascii="Arial" w:cs="Arial" w:eastAsia="Arial" w:hAnsi="Arial"/>
          <w:sz w:val="18"/>
          <w:szCs w:val="18"/>
          <w:color w:val="auto"/>
        </w:rPr>
      </w:pPr>
    </w:p>
    <w:p>
      <w:pPr>
        <w:ind w:left="1040" w:right="75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62"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62"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78"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For example, on March 3, 2021, we provided further top line data regarding our TRANQUILITY study based on our ongoing analysis.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8"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right="39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62"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239" w:hanging="315"/>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79" w:hanging="315"/>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40" w:right="979" w:hanging="315"/>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8"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have only submitted one NDA to the FDA and have not submitted any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81"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involve an uncertain outcome.</w:t>
      </w:r>
    </w:p>
    <w:p>
      <w:pPr>
        <w:spacing w:after="0" w:line="170"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78" w:lineRule="exact"/>
        <w:rPr>
          <w:sz w:val="20"/>
          <w:szCs w:val="20"/>
          <w:color w:val="auto"/>
        </w:rPr>
      </w:pPr>
    </w:p>
    <w:p>
      <w:pPr>
        <w:ind w:left="1040" w:right="23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62" w:lineRule="exact"/>
        <w:rPr>
          <w:rFonts w:ascii="Arial" w:cs="Arial" w:eastAsia="Arial" w:hAnsi="Arial"/>
          <w:sz w:val="18"/>
          <w:szCs w:val="18"/>
          <w:color w:val="auto"/>
        </w:rPr>
      </w:pPr>
    </w:p>
    <w:p>
      <w:pPr>
        <w:ind w:left="1040" w:right="49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consensus with regulatory authorities on trial designs;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4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 or independent ethics committee, or IEC, approval at any sites outside the United States;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17"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62"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serious adverse events in trials of the same class of agents conducted by other companies or institutions;</w:t>
      </w:r>
    </w:p>
    <w:p>
      <w:pPr>
        <w:spacing w:after="0" w:line="62"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62" w:lineRule="exact"/>
        <w:rPr>
          <w:rFonts w:ascii="Arial" w:cs="Arial" w:eastAsia="Arial" w:hAnsi="Arial"/>
          <w:sz w:val="18"/>
          <w:szCs w:val="18"/>
          <w:color w:val="auto"/>
        </w:rPr>
      </w:pPr>
    </w:p>
    <w:p>
      <w:pPr>
        <w:ind w:left="1040" w:right="159" w:hanging="315"/>
        <w:spacing w:after="0" w:line="279"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63"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17" w:lineRule="exact"/>
        <w:rPr>
          <w:rFonts w:ascii="Arial" w:cs="Arial" w:eastAsia="Arial" w:hAnsi="Arial"/>
          <w:sz w:val="18"/>
          <w:szCs w:val="18"/>
          <w:color w:val="auto"/>
        </w:rPr>
      </w:pPr>
    </w:p>
    <w:p>
      <w:pPr>
        <w:ind w:left="1040" w:right="2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75" w:lineRule="exact"/>
        <w:rPr>
          <w:rFonts w:ascii="Arial" w:cs="Arial" w:eastAsia="Arial" w:hAnsi="Arial"/>
          <w:sz w:val="18"/>
          <w:szCs w:val="18"/>
          <w:color w:val="auto"/>
        </w:rPr>
      </w:pPr>
    </w:p>
    <w:p>
      <w:pPr>
        <w:ind w:left="1040" w:right="259" w:hanging="315"/>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96" w:lineRule="exact"/>
        <w:rPr>
          <w:sz w:val="20"/>
          <w:szCs w:val="20"/>
          <w:color w:val="auto"/>
        </w:rPr>
      </w:pPr>
    </w:p>
    <w:p>
      <w:pPr>
        <w:jc w:val="both"/>
        <w:ind w:left="60" w:right="359" w:firstLine="324"/>
        <w:spacing w:after="0" w:line="296" w:lineRule="auto"/>
        <w:rPr>
          <w:sz w:val="20"/>
          <w:szCs w:val="20"/>
          <w:color w:val="auto"/>
        </w:rPr>
      </w:pPr>
      <w:r>
        <w:rPr>
          <w:rFonts w:ascii="Arial" w:cs="Arial" w:eastAsia="Arial" w:hAnsi="Arial"/>
          <w:sz w:val="16"/>
          <w:szCs w:val="16"/>
          <w:color w:val="auto"/>
        </w:rPr>
        <w:t>For example, in April 2021, PLACIDITY enrollment was voluntarily paused to assess challenges posed in opening relevant clinical sites and enrolling delirium patients in the ICU settings, including as a result of the burden COVID-19 has placed on the ICU. 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IRBs (or IECs) of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98"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1"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5" w:lineRule="auto"/>
        <w:rPr>
          <w:sz w:val="20"/>
          <w:szCs w:val="20"/>
          <w:color w:val="auto"/>
        </w:rPr>
      </w:pPr>
      <w:r>
        <w:rPr>
          <w:rFonts w:ascii="Arial" w:cs="Arial" w:eastAsia="Arial" w:hAnsi="Arial"/>
          <w:sz w:val="16"/>
          <w:szCs w:val="16"/>
          <w:color w:val="auto"/>
        </w:rPr>
        <w:t>the FDA or other comparable foreign authorities. The clinical evaluation of BXCL501, BXCL701 and our other product candidates in patients, in many cases, is still in the early stages and it is possible that there may be side effects associated with their use. Results of our trials could reveal a high and unacceptable severity and prevalence of these or other side effects. For example,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(or IECs)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69"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4"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128" w:lineRule="exact"/>
        <w:rPr>
          <w:rFonts w:ascii="Arial" w:cs="Arial" w:eastAsia="Arial" w:hAnsi="Arial"/>
          <w:sz w:val="17"/>
          <w:szCs w:val="17"/>
          <w:color w:val="auto"/>
        </w:rPr>
      </w:pPr>
    </w:p>
    <w:p>
      <w:pPr>
        <w:ind w:left="1040" w:right="59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62" w:lineRule="exact"/>
        <w:rPr>
          <w:rFonts w:ascii="Arial" w:cs="Arial" w:eastAsia="Arial" w:hAnsi="Arial"/>
          <w:sz w:val="18"/>
          <w:szCs w:val="18"/>
          <w:color w:val="auto"/>
        </w:rPr>
      </w:pPr>
    </w:p>
    <w:p>
      <w:pPr>
        <w:ind w:left="1040" w:right="859" w:hanging="315"/>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spacing w:after="0" w:line="38" w:lineRule="exact"/>
        <w:rPr>
          <w:rFonts w:ascii="Arial" w:cs="Arial" w:eastAsia="Arial" w:hAnsi="Arial"/>
          <w:sz w:val="17"/>
          <w:szCs w:val="17"/>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4" w:lineRule="exact"/>
        <w:rPr>
          <w:sz w:val="20"/>
          <w:szCs w:val="20"/>
          <w:color w:val="auto"/>
        </w:rPr>
      </w:pPr>
    </w:p>
    <w:p>
      <w:pPr>
        <w:jc w:val="both"/>
        <w:ind w:left="60" w:right="559"/>
        <w:spacing w:after="0" w:line="342" w:lineRule="auto"/>
        <w:rPr>
          <w:sz w:val="20"/>
          <w:szCs w:val="20"/>
          <w:color w:val="auto"/>
        </w:rPr>
      </w:pPr>
      <w:r>
        <w:rPr>
          <w:rFonts w:ascii="Arial" w:cs="Arial" w:eastAsia="Arial" w:hAnsi="Arial"/>
          <w:sz w:val="16"/>
          <w:szCs w:val="16"/>
          <w:b w:val="1"/>
          <w:bCs w:val="1"/>
          <w:i w:val="1"/>
          <w:iCs w:val="1"/>
          <w:color w:val="auto"/>
        </w:rPr>
        <w:t>BioXcel LLC’s approach to the discovery and development of product candidates based on EvolverAI is novel and unproven, and we do not know whether we will be able to develop any products of commercial value.</w:t>
      </w:r>
    </w:p>
    <w:p>
      <w:pPr>
        <w:spacing w:after="0" w:line="124"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left="60" w:right="459" w:firstLine="324"/>
        <w:spacing w:after="0" w:line="259" w:lineRule="auto"/>
        <w:rPr>
          <w:sz w:val="20"/>
          <w:szCs w:val="20"/>
          <w:color w:val="auto"/>
        </w:rPr>
      </w:pPr>
      <w:r>
        <w:rPr>
          <w:rFonts w:ascii="Arial" w:cs="Arial" w:eastAsia="Arial" w:hAnsi="Arial"/>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7" w:lineRule="exact"/>
        <w:rPr>
          <w:sz w:val="20"/>
          <w:szCs w:val="20"/>
          <w:color w:val="auto"/>
        </w:rPr>
      </w:pPr>
    </w:p>
    <w:p>
      <w:pPr>
        <w:ind w:left="1040" w:right="159" w:hanging="315"/>
        <w:spacing w:after="0" w:line="275"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68" w:lineRule="exact"/>
        <w:rPr>
          <w:rFonts w:ascii="Arial" w:cs="Arial" w:eastAsia="Arial" w:hAnsi="Arial"/>
          <w:sz w:val="17"/>
          <w:szCs w:val="17"/>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117" w:lineRule="exact"/>
        <w:rPr>
          <w:rFonts w:ascii="Arial" w:cs="Arial" w:eastAsia="Arial" w:hAnsi="Arial"/>
          <w:sz w:val="18"/>
          <w:szCs w:val="18"/>
          <w:color w:val="auto"/>
        </w:rPr>
      </w:pPr>
    </w:p>
    <w:p>
      <w:pPr>
        <w:ind w:left="1040" w:right="799" w:hanging="315"/>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7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117"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7"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8"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including BXCL501. The Hatch-Waxman Act added Section 505(b)(2) to the Federal Food, Drug and Cosmetic Act, or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71" w:lineRule="exact"/>
        <w:rPr>
          <w:sz w:val="20"/>
          <w:szCs w:val="20"/>
          <w:color w:val="auto"/>
        </w:rPr>
      </w:pPr>
    </w:p>
    <w:p>
      <w:pPr>
        <w:ind w:left="60" w:right="25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4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may decide to collaborate with patient diagnostic companies during our clinical trial enrollment process for BXCL701 to help identify patients with tumor gene alterations that we believe may be most likely to respond to our product candidates. If a satisfactory companion diagnostic is not commercially available, we may be required to create or obtain one that would be subject to regulatory approval requirements. The process of obtaining or creating such diagnostic is time consuming and costly.</w:t>
      </w:r>
    </w:p>
    <w:p>
      <w:pPr>
        <w:spacing w:after="0" w:line="192"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2"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If the FDA or a comparable foreign regulatory authority requires approval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prevent us from completing our clinical trials or commercializing our product candidates, if approved, on a timely or profitable basis, if at all.</w:t>
      </w:r>
    </w:p>
    <w:p>
      <w:pPr>
        <w:spacing w:after="0" w:line="170"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(2017/746 or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will, however, only become applicable in May 2022.</w:t>
      </w:r>
    </w:p>
    <w:p>
      <w:pPr>
        <w:spacing w:after="0" w:line="181"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The regulation of companion diagnostics will be subject to further requirements as of the entry into force of the IVDR which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spacing w:after="0" w:line="185"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These modifications may make it more difficult and costly for us to obtain regulatory clearances or approvals for our companion diagnostics or to manufacture, market or distribute our products after clearance or approval is obtained.</w:t>
      </w:r>
    </w:p>
    <w:p>
      <w:pPr>
        <w:spacing w:after="0" w:line="124"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84" w:lineRule="exact"/>
        <w:rPr>
          <w:sz w:val="20"/>
          <w:szCs w:val="20"/>
          <w:color w:val="auto"/>
        </w:rPr>
      </w:pPr>
    </w:p>
    <w:p>
      <w:pPr>
        <w:ind w:left="60" w:right="339" w:firstLine="324"/>
        <w:spacing w:after="0" w:line="290"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65" w:lineRule="exact"/>
        <w:rPr>
          <w:sz w:val="20"/>
          <w:szCs w:val="20"/>
          <w:color w:val="auto"/>
        </w:rPr>
      </w:pPr>
    </w:p>
    <w:p>
      <w:pPr>
        <w:ind w:left="60" w:right="219" w:firstLine="324"/>
        <w:spacing w:after="0" w:line="271"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78"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84"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33"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Further, the FDA’s policies may change, and additional government regulations may be enacted that could impose extensive and ongoing regulatory requirements and obligations on any product candidate for which we obtain marketing approval. For instance, the EU has adopted Regulation (EU) No 536/2014 (Clinical Trials Regulation, or CTR) in April 2014, which is expected to come into application in 2022. The CTR will be directly applicable in all the EU member states, repealing the current Clinical Trials Directive. Conduct of all clinical trials performed in the European Union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 via a Clinical Trials Information System, which will notably contain a centralized EU portal and database.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4"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We also cannot predict the likelihood, nature or extent of government regulation that may arise from future legislation or administrative action, either in the United States or abroad. For example,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jc w:val="both"/>
        <w:ind w:left="60" w:right="399" w:firstLine="324"/>
        <w:spacing w:after="0" w:line="311"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9" w:lineRule="auto"/>
        <w:rPr>
          <w:sz w:val="20"/>
          <w:szCs w:val="20"/>
          <w:color w:val="auto"/>
        </w:rPr>
      </w:pPr>
      <w:r>
        <w:rPr>
          <w:rFonts w:ascii="Arial" w:cs="Arial" w:eastAsia="Arial" w:hAnsi="Arial"/>
          <w:sz w:val="17"/>
          <w:szCs w:val="17"/>
          <w:color w:val="auto"/>
        </w:rPr>
        <w:t>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U.S. federal government (and other foreign governments)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82"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ind w:left="60" w:right="159" w:firstLine="324"/>
        <w:spacing w:after="0" w:line="284"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w:t>
      </w:r>
    </w:p>
    <w:p>
      <w:pPr>
        <w:spacing w:after="0" w:line="4" w:lineRule="exact"/>
        <w:rPr>
          <w:sz w:val="20"/>
          <w:szCs w:val="20"/>
          <w:color w:val="auto"/>
        </w:rPr>
      </w:pPr>
    </w:p>
    <w:p>
      <w:pPr>
        <w:ind w:left="60" w:right="159" w:firstLine="45"/>
        <w:spacing w:after="0" w:line="268" w:lineRule="auto"/>
        <w:rPr>
          <w:sz w:val="20"/>
          <w:szCs w:val="20"/>
          <w:color w:val="auto"/>
        </w:rPr>
      </w:pPr>
      <w:r>
        <w:rPr>
          <w:rFonts w:ascii="Arial" w:cs="Arial" w:eastAsia="Arial" w:hAnsi="Arial"/>
          <w:sz w:val="17"/>
          <w:szCs w:val="17"/>
          <w:color w:val="auto"/>
        </w:rPr>
        <w:t>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trials or marketing of the product in those countries. The requirements and process governing the conduct of clinical trials, product licensing, pricing and reimbursement vary from country to country.</w:t>
      </w:r>
    </w:p>
    <w:p>
      <w:pPr>
        <w:spacing w:after="0" w:line="170"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61"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or the UK, the United Kingdom withdrew from the European Union, or Brexit, on January 31, 2020 and entered into a transition period during which it was essentially treated as a member state of the EU and the regulatory regime remained the same across the United Kingdom and the European Union. Since January 1, 2021, the United Kingdom operates under a distinct regulatory regime. EU pharmaceutical laws now only apply to the UK in respect of Northern Ireland (as laid out in the Protocol on Ireland and Northern Ireland, including but not limited to marketing authorization applications). EU laws which have been transposed into UK law through secondary legislation continue to be applicable as “retained EU law”. As there is no general power to amend this “retained EU law” the UK government has introduced a new Medicines and Medical Devices Bill which seeks to address regulatory gaps through implementing regulations and delegated powers covering the fields of human medicines, clinical trials of human medicines, veterinary medicines and medical devices. The purpose of the bill is to enable the existing UK regulatory frameworks to be updated. Although regulatory authorities in the UK have indicated in the bill that new UK rules will closely align with EU laws, detailed proposals are yet to be published. The bill has not been formally enacted and had its final reading in the House of Lords on January 21, 2021. As the House of Lords proposed amendments to the draft legislation, the bill will go back to the other house of parliament for debate. There is no set time period for consideration of amendments and the bill will only proceed to be enacted as law once the draft bill has been agreed by both houses and royal assent has been obtained. The draft bill currently contemplates that the provisions will come into effect immediately upon enactment or otherwise within two months thereafter, with the exception of certain provisions on enforcement and disclosure, which are subject to further regulation Significant political and economic uncertainty therefore remains about how much the relationship between the UK and EU will differ as a result of the UK’s withdrawal.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7" w:lineRule="exact"/>
        <w:rPr>
          <w:sz w:val="20"/>
          <w:szCs w:val="20"/>
          <w:color w:val="auto"/>
        </w:rPr>
      </w:pPr>
    </w:p>
    <w:p>
      <w:pPr>
        <w:ind w:left="1040" w:right="139" w:hanging="315"/>
        <w:spacing w:after="0" w:line="255"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jc w:val="both"/>
        <w:ind w:left="1040" w:right="399" w:hanging="315"/>
        <w:spacing w:after="0" w:line="311"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spacing w:after="0" w:line="293" w:lineRule="auto"/>
        <w:rPr>
          <w:sz w:val="20"/>
          <w:szCs w:val="20"/>
          <w:color w:val="auto"/>
        </w:rPr>
      </w:pPr>
      <w:r>
        <w:rPr>
          <w:rFonts w:ascii="Arial" w:cs="Arial" w:eastAsia="Arial" w:hAnsi="Arial"/>
          <w:sz w:val="16"/>
          <w:szCs w:val="16"/>
          <w:color w:val="auto"/>
        </w:rPr>
        <w:t>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64" w:lineRule="exact"/>
        <w:rPr>
          <w:sz w:val="20"/>
          <w:szCs w:val="20"/>
          <w:color w:val="auto"/>
        </w:rPr>
      </w:pPr>
    </w:p>
    <w:p>
      <w:pPr>
        <w:ind w:left="1040" w:right="239" w:hanging="315"/>
        <w:spacing w:after="0" w:line="25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94" w:lineRule="exact"/>
        <w:rPr>
          <w:rFonts w:ascii="Arial" w:cs="Arial" w:eastAsia="Arial" w:hAnsi="Arial"/>
          <w:sz w:val="18"/>
          <w:szCs w:val="18"/>
          <w:color w:val="auto"/>
        </w:rPr>
      </w:pPr>
    </w:p>
    <w:p>
      <w:pPr>
        <w:ind w:left="1040" w:right="139" w:hanging="315"/>
        <w:spacing w:after="0" w:line="301"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7"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1040" w:right="219" w:hanging="315"/>
        <w:spacing w:after="0" w:line="273"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77" w:lineRule="exact"/>
        <w:rPr>
          <w:rFonts w:ascii="Arial" w:cs="Arial" w:eastAsia="Arial" w:hAnsi="Arial"/>
          <w:sz w:val="17"/>
          <w:szCs w:val="17"/>
          <w:color w:val="auto"/>
        </w:rPr>
      </w:pPr>
    </w:p>
    <w:p>
      <w:pPr>
        <w:ind w:left="1040" w:right="259" w:hanging="315"/>
        <w:spacing w:after="0" w:line="271"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p>
      <w:pPr>
        <w:spacing w:after="0" w:line="178" w:lineRule="exact"/>
        <w:rPr>
          <w:rFonts w:ascii="Arial" w:cs="Arial" w:eastAsia="Arial" w:hAnsi="Arial"/>
          <w:sz w:val="17"/>
          <w:szCs w:val="17"/>
          <w:color w:val="auto"/>
        </w:rPr>
      </w:pPr>
    </w:p>
    <w:p>
      <w:pPr>
        <w:ind w:left="1040" w:right="29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117"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7"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b w:val="1"/>
          <w:bCs w:val="1"/>
          <w:i w:val="1"/>
          <w:iCs w:val="1"/>
          <w:color w:val="auto"/>
        </w:rPr>
        <w:t>We have been granted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7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at the end of the fifth year, it is established that a drug no longer meets the criteria for orphan drug designation or if the drug is sufficiently profitable so that market exclusivity is no longer justified. In January 2021, the FDA granted Orphan Drug Designation to BXCL701 for the treatment of soft tissue sarcoma. In September 2019, the FDA granted Orphan Drug Designation to BXCL701 for the treatment of acute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65"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387"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7" w:lineRule="exact"/>
        <w:rPr>
          <w:sz w:val="20"/>
          <w:szCs w:val="20"/>
          <w:color w:val="auto"/>
        </w:rPr>
      </w:pPr>
    </w:p>
    <w:p>
      <w:pPr>
        <w:ind w:left="60" w:right="399" w:firstLine="324"/>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4"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4"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6" w:lineRule="exact"/>
        <w:rPr>
          <w:sz w:val="20"/>
          <w:szCs w:val="20"/>
          <w:color w:val="auto"/>
        </w:rPr>
      </w:pPr>
    </w:p>
    <w:p>
      <w:pPr>
        <w:ind w:left="1040" w:right="79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62"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117" w:lineRule="exact"/>
        <w:rPr>
          <w:rFonts w:ascii="Arial" w:cs="Arial" w:eastAsia="Arial" w:hAnsi="Arial"/>
          <w:sz w:val="18"/>
          <w:szCs w:val="18"/>
          <w:color w:val="auto"/>
        </w:rPr>
      </w:pPr>
    </w:p>
    <w:p>
      <w:pPr>
        <w:ind w:left="1040" w:right="11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62"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1"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8"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82"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For example, the Tax Cuts and Jobs Act, or the Tax Act, was enacted, which, among other things, removed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0" w:lineRule="auto"/>
        <w:rPr>
          <w:sz w:val="20"/>
          <w:szCs w:val="20"/>
          <w:color w:val="auto"/>
        </w:rPr>
      </w:pPr>
      <w:r>
        <w:rPr>
          <w:rFonts w:ascii="Arial" w:cs="Arial" w:eastAsia="Arial" w:hAnsi="Arial"/>
          <w:sz w:val="17"/>
          <w:szCs w:val="17"/>
          <w:color w:val="auto"/>
        </w:rPr>
        <w:t>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held that Texas and other plaintiff states do not have standing to challenge the constitutionality of the Affordable Care Act’s individual mandate. It is also unclear how other efforts, if any, to challenge, repeal or replace the ACA will impact the law, or our business or financial condition.</w:t>
      </w:r>
    </w:p>
    <w:p>
      <w:pPr>
        <w:spacing w:after="0" w:line="181" w:lineRule="exact"/>
        <w:rPr>
          <w:sz w:val="20"/>
          <w:szCs w:val="20"/>
          <w:color w:val="auto"/>
        </w:rPr>
      </w:pPr>
    </w:p>
    <w:p>
      <w:pPr>
        <w:ind w:left="60" w:right="219" w:firstLine="324"/>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as well as 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78"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65" w:lineRule="exact"/>
        <w:rPr>
          <w:sz w:val="20"/>
          <w:szCs w:val="20"/>
          <w:color w:val="auto"/>
        </w:rPr>
      </w:pPr>
    </w:p>
    <w:p>
      <w:pPr>
        <w:ind w:left="60" w:right="21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As of August 5, 2021, BioXcel LLC owned approximately 31.0% of the economic interest and voting power of our outstanding common stock. Even though BioXcel LLC controls less than a majority of the voting power of our outstanding common stock, it may influence the outcome of such corporate actions so long as it owns a significant portion of our common stock.</w:t>
      </w:r>
    </w:p>
    <w:p>
      <w:pPr>
        <w:spacing w:after="0" w:line="187"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84"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The commercial terms of the Separation and Shared Services Agreement with BioXcel LLC, as amended and restated, or the Services Agreement, and the Amended and Restated Asset Contribution Agreement, or the Contribution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Agreement, that we have entered into with BioXcel LLC have not been negotiated on behalf of BioXcel LLC by persons consisting solely of disinterested BioXcel directors.</w:t>
      </w:r>
    </w:p>
    <w:p>
      <w:pPr>
        <w:spacing w:after="0" w:line="170"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No assurance can be given that any stockholder of BioXcel LLC will not claim in a lawsuit that such terms in fact are not in the best interests of BioXcel LLC and its stockholders, that the directors and officers of BioXcel LLC breached their fiduciary duties in connection with such agreements and that any disclosures by BioXcel LLC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will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225"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We rely, in part, on BioXcel LLC and access to EvolverAI, a research and development engine created and owned by BioXcel LLC, to identify, research and develop potential product candidates in neuroscience and immuno-oncology. The Company has negotiated the Services Agreement with BioXcel LLC pursuant to which BioXcel LLC shall perform product identification and related services for us utilizing EvolverAI. Under the Services Agreement, the Company has an option, exercisable until March 12, 2023, to enter into a collaborative services agreement with BioXcel LLC pursuant to which BioXcel LLC shall perform product identification and related services for us utilizing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LLC shall continue to make such product identification and related services available to us until at least September 30, 2024. In addition, BioXcel LLC has granted us a first right to negotiate exclusive rights to any additional product candidates in the fields of neuroscience and immuno-oncology that BioXcel LLC may identify on its own and not in connection with BioXcel LLC’s provision of services to us under the Services Agreement. This option for first negotiation shall be valid for a period of five years from the date of our IPO. If our rights and access to BioXcel LLC’s collaborative services and to EvolverAI were to become limited, terminated, or if we were otherwise precluded from conducting research and development using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LLC, we cannot control whether or not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 LLC.</w:t>
      </w:r>
    </w:p>
    <w:p>
      <w:pPr>
        <w:spacing w:after="0" w:line="38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70"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The management of and beneficial ownership in BioXcel LLC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as well as a director, officer and stockholder of BioXcel LLC. Additionally, as of August 5, 2021, each of Dr. Mehta and Dr. Nandabalan, through their beneficial ownership of</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BioXcel LLC, beneficially owned approximately 32% and 32%, respectively,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177"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7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70" w:lineRule="exact"/>
        <w:rPr>
          <w:sz w:val="20"/>
          <w:szCs w:val="20"/>
          <w:color w:val="auto"/>
        </w:rPr>
      </w:pPr>
    </w:p>
    <w:p>
      <w:pPr>
        <w:ind w:left="1040" w:right="719" w:hanging="315"/>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LLC and us;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11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w:t>
      </w:r>
    </w:p>
    <w:p>
      <w:pPr>
        <w:spacing w:after="0" w:line="170" w:lineRule="exact"/>
        <w:rPr>
          <w:sz w:val="20"/>
          <w:szCs w:val="20"/>
          <w:color w:val="auto"/>
        </w:rPr>
      </w:pPr>
    </w:p>
    <w:p>
      <w:pPr>
        <w:ind w:left="60" w:right="239" w:firstLine="324"/>
        <w:spacing w:after="0" w:line="285" w:lineRule="auto"/>
        <w:rPr>
          <w:sz w:val="20"/>
          <w:szCs w:val="20"/>
          <w:color w:val="auto"/>
        </w:rPr>
      </w:pPr>
      <w:r>
        <w:rPr>
          <w:rFonts w:ascii="Arial" w:cs="Arial" w:eastAsia="Arial" w:hAnsi="Arial"/>
          <w:sz w:val="16"/>
          <w:szCs w:val="16"/>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92"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68" w:lineRule="exact"/>
        <w:rPr>
          <w:sz w:val="20"/>
          <w:szCs w:val="20"/>
          <w:color w:val="auto"/>
        </w:rPr>
      </w:pPr>
    </w:p>
    <w:p>
      <w:pPr>
        <w:ind w:left="60" w:right="319" w:firstLine="324"/>
        <w:spacing w:after="0" w:line="269"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5" w:lineRule="exact"/>
        <w:rPr>
          <w:sz w:val="20"/>
          <w:szCs w:val="20"/>
          <w:color w:val="auto"/>
        </w:rPr>
      </w:pPr>
    </w:p>
    <w:p>
      <w:pPr>
        <w:ind w:left="60" w:right="179" w:firstLine="324"/>
        <w:spacing w:after="0" w:line="285"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65"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6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359" w:firstLine="324"/>
        <w:spacing w:after="0" w:line="255"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We are a party to several collaboration agreements (research and clinical).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92"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117"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7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5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579"/>
        <w:spacing w:after="0" w:line="323"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our regulatory responsibilities. We and our CROs are required to comply with GCPs, which are regulations and guidelines enforced by the FDA, the Competent Authorities of the member states of the European Economic Area, or EEA and comparable foreign regulatory authorities for all of our products in clinical development.</w:t>
      </w:r>
    </w:p>
    <w:p>
      <w:pPr>
        <w:spacing w:after="0" w:line="16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00" w:lineRule="exact"/>
        <w:rPr>
          <w:sz w:val="20"/>
          <w:szCs w:val="20"/>
          <w:color w:val="auto"/>
        </w:rPr>
      </w:pPr>
    </w:p>
    <w:p>
      <w:pPr>
        <w:ind w:left="60" w:right="299" w:firstLine="324"/>
        <w:spacing w:after="0" w:line="269" w:lineRule="auto"/>
        <w:rPr>
          <w:sz w:val="20"/>
          <w:szCs w:val="20"/>
          <w:color w:val="auto"/>
        </w:rPr>
      </w:pPr>
      <w:r>
        <w:rPr>
          <w:rFonts w:ascii="Arial" w:cs="Arial" w:eastAsia="Arial" w:hAnsi="Arial"/>
          <w:sz w:val="17"/>
          <w:szCs w:val="17"/>
          <w:color w:val="auto"/>
        </w:rPr>
        <w:t>In 2020, the novel coronavirus disease, COVID-19, was declared a pandemic and spread across the globe, including throughout the United States and Europe.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We have also implemented protocols as required under the State of Connecticut’s Reopen program and have limited travel. We have taken steps to protect our workforce and have instituted strict work rules to protect our employees. Beginning late in the first quarter of 2021, and in line with State of Connecticut guidelines, we opened our office on a voluntary basis up to full capacity. In May 2021, the State of Connecticut lifted all business and office restrictions in the State. We have instituted a return to the office policy and will continue to evaluate that policy over the next several months.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pacing w:after="0" w:line="184"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40" w:right="519" w:hanging="315"/>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diversion of healthcare resources away from the conduct of clinical trials, including the diversion of hospitals serving as our clinical trial sites and hospital staff supporting the conduct of our clinical trials;</w:t>
      </w:r>
    </w:p>
    <w:p>
      <w:pPr>
        <w:spacing w:after="0" w:line="15" w:lineRule="exact"/>
        <w:rPr>
          <w:rFonts w:ascii="Arial" w:cs="Arial" w:eastAsia="Arial" w:hAnsi="Arial"/>
          <w:sz w:val="16"/>
          <w:szCs w:val="16"/>
          <w:color w:val="auto"/>
        </w:rPr>
      </w:pPr>
    </w:p>
    <w:p>
      <w:pPr>
        <w:ind w:left="1040" w:right="239" w:hanging="315"/>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8"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18"/>
          <w:szCs w:val="18"/>
          <w:color w:val="auto"/>
        </w:rPr>
      </w:pPr>
    </w:p>
    <w:p>
      <w:pPr>
        <w:ind w:left="1040" w:right="31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62" w:lineRule="exact"/>
        <w:rPr>
          <w:rFonts w:ascii="Arial" w:cs="Arial" w:eastAsia="Arial" w:hAnsi="Arial"/>
          <w:sz w:val="18"/>
          <w:szCs w:val="18"/>
          <w:color w:val="auto"/>
        </w:rPr>
      </w:pPr>
    </w:p>
    <w:p>
      <w:pPr>
        <w:jc w:val="both"/>
        <w:ind w:left="1040" w:right="17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40" w:right="719" w:hanging="315"/>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38" w:lineRule="exact"/>
        <w:rPr>
          <w:rFonts w:ascii="Arial" w:cs="Arial" w:eastAsia="Arial" w:hAnsi="Arial"/>
          <w:sz w:val="17"/>
          <w:szCs w:val="17"/>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333"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COVID-19 pandemic continues to rapidly evolve. The extent to which the outbreak impacts our business, preclinical studies and clinical trials will depend on future developments, which are highly uncertain and cannot be predicted with confidence, such as rate of infection, the duration of the pandemic and subsequent waves of infection, the prevalence of new variants of the virus, travel restrictions and social distancing in the United States and other countries, business closures or business disruptions, the availability, adoption and effectiveness of any vaccines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6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In addition to our employees, we have access to certain of BioXcel LLC’s employees and resources through the various agreements we have entered into with BioXcel LLC.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activities, and commercialize our product candidate. Our management and scientific personnel, systems and facilities currently in place may not be adequate to support our future growth.</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040" w:right="2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62"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62"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117"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259" w:firstLine="324"/>
        <w:spacing w:after="0" w:line="290" w:lineRule="auto"/>
        <w:rPr>
          <w:sz w:val="20"/>
          <w:szCs w:val="20"/>
          <w:color w:val="auto"/>
        </w:rPr>
      </w:pPr>
      <w:r>
        <w:rPr>
          <w:rFonts w:ascii="Arial" w:cs="Arial" w:eastAsia="Arial" w:hAnsi="Arial"/>
          <w:sz w:val="16"/>
          <w:szCs w:val="16"/>
          <w:color w:val="auto"/>
        </w:rPr>
        <w:t>Our success depends largely upon the continued services of our key executive officers, Vimal Mehta, our Chief Executive Officer, President and a member of our Board, as well as the other principal members of our management, scientific and clinical teams.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5"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92"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4"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170"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62" w:lineRule="exact"/>
        <w:rPr>
          <w:rFonts w:ascii="Arial" w:cs="Arial" w:eastAsia="Arial" w:hAnsi="Arial"/>
          <w:sz w:val="18"/>
          <w:szCs w:val="18"/>
          <w:color w:val="auto"/>
        </w:rPr>
      </w:pPr>
    </w:p>
    <w:p>
      <w:pPr>
        <w:ind w:left="1040" w:right="219" w:hanging="315"/>
        <w:spacing w:after="0" w:line="342"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17"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333" w:lineRule="exact"/>
        <w:rPr>
          <w:sz w:val="20"/>
          <w:szCs w:val="20"/>
          <w:color w:val="auto"/>
        </w:rPr>
      </w:pPr>
    </w:p>
    <w:p>
      <w:pPr>
        <w:ind w:left="60" w:right="639" w:firstLine="324"/>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539" w:firstLine="324"/>
        <w:spacing w:after="0" w:line="301"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78"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74"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2"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cyber-attacks or cyber-intrusions over the Internet, malware, computer viruses, email spoofing, attachments to e-mails, persons inside our organization,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For example, in September 2020, we were the victim of an email-based wire fraud that involved two electronic communications impersonating one of our vendors, resulting in our sending wires totaling $1.9 million to accounts controlled by the impersonator.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85"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3"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artificial intelligence and machine learning may be subject to laws and evolving regulations regarding the use of artificial intelligence/machine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82"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87"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 Europe, the General Data Protection Regulation, or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8" w:lineRule="auto"/>
        <w:rPr>
          <w:sz w:val="20"/>
          <w:szCs w:val="20"/>
          <w:color w:val="auto"/>
        </w:rPr>
      </w:pPr>
      <w:r>
        <w:rPr>
          <w:rFonts w:ascii="Arial" w:cs="Arial" w:eastAsia="Arial" w:hAnsi="Arial"/>
          <w:sz w:val="17"/>
          <w:szCs w:val="17"/>
          <w:color w:val="auto"/>
        </w:rPr>
        <w:t>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or CJEU.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These and other recent developments are likely to require us to review and amend the legal mechanisms by which we make and/or receive personal data transfers to and in the United States.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0"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Further, from January 1, 2021, companies have to comply with the GDPR and also the United Kingdom GDPR, or UK GDPR, which, together with the amended UK Data Protection Act 2018, retains the GDPR in UK national law. The UK GDPR mirrors the fines under the GDPR, i.e., fines up to the greater of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18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62"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17" w:lineRule="exact"/>
        <w:rPr>
          <w:sz w:val="20"/>
          <w:szCs w:val="20"/>
          <w:color w:val="auto"/>
        </w:rPr>
      </w:pPr>
    </w:p>
    <w:p>
      <w:pPr>
        <w:ind w:left="60" w:right="439" w:firstLine="324"/>
        <w:spacing w:after="0" w:line="273" w:lineRule="auto"/>
        <w:rPr>
          <w:sz w:val="20"/>
          <w:szCs w:val="20"/>
          <w:color w:val="auto"/>
        </w:rPr>
      </w:pPr>
      <w:r>
        <w:rPr>
          <w:rFonts w:ascii="Arial" w:cs="Arial" w:eastAsia="Arial" w:hAnsi="Arial"/>
          <w:sz w:val="17"/>
          <w:szCs w:val="17"/>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7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and research and development credits to offset future taxable income may be subject to certain limitations.</w:t>
      </w:r>
    </w:p>
    <w:p>
      <w:pPr>
        <w:spacing w:after="0" w:line="170"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As of December 31, 2020, we had federal operating loss carryforwards, or NOLs, of approximately $40.7 million. Our NOLs arising before January 1, 2018 are subject to expiration and will begin to expire in 2037. As of December 31, 2020, we also had federal and state research and development and other tax credit carryforwards, or credits of approximately $5.0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three-year period. Future changes in our stock ownership, including as a result of our public offerings of common stock in 2021 and 2020,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 As of August 5, 2021, we had five allowed or issued foreign utility patents that are relevant to our BXCL701 program and one issued U.S. patent, one issued foreign utility patent and one allowed foreign utility patent that are relevant to our BXCL501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6"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6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40" w:right="33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117"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46" w:lineRule="exact"/>
        <w:rPr>
          <w:rFonts w:ascii="Arial" w:cs="Arial" w:eastAsia="Arial" w:hAnsi="Arial"/>
          <w:sz w:val="16"/>
          <w:szCs w:val="16"/>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 Patent and Trademark Office, or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4"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239" w:firstLine="324"/>
        <w:spacing w:after="0" w:line="270" w:lineRule="auto"/>
        <w:rPr>
          <w:sz w:val="20"/>
          <w:szCs w:val="20"/>
          <w:color w:val="auto"/>
        </w:rPr>
      </w:pPr>
      <w:r>
        <w:rPr>
          <w:rFonts w:ascii="Arial" w:cs="Arial" w:eastAsia="Arial" w:hAnsi="Arial"/>
          <w:sz w:val="17"/>
          <w:szCs w:val="17"/>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117" w:lineRule="exact"/>
        <w:rPr>
          <w:rFonts w:ascii="Arial" w:cs="Arial" w:eastAsia="Arial" w:hAnsi="Arial"/>
          <w:sz w:val="18"/>
          <w:szCs w:val="18"/>
          <w:color w:val="auto"/>
        </w:rPr>
      </w:pPr>
    </w:p>
    <w:p>
      <w:pPr>
        <w:ind w:left="1040" w:right="359" w:hanging="315"/>
        <w:spacing w:after="0" w:line="26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75"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62"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76"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79"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jc w:val="both"/>
        <w:ind w:left="60" w:right="159" w:firstLine="324"/>
        <w:spacing w:after="0" w:line="301"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8" w:lineRule="auto"/>
        <w:rPr>
          <w:sz w:val="20"/>
          <w:szCs w:val="20"/>
          <w:color w:val="auto"/>
        </w:rPr>
      </w:pPr>
      <w:r>
        <w:rPr>
          <w:rFonts w:ascii="Arial" w:cs="Arial" w:eastAsia="Arial" w:hAnsi="Arial"/>
          <w:sz w:val="16"/>
          <w:szCs w:val="16"/>
          <w:color w:val="auto"/>
        </w:rPr>
        <w:t>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68"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4"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60" w:right="105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some patent applications in the United States may be maintained in secrecy until the patents are issued;</w:t>
      </w:r>
    </w:p>
    <w:p>
      <w:pPr>
        <w:spacing w:after="0" w:line="128" w:lineRule="exact"/>
        <w:rPr>
          <w:rFonts w:ascii="Arial" w:cs="Arial" w:eastAsia="Arial" w:hAnsi="Arial"/>
          <w:sz w:val="17"/>
          <w:szCs w:val="17"/>
          <w:color w:val="auto"/>
        </w:rPr>
      </w:pPr>
    </w:p>
    <w:p>
      <w:pPr>
        <w:ind w:left="1040" w:right="39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87"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117" w:lineRule="exact"/>
        <w:rPr>
          <w:rFonts w:ascii="Arial" w:cs="Arial" w:eastAsia="Arial" w:hAnsi="Arial"/>
          <w:sz w:val="18"/>
          <w:szCs w:val="18"/>
          <w:color w:val="auto"/>
        </w:rPr>
      </w:pPr>
    </w:p>
    <w:p>
      <w:pPr>
        <w:ind w:left="1040" w:right="579" w:hanging="315"/>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5" w:lineRule="exact"/>
        <w:rPr>
          <w:rFonts w:ascii="Arial" w:cs="Arial" w:eastAsia="Arial" w:hAnsi="Arial"/>
          <w:sz w:val="16"/>
          <w:szCs w:val="16"/>
          <w:color w:val="auto"/>
        </w:rPr>
      </w:pPr>
    </w:p>
    <w:p>
      <w:pPr>
        <w:ind w:left="1040" w:right="599" w:hanging="315"/>
        <w:spacing w:after="0" w:line="28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57"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61"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117" w:lineRule="exact"/>
        <w:rPr>
          <w:rFonts w:ascii="Arial" w:cs="Arial" w:eastAsia="Arial" w:hAnsi="Arial"/>
          <w:sz w:val="18"/>
          <w:szCs w:val="18"/>
          <w:color w:val="auto"/>
        </w:rPr>
      </w:pPr>
    </w:p>
    <w:p>
      <w:pPr>
        <w:ind w:left="1040" w:right="8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speculative trading in and short sales of our stock, as well as trading phenomena such as the “short squeeze”;</w:t>
      </w:r>
    </w:p>
    <w:p>
      <w:pPr>
        <w:spacing w:after="0" w:line="62"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62"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62" w:lineRule="exact"/>
        <w:rPr>
          <w:rFonts w:ascii="Arial" w:cs="Arial" w:eastAsia="Arial" w:hAnsi="Arial"/>
          <w:sz w:val="18"/>
          <w:szCs w:val="18"/>
          <w:color w:val="auto"/>
        </w:rPr>
      </w:pPr>
    </w:p>
    <w:p>
      <w:pPr>
        <w:ind w:left="1040" w:right="479" w:hanging="315"/>
        <w:spacing w:after="0" w:line="263"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7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140"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117"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62"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117"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62"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117"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128" w:lineRule="exact"/>
        <w:rPr>
          <w:rFonts w:ascii="Arial" w:cs="Arial" w:eastAsia="Arial" w:hAnsi="Arial"/>
          <w:sz w:val="17"/>
          <w:szCs w:val="17"/>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117"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As of August 5, 2021,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40"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679" w:firstLine="324"/>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65"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339" w:firstLine="324"/>
        <w:spacing w:after="0" w:line="30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4" w:lineRule="exact"/>
        <w:rPr>
          <w:sz w:val="20"/>
          <w:szCs w:val="20"/>
          <w:color w:val="auto"/>
        </w:rPr>
      </w:pPr>
    </w:p>
    <w:p>
      <w:pPr>
        <w:ind w:left="60" w:right="33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78"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as of fiscal year end, we determine that either (1) our annual revenues are at least $100 million and our voting and non-voting common stock held by non-affiliates is more than $250 million measured on the last business day of our most recent second fiscal quarter or (2) our voting and non-voting common stock held by non-affiliates is more than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1"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68"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61"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117"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62"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6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As a publicly traded company we have incurred significant additional legal, accounting and other expenses that we did not incur as a privately held subsidiary of BioXcel LLC.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LLC. Our management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70" w:lineRule="exact"/>
        <w:rPr>
          <w:sz w:val="20"/>
          <w:szCs w:val="20"/>
          <w:color w:val="auto"/>
        </w:rPr>
      </w:pPr>
    </w:p>
    <w:p>
      <w:pPr>
        <w:ind w:left="60" w:right="219" w:firstLine="324"/>
        <w:spacing w:after="0" w:line="285"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299" w:firstLine="324"/>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2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2" w:lineRule="exact"/>
        <w:rPr>
          <w:sz w:val="20"/>
          <w:szCs w:val="20"/>
          <w:color w:val="auto"/>
        </w:rPr>
      </w:pPr>
    </w:p>
    <w:p>
      <w:pPr>
        <w:ind w:left="60" w:right="399" w:firstLine="324"/>
        <w:spacing w:after="0" w:line="291" w:lineRule="auto"/>
        <w:rPr>
          <w:sz w:val="20"/>
          <w:szCs w:val="20"/>
          <w:color w:val="auto"/>
        </w:rPr>
      </w:pPr>
      <w:r>
        <w:rPr>
          <w:rFonts w:ascii="Arial" w:cs="Arial" w:eastAsia="Arial" w:hAnsi="Arial"/>
          <w:sz w:val="16"/>
          <w:szCs w:val="16"/>
          <w:color w:val="auto"/>
        </w:rPr>
        <w:t>During the quarter ended September 30, 2020, we experienced an email-based wire fraud that resulted in the misappropriation of certain funds. As a result of the foregoing, we identified a material weakness due to our internal controls having not been adequately designed to prevent or timely detect unauthorized cash disbursements. If we are unable to remediate any such material weakness, if we are unable to implement and maintain effective internal control over financial reporting and effective disclosure controls and procedures, or if we fail to satisfy other requirements as a public company, including the requirements of Section 404 of the Sarbanes-Oxley Act, we may be unable to accurately report our financial results or report them within the timeframes required by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left="60" w:right="159" w:firstLine="324"/>
        <w:spacing w:after="0" w:line="296"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20" w:type="dxa"/>
            <w:vAlign w:val="bottom"/>
          </w:tcPr>
          <w:p>
            <w:pPr>
              <w:jc w:val="center"/>
              <w:ind w:left="2104"/>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56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2920" w:type="dxa"/>
            <w:vAlign w:val="bottom"/>
          </w:tcPr>
          <w:p>
            <w:pPr>
              <w:jc w:val="center"/>
              <w:ind w:left="2104"/>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File No.   Exhibit  Filing Date  Herewith</w:t>
            </w:r>
          </w:p>
        </w:tc>
        <w:tc>
          <w:tcPr>
            <w:tcW w:w="0" w:type="dxa"/>
            <w:vAlign w:val="bottom"/>
          </w:tcPr>
          <w:p>
            <w:pPr>
              <w:spacing w:after="0"/>
              <w:rPr>
                <w:sz w:val="1"/>
                <w:szCs w:val="1"/>
                <w:color w:val="auto"/>
              </w:rPr>
            </w:pPr>
          </w:p>
        </w:tc>
      </w:tr>
      <w:tr>
        <w:trPr>
          <w:trHeight w:val="291"/>
        </w:trPr>
        <w:tc>
          <w:tcPr>
            <w:tcW w:w="760" w:type="dxa"/>
            <w:vAlign w:val="bottom"/>
          </w:tcPr>
          <w:p>
            <w:pPr>
              <w:jc w:val="right"/>
              <w:ind w:right="14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240" w:type="dxa"/>
            <w:vAlign w:val="bottom"/>
            <w:gridSpan w:val="3"/>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Amended and Restated Certificate of Incorporation, as</w:t>
              </w:r>
            </w:hyperlink>
          </w:p>
        </w:tc>
        <w:tc>
          <w:tcPr>
            <w:tcW w:w="840" w:type="dxa"/>
            <w:vAlign w:val="bottom"/>
          </w:tcPr>
          <w:p>
            <w:pPr>
              <w:spacing w:after="0"/>
              <w:rPr>
                <w:sz w:val="24"/>
                <w:szCs w:val="24"/>
                <w:color w:val="auto"/>
              </w:rPr>
            </w:pPr>
          </w:p>
        </w:tc>
        <w:tc>
          <w:tcPr>
            <w:tcW w:w="2920" w:type="dxa"/>
            <w:vAlign w:val="bottom"/>
          </w:tcPr>
          <w:p>
            <w:pPr>
              <w:jc w:val="center"/>
              <w:ind w:left="21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amended.</w:t>
              </w:r>
            </w:hyperlink>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360" w:type="dxa"/>
        <w:tblCellMar>
          <w:top w:w="0" w:type="dxa"/>
          <w:left w:w="0" w:type="dxa"/>
          <w:bottom w:w="0" w:type="dxa"/>
          <w:right w:w="0" w:type="dxa"/>
        </w:tblCellMar>
      </w:tblPr>
      <w:tr>
        <w:trPr>
          <w:trHeight w:val="207"/>
        </w:trPr>
        <w:tc>
          <w:tcPr>
            <w:tcW w:w="2800" w:type="dxa"/>
            <w:vAlign w:val="bottom"/>
            <w:gridSpan w:val="2"/>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3.2   </w:t>
            </w:r>
            <w:hyperlink r:id="rId98">
              <w:r>
                <w:rPr>
                  <w:rFonts w:ascii="Arial" w:cs="Arial" w:eastAsia="Arial" w:hAnsi="Arial"/>
                  <w:sz w:val="18"/>
                  <w:szCs w:val="18"/>
                  <w:color w:val="0000EE"/>
                  <w:w w:val="93"/>
                </w:rPr>
                <w:t>Amended and Restated Bylaws.</w:t>
              </w:r>
            </w:hyperlink>
          </w:p>
        </w:tc>
        <w:tc>
          <w:tcPr>
            <w:tcW w:w="4940" w:type="dxa"/>
            <w:vAlign w:val="bottom"/>
          </w:tcPr>
          <w:p>
            <w:pPr>
              <w:ind w:left="2320"/>
              <w:spacing w:after="0"/>
              <w:rPr>
                <w:sz w:val="20"/>
                <w:szCs w:val="20"/>
                <w:color w:val="auto"/>
              </w:rPr>
            </w:pPr>
            <w:r>
              <w:rPr>
                <w:rFonts w:ascii="Arial" w:cs="Arial" w:eastAsia="Arial" w:hAnsi="Arial"/>
                <w:sz w:val="18"/>
                <w:szCs w:val="18"/>
                <w:color w:val="auto"/>
              </w:rPr>
              <w:t>8-K  001-38410  3.2   3/13/2018</w:t>
            </w:r>
          </w:p>
        </w:tc>
      </w:tr>
      <w:tr>
        <w:trPr>
          <w:trHeight w:val="20"/>
        </w:trPr>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134" w:lineRule="exact"/>
        <w:rPr>
          <w:sz w:val="20"/>
          <w:szCs w:val="20"/>
          <w:color w:val="auto"/>
        </w:rPr>
      </w:pPr>
    </w:p>
    <w:p>
      <w:pPr>
        <w:ind w:left="880" w:right="2760" w:hanging="654"/>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94">
        <w:r>
          <w:rPr>
            <w:rFonts w:ascii="Arial" w:cs="Arial" w:eastAsia="Arial" w:hAnsi="Arial"/>
            <w:sz w:val="16"/>
            <w:szCs w:val="16"/>
            <w:u w:val="single" w:color="auto"/>
            <w:color w:val="0000EE"/>
          </w:rPr>
          <w:t>Separation Agreement and General Release between Reina</w:t>
        </w:r>
      </w:hyperlink>
      <w:r>
        <w:rPr>
          <w:rFonts w:ascii="Arial" w:cs="Arial" w:eastAsia="Arial" w:hAnsi="Arial"/>
          <w:sz w:val="16"/>
          <w:szCs w:val="16"/>
          <w:u w:val="single" w:color="auto"/>
          <w:color w:val="0000EE"/>
        </w:rPr>
        <w:t xml:space="preserve"> </w:t>
      </w:r>
      <w:hyperlink w:anchor="page94">
        <w:r>
          <w:rPr>
            <w:rFonts w:ascii="Arial" w:cs="Arial" w:eastAsia="Arial" w:hAnsi="Arial"/>
            <w:sz w:val="16"/>
            <w:szCs w:val="16"/>
            <w:u w:val="single" w:color="auto"/>
            <w:color w:val="0000EE"/>
          </w:rPr>
          <w:t>Benabou and BioXcel Therapeutics, Inc., dated July 28, 2021.</w:t>
        </w:r>
      </w:hyperlink>
    </w:p>
    <w:p>
      <w:pPr>
        <w:spacing w:after="0" w:line="29" w:lineRule="exact"/>
        <w:rPr>
          <w:sz w:val="20"/>
          <w:szCs w:val="20"/>
          <w:color w:val="auto"/>
        </w:rPr>
      </w:pPr>
    </w:p>
    <w:p>
      <w:pPr>
        <w:ind w:left="880" w:right="2740" w:hanging="609"/>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9">
        <w:r>
          <w:rPr>
            <w:rFonts w:ascii="Arial" w:cs="Arial" w:eastAsia="Arial" w:hAnsi="Arial"/>
            <w:sz w:val="18"/>
            <w:szCs w:val="18"/>
            <w:u w:val="single" w:color="auto"/>
            <w:color w:val="0000EE"/>
          </w:rPr>
          <w:t>Certification of Principal Executive Officer Pursuant to Rules</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13a-14(a) and 15d-14(a) under the Securities Exchange Act of</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1934, as Adopted Pursuant to Section 302 of the Sarbanes-</w:t>
        </w:r>
      </w:hyperlink>
      <w:hyperlink w:anchor="page99">
        <w:r>
          <w:rPr>
            <w:rFonts w:ascii="Arial" w:cs="Arial" w:eastAsia="Arial" w:hAnsi="Arial"/>
            <w:sz w:val="18"/>
            <w:szCs w:val="18"/>
            <w:u w:val="single" w:color="auto"/>
            <w:color w:val="0000EE"/>
          </w:rPr>
          <w:t>Oxley Act of 2002.</w:t>
        </w:r>
      </w:hyperlink>
    </w:p>
    <w:p>
      <w:pPr>
        <w:spacing w:after="0" w:line="92" w:lineRule="exact"/>
        <w:rPr>
          <w:rFonts w:ascii="Arial" w:cs="Arial" w:eastAsia="Arial" w:hAnsi="Arial"/>
          <w:sz w:val="18"/>
          <w:szCs w:val="18"/>
          <w:u w:val="single" w:color="auto"/>
          <w:color w:val="0000EE"/>
        </w:rPr>
      </w:pPr>
    </w:p>
    <w:p>
      <w:pPr>
        <w:ind w:left="880" w:right="2740" w:hanging="609"/>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00">
        <w:r>
          <w:rPr>
            <w:rFonts w:ascii="Arial" w:cs="Arial" w:eastAsia="Arial" w:hAnsi="Arial"/>
            <w:sz w:val="18"/>
            <w:szCs w:val="18"/>
            <w:u w:val="single" w:color="auto"/>
            <w:color w:val="0000EE"/>
          </w:rPr>
          <w:t>Certification of Principal Financial Officer Pursuant to Rules</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13a-14(a) and 15d-14(a) under the Securities Exchange Act of</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1934, as Adopted Pursuant to Section 302 of the Sarbanes-</w:t>
        </w:r>
      </w:hyperlink>
      <w:hyperlink w:anchor="page100">
        <w:r>
          <w:rPr>
            <w:rFonts w:ascii="Arial" w:cs="Arial" w:eastAsia="Arial" w:hAnsi="Arial"/>
            <w:sz w:val="18"/>
            <w:szCs w:val="18"/>
            <w:u w:val="single" w:color="auto"/>
            <w:color w:val="0000EE"/>
          </w:rPr>
          <w:t>Oxley Act of 2002.</w:t>
        </w:r>
      </w:hyperlink>
    </w:p>
    <w:p>
      <w:pPr>
        <w:spacing w:after="0" w:line="92" w:lineRule="exact"/>
        <w:rPr>
          <w:rFonts w:ascii="Arial" w:cs="Arial" w:eastAsia="Arial" w:hAnsi="Arial"/>
          <w:sz w:val="18"/>
          <w:szCs w:val="18"/>
          <w:u w:val="single" w:color="auto"/>
          <w:color w:val="0000EE"/>
        </w:rPr>
      </w:pPr>
    </w:p>
    <w:p>
      <w:pPr>
        <w:ind w:left="880" w:right="2900" w:hanging="609"/>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01">
        <w:r>
          <w:rPr>
            <w:rFonts w:ascii="Arial" w:cs="Arial" w:eastAsia="Arial" w:hAnsi="Arial"/>
            <w:sz w:val="18"/>
            <w:szCs w:val="18"/>
            <w:u w:val="single" w:color="auto"/>
            <w:color w:val="0000EE"/>
          </w:rPr>
          <w:t>Certification of Principal Executive Officer Pursuant to 18</w:t>
        </w:r>
      </w:hyperlink>
      <w:r>
        <w:rPr>
          <w:rFonts w:ascii="Arial" w:cs="Arial" w:eastAsia="Arial" w:hAnsi="Arial"/>
          <w:sz w:val="18"/>
          <w:szCs w:val="18"/>
          <w:u w:val="single" w:color="auto"/>
          <w:color w:val="0000EE"/>
        </w:rPr>
        <w:t xml:space="preserve"> </w:t>
      </w:r>
      <w:hyperlink w:anchor="page101">
        <w:r>
          <w:rPr>
            <w:rFonts w:ascii="Arial" w:cs="Arial" w:eastAsia="Arial" w:hAnsi="Arial"/>
            <w:sz w:val="18"/>
            <w:szCs w:val="18"/>
            <w:u w:val="single" w:color="auto"/>
            <w:color w:val="0000EE"/>
          </w:rPr>
          <w:t>U.S.C. Section 1350, as Adopted Pursuant to Section 906 of</w:t>
        </w:r>
      </w:hyperlink>
      <w:r>
        <w:rPr>
          <w:rFonts w:ascii="Arial" w:cs="Arial" w:eastAsia="Arial" w:hAnsi="Arial"/>
          <w:sz w:val="18"/>
          <w:szCs w:val="18"/>
          <w:u w:val="single" w:color="auto"/>
          <w:color w:val="0000EE"/>
        </w:rPr>
        <w:t xml:space="preserve"> </w:t>
      </w:r>
      <w:hyperlink w:anchor="page101">
        <w:r>
          <w:rPr>
            <w:rFonts w:ascii="Arial" w:cs="Arial" w:eastAsia="Arial" w:hAnsi="Arial"/>
            <w:sz w:val="18"/>
            <w:szCs w:val="18"/>
            <w:u w:val="single" w:color="auto"/>
            <w:color w:val="0000EE"/>
          </w:rPr>
          <w:t>the Sarbanes-Oxley Act of 2002.</w:t>
        </w:r>
      </w:hyperlink>
    </w:p>
    <w:p>
      <w:pPr>
        <w:spacing w:after="0" w:line="89" w:lineRule="exact"/>
        <w:rPr>
          <w:rFonts w:ascii="Arial" w:cs="Arial" w:eastAsia="Arial" w:hAnsi="Arial"/>
          <w:sz w:val="18"/>
          <w:szCs w:val="18"/>
          <w:u w:val="single" w:color="auto"/>
          <w:color w:val="0000EE"/>
        </w:rPr>
      </w:pPr>
    </w:p>
    <w:p>
      <w:pPr>
        <w:ind w:left="880" w:right="2900" w:hanging="609"/>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102">
        <w:r>
          <w:rPr>
            <w:rFonts w:ascii="Arial" w:cs="Arial" w:eastAsia="Arial" w:hAnsi="Arial"/>
            <w:sz w:val="18"/>
            <w:szCs w:val="18"/>
            <w:u w:val="single" w:color="auto"/>
            <w:color w:val="0000EE"/>
          </w:rPr>
          <w:t>Certification of Principal Financial Officer Pursuant to 18</w:t>
        </w:r>
      </w:hyperlink>
      <w:r>
        <w:rPr>
          <w:rFonts w:ascii="Arial" w:cs="Arial" w:eastAsia="Arial" w:hAnsi="Arial"/>
          <w:sz w:val="18"/>
          <w:szCs w:val="18"/>
          <w:u w:val="single" w:color="auto"/>
          <w:color w:val="0000EE"/>
        </w:rPr>
        <w:t xml:space="preserve"> </w:t>
      </w:r>
      <w:hyperlink w:anchor="page102">
        <w:r>
          <w:rPr>
            <w:rFonts w:ascii="Arial" w:cs="Arial" w:eastAsia="Arial" w:hAnsi="Arial"/>
            <w:sz w:val="18"/>
            <w:szCs w:val="18"/>
            <w:u w:val="single" w:color="auto"/>
            <w:color w:val="0000EE"/>
          </w:rPr>
          <w:t>U.S.C. Section 1350, as Adopted Pursuant to Section 906 of</w:t>
        </w:r>
      </w:hyperlink>
      <w:r>
        <w:rPr>
          <w:rFonts w:ascii="Arial" w:cs="Arial" w:eastAsia="Arial" w:hAnsi="Arial"/>
          <w:sz w:val="18"/>
          <w:szCs w:val="18"/>
          <w:u w:val="single" w:color="auto"/>
          <w:color w:val="0000EE"/>
        </w:rPr>
        <w:t xml:space="preserve"> </w:t>
      </w:r>
      <w:hyperlink w:anchor="page102">
        <w:r>
          <w:rPr>
            <w:rFonts w:ascii="Arial" w:cs="Arial" w:eastAsia="Arial" w:hAnsi="Arial"/>
            <w:sz w:val="18"/>
            <w:szCs w:val="18"/>
            <w:u w:val="single" w:color="auto"/>
            <w:color w:val="0000EE"/>
          </w:rPr>
          <w:t>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39"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79"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346" w:lineRule="exact"/>
        <w:rPr>
          <w:rFonts w:ascii="Arial" w:cs="Arial" w:eastAsia="Arial" w:hAnsi="Arial"/>
          <w:sz w:val="18"/>
          <w:szCs w:val="18"/>
          <w:u w:val="single" w:color="auto"/>
          <w:color w:val="0000EE"/>
        </w:rPr>
      </w:pPr>
    </w:p>
    <w:p>
      <w:pPr>
        <w:sectPr>
          <w:pgSz w:w="11900" w:h="16838" w:orient="portrait"/>
          <w:cols w:equalWidth="0" w:num="2">
            <w:col w:w="8100" w:space="320"/>
            <w:col w:w="599"/>
          </w:cols>
          <w:pgMar w:left="1440" w:top="517" w:right="1440" w:bottom="1440" w:gutter="0" w:footer="0" w:header="0"/>
          <w:type w:val="continuous"/>
        </w:sectPr>
      </w:pPr>
    </w:p>
    <w:p>
      <w:pPr>
        <w:ind w:left="120"/>
        <w:spacing w:after="0"/>
        <w:tabs>
          <w:tab w:leader="none" w:pos="860" w:val="left"/>
          <w:tab w:leader="none" w:pos="8440" w:val="left"/>
        </w:tabs>
        <w:rPr>
          <w:sz w:val="20"/>
          <w:szCs w:val="20"/>
          <w:color w:val="auto"/>
        </w:rPr>
      </w:pPr>
      <w:r>
        <w:rPr>
          <w:rFonts w:ascii="Arial" w:cs="Arial" w:eastAsia="Arial" w:hAnsi="Arial"/>
          <w:sz w:val="18"/>
          <w:szCs w:val="18"/>
          <w:color w:val="auto"/>
        </w:rPr>
        <w:t>101.INS</w:t>
        <w:tab/>
        <w:t>Inline XBRL Instance Document</w:t>
      </w:r>
      <w:r>
        <w:rPr>
          <w:sz w:val="20"/>
          <w:szCs w:val="20"/>
          <w:color w:val="auto"/>
        </w:rPr>
        <w:tab/>
      </w:r>
      <w:r>
        <w:rPr>
          <w:rFonts w:ascii="Arial" w:cs="Arial" w:eastAsia="Arial" w:hAnsi="Arial"/>
          <w:sz w:val="18"/>
          <w:szCs w:val="18"/>
          <w:b w:val="1"/>
          <w:bCs w:val="1"/>
          <w:color w:val="auto"/>
        </w:rPr>
        <w:t>*</w:t>
      </w:r>
    </w:p>
    <w:p>
      <w:pPr>
        <w:spacing w:after="0" w:line="27" w:lineRule="exact"/>
        <w:rPr>
          <w:rFonts w:ascii="Arial" w:cs="Arial" w:eastAsia="Arial" w:hAnsi="Arial"/>
          <w:sz w:val="18"/>
          <w:szCs w:val="18"/>
          <w:u w:val="single" w:color="auto"/>
          <w:color w:val="0000EE"/>
        </w:rPr>
      </w:pPr>
    </w:p>
    <w:p>
      <w:pPr>
        <w:jc w:val="both"/>
        <w:ind w:left="880" w:right="3979" w:hanging="9"/>
        <w:spacing w:after="0" w:line="255" w:lineRule="auto"/>
        <w:tabs>
          <w:tab w:leader="none" w:pos="9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ectPr>
          <w:pgSz w:w="11900" w:h="16838" w:orient="portrait"/>
          <w:cols w:equalWidth="0" w:num="1">
            <w:col w:w="9019"/>
          </w:cols>
          <w:pgMar w:left="1440" w:top="517" w:right="1440" w:bottom="1440" w:gutter="0" w:footer="0" w:header="0"/>
          <w:type w:val="continuous"/>
        </w:sectPr>
      </w:pPr>
    </w:p>
    <w:p>
      <w:pPr>
        <w:spacing w:after="0" w:line="95"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131" w:lineRule="exact"/>
        <w:rPr>
          <w:rFonts w:ascii="Arial" w:cs="Arial" w:eastAsia="Arial" w:hAnsi="Arial"/>
          <w:sz w:val="18"/>
          <w:szCs w:val="18"/>
          <w:u w:val="single" w:color="auto"/>
          <w:color w:val="0000EE"/>
        </w:rPr>
      </w:pPr>
    </w:p>
    <w:p>
      <w:pPr>
        <w:ind w:left="880" w:right="2760" w:hanging="789"/>
        <w:spacing w:after="0" w:line="277" w:lineRule="auto"/>
        <w:rPr>
          <w:sz w:val="20"/>
          <w:szCs w:val="20"/>
          <w:color w:val="auto"/>
        </w:rPr>
      </w:pPr>
      <w:r>
        <w:rPr>
          <w:rFonts w:ascii="Arial" w:cs="Arial" w:eastAsia="Arial" w:hAnsi="Arial"/>
          <w:sz w:val="18"/>
          <w:szCs w:val="18"/>
          <w:color w:val="auto"/>
        </w:rPr>
        <w:t>101.CAL Inline XBRL Taxonomy Extension Calculation Linkbase Document</w:t>
      </w:r>
    </w:p>
    <w:p>
      <w:pPr>
        <w:spacing w:after="0" w:line="76" w:lineRule="exact"/>
        <w:rPr>
          <w:rFonts w:ascii="Arial" w:cs="Arial" w:eastAsia="Arial" w:hAnsi="Arial"/>
          <w:sz w:val="18"/>
          <w:szCs w:val="18"/>
          <w:u w:val="single" w:color="auto"/>
          <w:color w:val="0000EE"/>
        </w:rPr>
      </w:pPr>
    </w:p>
    <w:p>
      <w:pPr>
        <w:ind w:left="880" w:right="2860" w:hanging="779"/>
        <w:spacing w:after="0" w:line="277" w:lineRule="auto"/>
        <w:rPr>
          <w:sz w:val="20"/>
          <w:szCs w:val="20"/>
          <w:color w:val="auto"/>
        </w:rPr>
      </w:pPr>
      <w:r>
        <w:rPr>
          <w:rFonts w:ascii="Arial" w:cs="Arial" w:eastAsia="Arial" w:hAnsi="Arial"/>
          <w:sz w:val="18"/>
          <w:szCs w:val="18"/>
          <w:color w:val="auto"/>
        </w:rPr>
        <w:t>101.DEF Inline XBRL Taxonomy Extension Definition Linkbase Document</w:t>
      </w:r>
    </w:p>
    <w:p>
      <w:pPr>
        <w:spacing w:after="0" w:line="76"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131" w:lineRule="exact"/>
        <w:rPr>
          <w:rFonts w:ascii="Arial" w:cs="Arial" w:eastAsia="Arial" w:hAnsi="Arial"/>
          <w:sz w:val="18"/>
          <w:szCs w:val="18"/>
          <w:u w:val="single" w:color="auto"/>
          <w:color w:val="0000EE"/>
        </w:rPr>
      </w:pPr>
    </w:p>
    <w:p>
      <w:pPr>
        <w:ind w:left="880" w:right="2700" w:hanging="774"/>
        <w:spacing w:after="0" w:line="277" w:lineRule="auto"/>
        <w:rPr>
          <w:sz w:val="20"/>
          <w:szCs w:val="20"/>
          <w:color w:val="auto"/>
        </w:rPr>
      </w:pPr>
      <w:r>
        <w:rPr>
          <w:rFonts w:ascii="Arial" w:cs="Arial" w:eastAsia="Arial" w:hAnsi="Arial"/>
          <w:sz w:val="18"/>
          <w:szCs w:val="18"/>
          <w:color w:val="auto"/>
        </w:rPr>
        <w:t>101.PRE Inline XBRL Taxonomy Extension Presentation Linkbase Document</w:t>
      </w:r>
    </w:p>
    <w:p>
      <w:pPr>
        <w:spacing w:after="0" w:line="76" w:lineRule="exact"/>
        <w:rPr>
          <w:rFonts w:ascii="Arial" w:cs="Arial" w:eastAsia="Arial" w:hAnsi="Arial"/>
          <w:sz w:val="18"/>
          <w:szCs w:val="18"/>
          <w:u w:val="single" w:color="auto"/>
          <w:color w:val="0000EE"/>
        </w:rPr>
      </w:pPr>
    </w:p>
    <w:p>
      <w:pPr>
        <w:ind w:left="880" w:right="2520" w:hanging="597"/>
        <w:spacing w:after="0" w:line="277"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1405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380" w:hanging="330"/>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7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23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34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23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24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34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w:t>
      </w:r>
    </w:p>
    <w:p>
      <w:pPr>
        <w:spacing w:after="0" w:line="1207" w:lineRule="exact"/>
        <w:rPr>
          <w:rFonts w:ascii="Arial" w:cs="Arial" w:eastAsia="Arial" w:hAnsi="Arial"/>
          <w:sz w:val="18"/>
          <w:szCs w:val="18"/>
          <w:u w:val="single" w:color="auto"/>
          <w:color w:val="0000EE"/>
        </w:rPr>
      </w:pPr>
    </w:p>
    <w:p>
      <w:pPr>
        <w:sectPr>
          <w:pgSz w:w="11900" w:h="16838" w:orient="portrait"/>
          <w:cols w:equalWidth="0" w:num="2">
            <w:col w:w="7740" w:space="720"/>
            <w:col w:w="559"/>
          </w:cols>
          <w:pgMar w:left="1440" w:top="517" w:right="1440" w:bottom="1440" w:gutter="0" w:footer="0" w:header="0"/>
          <w:type w:val="continuous"/>
        </w:sectPr>
      </w:pPr>
    </w:p>
    <w:p>
      <w:pPr>
        <w:spacing w:after="0" w:line="200" w:lineRule="exact"/>
        <w:rPr>
          <w:rFonts w:ascii="Arial" w:cs="Arial" w:eastAsia="Arial" w:hAnsi="Arial"/>
          <w:sz w:val="18"/>
          <w:szCs w:val="18"/>
          <w:u w:val="single" w:color="auto"/>
          <w:color w:val="0000EE"/>
        </w:rPr>
      </w:pPr>
    </w:p>
    <w:p>
      <w:pPr>
        <w:spacing w:after="0" w:line="266"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6"/>
          <w:szCs w:val="16"/>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Dated: August 10, 2021</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400" w:type="dxa"/>
            <w:vAlign w:val="bottom"/>
          </w:tcPr>
          <w:p>
            <w:pPr>
              <w:spacing w:after="0"/>
              <w:rPr>
                <w:sz w:val="20"/>
                <w:szCs w:val="20"/>
                <w:color w:val="auto"/>
              </w:rPr>
            </w:pPr>
            <w:r>
              <w:rPr>
                <w:rFonts w:ascii="Arial" w:cs="Arial" w:eastAsia="Arial" w:hAnsi="Arial"/>
                <w:sz w:val="18"/>
                <w:szCs w:val="18"/>
                <w:color w:val="auto"/>
              </w:rPr>
              <w:t>Dated: August 10, 2021</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07" w:lineRule="exact"/>
        <w:rPr>
          <w:sz w:val="20"/>
          <w:szCs w:val="20"/>
          <w:color w:val="auto"/>
        </w:rPr>
      </w:pPr>
    </w:p>
    <w:p>
      <w:pPr>
        <w:ind w:right="80" w:firstLine="653"/>
        <w:spacing w:after="0" w:line="282" w:lineRule="auto"/>
        <w:rPr>
          <w:sz w:val="20"/>
          <w:szCs w:val="20"/>
          <w:color w:val="auto"/>
        </w:rPr>
      </w:pPr>
      <w:r>
        <w:rPr>
          <w:rFonts w:ascii="Arial" w:cs="Arial" w:eastAsia="Arial" w:hAnsi="Arial"/>
          <w:sz w:val="18"/>
          <w:szCs w:val="18"/>
          <w:b w:val="1"/>
          <w:bCs w:val="1"/>
          <w:color w:val="auto"/>
        </w:rPr>
        <w:t xml:space="preserve">BIOXCEL THERAPEUTICS, INC. </w:t>
      </w:r>
      <w:r>
        <w:rPr>
          <w:rFonts w:ascii="Arial" w:cs="Arial" w:eastAsia="Arial" w:hAnsi="Arial"/>
          <w:sz w:val="18"/>
          <w:szCs w:val="18"/>
          <w:color w:val="auto"/>
        </w:rPr>
        <w:t>(the “Corporation”), a corporation organized and existing under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of the State of Delaware, does hereby certify as follows:</w:t>
      </w:r>
    </w:p>
    <w:p>
      <w:pPr>
        <w:spacing w:after="0" w:line="166" w:lineRule="exact"/>
        <w:rPr>
          <w:sz w:val="20"/>
          <w:szCs w:val="20"/>
          <w:color w:val="auto"/>
        </w:rPr>
      </w:pPr>
    </w:p>
    <w:p>
      <w:pPr>
        <w:ind w:left="1120" w:hanging="4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of the Corporation is BioXcel Therapeutics, Inc.</w:t>
      </w:r>
    </w:p>
    <w:p>
      <w:pPr>
        <w:spacing w:after="0" w:line="225" w:lineRule="exact"/>
        <w:rPr>
          <w:rFonts w:ascii="Arial" w:cs="Arial" w:eastAsia="Arial" w:hAnsi="Arial"/>
          <w:sz w:val="18"/>
          <w:szCs w:val="18"/>
          <w:color w:val="auto"/>
        </w:rPr>
      </w:pPr>
    </w:p>
    <w:p>
      <w:pPr>
        <w:ind w:right="80" w:firstLine="662"/>
        <w:spacing w:after="0" w:line="277" w:lineRule="auto"/>
        <w:tabs>
          <w:tab w:leader="none" w:pos="11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Secretary of State of the State of Delaware on March 29, 2017 under the name BioXcel Therapeutics, Inc.</w:t>
      </w:r>
    </w:p>
    <w:p>
      <w:pPr>
        <w:spacing w:after="0" w:line="170" w:lineRule="exact"/>
        <w:rPr>
          <w:rFonts w:ascii="Arial" w:cs="Arial" w:eastAsia="Arial" w:hAnsi="Arial"/>
          <w:sz w:val="18"/>
          <w:szCs w:val="18"/>
          <w:color w:val="auto"/>
        </w:rPr>
      </w:pPr>
    </w:p>
    <w:p>
      <w:pPr>
        <w:ind w:right="260" w:firstLine="662"/>
        <w:spacing w:after="0" w:line="286" w:lineRule="auto"/>
        <w:tabs>
          <w:tab w:leader="none" w:pos="110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65" w:lineRule="exact"/>
        <w:rPr>
          <w:rFonts w:ascii="Arial" w:cs="Arial" w:eastAsia="Arial" w:hAnsi="Arial"/>
          <w:sz w:val="17"/>
          <w:szCs w:val="17"/>
          <w:color w:val="auto"/>
        </w:rPr>
      </w:pPr>
    </w:p>
    <w:p>
      <w:pPr>
        <w:ind w:left="1180" w:right="420" w:hanging="518"/>
        <w:spacing w:after="0" w:line="500" w:lineRule="auto"/>
        <w:tabs>
          <w:tab w:leader="none" w:pos="11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 FIRST: The name of the Corporation is BioXcel Therapeutics, Inc. (the “Corporation”)</w:t>
      </w:r>
    </w:p>
    <w:p>
      <w:pPr>
        <w:spacing w:after="0" w:line="2" w:lineRule="exact"/>
        <w:rPr>
          <w:sz w:val="20"/>
          <w:szCs w:val="20"/>
          <w:color w:val="auto"/>
        </w:rPr>
      </w:pPr>
    </w:p>
    <w:p>
      <w:pPr>
        <w:ind w:right="60" w:firstLine="1166"/>
        <w:spacing w:after="0" w:line="342" w:lineRule="auto"/>
        <w:rPr>
          <w:sz w:val="20"/>
          <w:szCs w:val="20"/>
          <w:color w:val="auto"/>
        </w:rPr>
      </w:pPr>
      <w:r>
        <w:rPr>
          <w:rFonts w:ascii="Arial" w:cs="Arial" w:eastAsia="Arial" w:hAnsi="Arial"/>
          <w:sz w:val="16"/>
          <w:szCs w:val="16"/>
          <w:color w:val="auto"/>
        </w:rPr>
        <w:t>SECOND: The address of the Corporation’s registered office in the state of Delaware is 251 Little Falls Drive, City of Wilmington, County of New Castle, Delaware 19808. The name of the registered agent at such address is Corporation Service Company.</w:t>
      </w:r>
    </w:p>
    <w:p>
      <w:pPr>
        <w:spacing w:after="0" w:line="124" w:lineRule="exact"/>
        <w:rPr>
          <w:sz w:val="20"/>
          <w:szCs w:val="20"/>
          <w:color w:val="auto"/>
        </w:rPr>
      </w:pPr>
    </w:p>
    <w:p>
      <w:pPr>
        <w:ind w:right="640" w:firstLine="1166"/>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Delaware General Corporation Law (the “DGCL”).</w:t>
      </w:r>
    </w:p>
    <w:p>
      <w:pPr>
        <w:spacing w:after="0" w:line="170" w:lineRule="exact"/>
        <w:rPr>
          <w:sz w:val="20"/>
          <w:szCs w:val="20"/>
          <w:color w:val="auto"/>
        </w:rPr>
      </w:pPr>
    </w:p>
    <w:p>
      <w:pPr>
        <w:ind w:right="200" w:firstLine="1166"/>
        <w:spacing w:after="0" w:line="263" w:lineRule="auto"/>
        <w:rPr>
          <w:sz w:val="20"/>
          <w:szCs w:val="20"/>
          <w:color w:val="auto"/>
        </w:rPr>
      </w:pPr>
      <w:r>
        <w:rPr>
          <w:rFonts w:ascii="Arial" w:cs="Arial" w:eastAsia="Arial" w:hAnsi="Arial"/>
          <w:sz w:val="18"/>
          <w:szCs w:val="18"/>
          <w:color w:val="auto"/>
        </w:rPr>
        <w:t>FOURTH: The total number of shares of capital stock that the Corporation shall have authority to issue is 60,000,000 shares, consisting of 50,000,000 shares of common stock, par value $0.001 per share (the “Common Stock”), and 10,000,000 shares of preferred stock, par value $0.001 per share (the “Preferred Stock”).</w:t>
      </w:r>
    </w:p>
    <w:p>
      <w:pPr>
        <w:spacing w:after="0" w:line="184" w:lineRule="exact"/>
        <w:rPr>
          <w:sz w:val="20"/>
          <w:szCs w:val="20"/>
          <w:color w:val="auto"/>
        </w:rPr>
      </w:pPr>
    </w:p>
    <w:p>
      <w:pPr>
        <w:ind w:right="740" w:firstLine="1166"/>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Common Stock</w:t>
      </w:r>
      <w:r>
        <w:rPr>
          <w:rFonts w:ascii="Arial" w:cs="Arial" w:eastAsia="Arial" w:hAnsi="Arial"/>
          <w:sz w:val="18"/>
          <w:szCs w:val="18"/>
          <w:color w:val="auto"/>
        </w:rPr>
        <w:t>. A statement of the designations, powers, preferences, rights, qualifications, limitations and restrictions in respect to the shares of Common Stock is as follows:</w:t>
      </w:r>
    </w:p>
    <w:p>
      <w:pPr>
        <w:spacing w:after="0" w:line="170" w:lineRule="exact"/>
        <w:rPr>
          <w:sz w:val="20"/>
          <w:szCs w:val="20"/>
          <w:color w:val="auto"/>
        </w:rPr>
      </w:pPr>
    </w:p>
    <w:p>
      <w:pPr>
        <w:ind w:left="660" w:right="240" w:firstLine="1163"/>
        <w:spacing w:after="0" w:line="286" w:lineRule="auto"/>
        <w:tabs>
          <w:tab w:leader="none" w:pos="22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Dividends. The Board of Directors of the Corporation may cause dividends to be paid to the holders of shares of Common Stock out of funds legally available for the payment of dividends by declaring an amount per share as a dividend. When and as dividends are declared on the Common Stock, whether payable in cash,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84" w:name="page85"/>
    <w:bookmarkEnd w:id="84"/>
    <w:p>
      <w:pPr>
        <w:ind w:left="640" w:right="380"/>
        <w:spacing w:after="0" w:line="277" w:lineRule="auto"/>
        <w:rPr>
          <w:sz w:val="20"/>
          <w:szCs w:val="20"/>
          <w:color w:val="auto"/>
        </w:rPr>
      </w:pPr>
      <w:r>
        <w:rPr>
          <w:rFonts w:ascii="Arial" w:cs="Arial" w:eastAsia="Arial" w:hAnsi="Arial"/>
          <w:sz w:val="18"/>
          <w:szCs w:val="18"/>
          <w:color w:val="auto"/>
        </w:rPr>
        <w:t>property or in shares of stock or other securities of the Corporation, the holders of Common Stock shall be entitled to share ratably according to the number of shares of Common Stock held by them, in such dividends.</w:t>
      </w:r>
    </w:p>
    <w:p>
      <w:pPr>
        <w:spacing w:after="0" w:line="170" w:lineRule="exact"/>
        <w:rPr>
          <w:sz w:val="20"/>
          <w:szCs w:val="20"/>
          <w:color w:val="auto"/>
        </w:rPr>
      </w:pPr>
    </w:p>
    <w:p>
      <w:pPr>
        <w:ind w:left="640" w:right="440" w:firstLine="1163"/>
        <w:spacing w:after="0" w:line="257" w:lineRule="auto"/>
        <w:tabs>
          <w:tab w:leader="none" w:pos="2313"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Liquidation Rights. Subject to the terms of any resolution or resolutions adopted by the Board of Directors pursuant to Section 4.2 of this ARTICLE FOURTH, in the event of any voluntary or involuntary liquidation, dissolution or winding up of the affairs of the Corporation, the holders of Common Stock shall be entitled to share ratably, according to the number of shares of Common Stock held by them, in all remaining assets of the Corporation available for distribution to its stockholders.</w:t>
      </w:r>
    </w:p>
    <w:p>
      <w:pPr>
        <w:spacing w:after="0" w:line="187" w:lineRule="exact"/>
        <w:rPr>
          <w:rFonts w:ascii="Arial" w:cs="Arial" w:eastAsia="Arial" w:hAnsi="Arial"/>
          <w:sz w:val="18"/>
          <w:szCs w:val="18"/>
          <w:color w:val="auto"/>
        </w:rPr>
      </w:pPr>
    </w:p>
    <w:p>
      <w:pPr>
        <w:jc w:val="both"/>
        <w:ind w:left="640" w:right="20" w:firstLine="1163"/>
        <w:spacing w:after="0" w:line="287" w:lineRule="auto"/>
        <w:tabs>
          <w:tab w:leader="none" w:pos="2303" w:val="left"/>
        </w:tabs>
        <w:numPr>
          <w:ilvl w:val="1"/>
          <w:numId w:val="53"/>
        </w:numPr>
        <w:rPr>
          <w:rFonts w:ascii="Arial" w:cs="Arial" w:eastAsia="Arial" w:hAnsi="Arial"/>
          <w:sz w:val="16"/>
          <w:szCs w:val="16"/>
          <w:color w:val="auto"/>
        </w:rPr>
      </w:pPr>
      <w:r>
        <w:rPr>
          <w:rFonts w:ascii="Arial" w:cs="Arial" w:eastAsia="Arial" w:hAnsi="Arial"/>
          <w:sz w:val="16"/>
          <w:szCs w:val="16"/>
          <w:color w:val="auto"/>
        </w:rPr>
        <w:t>Voting Rights. Except as otherwise provided in this Certificate of Incorporation or required by applicable law, the holders of Common Stock shall be entitled to vote on each matter on which the stockholders of the Corporation shall be entitled to vote, and each holder of Common Stock shall be entitled to one vote for each share of such stock held by him.</w:t>
      </w:r>
    </w:p>
    <w:p>
      <w:pPr>
        <w:spacing w:after="0" w:line="2" w:lineRule="exact"/>
        <w:rPr>
          <w:rFonts w:ascii="Arial" w:cs="Arial" w:eastAsia="Arial" w:hAnsi="Arial"/>
          <w:sz w:val="16"/>
          <w:szCs w:val="16"/>
          <w:color w:val="auto"/>
        </w:rPr>
      </w:pPr>
    </w:p>
    <w:p>
      <w:pPr>
        <w:ind w:left="640" w:right="140"/>
        <w:spacing w:after="0" w:line="290" w:lineRule="auto"/>
        <w:rPr>
          <w:rFonts w:ascii="Arial" w:cs="Arial" w:eastAsia="Arial" w:hAnsi="Arial"/>
          <w:sz w:val="16"/>
          <w:szCs w:val="16"/>
          <w:color w:val="auto"/>
        </w:rPr>
      </w:pPr>
      <w:r>
        <w:rPr>
          <w:rFonts w:ascii="Arial" w:cs="Arial" w:eastAsia="Arial" w:hAnsi="Arial"/>
          <w:sz w:val="16"/>
          <w:szCs w:val="16"/>
          <w:color w:val="auto"/>
        </w:rPr>
        <w:t>Notwithstanding the foregoing, except as otherwise required by law, holders of Common Stock shall not be entitled to vote on any amendment to this Certificate of Incorporation (including any resolution adopted pursuant to Section 4.2 of this ARTICLE FOURTH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resolution adopted pursuant to Section 4.2 of this ARTICLE FOURTH relating to any series of Preferred Stock).</w:t>
      </w:r>
    </w:p>
    <w:p>
      <w:pPr>
        <w:spacing w:after="0" w:line="163" w:lineRule="exact"/>
        <w:rPr>
          <w:rFonts w:ascii="Arial" w:cs="Arial" w:eastAsia="Arial" w:hAnsi="Arial"/>
          <w:sz w:val="16"/>
          <w:szCs w:val="16"/>
          <w:color w:val="auto"/>
        </w:rPr>
      </w:pPr>
    </w:p>
    <w:p>
      <w:pPr>
        <w:ind w:left="-20" w:firstLine="1175"/>
        <w:spacing w:after="0" w:line="286" w:lineRule="auto"/>
        <w:tabs>
          <w:tab w:leader="none" w:pos="16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Stock Split. Upon the filing and effectiveness of this Amended and Restated Certificate of Incorporation with the Secretary of State of the State of Delaware (the “Effective Time”) each outstanding share (including shares held in treasury) of Common Stock of the Corporation (the “Old Common Stock”) shall be automatically split up, reclassified and converted into 237 shares of Common Stock (the “New Common Stock”). This stock split of the outstanding shares of Common Stock shall not affect the total number of shares of Common Stock that the Corporation is authorized to issue, which shall remain as set forth in the first sentence of this ARTICLE FOURTH. The forward split of the Old Common Stock effected by the foregoing paragraph shall be referred to herein as the “Forward Split.” The Forward Split shall occur without any further action on the part of the Corporation or the holders of shares of Old Common Stock or New Common Stock and whether or not certificates representing such holders’ shares prior to the Forward Split are surrendered for cancellation. No fractional interest in a share of New Common Stock shall be deliverable upon the Forward Split. Stockholders who otherwise would have been entitled to receive any fractional interests in the New Common Stock, in lieu of receipt of such fractional interest, shall be entitled to receive from the Corporation an amount in cash equal to the fair value of such fractional interest as of the Effective Time. Except where the context otherwise requires, all references to “Common Stock” in this Certificate of Incorporation shall be to the New Common Stock. The Forward Split will be effected on a stockholder-by-stockholder (as opposed to certificate-by-certificate) basis. Certificates or book-entries dated as of a date prior to the Effective Time representing outstanding shares of Old Common Stock shall, immediately after the Effective Time,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097" w:right="1019" w:bottom="1440" w:gutter="0" w:footer="0" w:header="0"/>
        </w:sectPr>
      </w:pPr>
    </w:p>
    <w:bookmarkStart w:id="85" w:name="page86"/>
    <w:bookmarkEnd w:id="85"/>
    <w:p>
      <w:pPr>
        <w:spacing w:after="0" w:line="289" w:lineRule="auto"/>
        <w:rPr>
          <w:sz w:val="20"/>
          <w:szCs w:val="20"/>
          <w:color w:val="auto"/>
        </w:rPr>
      </w:pPr>
      <w:r>
        <w:rPr>
          <w:rFonts w:ascii="Arial" w:cs="Arial" w:eastAsia="Arial" w:hAnsi="Arial"/>
          <w:sz w:val="16"/>
          <w:szCs w:val="16"/>
          <w:color w:val="auto"/>
        </w:rPr>
        <w:t>a number of shares equal to the same number of shares of New Common Stock as is reflected on the face of such certificates or book entries, multiplied by 237 and rounded up to the nearest whole number. The Corporation may, but shall not be obliged to, issue new certificates evidencing the shares of New Common Stock outstanding as a result of the Forward Split unless and until the certificates evidencing the shares held by a holder prior to the Forward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Every share number, dollar amount and other provision contained in this Amended and Restated Certificate of Incorporation have been adjusted for the Forward Split, and there shall be no further adjustments made to such share numbers, dollar amounts or other provisions, except in the case of any stock splits, stock dividends, reclassifications and the like occurring after the Effective Time.</w:t>
      </w:r>
    </w:p>
    <w:p>
      <w:pPr>
        <w:spacing w:after="0" w:line="166" w:lineRule="exact"/>
        <w:rPr>
          <w:sz w:val="20"/>
          <w:szCs w:val="20"/>
          <w:color w:val="auto"/>
        </w:rPr>
      </w:pPr>
    </w:p>
    <w:p>
      <w:pPr>
        <w:ind w:firstLine="1166"/>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authorized, subject to any limitation prescribed by law, to adopt one or more resolutions to provide for the issuance of the shares of Preferred Stock in one or more series, and by filing a certificate pursuant to applicable Delaware law to establish from time to time the number of shares to be included in each such series, and to fix the designation, powers, preferences and rights of the shares of each such series and the qualifications, limitations or restrictions thereof. The number of authorized shares of Preferred Stock may be increased or decreased (but not below the number of shares thereof then outstanding) by the affirmative vote of the holders of a majority of the voting power of all of the then-outstanding shares of capital stock of the Corporation entitled to vote thereon, irrespective of the provisions of Section 242(b)(2) of the DGCL and without a vote of the holders of the Preferred Stock, or of any series thereof, unless a vote of any such holders is required pursuant to the terms of any resolution adopted pursuant to this Section 4.2.</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authority of the Board of Directors with respect to each series shall include, but not be limited to, determination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211" w:lineRule="exact"/>
        <w:rPr>
          <w:sz w:val="20"/>
          <w:szCs w:val="20"/>
          <w:color w:val="auto"/>
        </w:rPr>
      </w:pPr>
    </w:p>
    <w:p>
      <w:pPr>
        <w:ind w:left="2420" w:hanging="468"/>
        <w:spacing w:after="0"/>
        <w:tabs>
          <w:tab w:leader="none" w:pos="2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constituting the series and the distinctive designation of the series;</w:t>
      </w:r>
    </w:p>
    <w:p>
      <w:pPr>
        <w:spacing w:after="0" w:line="225" w:lineRule="exact"/>
        <w:rPr>
          <w:rFonts w:ascii="Arial" w:cs="Arial" w:eastAsia="Arial" w:hAnsi="Arial"/>
          <w:sz w:val="18"/>
          <w:szCs w:val="18"/>
          <w:color w:val="auto"/>
        </w:rPr>
      </w:pPr>
    </w:p>
    <w:p>
      <w:pPr>
        <w:ind w:left="660" w:right="480" w:firstLine="1292"/>
        <w:spacing w:after="0" w:line="263" w:lineRule="auto"/>
        <w:tabs>
          <w:tab w:leader="none" w:pos="24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dividend rate (or the method of calculation of dividends) on the shares of the series, whether dividends will be cumulative, and if so, from which date or dates, and the relative rights of priority, if any, of payment of dividends on shares of the series;</w:t>
      </w:r>
    </w:p>
    <w:p>
      <w:pPr>
        <w:spacing w:after="0" w:line="183" w:lineRule="exact"/>
        <w:rPr>
          <w:rFonts w:ascii="Arial" w:cs="Arial" w:eastAsia="Arial" w:hAnsi="Arial"/>
          <w:sz w:val="18"/>
          <w:szCs w:val="18"/>
          <w:color w:val="auto"/>
        </w:rPr>
      </w:pPr>
    </w:p>
    <w:p>
      <w:pPr>
        <w:ind w:left="660" w:right="220" w:firstLine="1292"/>
        <w:spacing w:after="0" w:line="277" w:lineRule="auto"/>
        <w:tabs>
          <w:tab w:leader="none" w:pos="24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series shall have voting rights, in addition to the voting rights required by law, and if so, the terms of such voting rights;</w:t>
      </w:r>
    </w:p>
    <w:p>
      <w:pPr>
        <w:spacing w:after="0" w:line="170" w:lineRule="exact"/>
        <w:rPr>
          <w:rFonts w:ascii="Arial" w:cs="Arial" w:eastAsia="Arial" w:hAnsi="Arial"/>
          <w:sz w:val="18"/>
          <w:szCs w:val="18"/>
          <w:color w:val="auto"/>
        </w:rPr>
      </w:pPr>
    </w:p>
    <w:p>
      <w:pPr>
        <w:ind w:left="660" w:right="20" w:firstLine="1292"/>
        <w:spacing w:after="0" w:line="342" w:lineRule="auto"/>
        <w:tabs>
          <w:tab w:leader="none" w:pos="24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Whether the series shall have conversion rights, and, if so, the terms and conditions of such conversion, including provision for adjustment of the conversion rate in such events as the Board of Directors shall determine;</w:t>
      </w:r>
    </w:p>
    <w:p>
      <w:pPr>
        <w:spacing w:after="0" w:line="123" w:lineRule="exact"/>
        <w:rPr>
          <w:rFonts w:ascii="Arial" w:cs="Arial" w:eastAsia="Arial" w:hAnsi="Arial"/>
          <w:sz w:val="16"/>
          <w:szCs w:val="16"/>
          <w:color w:val="auto"/>
        </w:rPr>
      </w:pPr>
    </w:p>
    <w:p>
      <w:pPr>
        <w:ind w:left="660" w:right="160" w:firstLine="1292"/>
        <w:spacing w:after="0" w:line="277" w:lineRule="auto"/>
        <w:tabs>
          <w:tab w:leader="none" w:pos="24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or not the shares of that series shall be redeemable or exchangeable, and, if so, the terms and conditions of such redemption or exchange,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7" w:right="1019" w:bottom="1440" w:gutter="0" w:footer="0" w:header="0"/>
        </w:sectPr>
      </w:pPr>
    </w:p>
    <w:bookmarkStart w:id="86" w:name="page87"/>
    <w:bookmarkEnd w:id="86"/>
    <w:p>
      <w:pPr>
        <w:ind w:left="660" w:right="120"/>
        <w:spacing w:after="0" w:line="263" w:lineRule="auto"/>
        <w:rPr>
          <w:sz w:val="20"/>
          <w:szCs w:val="20"/>
          <w:color w:val="auto"/>
        </w:rPr>
      </w:pPr>
      <w:r>
        <w:rPr>
          <w:rFonts w:ascii="Arial" w:cs="Arial" w:eastAsia="Arial" w:hAnsi="Arial"/>
          <w:sz w:val="18"/>
          <w:szCs w:val="18"/>
          <w:color w:val="auto"/>
        </w:rPr>
        <w:t>case may be, including the date or dates upon or after which they shall be redeemable or exchangeable, as the case may be, and the amount per share payable in case of redemption, which amount may vary under different conditions and at different redemption dates;</w:t>
      </w:r>
    </w:p>
    <w:p>
      <w:pPr>
        <w:spacing w:after="0" w:line="184" w:lineRule="exact"/>
        <w:rPr>
          <w:sz w:val="20"/>
          <w:szCs w:val="20"/>
          <w:color w:val="auto"/>
        </w:rPr>
      </w:pPr>
    </w:p>
    <w:p>
      <w:pPr>
        <w:ind w:left="660" w:right="60" w:firstLine="1292"/>
        <w:spacing w:after="0" w:line="277" w:lineRule="auto"/>
        <w:tabs>
          <w:tab w:leader="none" w:pos="24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series shall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right="100" w:firstLine="1292"/>
        <w:spacing w:after="0" w:line="342" w:lineRule="auto"/>
        <w:tabs>
          <w:tab w:leader="none" w:pos="24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rights of the shares of the series in the event of voluntary or involuntary liquidation, dissolution or winding up of the Corporation, and the relative rights or priority, if any, of payment of shares of the series; and</w:t>
      </w:r>
    </w:p>
    <w:p>
      <w:pPr>
        <w:spacing w:after="0" w:line="123" w:lineRule="exact"/>
        <w:rPr>
          <w:rFonts w:ascii="Arial" w:cs="Arial" w:eastAsia="Arial" w:hAnsi="Arial"/>
          <w:sz w:val="16"/>
          <w:szCs w:val="16"/>
          <w:color w:val="auto"/>
        </w:rPr>
      </w:pPr>
    </w:p>
    <w:p>
      <w:pPr>
        <w:ind w:left="2420" w:hanging="468"/>
        <w:spacing w:after="0"/>
        <w:tabs>
          <w:tab w:leader="none" w:pos="2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relative rights, preferences, powers and limitations of that series.</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Except for any difference so provided by the Board of Directors, the shares of Preferred Stock will rank on parity with respect to the payment of dividends and to the distribution of assets upon liquidation.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FIFTH:</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Location for Stockholder Meetings</w:t>
      </w:r>
      <w:r>
        <w:rPr>
          <w:rFonts w:ascii="Arial" w:cs="Arial" w:eastAsia="Arial" w:hAnsi="Arial"/>
          <w:sz w:val="18"/>
          <w:szCs w:val="18"/>
          <w:color w:val="auto"/>
        </w:rPr>
        <w:t>. Meetings of stockholders may be held within or outside the state of Delaware or may be held solely by means of remote communication in accordance with the DGCL.</w:t>
      </w:r>
    </w:p>
    <w:p>
      <w:pPr>
        <w:spacing w:after="0" w:line="170" w:lineRule="exact"/>
        <w:rPr>
          <w:sz w:val="20"/>
          <w:szCs w:val="20"/>
          <w:color w:val="auto"/>
        </w:rPr>
      </w:pPr>
    </w:p>
    <w:p>
      <w:pPr>
        <w:ind w:right="400" w:firstLine="129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Stockholder Action</w:t>
      </w:r>
      <w:r>
        <w:rPr>
          <w:rFonts w:ascii="Arial" w:cs="Arial" w:eastAsia="Arial" w:hAnsi="Arial"/>
          <w:sz w:val="18"/>
          <w:szCs w:val="18"/>
          <w:color w:val="auto"/>
        </w:rPr>
        <w:t>. Except as otherwise provided with respect to a series of Preferred Stock in a resolution or resolutions adopted by the Board of Directors pursuant to ARTICLE FOURTH, any action required or permitted to be taken by the stockholders must be effected at a duly called annual or special meeting of such stockholders, and may not be effected by consent of stockholders in lieu of a meeting of stockholders.</w:t>
      </w:r>
    </w:p>
    <w:p>
      <w:pPr>
        <w:spacing w:after="0" w:line="187" w:lineRule="exact"/>
        <w:rPr>
          <w:sz w:val="20"/>
          <w:szCs w:val="20"/>
          <w:color w:val="auto"/>
        </w:rPr>
      </w:pPr>
    </w:p>
    <w:p>
      <w:pPr>
        <w:ind w:right="180" w:firstLine="1296"/>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Special Stockholders Meetings</w:t>
      </w:r>
      <w:r>
        <w:rPr>
          <w:rFonts w:ascii="Arial" w:cs="Arial" w:eastAsia="Arial" w:hAnsi="Arial"/>
          <w:sz w:val="16"/>
          <w:szCs w:val="16"/>
          <w:color w:val="auto"/>
        </w:rPr>
        <w:t>. Except as otherwise required by law, special meetings of the Corporation’s stockholders may be called only by (i) the Board of Directors pursuant to a resolution approved by the affirmative vote of a majority of the directors then in office, (ii) the Chairman of the Board, if one is elected, or (iii) the Chief Executive Officer. Only those matters set forth in the notice, of the special meeting may be considered or acted upon at such special meeting, unless otherwise provided by law. Notwithstanding the foregoing, whenever holders of one or more series of Preferred Stock shall have the right, voting separately as a class or series, to elect directors, such holders may call, pursuant to the terms of the resolution or resolutions adopted by the Board of Directors pursuant to ARTICLE FOURTH hereto, special meetings of holders of such Preferred Stock.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SIXTH:</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Number of Directors</w:t>
      </w:r>
      <w:r>
        <w:rPr>
          <w:rFonts w:ascii="Arial" w:cs="Arial" w:eastAsia="Arial" w:hAnsi="Arial"/>
          <w:sz w:val="17"/>
          <w:szCs w:val="17"/>
          <w:color w:val="auto"/>
        </w:rPr>
        <w:t>. The number of directors of the Corporation shall be fixed from time to time by the vote of a majority of the entire Board of Directors, except as may be provided by the resolution or resolutions adopted by the Board of Directors of the Corporation in respect of Preferred Stock adopted pursuant to ARTICLE FOURTH hereto, but such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sectPr>
      </w:pPr>
    </w:p>
    <w:bookmarkStart w:id="87" w:name="page88"/>
    <w:bookmarkEnd w:id="87"/>
    <w:p>
      <w:pPr>
        <w:ind w:right="80"/>
        <w:spacing w:after="0" w:line="342" w:lineRule="auto"/>
        <w:rPr>
          <w:sz w:val="20"/>
          <w:szCs w:val="20"/>
          <w:color w:val="auto"/>
        </w:rPr>
      </w:pPr>
      <w:r>
        <w:rPr>
          <w:rFonts w:ascii="Arial" w:cs="Arial" w:eastAsia="Arial" w:hAnsi="Arial"/>
          <w:sz w:val="16"/>
          <w:szCs w:val="16"/>
          <w:color w:val="auto"/>
        </w:rPr>
        <w:t>shall in no case be less than one (1) nor more than fifteen (15). Any such determination made by the Board of Directors shall continue in effect unless and until changed by the Board of Directors, but no such changes shall affect the term of any directors then in office.</w:t>
      </w:r>
    </w:p>
    <w:p>
      <w:pPr>
        <w:spacing w:after="0" w:line="124"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 of Office; Vacancies</w:t>
      </w:r>
      <w:r>
        <w:rPr>
          <w:rFonts w:ascii="Arial" w:cs="Arial" w:eastAsia="Arial" w:hAnsi="Arial"/>
          <w:sz w:val="16"/>
          <w:szCs w:val="16"/>
          <w:color w:val="auto"/>
        </w:rPr>
        <w:t>. (b) Subject to Section 6.5 hereof, the Board of Directors shall be divided into three classes, as nearly equal in number as possible and designated Class I, Class II and Class III. The Board is authorized to assign members of the Board already in office to Class I, Class II and Class III. The term of the initial Class I Directors shall expire at the first annual meeting of the stockholders of the Corporation following the effectiveness of this Amended and Restated Certificate of Incorporation, the term of the initial Class II Directors shall expire at the second annual meeting of the stockholders of the Corporation following the effectiveness of this Amended and Restated Certificate of Incorporation and the term of the initial Class III Directors shall expire at the third annual meeting of the stockholders of the Corporation following the effectiveness of this Amended and Restated Certificate of Incorporation. At each succeeding annual meeting of the stockholders of the Corporation, beginning with the first annual meeting of the stockholders of the Corporation following the effectiveness of this Amended and Restated Certificate of Incorporation,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Section 6.5 hereof, if the number of directors that constitutes the Board of Directors is changed, any increase or decrease shall be apportioned by the Board of Directors among the classes so as to maintain the number of directors in each class as nearly equal as possible, but in no case shall a decrease in the number of directors constituting the Board of Directors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of Directors is hereby expressly authorized, by resolution or resolutions thereof, to assign members of the Board of Directors already in office to the aforesaid classes at the time this Amended and Restated Certificate of Incorporation (and therefore such classification) becomes effective in accordance with the DGCL. Any vacancies and newly created directorships resulting from an increase in the number of directors shall be filled exclusively by a majority of the directors then in office, even if less than a quorum, and shall hold office until the next stockholder’s meeting at which directors are elected and his successor is elected and qualified or until his earlier death, resignation, retirement, disqualification or removal from office.</w:t>
      </w:r>
    </w:p>
    <w:p>
      <w:pPr>
        <w:spacing w:after="0" w:line="394"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Removal</w:t>
      </w:r>
      <w:r>
        <w:rPr>
          <w:rFonts w:ascii="Arial" w:cs="Arial" w:eastAsia="Arial" w:hAnsi="Arial"/>
          <w:sz w:val="17"/>
          <w:szCs w:val="17"/>
          <w:color w:val="auto"/>
        </w:rPr>
        <w:t>. Subject to Section 6.5 hereof, any or all of the directors may be removed from office at any time, but only for cause and only by the affirmative vote of holders of a majority of the voting power of all then-outstanding shares of capital stock of the Corporation entitled to vote generally in the election of directors, voting together as a single class.</w:t>
      </w:r>
    </w:p>
    <w:p>
      <w:pPr>
        <w:spacing w:after="0" w:line="165"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Written Ballot</w:t>
      </w:r>
      <w:r>
        <w:rPr>
          <w:rFonts w:ascii="Arial" w:cs="Arial" w:eastAsia="Arial" w:hAnsi="Arial"/>
          <w:sz w:val="18"/>
          <w:szCs w:val="18"/>
          <w:color w:val="auto"/>
        </w:rPr>
        <w:t>. Election of directors need not be by written ballot, unless the By-laws of the Corporation provide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sectPr>
      </w:pPr>
    </w:p>
    <w:bookmarkStart w:id="88" w:name="page89"/>
    <w:bookmarkEnd w:id="88"/>
    <w:p>
      <w:pPr>
        <w:ind w:right="40" w:firstLine="1296"/>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Notwithstanding the foregoing, whenever the holders of one or more series of Preferred Stock shall have the right, voting separately as a class or series, to elect directors, the election, term of office, filling of vacancies, removal and other features of such directorships shall be governed by the terms of the resolution or resolutions adopted by the Board of Directors pursuant to ARTICLE FOURTH applicable thereto, and each director so elected shall not be subject to the provisions of this ARTICLE SIXTH unless otherwise provided therein.</w:t>
      </w:r>
    </w:p>
    <w:p>
      <w:pPr>
        <w:spacing w:after="0" w:line="188"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18"/>
          <w:szCs w:val="18"/>
          <w:color w:val="auto"/>
        </w:rPr>
        <w:t>SEVENTH: 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84" w:lineRule="exact"/>
        <w:rPr>
          <w:sz w:val="20"/>
          <w:szCs w:val="20"/>
          <w:color w:val="auto"/>
        </w:rPr>
      </w:pPr>
    </w:p>
    <w:p>
      <w:pPr>
        <w:ind w:left="1560" w:hanging="256"/>
        <w:spacing w:after="0"/>
        <w:tabs>
          <w:tab w:leader="none" w:pos="1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business and affairs of the Corporation shall be managed by or under the direction of the Board of Directors.</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Board of Directors shall have the power to make, alter, amend, change, add to or repeal the By-laws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100" w:firstLine="1304"/>
        <w:spacing w:after="0" w:line="263" w:lineRule="auto"/>
        <w:tabs>
          <w:tab w:leader="none" w:pos="15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to the powers and authority hereinbefore or by statute expressly conferred upon them, the directors are hereby empowered to exercise all such powers and do all such acts and things as maybe exercised or done by the Corporation; subject, nevertheless, to the provisions of the DGCL or this Certificate of Incorporation.</w:t>
      </w:r>
    </w:p>
    <w:p>
      <w:pPr>
        <w:spacing w:after="0" w:line="183" w:lineRule="exact"/>
        <w:rPr>
          <w:rFonts w:ascii="Arial" w:cs="Arial" w:eastAsia="Arial" w:hAnsi="Arial"/>
          <w:sz w:val="18"/>
          <w:szCs w:val="18"/>
          <w:color w:val="auto"/>
        </w:rPr>
      </w:pPr>
    </w:p>
    <w:p>
      <w:pPr>
        <w:ind w:right="40" w:firstLine="1304"/>
        <w:spacing w:after="0" w:line="308" w:lineRule="auto"/>
        <w:tabs>
          <w:tab w:leader="none" w:pos="15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action permitted or required to be taken by the Board of Directors pursuant to this Certificate of Incorporation may be taken by an authorized committee thereof, except as expressly prohibited by the DGCL or the By-laws.</w:t>
      </w:r>
    </w:p>
    <w:p>
      <w:pPr>
        <w:spacing w:after="0" w:line="146"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EIGHTH: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shall not adversely affect any right or protection of a director of the Corporation existing at the time of such repeal or modification.</w:t>
      </w:r>
    </w:p>
    <w:p>
      <w:pPr>
        <w:spacing w:after="0" w:line="192"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NINTH: The Corporation reserves the right to repeal, alter or amend this Certificate of Incorporation in the manner now or hereafter prescribed by statute.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097" w:right="1059" w:bottom="1440" w:gutter="0" w:footer="0" w:header="0"/>
        </w:sectPr>
      </w:pPr>
    </w:p>
    <w:bookmarkStart w:id="89" w:name="page90"/>
    <w:bookmarkEnd w:id="89"/>
    <w:p>
      <w:pPr>
        <w:spacing w:after="0" w:line="290" w:lineRule="auto"/>
        <w:rPr>
          <w:sz w:val="20"/>
          <w:szCs w:val="20"/>
          <w:color w:val="auto"/>
        </w:rPr>
      </w:pPr>
      <w:r>
        <w:rPr>
          <w:rFonts w:ascii="Arial" w:cs="Arial" w:eastAsia="Arial" w:hAnsi="Arial"/>
          <w:sz w:val="16"/>
          <w:szCs w:val="16"/>
          <w:color w:val="auto"/>
        </w:rPr>
        <w:t>Corporation under Section 291 of the DGCL or on the application of trustees in dissolution or of any receiver or receivers appointed for this Corporation under Section 279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5" w:lineRule="exact"/>
        <w:rPr>
          <w:sz w:val="20"/>
          <w:szCs w:val="20"/>
          <w:color w:val="auto"/>
        </w:rPr>
      </w:pPr>
    </w:p>
    <w:p>
      <w:pPr>
        <w:ind w:right="40" w:firstLine="1296"/>
        <w:spacing w:after="0" w:line="283" w:lineRule="auto"/>
        <w:rPr>
          <w:sz w:val="20"/>
          <w:szCs w:val="20"/>
          <w:color w:val="auto"/>
        </w:rPr>
      </w:pPr>
      <w:r>
        <w:rPr>
          <w:rFonts w:ascii="Arial" w:cs="Arial" w:eastAsia="Arial" w:hAnsi="Arial"/>
          <w:sz w:val="16"/>
          <w:szCs w:val="16"/>
          <w:color w:val="auto"/>
        </w:rPr>
        <w:t>ELEVENTH: The Corporation shall, to the fullest extent permitted by Section 145 of the DGCL, indemnify and advance expenses to (a) its directors and officers and (b)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Corporation shall not indemnify any director, officer or such person in connection with a proceeding (or part thereof) initiated by such director, officer or such person unless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its 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No amendment to or repeal of this</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Article Eleventh shall adversely affect any right or protection of a director, officer or such other indemnified person of the Corporation existing at the time of, or increase the liability of any director, officer or such other indemnified person of the Corporation with respect to any acts or omissions of such director, officer or such other indemnified person occurring prior to, such amendment or repeal.</w:t>
      </w:r>
    </w:p>
    <w:p>
      <w:pPr>
        <w:spacing w:after="0" w:line="155" w:lineRule="exact"/>
        <w:rPr>
          <w:sz w:val="20"/>
          <w:szCs w:val="20"/>
          <w:color w:val="auto"/>
        </w:rPr>
      </w:pPr>
    </w:p>
    <w:p>
      <w:pPr>
        <w:ind w:right="140" w:firstLine="1296"/>
        <w:spacing w:after="0" w:line="272" w:lineRule="auto"/>
        <w:rPr>
          <w:sz w:val="20"/>
          <w:szCs w:val="20"/>
          <w:color w:val="auto"/>
        </w:rPr>
      </w:pPr>
      <w:r>
        <w:rPr>
          <w:rFonts w:ascii="Arial" w:cs="Arial" w:eastAsia="Arial" w:hAnsi="Arial"/>
          <w:sz w:val="17"/>
          <w:szCs w:val="17"/>
          <w:color w:val="auto"/>
        </w:rPr>
        <w:t>TWELFTH: The Corporation hereby renounces, to the fullest extent permitted by Section 122(17) of the DGCL, any interest or expectancy of the Corporation in, or in being offered an opportunity to participate in, any business opportunities that are presented to any of its directors or stockholders who are not otherwise employed by the Corporation other than business opportunities that are presented to any director or stockholder acting in his or her capacity as a director or stockholder of the Corporation. No amendment to or repeal of this Article Twelfth shall adversely affect any right or protection of a director or stockholder of this Corporation existing at the time of, or increase the liability of any director or stockholder of this Corporation with respect to any acts or omissions of such director or stockholder occurring prior to, such amendment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7" w:right="1019" w:bottom="1440" w:gutter="0" w:footer="0" w:header="0"/>
        </w:sectPr>
      </w:pPr>
    </w:p>
    <w:bookmarkStart w:id="90" w:name="page91"/>
    <w:bookmarkEnd w:id="90"/>
    <w:p>
      <w:pPr>
        <w:ind w:firstLine="1296"/>
        <w:spacing w:after="0" w:line="254" w:lineRule="auto"/>
        <w:rPr>
          <w:sz w:val="20"/>
          <w:szCs w:val="20"/>
          <w:color w:val="auto"/>
        </w:rPr>
      </w:pPr>
      <w:r>
        <w:rPr>
          <w:rFonts w:ascii="Arial" w:cs="Arial" w:eastAsia="Arial" w:hAnsi="Arial"/>
          <w:sz w:val="18"/>
          <w:szCs w:val="18"/>
          <w:color w:val="auto"/>
        </w:rPr>
        <w:t>THIRTEENTH: Unless the Corporation consents in writing to the selection of an alternative forum, to the fullest extent permitted by law, all Internal Corporate Claims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 “Internal Corporate Claims” means claims, including claims in the right of the Corporation, brought by a stockholder (including a beneficial owner) (i) that are based upon a violation of a duty by a current or former director or officer or stockholder in such capacity or (ii) as to which the DGCL confers jurisdiction upon the Court of Chancery of the State of Delaware.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sectPr>
      </w:pPr>
    </w:p>
    <w:bookmarkStart w:id="91" w:name="page92"/>
    <w:bookmarkEnd w:id="91"/>
    <w:p>
      <w:pPr>
        <w:ind w:right="79"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on this 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2018.</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22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Vimal Mehta</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093" w:right="1440"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BIOXCEL THERAPEUTICS,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237490</wp:posOffset>
            </wp:positionV>
            <wp:extent cx="15773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BioXcel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and existing under and by virtue of the provisions of the General Corporation Law of the State of Delaware,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HEREBY CERTIFY THAT:</w:t>
      </w:r>
    </w:p>
    <w:p>
      <w:pPr>
        <w:spacing w:after="0" w:line="225" w:lineRule="exact"/>
        <w:rPr>
          <w:sz w:val="20"/>
          <w:szCs w:val="20"/>
          <w:color w:val="auto"/>
        </w:rPr>
      </w:pPr>
    </w:p>
    <w:p>
      <w:pPr>
        <w:ind w:right="200" w:firstLine="656"/>
        <w:spacing w:after="0" w:line="281" w:lineRule="auto"/>
        <w:tabs>
          <w:tab w:leader="none" w:pos="13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the Corporation duly adopted resolutions by unanimous written consent in accordance with Section 141(f) of the General Corporation Law of the State of Delaware setting forth an amendment to the Amended and Restated Certificate of Incorporation of the Corporation, as amended (the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and declaring such amendment to be advisable. The resolution setting forth such amendment is as follows:</w:t>
      </w:r>
    </w:p>
    <w:p>
      <w:pPr>
        <w:spacing w:after="0" w:line="16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be amended by amending and restating the first sentence of Article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Certificate of Incorporation in its entirety to read as follows:</w:t>
      </w:r>
    </w:p>
    <w:p>
      <w:pPr>
        <w:spacing w:after="0" w:line="16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total number of shares of capital stock that the Corporation shall have authority to issue is 110,000,000 shares, consisting of 100,000,000 shares of common stock, par value $0.001 per share (the “Common Stock”), and 10,000,000 shares of preferred stock, par value $0.001 per share (the “Preferred Stock”).”</w:t>
      </w:r>
    </w:p>
    <w:p>
      <w:pPr>
        <w:spacing w:after="0" w:line="184" w:lineRule="exact"/>
        <w:rPr>
          <w:sz w:val="20"/>
          <w:szCs w:val="20"/>
          <w:color w:val="auto"/>
        </w:rPr>
      </w:pPr>
    </w:p>
    <w:p>
      <w:pPr>
        <w:ind w:right="40" w:firstLine="656"/>
        <w:spacing w:after="0" w:line="277" w:lineRule="auto"/>
        <w:tabs>
          <w:tab w:leader="none" w:pos="13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stockholders of the Corporation duly adopted such amendment at an annual meeting of stockholders held on June 11, 2021 in accordance with Section 242 of the General Corporation Law of the State of Delaware.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amendment was duly adopted in accordance with Section 242 of the General Corporation Law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20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has been executed by a duly authorized officer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this 14</w:t>
      </w:r>
      <w:r>
        <w:rPr>
          <w:rFonts w:ascii="Arial" w:cs="Arial" w:eastAsia="Arial" w:hAnsi="Arial"/>
          <w:sz w:val="11"/>
          <w:szCs w:val="11"/>
          <w:color w:val="auto"/>
        </w:rPr>
        <w:t>th</w:t>
      </w:r>
      <w:r>
        <w:rPr>
          <w:rFonts w:ascii="Arial" w:cs="Arial" w:eastAsia="Arial" w:hAnsi="Arial"/>
          <w:sz w:val="18"/>
          <w:szCs w:val="18"/>
          <w:color w:val="auto"/>
        </w:rPr>
        <w:t xml:space="preserve"> day of June, 2021.</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BIOXCEL THERAPEUTICS,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229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Richard Steinhart</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309" w:right="101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AND GENERAL RELEASE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good and valuable consideration, BioXcel Therapeutics,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Reina Benabou, M.D., Ph.D. (“</w:t>
      </w:r>
      <w:r>
        <w:rPr>
          <w:rFonts w:ascii="Arial" w:cs="Arial" w:eastAsia="Arial" w:hAnsi="Arial"/>
          <w:sz w:val="20"/>
          <w:szCs w:val="20"/>
          <w:u w:val="single" w:color="auto"/>
          <w:color w:val="auto"/>
        </w:rPr>
        <w:t>Employee</w:t>
      </w:r>
      <w:r>
        <w:rPr>
          <w:rFonts w:ascii="Arial" w:cs="Arial" w:eastAsia="Arial" w:hAnsi="Arial"/>
          <w:sz w:val="20"/>
          <w:szCs w:val="20"/>
          <w:color w:val="auto"/>
        </w:rPr>
        <w:t>”) enter into this Separation Agreement and General Release (this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to take effect on the Effective Date (as defined below in </w:t>
      </w:r>
      <w:r>
        <w:rPr>
          <w:rFonts w:ascii="Arial" w:cs="Arial" w:eastAsia="Arial" w:hAnsi="Arial"/>
          <w:sz w:val="20"/>
          <w:szCs w:val="20"/>
          <w:u w:val="single" w:color="auto"/>
          <w:color w:val="auto"/>
        </w:rPr>
        <w:t>Section 6</w:t>
      </w:r>
      <w:r>
        <w:rPr>
          <w:rFonts w:ascii="Arial" w:cs="Arial" w:eastAsia="Arial" w:hAnsi="Arial"/>
          <w:sz w:val="20"/>
          <w:szCs w:val="20"/>
          <w:color w:val="auto"/>
        </w:rPr>
        <w:t>).</w:t>
      </w:r>
    </w:p>
    <w:p>
      <w:pPr>
        <w:spacing w:after="0" w:line="180"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20"/>
          <w:szCs w:val="20"/>
          <w:color w:val="auto"/>
        </w:rPr>
      </w:pPr>
      <w:r>
        <w:rPr>
          <w:rFonts w:ascii="Arial" w:cs="Arial" w:eastAsia="Arial" w:hAnsi="Arial"/>
          <w:sz w:val="20"/>
          <w:szCs w:val="20"/>
          <w:b w:val="1"/>
          <w:bCs w:val="1"/>
          <w:u w:val="single" w:color="auto"/>
          <w:color w:val="auto"/>
        </w:rPr>
        <w:t>Separation of Employment; Acknowledgements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385"/>
        <w:spacing w:after="0" w:line="271" w:lineRule="auto"/>
        <w:tabs>
          <w:tab w:leader="none" w:pos="1944" w:val="left"/>
        </w:tabs>
        <w:numPr>
          <w:ilvl w:val="2"/>
          <w:numId w:val="61"/>
        </w:numPr>
        <w:rPr>
          <w:rFonts w:ascii="Arial" w:cs="Arial" w:eastAsia="Arial" w:hAnsi="Arial"/>
          <w:sz w:val="18"/>
          <w:szCs w:val="18"/>
          <w:color w:val="auto"/>
        </w:rPr>
      </w:pPr>
      <w:r>
        <w:rPr>
          <w:rFonts w:ascii="Arial" w:cs="Arial" w:eastAsia="Arial" w:hAnsi="Arial"/>
          <w:sz w:val="18"/>
          <w:szCs w:val="18"/>
          <w:color w:val="auto"/>
        </w:rPr>
        <w:t>Employee’s employment with the Company will terminate effective July 30, 2021 (the “</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as a result of Employee’s resignation, notwithstanding any notice provisions contained in the Employment Agreement (as defined below). Employee will receive all wages and benefits, including unused vacation or paid time off (to the extent required by applicable law), earned through the Separation Date, less applicable taxes and withholdings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Employee will also receive reimbursement for all reimbursable business expenses incurred by Employee prior to the Separation Date, in accordance with Company policy (the “</w:t>
      </w: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By signing below, Employee acknowledges that, with the payments and benefits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Employee will have received all payments and benefits, including all salaries, commissions, bonuses and other incentive pay, vacation, and other benefits, due in connection with Employee’s employment, and the Company does not owe Employee any additional payments or benefits, except with respect to Employees vested options to purchase common stock of the Company, which options shall be governed by the terms of the applicable governing option agreement and equity plan.</w:t>
      </w:r>
    </w:p>
    <w:p>
      <w:pPr>
        <w:spacing w:after="0" w:line="169" w:lineRule="exact"/>
        <w:rPr>
          <w:rFonts w:ascii="Arial" w:cs="Arial" w:eastAsia="Arial" w:hAnsi="Arial"/>
          <w:sz w:val="18"/>
          <w:szCs w:val="18"/>
          <w:color w:val="auto"/>
        </w:rPr>
      </w:pPr>
    </w:p>
    <w:p>
      <w:pPr>
        <w:jc w:val="both"/>
        <w:ind w:firstLine="1385"/>
        <w:spacing w:after="0" w:line="294" w:lineRule="auto"/>
        <w:tabs>
          <w:tab w:leader="none" w:pos="1944" w:val="left"/>
        </w:tabs>
        <w:numPr>
          <w:ilvl w:val="2"/>
          <w:numId w:val="61"/>
        </w:numPr>
        <w:rPr>
          <w:rFonts w:ascii="Arial" w:cs="Arial" w:eastAsia="Arial" w:hAnsi="Arial"/>
          <w:sz w:val="18"/>
          <w:szCs w:val="18"/>
          <w:color w:val="auto"/>
        </w:rPr>
      </w:pPr>
      <w:r>
        <w:rPr>
          <w:rFonts w:ascii="Arial" w:cs="Arial" w:eastAsia="Arial" w:hAnsi="Arial"/>
          <w:sz w:val="18"/>
          <w:szCs w:val="18"/>
          <w:color w:val="auto"/>
        </w:rPr>
        <w:t>Employee acknowledges and agrees that, in accordance with the terms of the Employment Agreement between Employee and the Company dated June 21, 2020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on the Separation Date Employee will resign from all offices and directorships held with the Company or any of its subsidiaries</w:t>
      </w:r>
      <w:r>
        <w:rPr>
          <w:rFonts w:ascii="Arial" w:cs="Arial" w:eastAsia="Arial" w:hAnsi="Arial"/>
          <w:sz w:val="19"/>
          <w:szCs w:val="19"/>
          <w:color w:val="auto"/>
        </w:rPr>
        <w:t>.</w:t>
      </w:r>
    </w:p>
    <w:p>
      <w:pPr>
        <w:spacing w:after="0" w:line="137" w:lineRule="exact"/>
        <w:rPr>
          <w:rFonts w:ascii="Arial" w:cs="Arial" w:eastAsia="Arial" w:hAnsi="Arial"/>
          <w:sz w:val="18"/>
          <w:szCs w:val="18"/>
          <w:color w:val="auto"/>
        </w:rPr>
      </w:pPr>
    </w:p>
    <w:p>
      <w:pPr>
        <w:jc w:val="both"/>
        <w:ind w:firstLine="656"/>
        <w:spacing w:after="0" w:line="270" w:lineRule="auto"/>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Release of Claims</w:t>
      </w:r>
      <w:r>
        <w:rPr>
          <w:rFonts w:ascii="Arial" w:cs="Arial" w:eastAsia="Arial" w:hAnsi="Arial"/>
          <w:sz w:val="18"/>
          <w:szCs w:val="18"/>
          <w:color w:val="auto"/>
        </w:rPr>
        <w:t>. Employee, for Employee and Employee’s agents, successors, heirs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whom are hereinafter individually and collectively referred to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Releasors</w:t>
      </w:r>
      <w:r>
        <w:rPr>
          <w:rFonts w:ascii="Arial" w:cs="Arial" w:eastAsia="Arial" w:hAnsi="Arial"/>
          <w:sz w:val="18"/>
          <w:szCs w:val="18"/>
          <w:color w:val="auto"/>
        </w:rPr>
        <w:t xml:space="preserve">”), hereby releases, remises and forever discharges the Company and any of its subsidiaries, parent companies, affiliates, related companies, divisions, predecessors, successors, interests, assigns, and/or entities in which each has an ownership interest, and each of their future, present, and former members, directors, trustees, agents, servants, shareholders, employees, officers, representatives, attorneys, investors and insurers, and each of their respective heirs, successors, executors and administrators, and all persons acting by, through, under and/or in concert with any of the foregoing (all of which are hereinafter individually and collectively referred to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Released Parties</w:t>
      </w:r>
      <w:r>
        <w:rPr>
          <w:rFonts w:ascii="Arial" w:cs="Arial" w:eastAsia="Arial" w:hAnsi="Arial"/>
          <w:sz w:val="18"/>
          <w:szCs w:val="18"/>
          <w:color w:val="auto"/>
        </w:rPr>
        <w:t>”) of and from any and all claims, demands, causes of action, actions, rights, damages, judgments, costs, compensation, suits, debts, dues, accounts, bonds, covenants, agreements, expenses, attorneys’ fees, damages, penalties, punitive damages and liability of any nature whatsoever, in law or in equity or otherwise, which Releasors have had, now have, shall or may have, whether known or unknown, foreseen or unforeseen, suspected or unsuspected, by reason of any cause, matter or thing whatsoever, from the beginning of time up to and including the date that Employee executes this Agreement, including but not limited to claims for:</w:t>
      </w:r>
    </w:p>
    <w:p>
      <w:pPr>
        <w:spacing w:after="0" w:line="178" w:lineRule="exact"/>
        <w:rPr>
          <w:rFonts w:ascii="Arial" w:cs="Arial" w:eastAsia="Arial" w:hAnsi="Arial"/>
          <w:sz w:val="18"/>
          <w:szCs w:val="18"/>
          <w:color w:val="auto"/>
        </w:rPr>
      </w:pPr>
    </w:p>
    <w:p>
      <w:pPr>
        <w:jc w:val="both"/>
        <w:ind w:firstLine="1304"/>
        <w:spacing w:after="0" w:line="244" w:lineRule="auto"/>
        <w:tabs>
          <w:tab w:leader="none" w:pos="1944" w:val="left"/>
        </w:tabs>
        <w:numPr>
          <w:ilvl w:val="1"/>
          <w:numId w:val="61"/>
        </w:numPr>
        <w:rPr>
          <w:rFonts w:ascii="Arial" w:cs="Arial" w:eastAsia="Arial" w:hAnsi="Arial"/>
          <w:sz w:val="20"/>
          <w:szCs w:val="20"/>
          <w:color w:val="auto"/>
        </w:rPr>
      </w:pPr>
      <w:r>
        <w:rPr>
          <w:rFonts w:ascii="Arial" w:cs="Arial" w:eastAsia="Arial" w:hAnsi="Arial"/>
          <w:sz w:val="20"/>
          <w:szCs w:val="20"/>
          <w:color w:val="auto"/>
        </w:rPr>
        <w:t>violation of any written or unwritten contract, agreement, policy, benefit plan, retirement or pension plan, option plan, severance plan, or covenant of any kind, or failure to pay wages, bonuses, employee benefits, other compensation, attorneys’ fees, damages, or any other remuneration (including any equity, ownership interest, management fee, carried interest, partnership interest, distributions, dividends or participation or ownership in any business venture related to the Company);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4" w:name="page95"/>
    <w:bookmarkEnd w:id="94"/>
    <w:p>
      <w:pPr>
        <w:jc w:val="both"/>
        <w:ind w:firstLine="1304"/>
        <w:spacing w:after="0" w:line="250"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discrimination, harassment, or retaliation on the basis of any characteristic protected under law, including but not limited to race, color, national origin, sex, pregnancy, sexual orientation, gender identity, religion, disability, marital or parental status, age, union activity or other protected activity; and/or</w:t>
      </w:r>
    </w:p>
    <w:p>
      <w:pPr>
        <w:spacing w:after="0" w:line="185" w:lineRule="exact"/>
        <w:rPr>
          <w:rFonts w:ascii="Arial" w:cs="Arial" w:eastAsia="Arial" w:hAnsi="Arial"/>
          <w:sz w:val="20"/>
          <w:szCs w:val="20"/>
          <w:color w:val="auto"/>
        </w:rPr>
      </w:pPr>
    </w:p>
    <w:p>
      <w:pPr>
        <w:jc w:val="both"/>
        <w:ind w:firstLine="1304"/>
        <w:spacing w:after="0" w:line="254" w:lineRule="auto"/>
        <w:tabs>
          <w:tab w:leader="none" w:pos="19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denial of protection or benefits under any statute, ordinance, executive order, or regulation, including but not limited to claims under Title VII of the Civil Rights Act of 1964, the Civil Rights Act of 1991, the Civil Rights Act of 1866, the Age Discrimination in Employment Act, the Americans with Disabilities Act, the Fair Labor Standards Act, the Family and Medical Leave Act, the Workers’ Adjustment and Retraining Notification Act, the Employee Retirement Income Security Act of 1974, the Equal Pay Act, the False Claims Act, the Sarbanes-Oxley Act of 2002, the National Labor Relations Act of 1935, the Uniformed Services Employment and Reemployment Rights Act of 1994, the Fair Credit Reporting Act, the Connecticut Fair Employment Practices Act, the Connecticut Act Concerning Pay Equity and Fairness, the Connecticut Personnel Files Act, the Connecticut Family and Medical Leave Act, the Connecticut Workers’ Adjustment and Retraining Notification Act, the Connecticut Paid Sick Leave law, Connecticut wage laws, the New Jersey Law Against Discrimination, the New Jersey Pregnant Worker’s Fairness Act, the New Jersey Conscientious Employee Protection Act, the New Jersey Opportunity to Compete Act, the New Jersey Family Leave Act, the Millville Dallas Airmotive Plant Job Loss Notification Act, the New Jersey State Wage and Hour Law, the New Jersey State Wage Payment Law, the New Jersey Earned Sick Leave law, each as amended, and any other federal, state or local statute, ordinance, order, constitution, or regulation regarding employment, termination of employment, discrimination, harassment, retaliation, notice, or wage and hour matters; and/or</w:t>
      </w:r>
    </w:p>
    <w:p>
      <w:pPr>
        <w:spacing w:after="0" w:line="190"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violation of any public policy or common law of any state relating to employment or personal injury, including but not limited to claims for wrongful discharge, defamation, invasion of privacy, infliction of emotional distress, negligence, fraud, and interference with contract.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Employee affirms that as of the date of Employee’s signature below, no action or proceeding covered by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was pending against any of the Released Parties.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Similarly, the Company and its subsidiaries and parent (the “Company Releasors”) hereby release, remise and forever discharge the Releasors of and from any and all claims, demands, causes of action, actions, rights, damages, judgments, costs, compensation, suits, debts, dues, accounts, bonds, covenants, agreements, expenses, attorneys’ fees, damages, penalties, punitive damages and liability of any nature whatsoever, in law or in equity or otherwise, which the Company Releasors have had, now have, shall or may have against Releasors, whether known or unknown, foreseen or unforeseen, suspected or unsuspected, by reason of any cause, matter or thing whatsoever related to Employee’s employment with the Company or any of its subsidiaries, but excluding (i) any acts of fraud or willful misconduct against the Company or any of its subsidiaries or parent, (ii) crimes against the Company or any of its subsidiaries or parent and (iii) any violations of any provisions of Sections 12 and 13 of the Employment Agreement or similar restrictive covenants.</w:t>
      </w:r>
    </w:p>
    <w:p>
      <w:pPr>
        <w:spacing w:after="0" w:line="164" w:lineRule="exact"/>
        <w:rPr>
          <w:sz w:val="20"/>
          <w:szCs w:val="20"/>
          <w:color w:val="auto"/>
        </w:rPr>
      </w:pPr>
    </w:p>
    <w:p>
      <w:pPr>
        <w:ind w:firstLine="1304"/>
        <w:spacing w:after="0" w:line="274"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Non-Disparagement</w:t>
      </w:r>
      <w:r>
        <w:rPr>
          <w:rFonts w:ascii="Arial" w:cs="Arial" w:eastAsia="Arial" w:hAnsi="Arial"/>
          <w:sz w:val="18"/>
          <w:szCs w:val="18"/>
          <w:color w:val="auto"/>
        </w:rPr>
        <w:t>. Employee acknowledges that during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Employee acquired and developed knowledge of, and information constituting or concerning, confidential and proprietary information of the Company and other Released Parties.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Employee agrees that Employee, for so long as such confidential and proprietary information is and remains confidential and is not generally known to the public or in the industry, excluding disclosure to the public through unlawful means, and unless otherwise required by law: (a) will not disclose any such information to any person, firm, corporation, association or other entity for any reason or purpose whatsoever unless authorized in writing to do so by the Company; and (b) will not use any such information for Employee’s own benefit 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95" w:name="page96"/>
    <w:bookmarkEnd w:id="95"/>
    <w:p>
      <w:pPr>
        <w:spacing w:after="0" w:line="256" w:lineRule="auto"/>
        <w:rPr>
          <w:sz w:val="20"/>
          <w:szCs w:val="20"/>
          <w:color w:val="auto"/>
        </w:rPr>
      </w:pPr>
      <w:r>
        <w:rPr>
          <w:rFonts w:ascii="Arial" w:cs="Arial" w:eastAsia="Arial" w:hAnsi="Arial"/>
          <w:sz w:val="19"/>
          <w:szCs w:val="19"/>
          <w:color w:val="auto"/>
        </w:rPr>
        <w:t>any person, firm, corporation, association or other entity. In furtherance of the foregoing, Employee agrees to continue to comply with Sections 12 and 13 of the Employment Agreement following the Separation Date. Following the Separation Date, unless otherwise required by law, Employee agrees not to publish or disseminate, directly or indirectly, any statements, whether written or oral, that are or could be harmful to or reflect negatively on any of the Company or any of its affiliates or that are otherwise disparaging of any of the Company, its affiliates or any of their past or present officers, directors, employees, advisors, agents, policies, procedures, practices, decision-making, conduct, professionalism or compliance with standards. The Company agrees to make a one-time instruction to employees at the executive officer level to not publish or disseminate, directly or indirectly, any statements, whether written or oral, that are or could be harmful to or negatively disparage Employee.</w:t>
      </w:r>
    </w:p>
    <w:p>
      <w:pPr>
        <w:spacing w:after="0" w:line="178" w:lineRule="exact"/>
        <w:rPr>
          <w:sz w:val="20"/>
          <w:szCs w:val="20"/>
          <w:color w:val="auto"/>
        </w:rPr>
      </w:pPr>
    </w:p>
    <w:p>
      <w:pPr>
        <w:ind w:firstLine="1304"/>
        <w:spacing w:after="0" w:line="267" w:lineRule="auto"/>
        <w:tabs>
          <w:tab w:leader="none" w:pos="1944" w:val="left"/>
        </w:tabs>
        <w:numPr>
          <w:ilvl w:val="1"/>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Protected Rights</w:t>
      </w:r>
      <w:r>
        <w:rPr>
          <w:rFonts w:ascii="Arial" w:cs="Arial" w:eastAsia="Arial" w:hAnsi="Arial"/>
          <w:sz w:val="18"/>
          <w:szCs w:val="18"/>
          <w:color w:val="auto"/>
        </w:rPr>
        <w:t>. Nothing in this Agreement is intended to or shall prohibit Employee from: (i)</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 disclosure to, cooperating with, or receiving an award from the Securities and Exchange Commission, Commodity Futures Trading Commission or Department of Justice; (ii) filing a charge with, cooperating with, providing relevant information to, or otherwise participating or assisting in an investigation conducted by any federal, state or local governmental or regulatory body or official(s) or self-regulatory organization regarding an actual or possible violation of any law or regulation, including the Equal Employment Opportunity Commission, the National Labor Relations Board, the Department of Labor, and any other analogous state or local governmental agency, provided, however, Employee releases Employee’s right to receive damages or other relief awarded in any such proceeding; (iii) filing a claim for unemployment insurance or workers’ compensation benefits; (iv) testifying pursuant to a court order, subpoena, or written request from an administrative agency or the legislature; or (v) engaging in any other protected conduct or filing claims that cannot be waived by applicable law. Prior authorization of the Company is not required to make any such reports or disclosures and Employee is not required to notify the Company that Employee has made such reports or disclosures. Employee acknowledges that an individual shall not be held criminally or civilly liable under any federal or state trade secret law for the disclosure of a trade secret that is: (i) made in confidence to a federal, state, or local government official, either directly or indirectly, or to an attorney and made solely for the purpose of reporting or investigating a suspected violation of law; or</w:t>
      </w:r>
    </w:p>
    <w:p>
      <w:pPr>
        <w:spacing w:after="0" w:line="10" w:lineRule="exact"/>
        <w:rPr>
          <w:rFonts w:ascii="Arial" w:cs="Arial" w:eastAsia="Arial" w:hAnsi="Arial"/>
          <w:sz w:val="18"/>
          <w:szCs w:val="18"/>
          <w:color w:val="auto"/>
        </w:rPr>
      </w:pPr>
    </w:p>
    <w:p>
      <w:pPr>
        <w:ind w:firstLine="8"/>
        <w:spacing w:after="0"/>
        <w:tabs>
          <w:tab w:leader="none" w:pos="291"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made in a complaint or other document filed in a lawsuit or other proceeding, if such filing is made under seal. Employee further acknowledges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1" w:lineRule="exact"/>
        <w:rPr>
          <w:rFonts w:ascii="Arial" w:cs="Arial" w:eastAsia="Arial" w:hAnsi="Arial"/>
          <w:sz w:val="20"/>
          <w:szCs w:val="20"/>
          <w:color w:val="auto"/>
        </w:rPr>
      </w:pPr>
    </w:p>
    <w:p>
      <w:pPr>
        <w:ind w:right="40" w:firstLine="1304"/>
        <w:spacing w:after="0" w:line="253" w:lineRule="auto"/>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of Non-Competition Agreement</w:t>
      </w:r>
      <w:r>
        <w:rPr>
          <w:rFonts w:ascii="Arial" w:cs="Arial" w:eastAsia="Arial" w:hAnsi="Arial"/>
          <w:sz w:val="20"/>
          <w:szCs w:val="20"/>
          <w:color w:val="auto"/>
        </w:rPr>
        <w:t>. The Company and Employee agree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non-competition covenant set forth in Section 13(a) of the Employment Agreement, that the definition of “Competing Business” shall be deleted and restated as follows:</w:t>
      </w:r>
    </w:p>
    <w:p>
      <w:pPr>
        <w:spacing w:after="0" w:line="183" w:lineRule="exact"/>
        <w:rPr>
          <w:sz w:val="20"/>
          <w:szCs w:val="20"/>
          <w:color w:val="auto"/>
        </w:rPr>
      </w:pPr>
    </w:p>
    <w:p>
      <w:pPr>
        <w:ind w:right="180" w:firstLine="1863"/>
        <w:spacing w:after="0" w:line="250" w:lineRule="auto"/>
        <w:rPr>
          <w:sz w:val="20"/>
          <w:szCs w:val="20"/>
          <w:color w:val="auto"/>
        </w:rPr>
      </w:pPr>
      <w:r>
        <w:rPr>
          <w:rFonts w:ascii="Arial" w:cs="Arial" w:eastAsia="Arial" w:hAnsi="Arial"/>
          <w:sz w:val="20"/>
          <w:szCs w:val="20"/>
          <w:i w:val="1"/>
          <w:iCs w:val="1"/>
          <w:color w:val="auto"/>
        </w:rPr>
        <w:t>Competing Business” means any business developing, manufacturing or selling products related to the treatment of agitation in connection with schizophrenia, bipolar disorder, dementia, or in connection with other neuropsychiatric disorders, including anxious depression.</w:t>
      </w:r>
    </w:p>
    <w:p>
      <w:pPr>
        <w:spacing w:after="0" w:line="180" w:lineRule="exact"/>
        <w:rPr>
          <w:sz w:val="20"/>
          <w:szCs w:val="20"/>
          <w:color w:val="auto"/>
        </w:rPr>
      </w:pPr>
    </w:p>
    <w:p>
      <w:pPr>
        <w:ind w:right="200" w:firstLine="1304"/>
        <w:spacing w:after="0" w:line="322" w:lineRule="auto"/>
        <w:tabs>
          <w:tab w:leader="none" w:pos="1944"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Return of Company Property</w:t>
      </w:r>
      <w:r>
        <w:rPr>
          <w:rFonts w:ascii="Arial" w:cs="Arial" w:eastAsia="Arial" w:hAnsi="Arial"/>
          <w:sz w:val="16"/>
          <w:szCs w:val="16"/>
          <w:color w:val="auto"/>
        </w:rPr>
        <w:t>. Employee is required to return to the Company all Company-owned property in Employee’s possession, custody or control (including in Employee’s home, automobile and elsewhere), including, but not limited to, badges, keys, access cards, credit cards, cell phones, computer equipment, and any other Company documents, materials, and electronically stored information. By signing this Agreement, Employee covenants, represents and warrants that all such property has been returned or shall be returned by no later than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585470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2" w:right="1019" w:bottom="1440" w:gutter="0" w:footer="0" w:header="0"/>
        </w:sectPr>
      </w:pPr>
    </w:p>
    <w:bookmarkStart w:id="96" w:name="page97"/>
    <w:bookmarkEnd w:id="96"/>
    <w:p>
      <w:pPr>
        <w:ind w:left="-460" w:right="160" w:firstLine="1304"/>
        <w:spacing w:after="0" w:line="244" w:lineRule="auto"/>
        <w:tabs>
          <w:tab w:leader="none" w:pos="1484"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To accept this Agreement, Employee must sign this Agreement no earlier than the</w:t>
      </w:r>
      <w:r>
        <w:rPr>
          <w:rFonts w:ascii="Arial" w:cs="Arial" w:eastAsia="Arial" w:hAnsi="Arial"/>
          <w:sz w:val="20"/>
          <w:szCs w:val="20"/>
          <w:b w:val="1"/>
          <w:bCs w:val="1"/>
          <w:color w:val="auto"/>
        </w:rPr>
        <w:t xml:space="preserve"> </w:t>
      </w:r>
      <w:r>
        <w:rPr>
          <w:rFonts w:ascii="Arial" w:cs="Arial" w:eastAsia="Arial" w:hAnsi="Arial"/>
          <w:sz w:val="20"/>
          <w:szCs w:val="20"/>
          <w:color w:val="auto"/>
        </w:rPr>
        <w:t>Separation Date and no later than five business (5) days following the date on which Employee receives this Agreement. Any changes to this Agreement, whether material or immaterial, shall not extend the time that Employee has to review and sign this Agreement. This Agreement will become effective at the time Employee has timely signed this Agreement, provided Employee has timely provided the Company with a signed copy of the Agreement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If Employee does not timely sign or provide the Company with an executed copy of this Agreement, the Agreement shall be null and void.</w:t>
      </w:r>
    </w:p>
    <w:p>
      <w:pPr>
        <w:spacing w:after="0" w:line="185" w:lineRule="exact"/>
        <w:rPr>
          <w:rFonts w:ascii="Arial" w:cs="Arial" w:eastAsia="Arial" w:hAnsi="Arial"/>
          <w:sz w:val="20"/>
          <w:szCs w:val="20"/>
          <w:color w:val="auto"/>
        </w:rPr>
      </w:pPr>
    </w:p>
    <w:p>
      <w:pPr>
        <w:ind w:left="1500" w:hanging="656"/>
        <w:spacing w:after="0"/>
        <w:tabs>
          <w:tab w:leader="none" w:pos="1500"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460" w:right="40" w:firstLine="1952"/>
        <w:spacing w:after="0" w:line="260" w:lineRule="auto"/>
        <w:tabs>
          <w:tab w:leader="none" w:pos="2132"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Assignment</w:t>
      </w:r>
      <w:r>
        <w:rPr>
          <w:rFonts w:ascii="Arial" w:cs="Arial" w:eastAsia="Arial" w:hAnsi="Arial"/>
          <w:sz w:val="19"/>
          <w:szCs w:val="19"/>
          <w:color w:val="auto"/>
        </w:rPr>
        <w:t>: The Company may assign this Agreement and such assignment will take effect</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benefit of any successors or assigns of the Company created by merger, reorganization, and sale of assets or otherwise. Employee hereby consents and agrees to such assignment and enforcement of such rights and obligations by the Company’s successors or assigns, without further action required. This Agreement shall inure to the benefit of and shall be enforceable by each Released Party and the Company’s successors and assigns.</w:t>
      </w:r>
    </w:p>
    <w:p>
      <w:pPr>
        <w:spacing w:after="0" w:line="180" w:lineRule="exact"/>
        <w:rPr>
          <w:rFonts w:ascii="Arial" w:cs="Arial" w:eastAsia="Arial" w:hAnsi="Arial"/>
          <w:sz w:val="19"/>
          <w:szCs w:val="19"/>
          <w:color w:val="auto"/>
        </w:rPr>
      </w:pPr>
    </w:p>
    <w:p>
      <w:pPr>
        <w:ind w:left="-460" w:right="380" w:firstLine="1952"/>
        <w:spacing w:after="0" w:line="260" w:lineRule="auto"/>
        <w:tabs>
          <w:tab w:leader="none" w:pos="2132" w:val="left"/>
        </w:tabs>
        <w:numPr>
          <w:ilvl w:val="1"/>
          <w:numId w:val="67"/>
        </w:numPr>
        <w:rPr>
          <w:rFonts w:ascii="Arial" w:cs="Arial" w:eastAsia="Arial" w:hAnsi="Arial"/>
          <w:sz w:val="20"/>
          <w:szCs w:val="20"/>
          <w:color w:val="auto"/>
        </w:rPr>
      </w:pPr>
      <w:r>
        <w:rPr>
          <w:rFonts w:ascii="Arial" w:cs="Arial" w:eastAsia="Arial" w:hAnsi="Arial"/>
          <w:sz w:val="20"/>
          <w:szCs w:val="20"/>
          <w:i w:val="1"/>
          <w:iCs w:val="1"/>
          <w:color w:val="auto"/>
        </w:rPr>
        <w:t>No Admission</w:t>
      </w:r>
      <w:r>
        <w:rPr>
          <w:rFonts w:ascii="Arial" w:cs="Arial" w:eastAsia="Arial" w:hAnsi="Arial"/>
          <w:sz w:val="20"/>
          <w:szCs w:val="20"/>
          <w:color w:val="auto"/>
        </w:rPr>
        <w:t>: This Agreement is not, and shall not be construed to be, an admission of</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liability, culpability or any other legal conclusion by or against either party.</w:t>
      </w:r>
    </w:p>
    <w:p>
      <w:pPr>
        <w:spacing w:after="0" w:line="176" w:lineRule="exact"/>
        <w:rPr>
          <w:rFonts w:ascii="Arial" w:cs="Arial" w:eastAsia="Arial" w:hAnsi="Arial"/>
          <w:sz w:val="20"/>
          <w:szCs w:val="20"/>
          <w:color w:val="auto"/>
        </w:rPr>
      </w:pPr>
    </w:p>
    <w:p>
      <w:pPr>
        <w:ind w:left="-460" w:firstLine="1952"/>
        <w:spacing w:after="0" w:line="250" w:lineRule="auto"/>
        <w:tabs>
          <w:tab w:leader="none" w:pos="2132" w:val="left"/>
        </w:tabs>
        <w:numPr>
          <w:ilvl w:val="1"/>
          <w:numId w:val="67"/>
        </w:numPr>
        <w:rPr>
          <w:rFonts w:ascii="Arial" w:cs="Arial" w:eastAsia="Arial" w:hAnsi="Arial"/>
          <w:sz w:val="20"/>
          <w:szCs w:val="20"/>
          <w:color w:val="auto"/>
        </w:rPr>
      </w:pPr>
      <w:r>
        <w:rPr>
          <w:rFonts w:ascii="Arial" w:cs="Arial" w:eastAsia="Arial" w:hAnsi="Arial"/>
          <w:sz w:val="20"/>
          <w:szCs w:val="20"/>
          <w:i w:val="1"/>
          <w:iCs w:val="1"/>
          <w:color w:val="auto"/>
        </w:rPr>
        <w:t>Governing Law</w:t>
      </w:r>
      <w:r>
        <w:rPr>
          <w:rFonts w:ascii="Arial" w:cs="Arial" w:eastAsia="Arial" w:hAnsi="Arial"/>
          <w:sz w:val="20"/>
          <w:szCs w:val="20"/>
          <w:color w:val="auto"/>
        </w:rPr>
        <w:t>: This Agreement shall be interpreted, enforced and governed under the laws</w:t>
      </w:r>
      <w:r>
        <w:rPr>
          <w:rFonts w:ascii="Arial" w:cs="Arial" w:eastAsia="Arial" w:hAnsi="Arial"/>
          <w:sz w:val="20"/>
          <w:szCs w:val="20"/>
          <w:i w:val="1"/>
          <w:iCs w:val="1"/>
          <w:color w:val="auto"/>
        </w:rPr>
        <w:t xml:space="preserve"> </w:t>
      </w:r>
      <w:r>
        <w:rPr>
          <w:rFonts w:ascii="Arial" w:cs="Arial" w:eastAsia="Arial" w:hAnsi="Arial"/>
          <w:sz w:val="20"/>
          <w:szCs w:val="20"/>
          <w:color w:val="auto"/>
        </w:rPr>
        <w:t>of the State of Connecticut exclusively, without reference to any conflict of laws rule that would result in the application of the laws of any other jurisdiction.</w:t>
      </w:r>
    </w:p>
    <w:p>
      <w:pPr>
        <w:spacing w:after="0" w:line="185" w:lineRule="exact"/>
        <w:rPr>
          <w:rFonts w:ascii="Arial" w:cs="Arial" w:eastAsia="Arial" w:hAnsi="Arial"/>
          <w:sz w:val="20"/>
          <w:szCs w:val="20"/>
          <w:color w:val="auto"/>
        </w:rPr>
      </w:pPr>
    </w:p>
    <w:p>
      <w:pPr>
        <w:ind w:left="-460" w:firstLine="1952"/>
        <w:spacing w:after="0" w:line="257" w:lineRule="auto"/>
        <w:tabs>
          <w:tab w:leader="none" w:pos="2132"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constitutes the entire understanding between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regarding Employee’s separation from employment with the Company and supersedes any prior written or oral agreements regarding such employment; provided, that, nothing in this Agreement shall supersede Section 12 or 13 of the Employment Agreement (although Section 5 above shall amend Section 12 of the Employment Agreement). Employee also acknowledges that there are no representations by the Company, oral or written, which are not set forth in this Agreement upon which Employee relied in signing this Agreement. This Agreement cannot be modified or amended except by written agreement signed by both Employee and the Company.</w:t>
      </w:r>
    </w:p>
    <w:p>
      <w:pPr>
        <w:spacing w:after="0" w:line="184" w:lineRule="exact"/>
        <w:rPr>
          <w:rFonts w:ascii="Arial" w:cs="Arial" w:eastAsia="Arial" w:hAnsi="Arial"/>
          <w:sz w:val="19"/>
          <w:szCs w:val="19"/>
          <w:color w:val="auto"/>
        </w:rPr>
      </w:pPr>
    </w:p>
    <w:p>
      <w:pPr>
        <w:ind w:left="-460" w:right="120" w:firstLine="1952"/>
        <w:spacing w:after="0" w:line="269" w:lineRule="auto"/>
        <w:tabs>
          <w:tab w:leader="none" w:pos="2132" w:val="left"/>
        </w:tabs>
        <w:numPr>
          <w:ilvl w:val="1"/>
          <w:numId w:val="67"/>
        </w:numPr>
        <w:rPr>
          <w:rFonts w:ascii="Arial" w:cs="Arial" w:eastAsia="Arial" w:hAnsi="Arial"/>
          <w:sz w:val="19"/>
          <w:szCs w:val="19"/>
          <w:color w:val="auto"/>
        </w:rPr>
      </w:pPr>
      <w:r>
        <w:rPr>
          <w:rFonts w:ascii="Arial" w:cs="Arial" w:eastAsia="Arial" w:hAnsi="Arial"/>
          <w:sz w:val="19"/>
          <w:szCs w:val="19"/>
          <w:i w:val="1"/>
          <w:iCs w:val="1"/>
          <w:color w:val="auto"/>
        </w:rPr>
        <w:t>Construction</w:t>
      </w:r>
      <w:r>
        <w:rPr>
          <w:rFonts w:ascii="Arial" w:cs="Arial" w:eastAsia="Arial" w:hAnsi="Arial"/>
          <w:sz w:val="19"/>
          <w:szCs w:val="19"/>
          <w:color w:val="auto"/>
        </w:rPr>
        <w:t>: If any provision of this Agreement is declared or determined by any court to</w:t>
      </w:r>
      <w:r>
        <w:rPr>
          <w:rFonts w:ascii="Arial" w:cs="Arial" w:eastAsia="Arial" w:hAnsi="Arial"/>
          <w:sz w:val="19"/>
          <w:szCs w:val="19"/>
          <w:i w:val="1"/>
          <w:iCs w:val="1"/>
          <w:color w:val="auto"/>
        </w:rPr>
        <w:t xml:space="preserve"> </w:t>
      </w:r>
      <w:r>
        <w:rPr>
          <w:rFonts w:ascii="Arial" w:cs="Arial" w:eastAsia="Arial" w:hAnsi="Arial"/>
          <w:sz w:val="19"/>
          <w:szCs w:val="19"/>
          <w:color w:val="auto"/>
        </w:rPr>
        <w:t>be illegal or invalid, the validity of the remaining parts, terms or provisions of the Agreement shall not be affected thereby and the illegal or invalid part, term or provision shall be deemed not to be a part of this Agreement.</w:t>
      </w:r>
    </w:p>
    <w:p>
      <w:pPr>
        <w:spacing w:after="0" w:line="163" w:lineRule="exact"/>
        <w:rPr>
          <w:rFonts w:ascii="Arial" w:cs="Arial" w:eastAsia="Arial" w:hAnsi="Arial"/>
          <w:sz w:val="19"/>
          <w:szCs w:val="19"/>
          <w:color w:val="auto"/>
        </w:rPr>
      </w:pPr>
    </w:p>
    <w:p>
      <w:pPr>
        <w:ind w:left="-460" w:right="20" w:firstLine="1304"/>
        <w:spacing w:after="0" w:line="275" w:lineRule="auto"/>
        <w:tabs>
          <w:tab w:leader="none" w:pos="1484"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Employee acknowledges that (a) Employee has carefully reviewed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understands its meaning; (b) Employee is herein being advised in writing by the Company to consult with an attorney in conjunction with this Agreement; (c) Employee has been given a period of five (5) business days within which to review and consider this Agreement, and the parties expressly agree that such review period shall not be extended upon any material or immaterial changes to the Agreement; (d) Employee further understands that if Employee signs this Agreement prior to the end of the five (5) business day review period, Employee voluntarily waives the remainder of such review period; and (e) Employee is signing this Agreement knowingly, willingly, and without duress.</w:t>
      </w:r>
    </w:p>
    <w:p>
      <w:pPr>
        <w:spacing w:after="0" w:line="168" w:lineRule="exact"/>
        <w:rPr>
          <w:rFonts w:ascii="Arial" w:cs="Arial" w:eastAsia="Arial" w:hAnsi="Arial"/>
          <w:sz w:val="18"/>
          <w:szCs w:val="18"/>
          <w:color w:val="auto"/>
        </w:rPr>
      </w:pPr>
    </w:p>
    <w:p>
      <w:pPr>
        <w:ind w:left="338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 Signature Page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918845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346" w:right="1019" w:bottom="1440" w:gutter="0" w:footer="0" w:header="0"/>
        </w:sectPr>
      </w:pPr>
    </w:p>
    <w:bookmarkStart w:id="97" w:name="page98"/>
    <w:bookmarkEnd w:id="97"/>
    <w:p>
      <w:pPr>
        <w:jc w:val="both"/>
        <w:ind w:left="560"/>
        <w:spacing w:after="0" w:line="285" w:lineRule="auto"/>
        <w:rPr>
          <w:sz w:val="20"/>
          <w:szCs w:val="20"/>
          <w:color w:val="auto"/>
        </w:rPr>
      </w:pPr>
      <w:r>
        <w:rPr>
          <w:rFonts w:ascii="Arial" w:cs="Arial" w:eastAsia="Arial" w:hAnsi="Arial"/>
          <w:sz w:val="18"/>
          <w:szCs w:val="18"/>
          <w:b w:val="1"/>
          <w:bCs w:val="1"/>
          <w:color w:val="auto"/>
        </w:rPr>
        <w:t>To be valid and binding, Employee must sign and return a copy of this Agreement to the Company’s Corporate Secretary at the Company’s principal place of business, no earlier than the Separation Date and no later than five (5) business days after Employee’s receipt of this Agreement. Intending to be legally bound by this Agreement, the parties have provided their signatures on the dates indicated below.</w:t>
      </w:r>
    </w:p>
    <w:p>
      <w:pPr>
        <w:spacing w:after="0" w:line="367"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COMPANY</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BioXcel Therapeutics, Inc.</w:t>
      </w:r>
    </w:p>
    <w:p>
      <w:pPr>
        <w:sectPr>
          <w:pgSz w:w="11900" w:h="16838" w:orient="portrait"/>
          <w:cols w:equalWidth="0" w:num="1">
            <w:col w:w="9820"/>
          </w:cols>
          <w:pgMar w:left="1080" w:top="346" w:right="9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Javier Rodriguez</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7/28/21</w:t>
      </w:r>
    </w:p>
    <w:p>
      <w:pPr>
        <w:spacing w:after="0" w:line="222" w:lineRule="exact"/>
        <w:rPr>
          <w:sz w:val="20"/>
          <w:szCs w:val="20"/>
          <w:color w:val="auto"/>
        </w:rPr>
      </w:pPr>
    </w:p>
    <w:p>
      <w:pPr>
        <w:sectPr>
          <w:pgSz w:w="11900" w:h="16838" w:orient="portrait"/>
          <w:cols w:equalWidth="0" w:num="4">
            <w:col w:w="880" w:space="440"/>
            <w:col w:w="5460" w:space="720"/>
            <w:col w:w="460" w:space="200"/>
            <w:col w:w="1660"/>
          </w:cols>
          <w:pgMar w:left="1080" w:top="346" w:right="9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Legal Officer</w:t>
      </w:r>
    </w:p>
    <w:p>
      <w:pPr>
        <w:spacing w:after="0" w:line="211" w:lineRule="exact"/>
        <w:rPr>
          <w:sz w:val="20"/>
          <w:szCs w:val="20"/>
          <w:color w:val="auto"/>
        </w:rPr>
      </w:pPr>
    </w:p>
    <w:p>
      <w:pPr>
        <w:sectPr>
          <w:pgSz w:w="11900" w:h="16838" w:orient="portrait"/>
          <w:cols w:equalWidth="0" w:num="2">
            <w:col w:w="600" w:space="720"/>
            <w:col w:w="8500"/>
          </w:cols>
          <w:pgMar w:left="1080" w:top="346"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300" w:val="left"/>
          <w:tab w:leader="none" w:pos="7480" w:val="left"/>
          <w:tab w:leader="none" w:pos="814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/s/ Reina Benabou</w:t>
      </w:r>
      <w:r>
        <w:rPr>
          <w:sz w:val="20"/>
          <w:szCs w:val="20"/>
          <w:color w:val="auto"/>
        </w:rPr>
        <w:tab/>
      </w:r>
      <w:r>
        <w:rPr>
          <w:rFonts w:ascii="Arial" w:cs="Arial" w:eastAsia="Arial" w:hAnsi="Arial"/>
          <w:sz w:val="20"/>
          <w:szCs w:val="20"/>
          <w:b w:val="1"/>
          <w:bCs w:val="1"/>
          <w:color w:val="auto"/>
        </w:rPr>
        <w:t>Date:</w:t>
      </w:r>
      <w:r>
        <w:rPr>
          <w:sz w:val="20"/>
          <w:szCs w:val="20"/>
          <w:color w:val="auto"/>
        </w:rPr>
        <w:tab/>
      </w:r>
      <w:r>
        <w:rPr>
          <w:rFonts w:ascii="Arial" w:cs="Arial" w:eastAsia="Arial" w:hAnsi="Arial"/>
          <w:sz w:val="17"/>
          <w:szCs w:val="17"/>
          <w:b w:val="1"/>
          <w:bCs w:val="1"/>
          <w:color w:val="auto"/>
        </w:rPr>
        <w:t>July 28</w:t>
      </w:r>
      <w:r>
        <w:rPr>
          <w:rFonts w:ascii="Arial" w:cs="Arial" w:eastAsia="Arial" w:hAnsi="Arial"/>
          <w:sz w:val="25"/>
          <w:szCs w:val="25"/>
          <w:b w:val="1"/>
          <w:bCs w:val="1"/>
          <w:color w:val="auto"/>
          <w:vertAlign w:val="superscript"/>
        </w:rPr>
        <w:t>th</w:t>
      </w:r>
      <w:r>
        <w:rPr>
          <w:rFonts w:ascii="Arial" w:cs="Arial" w:eastAsia="Arial" w:hAnsi="Arial"/>
          <w:sz w:val="17"/>
          <w:szCs w:val="17"/>
          <w:b w:val="1"/>
          <w:bCs w:val="1"/>
          <w:color w:val="auto"/>
        </w:rPr>
        <w:t>, 2021</w:t>
      </w:r>
    </w:p>
    <w:p>
      <w:pPr>
        <w:spacing w:after="0" w:line="172"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Print Name:</w:t>
      </w:r>
      <w:r>
        <w:rPr>
          <w:sz w:val="20"/>
          <w:szCs w:val="20"/>
          <w:color w:val="auto"/>
        </w:rPr>
        <w:tab/>
      </w:r>
      <w:r>
        <w:rPr>
          <w:rFonts w:ascii="Arial" w:cs="Arial" w:eastAsia="Arial" w:hAnsi="Arial"/>
          <w:sz w:val="18"/>
          <w:szCs w:val="18"/>
          <w:b w:val="1"/>
          <w:bCs w:val="1"/>
          <w:color w:val="auto"/>
        </w:rPr>
        <w:t>Reina Benabou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494030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346" w:right="999" w:bottom="1440" w:gutter="0" w:footer="0" w:header="0"/>
          <w:type w:val="continuous"/>
        </w:sectPr>
      </w:pPr>
    </w:p>
    <w:bookmarkStart w:id="98" w:name="page99"/>
    <w:bookmarkEnd w:id="98"/>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33" w:lineRule="exact"/>
        <w:rPr>
          <w:sz w:val="20"/>
          <w:szCs w:val="20"/>
          <w:color w:val="auto"/>
        </w:rPr>
      </w:pPr>
    </w:p>
    <w:p>
      <w:pPr>
        <w:ind w:left="540" w:right="599" w:hanging="331"/>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020" w:right="239" w:hanging="325"/>
        <w:spacing w:after="0" w:line="259"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020" w:right="399" w:hanging="325"/>
        <w:spacing w:after="0" w:line="263"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020" w:right="239" w:hanging="325"/>
        <w:spacing w:after="0" w:line="259"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right="519" w:hanging="325"/>
        <w:spacing w:after="0" w:line="263"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739" w:hanging="325"/>
        <w:spacing w:after="0" w:line="277" w:lineRule="auto"/>
        <w:tabs>
          <w:tab w:leader="none" w:pos="150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10, 2021</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9" w:name="page100"/>
    <w:bookmarkEnd w:id="99"/>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33" w:lineRule="exact"/>
        <w:rPr>
          <w:sz w:val="20"/>
          <w:szCs w:val="20"/>
          <w:color w:val="auto"/>
        </w:rPr>
      </w:pPr>
    </w:p>
    <w:p>
      <w:pPr>
        <w:ind w:left="540" w:right="599" w:hanging="331"/>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BioXcel Therapeutics, Inc.;</w:t>
      </w:r>
    </w:p>
    <w:p>
      <w:pPr>
        <w:spacing w:after="0" w:line="156"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10, 2021</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50"/>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0" w:name="page101"/>
    <w:bookmarkEnd w:id="100"/>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August 10, 2021</w:t>
            </w:r>
          </w:p>
        </w:tc>
        <w:tc>
          <w:tcPr>
            <w:tcW w:w="572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1" w:name="page102"/>
    <w:bookmarkEnd w:id="101"/>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72"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2021,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020" w:right="919" w:hanging="325"/>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56" w:lineRule="exact"/>
        <w:rPr>
          <w:rFonts w:ascii="Arial" w:cs="Arial" w:eastAsia="Arial" w:hAnsi="Arial"/>
          <w:sz w:val="18"/>
          <w:szCs w:val="18"/>
          <w:color w:val="auto"/>
        </w:rPr>
      </w:pPr>
    </w:p>
    <w:p>
      <w:pPr>
        <w:ind w:left="1020" w:right="359" w:hanging="325"/>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10, 2021</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lvl w:ilvl="1">
      <w:lvlJc w:val="left"/>
      <w:lvlText w:val="%2"/>
      <w:numFmt w:val="decimal"/>
      <w:start w:val="104"/>
    </w:lvl>
  </w:abstractNum>
  <w:abstractNum w:abstractNumId="48">
    <w:nsid w:val="741226BB"/>
    <w:multiLevelType w:val="hybridMultilevel"/>
    <w:lvl w:ilvl="0">
      <w:lvlJc w:val="left"/>
      <w:lvlText w:val="**"/>
      <w:numFmt w:val="bullet"/>
      <w:start w:val="1"/>
    </w:lvl>
    <w:lvl w:ilvl="1">
      <w:lvlJc w:val="left"/>
      <w:lvlText w:val="%2"/>
      <w:numFmt w:val="decimal"/>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upperLetter"/>
      <w:start w:val="1"/>
    </w:lvl>
  </w:abstractNum>
  <w:abstractNum w:abstractNumId="51">
    <w:nsid w:val="3F6AB60F"/>
    <w:multiLevelType w:val="hybridMultilevel"/>
    <w:lvl w:ilvl="0">
      <w:lvlJc w:val="left"/>
      <w:lvlText w:val="(%1)"/>
      <w:numFmt w:val="lowerLetter"/>
      <w:start w:val="1"/>
    </w:lvl>
  </w:abstractNum>
  <w:abstractNum w:abstractNumId="52">
    <w:nsid w:val="61574095"/>
    <w:multiLevelType w:val="hybridMultilevel"/>
    <w:lvl w:ilvl="0">
      <w:lvlJc w:val="left"/>
      <w:lvlText w:val="%1"/>
      <w:numFmt w:val="lowerLetter"/>
      <w:start w:val="1"/>
    </w:lvl>
    <w:lvl w:ilvl="1">
      <w:lvlJc w:val="left"/>
      <w:lvlText w:val="(%2)"/>
      <w:numFmt w:val="lowerLetter"/>
      <w:start w:val="2"/>
    </w:lvl>
  </w:abstractNum>
  <w:abstractNum w:abstractNumId="53">
    <w:nsid w:val="7E0C57B1"/>
    <w:multiLevelType w:val="hybridMultilevel"/>
    <w:lvl w:ilvl="0">
      <w:lvlJc w:val="left"/>
      <w:lvlText w:val="(%1)"/>
      <w:numFmt w:val="lowerLetter"/>
      <w:start w:val="4"/>
    </w:lvl>
    <w:lvl w:ilvl="1">
      <w:lvlJc w:val="left"/>
      <w:lvlText w:val="%2"/>
      <w:numFmt w:val="lowerLetter"/>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6"/>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2"/>
    </w:lvl>
  </w:abstractNum>
  <w:abstractNum w:abstractNumId="60">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4AD084E9"/>
    <w:multiLevelType w:val="hybridMultilevel"/>
    <w:lvl w:ilvl="0">
      <w:lvlJc w:val="left"/>
      <w:lvlText w:val="(%1)"/>
      <w:numFmt w:val="lowerLetter"/>
      <w:start w:val="2"/>
    </w:lvl>
  </w:abstractNum>
  <w:abstractNum w:abstractNumId="62">
    <w:nsid w:val="1F48EAA1"/>
    <w:multiLevelType w:val="hybridMultilevel"/>
    <w:lvl w:ilvl="0">
      <w:lvlJc w:val="left"/>
      <w:lvlText w:val="%1."/>
      <w:numFmt w:val="decimal"/>
      <w:start w:val="3"/>
    </w:lvl>
  </w:abstractNum>
  <w:abstractNum w:abstractNumId="63">
    <w:nsid w:val="1381823A"/>
    <w:multiLevelType w:val="hybridMultilevel"/>
    <w:lvl w:ilvl="0">
      <w:lvlJc w:val="left"/>
      <w:lvlText w:val="%1"/>
      <w:numFmt w:val="lowerRoman"/>
      <w:start w:val="1"/>
    </w:lvl>
    <w:lvl w:ilvl="1">
      <w:lvlJc w:val="left"/>
      <w:lvlText w:val="%2."/>
      <w:numFmt w:val="decimal"/>
      <w:start w:val="4"/>
    </w:lvl>
  </w:abstractNum>
  <w:abstractNum w:abstractNumId="64">
    <w:nsid w:val="5DB70AE5"/>
    <w:multiLevelType w:val="hybridMultilevel"/>
    <w:lvl w:ilvl="0">
      <w:lvlJc w:val="left"/>
      <w:lvlText w:val="(%1)"/>
      <w:numFmt w:val="lowerRoman"/>
      <w:start w:val="2"/>
    </w:lvl>
    <w:lvl w:ilvl="1">
      <w:lvlJc w:val="left"/>
      <w:lvlText w:val="%2."/>
      <w:numFmt w:val="decimal"/>
      <w:start w:val="5"/>
    </w:lvl>
  </w:abstractNum>
  <w:abstractNum w:abstractNumId="65">
    <w:nsid w:val="100F8FCA"/>
    <w:multiLevelType w:val="hybridMultilevel"/>
    <w:lvl w:ilvl="0">
      <w:lvlJc w:val="left"/>
      <w:lvlText w:val="%1."/>
      <w:numFmt w:val="decimal"/>
      <w:start w:val="6"/>
    </w:lvl>
  </w:abstractNum>
  <w:abstractNum w:abstractNumId="66">
    <w:nsid w:val="6590700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98" Type="http://schemas.openxmlformats.org/officeDocument/2006/relationships/hyperlink" Target="https://www.sec.gov/Archives/edgar/data/1720893/000110465918016770/a18-8090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2021-08-10T08:14:34Z</dcterms:created>
  <dcterms:modified xsi:type="dcterms:W3CDTF">2021-08-10T08:14:34Z</dcterms:modified>
</cp:coreProperties>
</file>